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3CD9C8">
      <w:pPr>
        <w:pStyle w:val="27"/>
        <w:tabs>
          <w:tab w:val="left" w:pos="5880"/>
        </w:tabs>
        <w:jc w:val="center"/>
        <w:rPr>
          <w:rFonts w:hint="default" w:ascii="Arial" w:hAnsi="Arial" w:cs="Arial"/>
          <w:b/>
          <w:bCs/>
          <w:spacing w:val="80"/>
          <w:sz w:val="64"/>
          <w:highlight w:val="none"/>
        </w:rPr>
      </w:pPr>
    </w:p>
    <w:p w14:paraId="532152F1">
      <w:pPr>
        <w:pStyle w:val="13"/>
        <w:ind w:firstLine="420"/>
        <w:rPr>
          <w:rFonts w:hint="default" w:ascii="Arial" w:hAnsi="Arial" w:cs="Arial"/>
          <w:highlight w:val="none"/>
        </w:rPr>
      </w:pP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9"/>
        <w:gridCol w:w="5549"/>
      </w:tblGrid>
      <w:tr w14:paraId="33B65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1" w:hRule="atLeast"/>
          <w:jc w:val="center"/>
        </w:trPr>
        <w:tc>
          <w:tcPr>
            <w:tcW w:w="7248" w:type="dxa"/>
            <w:gridSpan w:val="2"/>
            <w:tcBorders>
              <w:top w:val="nil"/>
              <w:left w:val="nil"/>
              <w:right w:val="nil"/>
            </w:tcBorders>
          </w:tcPr>
          <w:p w14:paraId="52D5F2D9">
            <w:pPr>
              <w:snapToGrid w:val="0"/>
              <w:spacing w:line="240" w:lineRule="atLeast"/>
              <w:jc w:val="center"/>
              <w:rPr>
                <w:rFonts w:hint="default" w:ascii="Arial" w:hAnsi="Arial" w:cs="Arial"/>
                <w:b/>
                <w:sz w:val="60"/>
                <w:szCs w:val="60"/>
                <w:highlight w:val="none"/>
              </w:rPr>
            </w:pPr>
            <w:r>
              <w:rPr>
                <w:rFonts w:hint="default" w:ascii="Arial" w:hAnsi="Arial" w:cs="Arial"/>
                <w:b/>
                <w:sz w:val="60"/>
                <w:szCs w:val="60"/>
                <w:highlight w:val="none"/>
              </w:rPr>
              <w:t>招 标 文 件</w:t>
            </w:r>
          </w:p>
          <w:p w14:paraId="1004450D">
            <w:pPr>
              <w:snapToGrid w:val="0"/>
              <w:spacing w:line="240" w:lineRule="atLeast"/>
              <w:jc w:val="center"/>
              <w:rPr>
                <w:rFonts w:hint="default" w:ascii="Arial" w:hAnsi="Arial" w:cs="Arial"/>
                <w:b/>
                <w:sz w:val="60"/>
                <w:szCs w:val="60"/>
                <w:highlight w:val="none"/>
              </w:rPr>
            </w:pPr>
          </w:p>
        </w:tc>
      </w:tr>
      <w:tr w14:paraId="50CD2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1" w:hRule="atLeast"/>
          <w:jc w:val="center"/>
        </w:trPr>
        <w:tc>
          <w:tcPr>
            <w:tcW w:w="1699" w:type="dxa"/>
            <w:vAlign w:val="center"/>
          </w:tcPr>
          <w:p w14:paraId="072DA513">
            <w:pPr>
              <w:rPr>
                <w:rFonts w:hint="default" w:ascii="Arial" w:hAnsi="Arial" w:eastAsia="宋体" w:cs="Arial"/>
                <w:b/>
                <w:sz w:val="32"/>
                <w:szCs w:val="32"/>
                <w:highlight w:val="none"/>
                <w:lang w:eastAsia="zh-CN"/>
              </w:rPr>
            </w:pPr>
            <w:r>
              <w:rPr>
                <w:rFonts w:hint="default" w:ascii="Arial" w:hAnsi="Arial" w:cs="Arial"/>
                <w:b/>
                <w:sz w:val="32"/>
                <w:szCs w:val="32"/>
                <w:highlight w:val="none"/>
              </w:rPr>
              <w:t>项目名称</w:t>
            </w:r>
            <w:r>
              <w:rPr>
                <w:rFonts w:hint="default" w:ascii="Arial" w:hAnsi="Arial" w:cs="Arial"/>
                <w:b/>
                <w:sz w:val="32"/>
                <w:szCs w:val="32"/>
                <w:highlight w:val="none"/>
                <w:lang w:eastAsia="zh-CN"/>
              </w:rPr>
              <w:t>：</w:t>
            </w:r>
          </w:p>
        </w:tc>
        <w:tc>
          <w:tcPr>
            <w:tcW w:w="5549" w:type="dxa"/>
            <w:vAlign w:val="center"/>
          </w:tcPr>
          <w:p w14:paraId="72EC2D85">
            <w:pPr>
              <w:rPr>
                <w:rFonts w:hint="default" w:ascii="Arial" w:hAnsi="Arial" w:eastAsia="宋体" w:cs="Arial"/>
                <w:b/>
                <w:sz w:val="32"/>
                <w:szCs w:val="32"/>
                <w:highlight w:val="none"/>
                <w:lang w:eastAsia="zh-CN"/>
              </w:rPr>
            </w:pPr>
            <w:r>
              <w:rPr>
                <w:rFonts w:hint="eastAsia" w:ascii="Arial" w:hAnsi="Arial" w:cs="Arial"/>
                <w:b/>
                <w:sz w:val="32"/>
                <w:szCs w:val="32"/>
                <w:highlight w:val="none"/>
                <w:lang w:eastAsia="zh-CN"/>
              </w:rPr>
              <w:t>桂林市第二技工学校2025年市级高技能人才培训基地建设项目</w:t>
            </w:r>
          </w:p>
        </w:tc>
      </w:tr>
      <w:tr w14:paraId="6AD91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1" w:hRule="atLeast"/>
          <w:jc w:val="center"/>
        </w:trPr>
        <w:tc>
          <w:tcPr>
            <w:tcW w:w="1699" w:type="dxa"/>
            <w:vAlign w:val="center"/>
          </w:tcPr>
          <w:p w14:paraId="64B7EF17">
            <w:pPr>
              <w:rPr>
                <w:rFonts w:hint="default" w:ascii="Arial" w:hAnsi="Arial" w:eastAsia="宋体" w:cs="Arial"/>
                <w:b/>
                <w:sz w:val="32"/>
                <w:szCs w:val="32"/>
                <w:highlight w:val="none"/>
                <w:lang w:eastAsia="zh-CN"/>
              </w:rPr>
            </w:pPr>
            <w:r>
              <w:rPr>
                <w:rFonts w:hint="default" w:ascii="Arial" w:hAnsi="Arial" w:cs="Arial"/>
                <w:b/>
                <w:sz w:val="32"/>
                <w:szCs w:val="32"/>
                <w:highlight w:val="none"/>
              </w:rPr>
              <w:t>项目编号</w:t>
            </w:r>
            <w:r>
              <w:rPr>
                <w:rFonts w:hint="default" w:ascii="Arial" w:hAnsi="Arial" w:cs="Arial"/>
                <w:b/>
                <w:sz w:val="32"/>
                <w:szCs w:val="32"/>
                <w:highlight w:val="none"/>
                <w:lang w:eastAsia="zh-CN"/>
              </w:rPr>
              <w:t>：</w:t>
            </w:r>
          </w:p>
        </w:tc>
        <w:tc>
          <w:tcPr>
            <w:tcW w:w="5549" w:type="dxa"/>
            <w:vAlign w:val="center"/>
          </w:tcPr>
          <w:p w14:paraId="10B25AB5">
            <w:pPr>
              <w:rPr>
                <w:rFonts w:hint="default" w:ascii="Arial" w:hAnsi="Arial" w:eastAsia="宋体" w:cs="Arial"/>
                <w:b/>
                <w:sz w:val="32"/>
                <w:szCs w:val="32"/>
                <w:highlight w:val="none"/>
                <w:lang w:eastAsia="zh-CN"/>
              </w:rPr>
            </w:pPr>
            <w:r>
              <w:rPr>
                <w:rFonts w:hint="eastAsia" w:ascii="Arial" w:hAnsi="Arial" w:cs="Arial"/>
                <w:b/>
                <w:sz w:val="32"/>
                <w:szCs w:val="32"/>
                <w:highlight w:val="none"/>
                <w:lang w:eastAsia="zh-CN"/>
              </w:rPr>
              <w:t>GLZC2026-G1-990364-JDZB</w:t>
            </w:r>
          </w:p>
        </w:tc>
      </w:tr>
      <w:tr w14:paraId="73C80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1" w:hRule="atLeast"/>
          <w:jc w:val="center"/>
        </w:trPr>
        <w:tc>
          <w:tcPr>
            <w:tcW w:w="1699" w:type="dxa"/>
            <w:tcBorders>
              <w:bottom w:val="single" w:color="auto" w:sz="4" w:space="0"/>
            </w:tcBorders>
            <w:vAlign w:val="center"/>
          </w:tcPr>
          <w:p w14:paraId="6AF3BED7">
            <w:pPr>
              <w:rPr>
                <w:rFonts w:hint="default" w:ascii="Arial" w:hAnsi="Arial" w:eastAsia="宋体" w:cs="Arial"/>
                <w:b/>
                <w:sz w:val="32"/>
                <w:szCs w:val="32"/>
                <w:highlight w:val="none"/>
                <w:lang w:eastAsia="zh-CN"/>
              </w:rPr>
            </w:pPr>
            <w:r>
              <w:rPr>
                <w:rFonts w:hint="default" w:ascii="Arial" w:hAnsi="Arial" w:cs="Arial"/>
                <w:b/>
                <w:sz w:val="32"/>
                <w:szCs w:val="32"/>
                <w:highlight w:val="none"/>
              </w:rPr>
              <w:t>联系电话</w:t>
            </w:r>
            <w:r>
              <w:rPr>
                <w:rFonts w:hint="default" w:ascii="Arial" w:hAnsi="Arial" w:cs="Arial"/>
                <w:b/>
                <w:sz w:val="32"/>
                <w:szCs w:val="32"/>
                <w:highlight w:val="none"/>
                <w:lang w:eastAsia="zh-CN"/>
              </w:rPr>
              <w:t>：</w:t>
            </w:r>
          </w:p>
        </w:tc>
        <w:tc>
          <w:tcPr>
            <w:tcW w:w="5549" w:type="dxa"/>
            <w:tcBorders>
              <w:bottom w:val="single" w:color="auto" w:sz="4" w:space="0"/>
            </w:tcBorders>
            <w:vAlign w:val="center"/>
          </w:tcPr>
          <w:p w14:paraId="69264EE0">
            <w:pPr>
              <w:rPr>
                <w:rFonts w:hint="default" w:ascii="Arial" w:hAnsi="Arial" w:cs="Arial"/>
                <w:b/>
                <w:sz w:val="32"/>
                <w:szCs w:val="32"/>
                <w:highlight w:val="none"/>
              </w:rPr>
            </w:pPr>
            <w:r>
              <w:rPr>
                <w:rFonts w:hint="default" w:ascii="Arial" w:hAnsi="Arial" w:cs="Arial"/>
                <w:b/>
                <w:sz w:val="32"/>
                <w:szCs w:val="32"/>
                <w:highlight w:val="none"/>
              </w:rPr>
              <w:t>0773-3696789转1</w:t>
            </w:r>
          </w:p>
        </w:tc>
      </w:tr>
      <w:tr w14:paraId="563AA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1" w:hRule="atLeast"/>
          <w:jc w:val="center"/>
        </w:trPr>
        <w:tc>
          <w:tcPr>
            <w:tcW w:w="1699" w:type="dxa"/>
            <w:tcBorders>
              <w:bottom w:val="single" w:color="auto" w:sz="4" w:space="0"/>
            </w:tcBorders>
            <w:vAlign w:val="center"/>
          </w:tcPr>
          <w:p w14:paraId="2DC3C7A8">
            <w:pPr>
              <w:rPr>
                <w:rFonts w:hint="default" w:ascii="Arial" w:hAnsi="Arial" w:eastAsia="宋体" w:cs="Arial"/>
                <w:b/>
                <w:sz w:val="32"/>
                <w:szCs w:val="32"/>
                <w:highlight w:val="none"/>
                <w:lang w:eastAsia="zh-CN"/>
              </w:rPr>
            </w:pPr>
            <w:r>
              <w:rPr>
                <w:rFonts w:hint="default" w:ascii="Arial" w:hAnsi="Arial" w:cs="Arial"/>
                <w:b/>
                <w:sz w:val="32"/>
                <w:szCs w:val="32"/>
                <w:highlight w:val="none"/>
              </w:rPr>
              <w:t>传    真</w:t>
            </w:r>
            <w:r>
              <w:rPr>
                <w:rFonts w:hint="default" w:ascii="Arial" w:hAnsi="Arial" w:cs="Arial"/>
                <w:b/>
                <w:sz w:val="32"/>
                <w:szCs w:val="32"/>
                <w:highlight w:val="none"/>
                <w:lang w:eastAsia="zh-CN"/>
              </w:rPr>
              <w:t>：</w:t>
            </w:r>
          </w:p>
        </w:tc>
        <w:tc>
          <w:tcPr>
            <w:tcW w:w="5549" w:type="dxa"/>
            <w:tcBorders>
              <w:bottom w:val="single" w:color="auto" w:sz="4" w:space="0"/>
            </w:tcBorders>
            <w:vAlign w:val="center"/>
          </w:tcPr>
          <w:p w14:paraId="5565B18A">
            <w:pPr>
              <w:rPr>
                <w:rFonts w:hint="default" w:ascii="Arial" w:hAnsi="Arial" w:cs="Arial"/>
                <w:b/>
                <w:sz w:val="32"/>
                <w:szCs w:val="32"/>
                <w:highlight w:val="none"/>
              </w:rPr>
            </w:pPr>
            <w:r>
              <w:rPr>
                <w:rFonts w:hint="default" w:ascii="Arial" w:hAnsi="Arial" w:cs="Arial"/>
                <w:b/>
                <w:sz w:val="32"/>
                <w:szCs w:val="32"/>
                <w:highlight w:val="none"/>
              </w:rPr>
              <w:t>0773-3602333</w:t>
            </w:r>
          </w:p>
        </w:tc>
      </w:tr>
    </w:tbl>
    <w:p w14:paraId="1156AD35">
      <w:pPr>
        <w:pStyle w:val="27"/>
        <w:jc w:val="center"/>
        <w:rPr>
          <w:rFonts w:hint="default" w:ascii="Arial" w:hAnsi="Arial" w:cs="Arial"/>
          <w:b/>
          <w:bCs/>
          <w:spacing w:val="80"/>
          <w:sz w:val="64"/>
          <w:highlight w:val="none"/>
        </w:rPr>
      </w:pPr>
    </w:p>
    <w:p w14:paraId="04BA651B">
      <w:pPr>
        <w:ind w:left="103" w:leftChars="49" w:firstLine="2240" w:firstLineChars="700"/>
        <w:jc w:val="center"/>
        <w:rPr>
          <w:rFonts w:hint="default" w:ascii="Arial" w:hAnsi="Arial" w:cs="Arial"/>
          <w:sz w:val="32"/>
          <w:highlight w:val="none"/>
        </w:rPr>
      </w:pPr>
    </w:p>
    <w:p w14:paraId="26F1455B">
      <w:pPr>
        <w:ind w:left="103" w:leftChars="49" w:firstLine="2240" w:firstLineChars="700"/>
        <w:jc w:val="center"/>
        <w:rPr>
          <w:rFonts w:hint="default" w:ascii="Arial" w:hAnsi="Arial" w:cs="Arial"/>
          <w:sz w:val="32"/>
          <w:highlight w:val="none"/>
        </w:rPr>
      </w:pPr>
    </w:p>
    <w:p w14:paraId="32F6FEC5">
      <w:pPr>
        <w:ind w:left="103" w:leftChars="49" w:firstLine="2240" w:firstLineChars="700"/>
        <w:jc w:val="center"/>
        <w:rPr>
          <w:rFonts w:hint="default" w:ascii="Arial" w:hAnsi="Arial" w:cs="Arial"/>
          <w:sz w:val="32"/>
          <w:highlight w:val="none"/>
        </w:rPr>
      </w:pPr>
    </w:p>
    <w:p w14:paraId="5A019033">
      <w:pPr>
        <w:rPr>
          <w:rFonts w:hint="default" w:ascii="Arial" w:hAnsi="Arial" w:cs="Arial"/>
          <w:sz w:val="32"/>
          <w:highlight w:val="none"/>
        </w:rPr>
      </w:pPr>
    </w:p>
    <w:p w14:paraId="1B0F6902">
      <w:pPr>
        <w:ind w:left="103" w:leftChars="49" w:firstLine="2240" w:firstLineChars="700"/>
        <w:jc w:val="center"/>
        <w:rPr>
          <w:rFonts w:hint="default" w:ascii="Arial" w:hAnsi="Arial" w:cs="Arial"/>
          <w:sz w:val="32"/>
          <w:highlight w:val="none"/>
        </w:rPr>
      </w:pPr>
    </w:p>
    <w:tbl>
      <w:tblPr>
        <w:tblStyle w:val="49"/>
        <w:tblW w:w="0" w:type="auto"/>
        <w:jc w:val="center"/>
        <w:tblLayout w:type="fixed"/>
        <w:tblCellMar>
          <w:top w:w="0" w:type="dxa"/>
          <w:left w:w="108" w:type="dxa"/>
          <w:bottom w:w="0" w:type="dxa"/>
          <w:right w:w="108" w:type="dxa"/>
        </w:tblCellMar>
      </w:tblPr>
      <w:tblGrid>
        <w:gridCol w:w="2507"/>
        <w:gridCol w:w="4539"/>
      </w:tblGrid>
      <w:tr w14:paraId="3E838368">
        <w:tblPrEx>
          <w:tblCellMar>
            <w:top w:w="0" w:type="dxa"/>
            <w:left w:w="108" w:type="dxa"/>
            <w:bottom w:w="0" w:type="dxa"/>
            <w:right w:w="108" w:type="dxa"/>
          </w:tblCellMar>
        </w:tblPrEx>
        <w:trPr>
          <w:trHeight w:val="703" w:hRule="atLeast"/>
          <w:jc w:val="center"/>
        </w:trPr>
        <w:tc>
          <w:tcPr>
            <w:tcW w:w="2507" w:type="dxa"/>
          </w:tcPr>
          <w:p w14:paraId="24748C8B">
            <w:pPr>
              <w:autoSpaceDE w:val="0"/>
              <w:autoSpaceDN w:val="0"/>
              <w:adjustRightInd w:val="0"/>
              <w:ind w:firstLine="1124" w:firstLineChars="400"/>
              <w:rPr>
                <w:rFonts w:hint="default" w:ascii="Arial" w:hAnsi="Arial" w:cs="Arial"/>
                <w:b/>
                <w:sz w:val="28"/>
                <w:szCs w:val="32"/>
                <w:highlight w:val="none"/>
              </w:rPr>
            </w:pPr>
            <w:r>
              <w:rPr>
                <w:rFonts w:hint="default" w:ascii="Arial" w:hAnsi="Arial" w:cs="Arial"/>
                <w:b/>
                <w:sz w:val="28"/>
                <w:szCs w:val="32"/>
                <w:highlight w:val="none"/>
              </w:rPr>
              <w:t>采购人：</w:t>
            </w:r>
          </w:p>
        </w:tc>
        <w:tc>
          <w:tcPr>
            <w:tcW w:w="4539" w:type="dxa"/>
          </w:tcPr>
          <w:p w14:paraId="3DED732C">
            <w:pPr>
              <w:autoSpaceDE w:val="0"/>
              <w:autoSpaceDN w:val="0"/>
              <w:adjustRightInd w:val="0"/>
              <w:rPr>
                <w:rFonts w:hint="default" w:ascii="Arial" w:hAnsi="Arial" w:eastAsia="宋体" w:cs="Arial"/>
                <w:b/>
                <w:sz w:val="28"/>
                <w:szCs w:val="32"/>
                <w:highlight w:val="none"/>
                <w:lang w:eastAsia="zh-CN"/>
              </w:rPr>
            </w:pPr>
            <w:r>
              <w:rPr>
                <w:rFonts w:hint="eastAsia" w:ascii="Arial" w:hAnsi="Arial" w:cs="Arial"/>
                <w:b/>
                <w:sz w:val="28"/>
                <w:szCs w:val="32"/>
                <w:highlight w:val="none"/>
                <w:lang w:eastAsia="zh-CN"/>
              </w:rPr>
              <w:t>桂林市第二技工学校</w:t>
            </w:r>
          </w:p>
        </w:tc>
      </w:tr>
      <w:tr w14:paraId="7F83CC69">
        <w:tblPrEx>
          <w:tblCellMar>
            <w:top w:w="0" w:type="dxa"/>
            <w:left w:w="108" w:type="dxa"/>
            <w:bottom w:w="0" w:type="dxa"/>
            <w:right w:w="108" w:type="dxa"/>
          </w:tblCellMar>
        </w:tblPrEx>
        <w:trPr>
          <w:trHeight w:val="703" w:hRule="atLeast"/>
          <w:jc w:val="center"/>
        </w:trPr>
        <w:tc>
          <w:tcPr>
            <w:tcW w:w="2507" w:type="dxa"/>
          </w:tcPr>
          <w:p w14:paraId="786CD5BC">
            <w:pPr>
              <w:autoSpaceDE w:val="0"/>
              <w:autoSpaceDN w:val="0"/>
              <w:adjustRightInd w:val="0"/>
              <w:jc w:val="right"/>
              <w:rPr>
                <w:rFonts w:hint="default" w:ascii="Arial" w:hAnsi="Arial" w:cs="Arial"/>
                <w:b/>
                <w:sz w:val="28"/>
                <w:szCs w:val="32"/>
                <w:highlight w:val="none"/>
              </w:rPr>
            </w:pPr>
            <w:r>
              <w:rPr>
                <w:rFonts w:hint="default" w:ascii="Arial" w:hAnsi="Arial" w:cs="Arial"/>
                <w:b/>
                <w:sz w:val="28"/>
                <w:szCs w:val="32"/>
                <w:highlight w:val="none"/>
              </w:rPr>
              <w:t>采购代理机构：</w:t>
            </w:r>
          </w:p>
        </w:tc>
        <w:tc>
          <w:tcPr>
            <w:tcW w:w="4539" w:type="dxa"/>
          </w:tcPr>
          <w:p w14:paraId="6AA7B8B7">
            <w:pPr>
              <w:autoSpaceDE w:val="0"/>
              <w:autoSpaceDN w:val="0"/>
              <w:adjustRightInd w:val="0"/>
              <w:rPr>
                <w:rFonts w:hint="default" w:ascii="Arial" w:hAnsi="Arial" w:cs="Arial"/>
                <w:b/>
                <w:sz w:val="28"/>
                <w:szCs w:val="32"/>
                <w:highlight w:val="none"/>
                <w:u w:val="single"/>
              </w:rPr>
            </w:pPr>
            <w:r>
              <w:rPr>
                <w:rFonts w:hint="default" w:ascii="Arial" w:hAnsi="Arial" w:cs="Arial"/>
                <w:b/>
                <w:sz w:val="28"/>
                <w:szCs w:val="32"/>
                <w:highlight w:val="none"/>
              </w:rPr>
              <w:t>广西机电设备招标有限公司</w:t>
            </w:r>
          </w:p>
        </w:tc>
      </w:tr>
    </w:tbl>
    <w:p w14:paraId="3AFCA41A">
      <w:pPr>
        <w:rPr>
          <w:rFonts w:hint="default" w:ascii="Arial" w:hAnsi="Arial" w:cs="Arial"/>
          <w:highlight w:val="none"/>
        </w:rPr>
      </w:pPr>
    </w:p>
    <w:p w14:paraId="03A19B95">
      <w:pPr>
        <w:pStyle w:val="27"/>
        <w:ind w:firstLine="3855" w:firstLineChars="1200"/>
        <w:rPr>
          <w:rFonts w:hint="default" w:ascii="Arial" w:hAnsi="Arial" w:eastAsia="宋体" w:cs="Arial"/>
          <w:b/>
          <w:sz w:val="32"/>
          <w:szCs w:val="32"/>
          <w:highlight w:val="none"/>
          <w:lang w:eastAsia="zh-CN"/>
        </w:rPr>
      </w:pPr>
      <w:r>
        <w:rPr>
          <w:rFonts w:hint="default" w:ascii="Arial" w:hAnsi="Arial" w:cs="Arial"/>
          <w:b/>
          <w:sz w:val="32"/>
          <w:szCs w:val="32"/>
          <w:highlight w:val="none"/>
          <w:lang w:eastAsia="zh-CN"/>
        </w:rPr>
        <w:t>202</w:t>
      </w:r>
      <w:r>
        <w:rPr>
          <w:rFonts w:hint="default" w:ascii="Arial" w:hAnsi="Arial" w:cs="Arial"/>
          <w:b/>
          <w:sz w:val="32"/>
          <w:szCs w:val="32"/>
          <w:highlight w:val="none"/>
          <w:lang w:val="en-US" w:eastAsia="zh-CN"/>
        </w:rPr>
        <w:t>6</w:t>
      </w:r>
      <w:r>
        <w:rPr>
          <w:rFonts w:hint="default" w:ascii="Arial" w:hAnsi="Arial" w:cs="Arial"/>
          <w:b/>
          <w:sz w:val="32"/>
          <w:szCs w:val="32"/>
          <w:highlight w:val="none"/>
          <w:lang w:eastAsia="zh-CN"/>
        </w:rPr>
        <w:t>年</w:t>
      </w:r>
      <w:r>
        <w:rPr>
          <w:rFonts w:hint="default" w:ascii="Arial" w:hAnsi="Arial" w:cs="Arial"/>
          <w:b/>
          <w:sz w:val="32"/>
          <w:szCs w:val="32"/>
          <w:highlight w:val="none"/>
          <w:lang w:val="en-US" w:eastAsia="zh-CN"/>
        </w:rPr>
        <w:t>8</w:t>
      </w:r>
      <w:r>
        <w:rPr>
          <w:rFonts w:hint="default" w:ascii="Arial" w:hAnsi="Arial" w:cs="Arial"/>
          <w:b/>
          <w:sz w:val="32"/>
          <w:szCs w:val="32"/>
          <w:highlight w:val="none"/>
          <w:lang w:eastAsia="zh-CN"/>
        </w:rPr>
        <w:t>月</w:t>
      </w:r>
    </w:p>
    <w:p w14:paraId="042904B6">
      <w:pPr>
        <w:jc w:val="both"/>
        <w:rPr>
          <w:rFonts w:hint="default" w:ascii="Arial" w:hAnsi="Arial" w:cs="Arial"/>
          <w:sz w:val="32"/>
          <w:highlight w:val="none"/>
        </w:rPr>
      </w:pPr>
    </w:p>
    <w:p w14:paraId="44CB2288">
      <w:pPr>
        <w:rPr>
          <w:rFonts w:hint="default" w:ascii="Arial" w:hAnsi="Arial" w:cs="Arial"/>
          <w:b/>
          <w:bCs/>
          <w:sz w:val="28"/>
          <w:szCs w:val="28"/>
          <w:highlight w:val="none"/>
        </w:rPr>
        <w:sectPr>
          <w:pgSz w:w="11906" w:h="16838"/>
          <w:pgMar w:top="1134" w:right="1134" w:bottom="1134" w:left="1134" w:header="720" w:footer="720" w:gutter="0"/>
          <w:pgNumType w:start="0"/>
          <w:cols w:space="720" w:num="1"/>
          <w:titlePg/>
          <w:docGrid w:type="lines" w:linePitch="331" w:charSpace="0"/>
        </w:sectPr>
      </w:pPr>
    </w:p>
    <w:sdt>
      <w:sdtPr>
        <w:rPr>
          <w:rFonts w:hint="default" w:ascii="Arial" w:hAnsi="Arial" w:cs="Arial"/>
          <w:b/>
          <w:bCs/>
          <w:sz w:val="28"/>
          <w:szCs w:val="28"/>
          <w:highlight w:val="none"/>
        </w:rPr>
        <w:id w:val="147463927"/>
        <w:docPartObj>
          <w:docPartGallery w:val="Table of Contents"/>
          <w:docPartUnique/>
        </w:docPartObj>
      </w:sdtPr>
      <w:sdtEndPr>
        <w:rPr>
          <w:rFonts w:hint="default" w:ascii="Arial" w:hAnsi="Arial" w:cs="Arial"/>
          <w:b/>
          <w:bCs/>
          <w:sz w:val="21"/>
          <w:szCs w:val="24"/>
          <w:highlight w:val="none"/>
        </w:rPr>
      </w:sdtEndPr>
      <w:sdtContent>
        <w:p w14:paraId="11151903">
          <w:pPr>
            <w:jc w:val="center"/>
            <w:rPr>
              <w:rFonts w:hint="default" w:ascii="Arial" w:hAnsi="Arial" w:cs="Arial"/>
              <w:b/>
              <w:bCs/>
              <w:sz w:val="28"/>
              <w:szCs w:val="28"/>
              <w:highlight w:val="none"/>
            </w:rPr>
          </w:pPr>
          <w:r>
            <w:rPr>
              <w:rFonts w:hint="default" w:ascii="Arial" w:hAnsi="Arial" w:cs="Arial"/>
              <w:b/>
              <w:bCs/>
              <w:sz w:val="28"/>
              <w:szCs w:val="28"/>
              <w:highlight w:val="none"/>
            </w:rPr>
            <w:t>目录</w:t>
          </w:r>
        </w:p>
        <w:p w14:paraId="6E2401C3">
          <w:pPr>
            <w:pStyle w:val="33"/>
            <w:tabs>
              <w:tab w:val="right" w:leader="dot" w:pos="9638"/>
            </w:tabs>
            <w:spacing w:line="360" w:lineRule="auto"/>
            <w:rPr>
              <w:rFonts w:hint="default" w:ascii="Arial" w:hAnsi="Arial" w:cs="Arial"/>
              <w:highlight w:val="none"/>
            </w:rPr>
          </w:pPr>
          <w:r>
            <w:rPr>
              <w:rFonts w:hint="default" w:ascii="Arial" w:hAnsi="Arial" w:cs="Arial"/>
              <w:highlight w:val="none"/>
            </w:rPr>
            <w:fldChar w:fldCharType="begin"/>
          </w:r>
          <w:r>
            <w:rPr>
              <w:rFonts w:hint="default" w:ascii="Arial" w:hAnsi="Arial" w:cs="Arial"/>
              <w:highlight w:val="none"/>
            </w:rPr>
            <w:instrText xml:space="preserve">TOC \o "1-3" \h \u </w:instrText>
          </w:r>
          <w:r>
            <w:rPr>
              <w:rFonts w:hint="default" w:ascii="Arial" w:hAnsi="Arial" w:cs="Arial"/>
              <w:highlight w:val="none"/>
            </w:rPr>
            <w:fldChar w:fldCharType="separate"/>
          </w:r>
          <w:r>
            <w:rPr>
              <w:rFonts w:hint="default" w:ascii="Arial" w:hAnsi="Arial" w:cs="Arial"/>
              <w:highlight w:val="none"/>
            </w:rPr>
            <w:fldChar w:fldCharType="begin"/>
          </w:r>
          <w:r>
            <w:rPr>
              <w:rFonts w:hint="default" w:ascii="Arial" w:hAnsi="Arial" w:cs="Arial"/>
              <w:highlight w:val="none"/>
            </w:rPr>
            <w:instrText xml:space="preserve"> HYPERLINK \l "_Toc6839" </w:instrText>
          </w:r>
          <w:r>
            <w:rPr>
              <w:rFonts w:hint="default" w:ascii="Arial" w:hAnsi="Arial" w:cs="Arial"/>
              <w:highlight w:val="none"/>
            </w:rPr>
            <w:fldChar w:fldCharType="separate"/>
          </w:r>
          <w:r>
            <w:rPr>
              <w:rFonts w:hint="default" w:ascii="Arial" w:hAnsi="Arial" w:cs="Arial"/>
              <w:highlight w:val="none"/>
            </w:rPr>
            <w:t>第一章  公开招标公告</w:t>
          </w:r>
          <w:r>
            <w:rPr>
              <w:rFonts w:hint="default" w:ascii="Arial" w:hAnsi="Arial" w:cs="Arial"/>
              <w:highlight w:val="none"/>
            </w:rPr>
            <w:tab/>
          </w:r>
          <w:r>
            <w:rPr>
              <w:rFonts w:hint="default" w:ascii="Arial" w:hAnsi="Arial" w:cs="Arial"/>
              <w:highlight w:val="none"/>
            </w:rPr>
            <w:fldChar w:fldCharType="begin"/>
          </w:r>
          <w:r>
            <w:rPr>
              <w:rFonts w:hint="default" w:ascii="Arial" w:hAnsi="Arial" w:cs="Arial"/>
              <w:highlight w:val="none"/>
            </w:rPr>
            <w:instrText xml:space="preserve"> PAGEREF _Toc6839 \h </w:instrText>
          </w:r>
          <w:r>
            <w:rPr>
              <w:rFonts w:hint="default" w:ascii="Arial" w:hAnsi="Arial" w:cs="Arial"/>
              <w:highlight w:val="none"/>
            </w:rPr>
            <w:fldChar w:fldCharType="separate"/>
          </w:r>
          <w:r>
            <w:rPr>
              <w:rFonts w:hint="default" w:ascii="Arial" w:hAnsi="Arial" w:cs="Arial"/>
              <w:highlight w:val="none"/>
            </w:rPr>
            <w:t>1</w:t>
          </w:r>
          <w:r>
            <w:rPr>
              <w:rFonts w:hint="default" w:ascii="Arial" w:hAnsi="Arial" w:cs="Arial"/>
              <w:highlight w:val="none"/>
            </w:rPr>
            <w:fldChar w:fldCharType="end"/>
          </w:r>
          <w:r>
            <w:rPr>
              <w:rFonts w:hint="default" w:ascii="Arial" w:hAnsi="Arial" w:cs="Arial"/>
              <w:highlight w:val="none"/>
            </w:rPr>
            <w:fldChar w:fldCharType="end"/>
          </w:r>
        </w:p>
        <w:p w14:paraId="23A7472A">
          <w:pPr>
            <w:pStyle w:val="33"/>
            <w:tabs>
              <w:tab w:val="right" w:leader="dot" w:pos="9638"/>
            </w:tabs>
            <w:spacing w:line="360" w:lineRule="auto"/>
            <w:rPr>
              <w:rFonts w:hint="default" w:ascii="Arial" w:hAnsi="Arial" w:cs="Arial"/>
              <w:highlight w:val="none"/>
            </w:rPr>
          </w:pPr>
          <w:r>
            <w:rPr>
              <w:rFonts w:hint="default" w:ascii="Arial" w:hAnsi="Arial" w:cs="Arial"/>
              <w:highlight w:val="none"/>
            </w:rPr>
            <w:fldChar w:fldCharType="begin"/>
          </w:r>
          <w:r>
            <w:rPr>
              <w:rFonts w:hint="default" w:ascii="Arial" w:hAnsi="Arial" w:cs="Arial"/>
              <w:highlight w:val="none"/>
            </w:rPr>
            <w:instrText xml:space="preserve"> HYPERLINK \l "_Toc20293" </w:instrText>
          </w:r>
          <w:r>
            <w:rPr>
              <w:rFonts w:hint="default" w:ascii="Arial" w:hAnsi="Arial" w:cs="Arial"/>
              <w:highlight w:val="none"/>
            </w:rPr>
            <w:fldChar w:fldCharType="separate"/>
          </w:r>
          <w:r>
            <w:rPr>
              <w:rFonts w:hint="default" w:ascii="Arial" w:hAnsi="Arial" w:cs="Arial"/>
              <w:highlight w:val="none"/>
            </w:rPr>
            <w:t>第二章  投标人须知</w:t>
          </w:r>
          <w:r>
            <w:rPr>
              <w:rFonts w:hint="default" w:ascii="Arial" w:hAnsi="Arial" w:cs="Arial"/>
              <w:highlight w:val="none"/>
            </w:rPr>
            <w:tab/>
          </w:r>
          <w:r>
            <w:rPr>
              <w:rFonts w:hint="default" w:ascii="Arial" w:hAnsi="Arial" w:cs="Arial"/>
              <w:highlight w:val="none"/>
            </w:rPr>
            <w:fldChar w:fldCharType="begin"/>
          </w:r>
          <w:r>
            <w:rPr>
              <w:rFonts w:hint="default" w:ascii="Arial" w:hAnsi="Arial" w:cs="Arial"/>
              <w:highlight w:val="none"/>
            </w:rPr>
            <w:instrText xml:space="preserve"> PAGEREF _Toc20293 \h </w:instrText>
          </w:r>
          <w:r>
            <w:rPr>
              <w:rFonts w:hint="default" w:ascii="Arial" w:hAnsi="Arial" w:cs="Arial"/>
              <w:highlight w:val="none"/>
            </w:rPr>
            <w:fldChar w:fldCharType="separate"/>
          </w:r>
          <w:r>
            <w:rPr>
              <w:rFonts w:hint="default" w:ascii="Arial" w:hAnsi="Arial" w:cs="Arial"/>
              <w:highlight w:val="none"/>
            </w:rPr>
            <w:t>4</w:t>
          </w:r>
          <w:r>
            <w:rPr>
              <w:rFonts w:hint="default" w:ascii="Arial" w:hAnsi="Arial" w:cs="Arial"/>
              <w:highlight w:val="none"/>
            </w:rPr>
            <w:fldChar w:fldCharType="end"/>
          </w:r>
          <w:r>
            <w:rPr>
              <w:rFonts w:hint="default" w:ascii="Arial" w:hAnsi="Arial" w:cs="Arial"/>
              <w:highlight w:val="none"/>
            </w:rPr>
            <w:fldChar w:fldCharType="end"/>
          </w:r>
        </w:p>
        <w:p w14:paraId="77DDFA5A">
          <w:pPr>
            <w:pStyle w:val="26"/>
            <w:tabs>
              <w:tab w:val="right" w:leader="dot" w:pos="9638"/>
            </w:tabs>
            <w:spacing w:line="360" w:lineRule="auto"/>
            <w:ind w:left="0" w:leftChars="0"/>
            <w:rPr>
              <w:rFonts w:hint="default" w:ascii="Arial" w:hAnsi="Arial" w:cs="Arial"/>
              <w:highlight w:val="none"/>
            </w:rPr>
          </w:pPr>
          <w:r>
            <w:rPr>
              <w:rFonts w:hint="default" w:ascii="Arial" w:hAnsi="Arial" w:cs="Arial"/>
              <w:highlight w:val="none"/>
            </w:rPr>
            <w:fldChar w:fldCharType="begin"/>
          </w:r>
          <w:r>
            <w:rPr>
              <w:rFonts w:hint="default" w:ascii="Arial" w:hAnsi="Arial" w:cs="Arial"/>
              <w:highlight w:val="none"/>
            </w:rPr>
            <w:instrText xml:space="preserve"> HYPERLINK \l "_Toc25342" </w:instrText>
          </w:r>
          <w:r>
            <w:rPr>
              <w:rFonts w:hint="default" w:ascii="Arial" w:hAnsi="Arial" w:cs="Arial"/>
              <w:highlight w:val="none"/>
            </w:rPr>
            <w:fldChar w:fldCharType="separate"/>
          </w:r>
          <w:r>
            <w:rPr>
              <w:rFonts w:hint="default" w:ascii="Arial" w:hAnsi="Arial" w:cs="Arial"/>
              <w:highlight w:val="none"/>
            </w:rPr>
            <w:t>第三章　货物采购需求</w:t>
          </w:r>
          <w:r>
            <w:rPr>
              <w:rFonts w:hint="default" w:ascii="Arial" w:hAnsi="Arial" w:cs="Arial"/>
              <w:highlight w:val="none"/>
            </w:rPr>
            <w:tab/>
          </w:r>
          <w:r>
            <w:rPr>
              <w:rFonts w:hint="default" w:ascii="Arial" w:hAnsi="Arial" w:cs="Arial"/>
              <w:highlight w:val="none"/>
            </w:rPr>
            <w:fldChar w:fldCharType="begin"/>
          </w:r>
          <w:r>
            <w:rPr>
              <w:rFonts w:hint="default" w:ascii="Arial" w:hAnsi="Arial" w:cs="Arial"/>
              <w:highlight w:val="none"/>
            </w:rPr>
            <w:instrText xml:space="preserve"> PAGEREF _Toc25342 \h </w:instrText>
          </w:r>
          <w:r>
            <w:rPr>
              <w:rFonts w:hint="default" w:ascii="Arial" w:hAnsi="Arial" w:cs="Arial"/>
              <w:highlight w:val="none"/>
            </w:rPr>
            <w:fldChar w:fldCharType="separate"/>
          </w:r>
          <w:r>
            <w:rPr>
              <w:rFonts w:hint="default" w:ascii="Arial" w:hAnsi="Arial" w:cs="Arial"/>
              <w:highlight w:val="none"/>
            </w:rPr>
            <w:t>23</w:t>
          </w:r>
          <w:r>
            <w:rPr>
              <w:rFonts w:hint="default" w:ascii="Arial" w:hAnsi="Arial" w:cs="Arial"/>
              <w:highlight w:val="none"/>
            </w:rPr>
            <w:fldChar w:fldCharType="end"/>
          </w:r>
          <w:r>
            <w:rPr>
              <w:rFonts w:hint="default" w:ascii="Arial" w:hAnsi="Arial" w:cs="Arial"/>
              <w:highlight w:val="none"/>
            </w:rPr>
            <w:fldChar w:fldCharType="end"/>
          </w:r>
        </w:p>
        <w:p w14:paraId="4D2F9425">
          <w:pPr>
            <w:pStyle w:val="33"/>
            <w:tabs>
              <w:tab w:val="right" w:leader="dot" w:pos="9638"/>
            </w:tabs>
            <w:spacing w:line="360" w:lineRule="auto"/>
            <w:rPr>
              <w:rFonts w:hint="default" w:ascii="Arial" w:hAnsi="Arial" w:cs="Arial"/>
              <w:highlight w:val="none"/>
            </w:rPr>
          </w:pPr>
          <w:r>
            <w:rPr>
              <w:rFonts w:hint="default" w:ascii="Arial" w:hAnsi="Arial" w:cs="Arial"/>
              <w:highlight w:val="none"/>
            </w:rPr>
            <w:fldChar w:fldCharType="begin"/>
          </w:r>
          <w:r>
            <w:rPr>
              <w:rFonts w:hint="default" w:ascii="Arial" w:hAnsi="Arial" w:cs="Arial"/>
              <w:highlight w:val="none"/>
            </w:rPr>
            <w:instrText xml:space="preserve"> HYPERLINK \l "_Toc15829" </w:instrText>
          </w:r>
          <w:r>
            <w:rPr>
              <w:rFonts w:hint="default" w:ascii="Arial" w:hAnsi="Arial" w:cs="Arial"/>
              <w:highlight w:val="none"/>
            </w:rPr>
            <w:fldChar w:fldCharType="separate"/>
          </w:r>
          <w:r>
            <w:rPr>
              <w:rFonts w:hint="default" w:ascii="Arial" w:hAnsi="Arial" w:cs="Arial"/>
              <w:highlight w:val="none"/>
            </w:rPr>
            <w:t>第四章  评标办法</w:t>
          </w:r>
          <w:r>
            <w:rPr>
              <w:rFonts w:hint="default" w:ascii="Arial" w:hAnsi="Arial" w:cs="Arial"/>
              <w:highlight w:val="none"/>
            </w:rPr>
            <w:tab/>
          </w:r>
          <w:r>
            <w:rPr>
              <w:rFonts w:hint="default" w:ascii="Arial" w:hAnsi="Arial" w:cs="Arial"/>
              <w:highlight w:val="none"/>
            </w:rPr>
            <w:fldChar w:fldCharType="begin"/>
          </w:r>
          <w:r>
            <w:rPr>
              <w:rFonts w:hint="default" w:ascii="Arial" w:hAnsi="Arial" w:cs="Arial"/>
              <w:highlight w:val="none"/>
            </w:rPr>
            <w:instrText xml:space="preserve"> PAGEREF _Toc15829 \h </w:instrText>
          </w:r>
          <w:r>
            <w:rPr>
              <w:rFonts w:hint="default" w:ascii="Arial" w:hAnsi="Arial" w:cs="Arial"/>
              <w:highlight w:val="none"/>
            </w:rPr>
            <w:fldChar w:fldCharType="separate"/>
          </w:r>
          <w:r>
            <w:rPr>
              <w:rFonts w:hint="default" w:ascii="Arial" w:hAnsi="Arial" w:cs="Arial"/>
              <w:highlight w:val="none"/>
            </w:rPr>
            <w:t>48</w:t>
          </w:r>
          <w:r>
            <w:rPr>
              <w:rFonts w:hint="default" w:ascii="Arial" w:hAnsi="Arial" w:cs="Arial"/>
              <w:highlight w:val="none"/>
            </w:rPr>
            <w:fldChar w:fldCharType="end"/>
          </w:r>
          <w:r>
            <w:rPr>
              <w:rFonts w:hint="default" w:ascii="Arial" w:hAnsi="Arial" w:cs="Arial"/>
              <w:highlight w:val="none"/>
            </w:rPr>
            <w:fldChar w:fldCharType="end"/>
          </w:r>
        </w:p>
        <w:p w14:paraId="64ACB4FC">
          <w:pPr>
            <w:pStyle w:val="33"/>
            <w:tabs>
              <w:tab w:val="right" w:leader="dot" w:pos="9638"/>
            </w:tabs>
            <w:spacing w:line="360" w:lineRule="auto"/>
            <w:rPr>
              <w:rFonts w:hint="default" w:ascii="Arial" w:hAnsi="Arial" w:cs="Arial"/>
              <w:highlight w:val="none"/>
            </w:rPr>
          </w:pPr>
          <w:r>
            <w:rPr>
              <w:rFonts w:hint="default" w:ascii="Arial" w:hAnsi="Arial" w:cs="Arial"/>
              <w:highlight w:val="none"/>
            </w:rPr>
            <w:fldChar w:fldCharType="begin"/>
          </w:r>
          <w:r>
            <w:rPr>
              <w:rFonts w:hint="default" w:ascii="Arial" w:hAnsi="Arial" w:cs="Arial"/>
              <w:highlight w:val="none"/>
            </w:rPr>
            <w:instrText xml:space="preserve"> HYPERLINK \l "_Toc6894" </w:instrText>
          </w:r>
          <w:r>
            <w:rPr>
              <w:rFonts w:hint="default" w:ascii="Arial" w:hAnsi="Arial" w:cs="Arial"/>
              <w:highlight w:val="none"/>
            </w:rPr>
            <w:fldChar w:fldCharType="separate"/>
          </w:r>
          <w:r>
            <w:rPr>
              <w:rFonts w:hint="default" w:ascii="Arial" w:hAnsi="Arial" w:cs="Arial"/>
              <w:highlight w:val="none"/>
            </w:rPr>
            <w:t>第五章  政府采购合同（合同主要条款及格式）</w:t>
          </w:r>
          <w:r>
            <w:rPr>
              <w:rFonts w:hint="default" w:ascii="Arial" w:hAnsi="Arial" w:cs="Arial"/>
              <w:highlight w:val="none"/>
            </w:rPr>
            <w:tab/>
          </w:r>
          <w:r>
            <w:rPr>
              <w:rFonts w:hint="default" w:ascii="Arial" w:hAnsi="Arial" w:cs="Arial"/>
              <w:highlight w:val="none"/>
            </w:rPr>
            <w:fldChar w:fldCharType="begin"/>
          </w:r>
          <w:r>
            <w:rPr>
              <w:rFonts w:hint="default" w:ascii="Arial" w:hAnsi="Arial" w:cs="Arial"/>
              <w:highlight w:val="none"/>
            </w:rPr>
            <w:instrText xml:space="preserve"> PAGEREF _Toc6894 \h </w:instrText>
          </w:r>
          <w:r>
            <w:rPr>
              <w:rFonts w:hint="default" w:ascii="Arial" w:hAnsi="Arial" w:cs="Arial"/>
              <w:highlight w:val="none"/>
            </w:rPr>
            <w:fldChar w:fldCharType="separate"/>
          </w:r>
          <w:r>
            <w:rPr>
              <w:rFonts w:hint="default" w:ascii="Arial" w:hAnsi="Arial" w:cs="Arial"/>
              <w:highlight w:val="none"/>
            </w:rPr>
            <w:t>55</w:t>
          </w:r>
          <w:r>
            <w:rPr>
              <w:rFonts w:hint="default" w:ascii="Arial" w:hAnsi="Arial" w:cs="Arial"/>
              <w:highlight w:val="none"/>
            </w:rPr>
            <w:fldChar w:fldCharType="end"/>
          </w:r>
          <w:r>
            <w:rPr>
              <w:rFonts w:hint="default" w:ascii="Arial" w:hAnsi="Arial" w:cs="Arial"/>
              <w:highlight w:val="none"/>
            </w:rPr>
            <w:fldChar w:fldCharType="end"/>
          </w:r>
        </w:p>
        <w:p w14:paraId="535F50C1">
          <w:pPr>
            <w:pStyle w:val="33"/>
            <w:tabs>
              <w:tab w:val="right" w:leader="dot" w:pos="9638"/>
            </w:tabs>
            <w:spacing w:line="360" w:lineRule="auto"/>
            <w:rPr>
              <w:rFonts w:hint="default" w:ascii="Arial" w:hAnsi="Arial" w:cs="Arial"/>
              <w:highlight w:val="none"/>
            </w:rPr>
          </w:pPr>
          <w:r>
            <w:rPr>
              <w:rFonts w:hint="default" w:ascii="Arial" w:hAnsi="Arial" w:cs="Arial"/>
              <w:highlight w:val="none"/>
            </w:rPr>
            <w:fldChar w:fldCharType="begin"/>
          </w:r>
          <w:r>
            <w:rPr>
              <w:rFonts w:hint="default" w:ascii="Arial" w:hAnsi="Arial" w:cs="Arial"/>
              <w:highlight w:val="none"/>
            </w:rPr>
            <w:instrText xml:space="preserve"> HYPERLINK \l "_Toc8228" </w:instrText>
          </w:r>
          <w:r>
            <w:rPr>
              <w:rFonts w:hint="default" w:ascii="Arial" w:hAnsi="Arial" w:cs="Arial"/>
              <w:highlight w:val="none"/>
            </w:rPr>
            <w:fldChar w:fldCharType="separate"/>
          </w:r>
          <w:r>
            <w:rPr>
              <w:rFonts w:hint="default" w:ascii="Arial" w:hAnsi="Arial" w:cs="Arial"/>
              <w:highlight w:val="none"/>
            </w:rPr>
            <w:t>第六章  投标文件格式</w:t>
          </w:r>
          <w:r>
            <w:rPr>
              <w:rFonts w:hint="default" w:ascii="Arial" w:hAnsi="Arial" w:cs="Arial"/>
              <w:highlight w:val="none"/>
            </w:rPr>
            <w:tab/>
          </w:r>
          <w:r>
            <w:rPr>
              <w:rFonts w:hint="default" w:ascii="Arial" w:hAnsi="Arial" w:cs="Arial"/>
              <w:highlight w:val="none"/>
            </w:rPr>
            <w:fldChar w:fldCharType="begin"/>
          </w:r>
          <w:r>
            <w:rPr>
              <w:rFonts w:hint="default" w:ascii="Arial" w:hAnsi="Arial" w:cs="Arial"/>
              <w:highlight w:val="none"/>
            </w:rPr>
            <w:instrText xml:space="preserve"> PAGEREF _Toc8228 \h </w:instrText>
          </w:r>
          <w:r>
            <w:rPr>
              <w:rFonts w:hint="default" w:ascii="Arial" w:hAnsi="Arial" w:cs="Arial"/>
              <w:highlight w:val="none"/>
            </w:rPr>
            <w:fldChar w:fldCharType="separate"/>
          </w:r>
          <w:r>
            <w:rPr>
              <w:rFonts w:hint="default" w:ascii="Arial" w:hAnsi="Arial" w:cs="Arial"/>
              <w:highlight w:val="none"/>
            </w:rPr>
            <w:t>60</w:t>
          </w:r>
          <w:r>
            <w:rPr>
              <w:rFonts w:hint="default" w:ascii="Arial" w:hAnsi="Arial" w:cs="Arial"/>
              <w:highlight w:val="none"/>
            </w:rPr>
            <w:fldChar w:fldCharType="end"/>
          </w:r>
          <w:r>
            <w:rPr>
              <w:rFonts w:hint="default" w:ascii="Arial" w:hAnsi="Arial" w:cs="Arial"/>
              <w:highlight w:val="none"/>
            </w:rPr>
            <w:fldChar w:fldCharType="end"/>
          </w:r>
        </w:p>
        <w:p w14:paraId="431D46A1">
          <w:pPr>
            <w:spacing w:line="360" w:lineRule="auto"/>
            <w:rPr>
              <w:rFonts w:hint="default" w:ascii="Arial" w:hAnsi="Arial" w:cs="Arial"/>
              <w:highlight w:val="none"/>
            </w:rPr>
          </w:pPr>
          <w:r>
            <w:rPr>
              <w:rFonts w:hint="default" w:ascii="Arial" w:hAnsi="Arial" w:cs="Arial"/>
              <w:highlight w:val="none"/>
            </w:rPr>
            <w:fldChar w:fldCharType="end"/>
          </w:r>
        </w:p>
      </w:sdtContent>
    </w:sdt>
    <w:p w14:paraId="74BC79F3">
      <w:pPr>
        <w:spacing w:line="500" w:lineRule="exact"/>
        <w:jc w:val="center"/>
        <w:rPr>
          <w:rFonts w:hint="default" w:ascii="Arial" w:hAnsi="Arial" w:cs="Arial"/>
          <w:highlight w:val="none"/>
        </w:rPr>
      </w:pPr>
    </w:p>
    <w:p w14:paraId="2DA892A8">
      <w:pPr>
        <w:rPr>
          <w:rFonts w:hint="default" w:ascii="Arial" w:hAnsi="Arial" w:cs="Arial"/>
          <w:highlight w:val="none"/>
        </w:rPr>
      </w:pPr>
    </w:p>
    <w:p w14:paraId="0F84EAD0">
      <w:pPr>
        <w:pStyle w:val="27"/>
        <w:spacing w:line="440" w:lineRule="exact"/>
        <w:jc w:val="center"/>
        <w:rPr>
          <w:rFonts w:hint="default" w:ascii="Arial" w:hAnsi="Arial" w:cs="Arial"/>
          <w:sz w:val="44"/>
          <w:highlight w:val="none"/>
        </w:rPr>
      </w:pPr>
    </w:p>
    <w:p w14:paraId="4263F317">
      <w:pPr>
        <w:pStyle w:val="27"/>
        <w:spacing w:line="440" w:lineRule="exact"/>
        <w:jc w:val="center"/>
        <w:rPr>
          <w:rFonts w:hint="default" w:ascii="Arial" w:hAnsi="Arial" w:cs="Arial"/>
          <w:sz w:val="44"/>
          <w:highlight w:val="none"/>
        </w:rPr>
      </w:pPr>
    </w:p>
    <w:p w14:paraId="1A937EC4">
      <w:pPr>
        <w:ind w:firstLine="2730" w:firstLineChars="1300"/>
        <w:rPr>
          <w:rFonts w:hint="default" w:ascii="Arial" w:hAnsi="Arial" w:cs="Arial"/>
          <w:szCs w:val="21"/>
          <w:highlight w:val="none"/>
        </w:rPr>
      </w:pPr>
    </w:p>
    <w:p w14:paraId="12B5B1E6">
      <w:pPr>
        <w:ind w:firstLine="2730" w:firstLineChars="1300"/>
        <w:rPr>
          <w:rFonts w:hint="default" w:ascii="Arial" w:hAnsi="Arial" w:cs="Arial"/>
          <w:szCs w:val="21"/>
          <w:highlight w:val="none"/>
        </w:rPr>
      </w:pPr>
    </w:p>
    <w:p w14:paraId="0D941B5F">
      <w:pPr>
        <w:ind w:firstLine="2730" w:firstLineChars="1300"/>
        <w:rPr>
          <w:rFonts w:hint="default" w:ascii="Arial" w:hAnsi="Arial" w:cs="Arial"/>
          <w:szCs w:val="21"/>
          <w:highlight w:val="none"/>
        </w:rPr>
      </w:pPr>
    </w:p>
    <w:p w14:paraId="1293CB7C">
      <w:pPr>
        <w:ind w:firstLine="2730" w:firstLineChars="1300"/>
        <w:rPr>
          <w:rFonts w:hint="default" w:ascii="Arial" w:hAnsi="Arial" w:cs="Arial"/>
          <w:szCs w:val="21"/>
          <w:highlight w:val="none"/>
        </w:rPr>
      </w:pPr>
    </w:p>
    <w:p w14:paraId="6054E666">
      <w:pPr>
        <w:ind w:firstLine="2730" w:firstLineChars="1300"/>
        <w:rPr>
          <w:rFonts w:hint="default" w:ascii="Arial" w:hAnsi="Arial" w:cs="Arial"/>
          <w:szCs w:val="21"/>
          <w:highlight w:val="none"/>
        </w:rPr>
      </w:pPr>
    </w:p>
    <w:p w14:paraId="4CD15B7F">
      <w:pPr>
        <w:jc w:val="center"/>
        <w:rPr>
          <w:rFonts w:hint="default" w:ascii="Arial" w:hAnsi="Arial" w:cs="Arial"/>
          <w:b/>
          <w:sz w:val="32"/>
          <w:szCs w:val="32"/>
          <w:highlight w:val="none"/>
        </w:rPr>
      </w:pPr>
    </w:p>
    <w:p w14:paraId="52680B0A">
      <w:pPr>
        <w:jc w:val="center"/>
        <w:rPr>
          <w:rFonts w:hint="default" w:ascii="Arial" w:hAnsi="Arial" w:cs="Arial"/>
          <w:b/>
          <w:sz w:val="32"/>
          <w:szCs w:val="32"/>
          <w:highlight w:val="none"/>
        </w:rPr>
      </w:pPr>
    </w:p>
    <w:p w14:paraId="5D50B4E6">
      <w:pPr>
        <w:jc w:val="center"/>
        <w:rPr>
          <w:rFonts w:hint="default" w:ascii="Arial" w:hAnsi="Arial" w:cs="Arial"/>
          <w:b/>
          <w:sz w:val="32"/>
          <w:szCs w:val="32"/>
          <w:highlight w:val="none"/>
        </w:rPr>
      </w:pPr>
    </w:p>
    <w:p w14:paraId="437BF13B">
      <w:pPr>
        <w:jc w:val="center"/>
        <w:rPr>
          <w:rFonts w:hint="default" w:ascii="Arial" w:hAnsi="Arial" w:cs="Arial"/>
          <w:b/>
          <w:sz w:val="32"/>
          <w:szCs w:val="32"/>
          <w:highlight w:val="none"/>
        </w:rPr>
      </w:pPr>
    </w:p>
    <w:p w14:paraId="4567C062">
      <w:pPr>
        <w:jc w:val="center"/>
        <w:rPr>
          <w:rFonts w:hint="default" w:ascii="Arial" w:hAnsi="Arial" w:cs="Arial"/>
          <w:b/>
          <w:sz w:val="32"/>
          <w:szCs w:val="32"/>
          <w:highlight w:val="none"/>
        </w:rPr>
      </w:pPr>
    </w:p>
    <w:p w14:paraId="416DAB2D">
      <w:pPr>
        <w:jc w:val="center"/>
        <w:rPr>
          <w:rFonts w:hint="default" w:ascii="Arial" w:hAnsi="Arial" w:cs="Arial"/>
          <w:b/>
          <w:sz w:val="32"/>
          <w:szCs w:val="32"/>
          <w:highlight w:val="none"/>
        </w:rPr>
      </w:pPr>
    </w:p>
    <w:p w14:paraId="3F893CAE">
      <w:pPr>
        <w:jc w:val="center"/>
        <w:rPr>
          <w:rFonts w:hint="default" w:ascii="Arial" w:hAnsi="Arial" w:cs="Arial"/>
          <w:b/>
          <w:sz w:val="32"/>
          <w:szCs w:val="32"/>
          <w:highlight w:val="none"/>
        </w:rPr>
      </w:pPr>
    </w:p>
    <w:p w14:paraId="27B62E03">
      <w:pPr>
        <w:jc w:val="center"/>
        <w:rPr>
          <w:rFonts w:hint="default" w:ascii="Arial" w:hAnsi="Arial" w:cs="Arial"/>
          <w:b/>
          <w:sz w:val="32"/>
          <w:szCs w:val="32"/>
          <w:highlight w:val="none"/>
        </w:rPr>
      </w:pPr>
    </w:p>
    <w:p w14:paraId="7FF401CE">
      <w:pPr>
        <w:pStyle w:val="44"/>
        <w:rPr>
          <w:rFonts w:hint="default" w:ascii="Arial" w:hAnsi="Arial" w:cs="Arial"/>
          <w:highlight w:val="none"/>
        </w:rPr>
        <w:sectPr>
          <w:footerReference r:id="rId4" w:type="first"/>
          <w:footerReference r:id="rId3" w:type="default"/>
          <w:pgSz w:w="11906" w:h="16838"/>
          <w:pgMar w:top="1134" w:right="1134" w:bottom="1134" w:left="1134" w:header="720" w:footer="720" w:gutter="0"/>
          <w:pgNumType w:start="1"/>
          <w:cols w:space="720" w:num="1"/>
          <w:docGrid w:type="lines" w:linePitch="331" w:charSpace="0"/>
        </w:sectPr>
      </w:pPr>
      <w:bookmarkStart w:id="0" w:name="_Toc524017688"/>
      <w:bookmarkStart w:id="1" w:name="_Toc524017821"/>
    </w:p>
    <w:p w14:paraId="516DF8B6">
      <w:pPr>
        <w:pStyle w:val="44"/>
        <w:rPr>
          <w:rFonts w:hint="default" w:ascii="Arial" w:hAnsi="Arial" w:cs="Arial"/>
          <w:highlight w:val="none"/>
        </w:rPr>
      </w:pPr>
      <w:bookmarkStart w:id="2" w:name="_Toc82079325"/>
      <w:bookmarkStart w:id="3" w:name="_Toc6839"/>
      <w:bookmarkStart w:id="4" w:name="_Toc82079277"/>
      <w:r>
        <w:rPr>
          <w:rFonts w:hint="default" w:ascii="Arial" w:hAnsi="Arial" w:cs="Arial"/>
          <w:highlight w:val="none"/>
        </w:rPr>
        <w:t>第一章  公开招标公告</w:t>
      </w:r>
      <w:bookmarkEnd w:id="0"/>
      <w:bookmarkEnd w:id="1"/>
      <w:bookmarkEnd w:id="2"/>
      <w:bookmarkEnd w:id="3"/>
      <w:bookmarkEnd w:id="4"/>
    </w:p>
    <w:p w14:paraId="4F1B8E4F">
      <w:pPr>
        <w:pBdr>
          <w:top w:val="single" w:color="auto" w:sz="4" w:space="1"/>
          <w:left w:val="single" w:color="auto" w:sz="4" w:space="0"/>
          <w:bottom w:val="single" w:color="auto" w:sz="4" w:space="1"/>
          <w:right w:val="single" w:color="auto" w:sz="4" w:space="4"/>
        </w:pBdr>
        <w:rPr>
          <w:rFonts w:hint="default" w:ascii="Arial" w:hAnsi="Arial" w:cs="Arial"/>
          <w:highlight w:val="none"/>
        </w:rPr>
      </w:pPr>
      <w:r>
        <w:rPr>
          <w:rFonts w:hint="default" w:ascii="Arial" w:hAnsi="Arial" w:cs="Arial"/>
          <w:highlight w:val="none"/>
        </w:rPr>
        <w:t>项目概况：</w:t>
      </w:r>
    </w:p>
    <w:p w14:paraId="3F3226DB">
      <w:pPr>
        <w:pBdr>
          <w:top w:val="single" w:color="auto" w:sz="4" w:space="1"/>
          <w:left w:val="single" w:color="auto" w:sz="4" w:space="0"/>
          <w:bottom w:val="single" w:color="auto" w:sz="4" w:space="1"/>
          <w:right w:val="single" w:color="auto" w:sz="4" w:space="4"/>
        </w:pBdr>
        <w:ind w:firstLine="420" w:firstLineChars="200"/>
        <w:rPr>
          <w:rFonts w:hint="default" w:ascii="Arial" w:hAnsi="Arial" w:cs="Arial"/>
          <w:highlight w:val="none"/>
        </w:rPr>
      </w:pPr>
      <w:r>
        <w:rPr>
          <w:rFonts w:hint="default" w:ascii="Arial" w:hAnsi="Arial" w:cs="Arial"/>
          <w:highlight w:val="none"/>
        </w:rPr>
        <w:t>“</w:t>
      </w:r>
      <w:r>
        <w:rPr>
          <w:rFonts w:hint="eastAsia" w:ascii="Arial" w:hAnsi="Arial" w:cs="Arial"/>
          <w:szCs w:val="21"/>
          <w:highlight w:val="none"/>
          <w:lang w:eastAsia="zh-CN"/>
        </w:rPr>
        <w:t>桂林市第二技工学校2025年市级高技能人才培训基地建设项目</w:t>
      </w:r>
      <w:r>
        <w:rPr>
          <w:rFonts w:hint="default" w:ascii="Arial" w:hAnsi="Arial" w:cs="Arial"/>
          <w:highlight w:val="none"/>
        </w:rPr>
        <w:t>”采购项目的潜在供应商应登录</w:t>
      </w:r>
      <w:r>
        <w:rPr>
          <w:rFonts w:hint="default" w:ascii="Arial" w:hAnsi="Arial" w:cs="Arial"/>
          <w:highlight w:val="none"/>
          <w:lang w:eastAsia="zh-CN"/>
        </w:rPr>
        <w:t>广西政府采购云平台（www.gcy.zfcg.gxzf.gov.cn/）</w:t>
      </w:r>
      <w:r>
        <w:rPr>
          <w:rFonts w:hint="default" w:ascii="Arial" w:hAnsi="Arial" w:cs="Arial"/>
          <w:highlight w:val="none"/>
          <w:lang w:val="en-US" w:eastAsia="zh-CN"/>
        </w:rPr>
        <w:t>获取采购文件</w:t>
      </w:r>
      <w:r>
        <w:rPr>
          <w:rFonts w:hint="default" w:ascii="Arial" w:hAnsi="Arial" w:cs="Arial"/>
          <w:highlight w:val="none"/>
        </w:rPr>
        <w:t>，</w:t>
      </w:r>
      <w:r>
        <w:rPr>
          <w:rFonts w:hint="default" w:ascii="Arial" w:hAnsi="Arial" w:cs="Arial"/>
          <w:highlight w:val="none"/>
          <w:lang w:eastAsia="zh-CN"/>
        </w:rPr>
        <w:t>2026年</w:t>
      </w:r>
      <w:r>
        <w:rPr>
          <w:rFonts w:hint="eastAsia" w:ascii="Arial" w:hAnsi="Arial" w:cs="Arial"/>
          <w:highlight w:val="none"/>
          <w:lang w:val="en-US" w:eastAsia="zh-CN"/>
        </w:rPr>
        <w:t>9</w:t>
      </w:r>
      <w:r>
        <w:rPr>
          <w:rFonts w:hint="default" w:ascii="Arial" w:hAnsi="Arial" w:cs="Arial"/>
          <w:highlight w:val="none"/>
          <w:lang w:eastAsia="zh-CN"/>
        </w:rPr>
        <w:t>月</w:t>
      </w:r>
      <w:r>
        <w:rPr>
          <w:rFonts w:hint="eastAsia" w:ascii="Arial" w:hAnsi="Arial" w:cs="Arial"/>
          <w:highlight w:val="none"/>
          <w:lang w:val="en-US" w:eastAsia="zh-CN"/>
        </w:rPr>
        <w:t>16</w:t>
      </w:r>
      <w:r>
        <w:rPr>
          <w:rFonts w:hint="default" w:ascii="Arial" w:hAnsi="Arial" w:cs="Arial"/>
          <w:highlight w:val="none"/>
          <w:lang w:eastAsia="zh-CN"/>
        </w:rPr>
        <w:t>日</w:t>
      </w:r>
      <w:r>
        <w:rPr>
          <w:rFonts w:hint="default" w:ascii="Arial" w:hAnsi="Arial" w:cs="Arial"/>
          <w:highlight w:val="none"/>
        </w:rPr>
        <w:t>9时30分（北京时间）前递交投标文件。</w:t>
      </w:r>
    </w:p>
    <w:p w14:paraId="540966CB">
      <w:pPr>
        <w:keepNext w:val="0"/>
        <w:keepLines w:val="0"/>
        <w:pageBreakBefore w:val="0"/>
        <w:widowControl w:val="0"/>
        <w:kinsoku/>
        <w:wordWrap/>
        <w:overflowPunct/>
        <w:topLinePunct w:val="0"/>
        <w:autoSpaceDE/>
        <w:autoSpaceDN/>
        <w:bidi w:val="0"/>
        <w:adjustRightInd/>
        <w:snapToGrid/>
        <w:spacing w:line="288" w:lineRule="auto"/>
        <w:ind w:left="420" w:leftChars="200"/>
        <w:textAlignment w:val="auto"/>
        <w:rPr>
          <w:rFonts w:hint="default" w:ascii="Arial" w:hAnsi="Arial" w:cs="Arial"/>
          <w:b/>
          <w:bCs/>
          <w:highlight w:val="none"/>
        </w:rPr>
      </w:pPr>
      <w:r>
        <w:rPr>
          <w:rFonts w:hint="default" w:ascii="Arial" w:hAnsi="Arial" w:cs="Arial"/>
          <w:b/>
          <w:bCs/>
          <w:szCs w:val="21"/>
          <w:highlight w:val="none"/>
        </w:rPr>
        <w:t>一、项目基本情况</w:t>
      </w:r>
    </w:p>
    <w:p w14:paraId="086A75AD">
      <w:pPr>
        <w:keepNext w:val="0"/>
        <w:keepLines w:val="0"/>
        <w:pageBreakBefore w:val="0"/>
        <w:widowControl w:val="0"/>
        <w:kinsoku/>
        <w:wordWrap/>
        <w:overflowPunct/>
        <w:topLinePunct w:val="0"/>
        <w:autoSpaceDE/>
        <w:autoSpaceDN/>
        <w:bidi w:val="0"/>
        <w:adjustRightInd/>
        <w:snapToGrid/>
        <w:spacing w:line="288" w:lineRule="auto"/>
        <w:ind w:firstLine="420" w:firstLineChars="200"/>
        <w:jc w:val="left"/>
        <w:textAlignment w:val="auto"/>
        <w:rPr>
          <w:rFonts w:hint="default" w:ascii="Arial" w:hAnsi="Arial" w:eastAsia="宋体" w:cs="Arial"/>
          <w:highlight w:val="none"/>
          <w:lang w:eastAsia="zh-CN"/>
        </w:rPr>
      </w:pPr>
      <w:r>
        <w:rPr>
          <w:rFonts w:hint="default" w:ascii="Arial" w:hAnsi="Arial" w:cs="Arial"/>
          <w:highlight w:val="none"/>
        </w:rPr>
        <w:t>项目编号：</w:t>
      </w:r>
      <w:r>
        <w:rPr>
          <w:rFonts w:hint="eastAsia" w:ascii="Arial" w:hAnsi="Arial" w:cs="Arial"/>
          <w:highlight w:val="none"/>
          <w:lang w:eastAsia="zh-CN"/>
        </w:rPr>
        <w:t>GLZC2026-G1-990364-JDZB</w:t>
      </w:r>
    </w:p>
    <w:p w14:paraId="6D917054">
      <w:pPr>
        <w:keepNext w:val="0"/>
        <w:keepLines w:val="0"/>
        <w:pageBreakBefore w:val="0"/>
        <w:widowControl w:val="0"/>
        <w:kinsoku/>
        <w:wordWrap/>
        <w:overflowPunct/>
        <w:topLinePunct w:val="0"/>
        <w:autoSpaceDE/>
        <w:autoSpaceDN/>
        <w:bidi w:val="0"/>
        <w:adjustRightInd/>
        <w:snapToGrid/>
        <w:spacing w:line="288" w:lineRule="auto"/>
        <w:ind w:firstLine="420" w:firstLineChars="200"/>
        <w:jc w:val="left"/>
        <w:textAlignment w:val="auto"/>
        <w:rPr>
          <w:rFonts w:hint="default" w:ascii="Arial" w:hAnsi="Arial" w:eastAsia="宋体" w:cs="Arial"/>
          <w:highlight w:val="none"/>
          <w:lang w:eastAsia="zh-CN"/>
        </w:rPr>
      </w:pPr>
      <w:r>
        <w:rPr>
          <w:rFonts w:hint="default" w:ascii="Arial" w:hAnsi="Arial" w:cs="Arial"/>
          <w:highlight w:val="none"/>
        </w:rPr>
        <w:t>项目名称：</w:t>
      </w:r>
      <w:bookmarkStart w:id="5" w:name="_Hlk44605545"/>
      <w:r>
        <w:rPr>
          <w:rFonts w:hint="eastAsia" w:ascii="Arial" w:hAnsi="Arial" w:cs="Arial"/>
          <w:highlight w:val="none"/>
          <w:lang w:eastAsia="zh-CN"/>
        </w:rPr>
        <w:t>桂林市第二技工学校2025年市级高技能人才培训基地建设项目</w:t>
      </w:r>
    </w:p>
    <w:bookmarkEnd w:id="5"/>
    <w:p w14:paraId="6FB8C231">
      <w:pPr>
        <w:keepNext w:val="0"/>
        <w:keepLines w:val="0"/>
        <w:pageBreakBefore w:val="0"/>
        <w:widowControl w:val="0"/>
        <w:kinsoku/>
        <w:wordWrap/>
        <w:overflowPunct/>
        <w:topLinePunct w:val="0"/>
        <w:autoSpaceDE/>
        <w:autoSpaceDN/>
        <w:bidi w:val="0"/>
        <w:adjustRightInd/>
        <w:snapToGrid/>
        <w:spacing w:line="288" w:lineRule="auto"/>
        <w:ind w:left="420" w:leftChars="200"/>
        <w:textAlignment w:val="auto"/>
        <w:rPr>
          <w:rFonts w:hint="default" w:ascii="Arial" w:hAnsi="Arial" w:cs="Arial"/>
          <w:color w:val="auto"/>
          <w:szCs w:val="21"/>
          <w:highlight w:val="none"/>
        </w:rPr>
      </w:pPr>
      <w:r>
        <w:rPr>
          <w:rFonts w:hint="default" w:ascii="Arial" w:hAnsi="Arial" w:cs="Arial"/>
          <w:szCs w:val="21"/>
          <w:highlight w:val="none"/>
        </w:rPr>
        <w:t>采购方式：公</w:t>
      </w:r>
      <w:r>
        <w:rPr>
          <w:rFonts w:hint="default" w:ascii="Arial" w:hAnsi="Arial" w:cs="Arial"/>
          <w:color w:val="auto"/>
          <w:szCs w:val="21"/>
          <w:highlight w:val="none"/>
        </w:rPr>
        <w:t xml:space="preserve">开招标 </w:t>
      </w:r>
    </w:p>
    <w:p w14:paraId="35062176">
      <w:pPr>
        <w:keepNext w:val="0"/>
        <w:keepLines w:val="0"/>
        <w:pageBreakBefore w:val="0"/>
        <w:widowControl w:val="0"/>
        <w:kinsoku/>
        <w:wordWrap/>
        <w:overflowPunct/>
        <w:topLinePunct w:val="0"/>
        <w:autoSpaceDE/>
        <w:autoSpaceDN/>
        <w:bidi w:val="0"/>
        <w:adjustRightInd/>
        <w:snapToGrid/>
        <w:spacing w:line="288" w:lineRule="auto"/>
        <w:ind w:left="420"/>
        <w:textAlignment w:val="auto"/>
        <w:rPr>
          <w:rFonts w:hint="default" w:ascii="Arial" w:hAnsi="Arial" w:cs="Arial"/>
          <w:color w:val="auto"/>
          <w:highlight w:val="none"/>
        </w:rPr>
      </w:pPr>
      <w:r>
        <w:rPr>
          <w:rFonts w:hint="default" w:ascii="Arial" w:hAnsi="Arial" w:cs="Arial"/>
          <w:color w:val="auto"/>
          <w:highlight w:val="none"/>
        </w:rPr>
        <w:t>预算金额（人民币）：</w:t>
      </w:r>
      <w:r>
        <w:rPr>
          <w:rFonts w:hint="eastAsia" w:ascii="Arial" w:hAnsi="Arial" w:cs="Arial"/>
          <w:b/>
          <w:bCs/>
          <w:color w:val="auto"/>
          <w:highlight w:val="none"/>
          <w:lang w:val="en-US" w:eastAsia="zh-CN"/>
        </w:rPr>
        <w:t>壹佰零壹万壹仟玖佰玖拾元整（¥1011990.00元）</w:t>
      </w:r>
      <w:r>
        <w:rPr>
          <w:rFonts w:hint="default" w:ascii="Arial" w:hAnsi="Arial" w:cs="Arial"/>
          <w:b/>
          <w:bCs/>
          <w:color w:val="auto"/>
          <w:highlight w:val="none"/>
        </w:rPr>
        <w:t>。</w:t>
      </w:r>
    </w:p>
    <w:p w14:paraId="2F10F855">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default" w:ascii="Arial" w:hAnsi="Arial" w:cs="Arial"/>
          <w:color w:val="auto"/>
          <w:szCs w:val="21"/>
          <w:highlight w:val="none"/>
        </w:rPr>
      </w:pPr>
      <w:r>
        <w:rPr>
          <w:rFonts w:hint="default" w:ascii="Arial" w:hAnsi="Arial" w:cs="Arial"/>
          <w:color w:val="auto"/>
          <w:kern w:val="0"/>
          <w:szCs w:val="21"/>
          <w:highlight w:val="none"/>
        </w:rPr>
        <w:t>最高限价（如有）：</w:t>
      </w:r>
      <w:r>
        <w:rPr>
          <w:rFonts w:hint="default" w:ascii="Arial" w:hAnsi="Arial" w:cs="Arial"/>
          <w:color w:val="auto"/>
          <w:szCs w:val="21"/>
          <w:highlight w:val="none"/>
        </w:rPr>
        <w:t>与预算金额一致</w:t>
      </w:r>
    </w:p>
    <w:tbl>
      <w:tblPr>
        <w:tblStyle w:val="49"/>
        <w:tblW w:w="89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5"/>
        <w:gridCol w:w="671"/>
        <w:gridCol w:w="2656"/>
        <w:gridCol w:w="774"/>
        <w:gridCol w:w="673"/>
        <w:gridCol w:w="1727"/>
        <w:gridCol w:w="1588"/>
      </w:tblGrid>
      <w:tr w14:paraId="2EDBF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95" w:type="dxa"/>
            <w:tcBorders>
              <w:top w:val="single" w:color="auto" w:sz="4" w:space="0"/>
              <w:left w:val="single" w:color="auto" w:sz="4" w:space="0"/>
              <w:bottom w:val="single" w:color="auto" w:sz="4" w:space="0"/>
              <w:right w:val="single" w:color="auto" w:sz="4" w:space="0"/>
            </w:tcBorders>
            <w:noWrap w:val="0"/>
            <w:vAlign w:val="center"/>
          </w:tcPr>
          <w:p w14:paraId="519EC9F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Arial" w:hAnsi="Arial" w:eastAsia="宋体" w:cs="Arial"/>
                <w:color w:val="auto"/>
                <w:szCs w:val="21"/>
                <w:highlight w:val="none"/>
                <w:lang w:val="en-US" w:eastAsia="zh-CN"/>
              </w:rPr>
            </w:pPr>
            <w:r>
              <w:rPr>
                <w:rFonts w:hint="eastAsia" w:ascii="Arial" w:hAnsi="Arial" w:cs="Arial"/>
                <w:color w:val="auto"/>
                <w:szCs w:val="21"/>
                <w:highlight w:val="none"/>
                <w:lang w:val="en-US" w:eastAsia="zh-CN"/>
              </w:rPr>
              <w:t>分标号</w:t>
            </w:r>
          </w:p>
        </w:tc>
        <w:tc>
          <w:tcPr>
            <w:tcW w:w="671" w:type="dxa"/>
            <w:tcBorders>
              <w:top w:val="single" w:color="auto" w:sz="4" w:space="0"/>
              <w:left w:val="single" w:color="auto" w:sz="4" w:space="0"/>
              <w:bottom w:val="single" w:color="auto" w:sz="4" w:space="0"/>
              <w:right w:val="single" w:color="auto" w:sz="4" w:space="0"/>
            </w:tcBorders>
            <w:noWrap w:val="0"/>
            <w:vAlign w:val="center"/>
          </w:tcPr>
          <w:p w14:paraId="55ED555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Arial" w:hAnsi="Arial" w:cs="Arial"/>
                <w:color w:val="auto"/>
                <w:szCs w:val="21"/>
                <w:highlight w:val="none"/>
              </w:rPr>
            </w:pPr>
            <w:r>
              <w:rPr>
                <w:rFonts w:hint="default" w:ascii="Arial" w:hAnsi="Arial" w:cs="Arial"/>
                <w:color w:val="auto"/>
                <w:szCs w:val="21"/>
                <w:highlight w:val="none"/>
              </w:rPr>
              <w:t>项号</w:t>
            </w:r>
          </w:p>
        </w:tc>
        <w:tc>
          <w:tcPr>
            <w:tcW w:w="2656" w:type="dxa"/>
            <w:tcBorders>
              <w:top w:val="single" w:color="auto" w:sz="4" w:space="0"/>
              <w:left w:val="nil"/>
              <w:bottom w:val="single" w:color="auto" w:sz="4" w:space="0"/>
              <w:right w:val="single" w:color="auto" w:sz="4" w:space="0"/>
            </w:tcBorders>
            <w:noWrap w:val="0"/>
            <w:vAlign w:val="center"/>
          </w:tcPr>
          <w:p w14:paraId="6C6C88C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Arial" w:hAnsi="Arial" w:cs="Arial"/>
                <w:color w:val="auto"/>
                <w:szCs w:val="21"/>
                <w:highlight w:val="none"/>
              </w:rPr>
            </w:pPr>
            <w:r>
              <w:rPr>
                <w:rFonts w:hint="eastAsia" w:ascii="Arial" w:hAnsi="Arial" w:cs="Arial"/>
                <w:color w:val="auto"/>
                <w:szCs w:val="21"/>
                <w:highlight w:val="none"/>
                <w:lang w:val="en-US" w:eastAsia="zh-CN"/>
              </w:rPr>
              <w:t>标的</w:t>
            </w:r>
            <w:r>
              <w:rPr>
                <w:rFonts w:hint="default" w:ascii="Arial" w:hAnsi="Arial" w:cs="Arial"/>
                <w:color w:val="auto"/>
                <w:szCs w:val="21"/>
                <w:highlight w:val="none"/>
              </w:rPr>
              <w:t>名称</w:t>
            </w:r>
          </w:p>
        </w:tc>
        <w:tc>
          <w:tcPr>
            <w:tcW w:w="774" w:type="dxa"/>
            <w:tcBorders>
              <w:top w:val="single" w:color="auto" w:sz="4" w:space="0"/>
              <w:left w:val="nil"/>
              <w:bottom w:val="single" w:color="auto" w:sz="4" w:space="0"/>
              <w:right w:val="single" w:color="auto" w:sz="4" w:space="0"/>
            </w:tcBorders>
            <w:noWrap w:val="0"/>
            <w:vAlign w:val="center"/>
          </w:tcPr>
          <w:p w14:paraId="53838A5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Arial" w:hAnsi="Arial" w:cs="Arial"/>
                <w:color w:val="auto"/>
                <w:szCs w:val="21"/>
                <w:highlight w:val="none"/>
              </w:rPr>
            </w:pPr>
            <w:r>
              <w:rPr>
                <w:rFonts w:hint="default" w:ascii="Arial" w:hAnsi="Arial" w:cs="Arial"/>
                <w:color w:val="auto"/>
                <w:szCs w:val="21"/>
                <w:highlight w:val="none"/>
              </w:rPr>
              <w:t>数量</w:t>
            </w:r>
          </w:p>
        </w:tc>
        <w:tc>
          <w:tcPr>
            <w:tcW w:w="673" w:type="dxa"/>
            <w:tcBorders>
              <w:top w:val="single" w:color="auto" w:sz="4" w:space="0"/>
              <w:left w:val="nil"/>
              <w:bottom w:val="single" w:color="auto" w:sz="4" w:space="0"/>
              <w:right w:val="single" w:color="auto" w:sz="4" w:space="0"/>
            </w:tcBorders>
            <w:noWrap w:val="0"/>
            <w:vAlign w:val="center"/>
          </w:tcPr>
          <w:p w14:paraId="174181E9">
            <w:pPr>
              <w:keepNext w:val="0"/>
              <w:keepLines w:val="0"/>
              <w:pageBreakBefore w:val="0"/>
              <w:widowControl w:val="0"/>
              <w:kinsoku/>
              <w:wordWrap/>
              <w:overflowPunct/>
              <w:topLinePunct w:val="0"/>
              <w:autoSpaceDE/>
              <w:autoSpaceDN/>
              <w:bidi w:val="0"/>
              <w:adjustRightInd/>
              <w:snapToGrid/>
              <w:spacing w:line="240" w:lineRule="auto"/>
              <w:ind w:leftChars="-10" w:hanging="21" w:hangingChars="10"/>
              <w:jc w:val="center"/>
              <w:textAlignment w:val="auto"/>
              <w:rPr>
                <w:rFonts w:hint="default" w:ascii="Arial" w:hAnsi="Arial" w:cs="Arial"/>
                <w:color w:val="auto"/>
                <w:szCs w:val="21"/>
                <w:highlight w:val="none"/>
              </w:rPr>
            </w:pPr>
            <w:r>
              <w:rPr>
                <w:rFonts w:hint="default" w:ascii="Arial" w:hAnsi="Arial" w:cs="Arial"/>
                <w:color w:val="auto"/>
                <w:szCs w:val="21"/>
                <w:highlight w:val="none"/>
              </w:rPr>
              <w:t>单位</w:t>
            </w:r>
          </w:p>
        </w:tc>
        <w:tc>
          <w:tcPr>
            <w:tcW w:w="1727" w:type="dxa"/>
            <w:tcBorders>
              <w:top w:val="single" w:color="auto" w:sz="4" w:space="0"/>
              <w:left w:val="nil"/>
              <w:bottom w:val="single" w:color="auto" w:sz="4" w:space="0"/>
              <w:right w:val="single" w:color="auto" w:sz="4" w:space="0"/>
            </w:tcBorders>
            <w:noWrap w:val="0"/>
            <w:vAlign w:val="center"/>
          </w:tcPr>
          <w:p w14:paraId="13F0D02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Arial" w:hAnsi="Arial" w:cs="Arial"/>
                <w:color w:val="auto"/>
                <w:szCs w:val="21"/>
                <w:highlight w:val="none"/>
              </w:rPr>
            </w:pPr>
            <w:r>
              <w:rPr>
                <w:rFonts w:hint="default" w:ascii="Arial" w:hAnsi="Arial" w:cs="Arial"/>
                <w:color w:val="auto"/>
                <w:szCs w:val="21"/>
                <w:highlight w:val="none"/>
              </w:rPr>
              <w:t>预算</w:t>
            </w:r>
            <w:r>
              <w:rPr>
                <w:rFonts w:hint="eastAsia" w:ascii="Arial" w:hAnsi="Arial" w:cs="Arial"/>
                <w:color w:val="auto"/>
                <w:szCs w:val="21"/>
                <w:highlight w:val="none"/>
                <w:lang w:val="en-US" w:eastAsia="zh-CN"/>
              </w:rPr>
              <w:t>单价</w:t>
            </w:r>
            <w:r>
              <w:rPr>
                <w:rFonts w:hint="default" w:ascii="Arial" w:hAnsi="Arial" w:cs="Arial"/>
                <w:color w:val="auto"/>
                <w:szCs w:val="21"/>
                <w:highlight w:val="none"/>
              </w:rPr>
              <w:t>（元）</w:t>
            </w:r>
          </w:p>
        </w:tc>
        <w:tc>
          <w:tcPr>
            <w:tcW w:w="1588" w:type="dxa"/>
            <w:tcBorders>
              <w:top w:val="single" w:color="auto" w:sz="4" w:space="0"/>
              <w:left w:val="single" w:color="auto" w:sz="4" w:space="0"/>
              <w:bottom w:val="single" w:color="auto" w:sz="4" w:space="0"/>
              <w:right w:val="single" w:color="auto" w:sz="4" w:space="0"/>
            </w:tcBorders>
            <w:noWrap w:val="0"/>
            <w:vAlign w:val="center"/>
          </w:tcPr>
          <w:p w14:paraId="1974BF9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Arial" w:hAnsi="Arial" w:cs="Arial"/>
                <w:color w:val="auto"/>
                <w:szCs w:val="21"/>
                <w:highlight w:val="none"/>
              </w:rPr>
            </w:pPr>
            <w:r>
              <w:rPr>
                <w:rFonts w:hint="default" w:ascii="Arial" w:hAnsi="Arial" w:cs="Arial"/>
                <w:color w:val="auto"/>
                <w:szCs w:val="21"/>
                <w:highlight w:val="none"/>
              </w:rPr>
              <w:t>项目要求及服务需求</w:t>
            </w:r>
          </w:p>
        </w:tc>
      </w:tr>
      <w:tr w14:paraId="1F0EF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95" w:type="dxa"/>
            <w:vMerge w:val="restart"/>
            <w:tcBorders>
              <w:top w:val="single" w:color="auto" w:sz="4" w:space="0"/>
              <w:left w:val="single" w:color="auto" w:sz="4" w:space="0"/>
              <w:right w:val="single" w:color="auto" w:sz="4" w:space="0"/>
            </w:tcBorders>
            <w:noWrap w:val="0"/>
            <w:vAlign w:val="center"/>
          </w:tcPr>
          <w:p w14:paraId="468C92C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Arial" w:hAnsi="Arial" w:eastAsia="宋体" w:cs="Arial"/>
                <w:color w:val="auto"/>
                <w:highlight w:val="none"/>
                <w:lang w:val="en-US" w:eastAsia="zh-CN"/>
              </w:rPr>
            </w:pPr>
            <w:r>
              <w:rPr>
                <w:rFonts w:hint="eastAsia" w:ascii="Arial" w:hAnsi="Arial" w:cs="Arial"/>
                <w:color w:val="auto"/>
                <w:highlight w:val="none"/>
                <w:lang w:val="en-US" w:eastAsia="zh-CN"/>
              </w:rPr>
              <w:t>A分标</w:t>
            </w:r>
          </w:p>
        </w:tc>
        <w:tc>
          <w:tcPr>
            <w:tcW w:w="671" w:type="dxa"/>
            <w:tcBorders>
              <w:top w:val="single" w:color="auto" w:sz="4" w:space="0"/>
              <w:left w:val="single" w:color="auto" w:sz="4" w:space="0"/>
              <w:bottom w:val="single" w:color="auto" w:sz="4" w:space="0"/>
              <w:right w:val="single" w:color="auto" w:sz="4" w:space="0"/>
            </w:tcBorders>
            <w:noWrap w:val="0"/>
            <w:vAlign w:val="center"/>
          </w:tcPr>
          <w:p w14:paraId="45480429">
            <w:pPr>
              <w:keepNext w:val="0"/>
              <w:keepLines w:val="0"/>
              <w:widowControl/>
              <w:suppressLineNumbers w:val="0"/>
              <w:jc w:val="center"/>
              <w:textAlignment w:val="center"/>
              <w:rPr>
                <w:rFonts w:hint="default" w:ascii="Arial" w:hAnsi="Arial" w:cs="Arial"/>
                <w:color w:val="auto"/>
                <w:highlight w:val="none"/>
              </w:rPr>
            </w:pPr>
            <w:r>
              <w:rPr>
                <w:rFonts w:hint="default" w:ascii="Arial" w:hAnsi="Arial" w:eastAsia="宋体" w:cs="Arial"/>
                <w:i w:val="0"/>
                <w:iCs w:val="0"/>
                <w:color w:val="000000"/>
                <w:kern w:val="0"/>
                <w:sz w:val="21"/>
                <w:szCs w:val="21"/>
                <w:highlight w:val="none"/>
                <w:u w:val="none"/>
                <w:lang w:val="en-US" w:eastAsia="zh-CN" w:bidi="ar"/>
              </w:rPr>
              <w:t>1</w:t>
            </w:r>
          </w:p>
        </w:tc>
        <w:tc>
          <w:tcPr>
            <w:tcW w:w="2656" w:type="dxa"/>
            <w:tcBorders>
              <w:top w:val="single" w:color="auto" w:sz="4" w:space="0"/>
              <w:left w:val="nil"/>
              <w:bottom w:val="single" w:color="auto" w:sz="4" w:space="0"/>
              <w:right w:val="single" w:color="auto" w:sz="4" w:space="0"/>
            </w:tcBorders>
            <w:noWrap w:val="0"/>
            <w:vAlign w:val="center"/>
          </w:tcPr>
          <w:p w14:paraId="77302899">
            <w:pPr>
              <w:keepNext w:val="0"/>
              <w:keepLines w:val="0"/>
              <w:widowControl/>
              <w:suppressLineNumbers w:val="0"/>
              <w:jc w:val="center"/>
              <w:textAlignment w:val="center"/>
              <w:rPr>
                <w:rFonts w:hint="default" w:ascii="Arial" w:hAnsi="Arial" w:eastAsia="宋体" w:cs="Arial"/>
                <w:color w:val="auto"/>
                <w:szCs w:val="21"/>
                <w:highlight w:val="none"/>
                <w:lang w:eastAsia="zh-CN"/>
              </w:rPr>
            </w:pPr>
            <w:r>
              <w:rPr>
                <w:rFonts w:hint="default" w:ascii="Arial" w:hAnsi="Arial" w:eastAsia="宋体" w:cs="Arial"/>
                <w:i w:val="0"/>
                <w:iCs w:val="0"/>
                <w:color w:val="000000"/>
                <w:kern w:val="0"/>
                <w:sz w:val="21"/>
                <w:szCs w:val="21"/>
                <w:highlight w:val="none"/>
                <w:u w:val="none"/>
                <w:lang w:val="en-US" w:eastAsia="zh-CN" w:bidi="ar"/>
              </w:rPr>
              <w:t>机房教学系统</w:t>
            </w:r>
          </w:p>
        </w:tc>
        <w:tc>
          <w:tcPr>
            <w:tcW w:w="774" w:type="dxa"/>
            <w:tcBorders>
              <w:top w:val="single" w:color="auto" w:sz="4" w:space="0"/>
              <w:left w:val="nil"/>
              <w:bottom w:val="single" w:color="auto" w:sz="4" w:space="0"/>
              <w:right w:val="single" w:color="auto" w:sz="4" w:space="0"/>
            </w:tcBorders>
            <w:noWrap w:val="0"/>
            <w:vAlign w:val="center"/>
          </w:tcPr>
          <w:p w14:paraId="15B10F0B">
            <w:pPr>
              <w:keepNext w:val="0"/>
              <w:keepLines w:val="0"/>
              <w:widowControl/>
              <w:suppressLineNumbers w:val="0"/>
              <w:jc w:val="center"/>
              <w:textAlignment w:val="center"/>
              <w:rPr>
                <w:rFonts w:hint="default" w:ascii="Arial" w:hAnsi="Arial" w:cs="Arial"/>
                <w:color w:val="auto"/>
                <w:szCs w:val="21"/>
                <w:highlight w:val="none"/>
              </w:rPr>
            </w:pPr>
            <w:r>
              <w:rPr>
                <w:rFonts w:hint="default" w:ascii="Arial" w:hAnsi="Arial" w:eastAsia="宋体" w:cs="Arial"/>
                <w:i w:val="0"/>
                <w:iCs w:val="0"/>
                <w:color w:val="000000"/>
                <w:kern w:val="0"/>
                <w:sz w:val="21"/>
                <w:szCs w:val="21"/>
                <w:highlight w:val="none"/>
                <w:u w:val="none"/>
                <w:lang w:val="en-US" w:eastAsia="zh-CN" w:bidi="ar"/>
              </w:rPr>
              <w:t>1</w:t>
            </w:r>
          </w:p>
        </w:tc>
        <w:tc>
          <w:tcPr>
            <w:tcW w:w="673" w:type="dxa"/>
            <w:tcBorders>
              <w:top w:val="single" w:color="auto" w:sz="4" w:space="0"/>
              <w:left w:val="nil"/>
              <w:bottom w:val="single" w:color="auto" w:sz="4" w:space="0"/>
              <w:right w:val="single" w:color="auto" w:sz="4" w:space="0"/>
            </w:tcBorders>
            <w:noWrap w:val="0"/>
            <w:vAlign w:val="center"/>
          </w:tcPr>
          <w:p w14:paraId="4501AB66">
            <w:pPr>
              <w:keepNext w:val="0"/>
              <w:keepLines w:val="0"/>
              <w:widowControl/>
              <w:suppressLineNumbers w:val="0"/>
              <w:jc w:val="center"/>
              <w:textAlignment w:val="center"/>
              <w:rPr>
                <w:rFonts w:hint="eastAsia" w:ascii="Arial" w:hAnsi="Arial" w:eastAsia="宋体" w:cs="Arial"/>
                <w:color w:val="auto"/>
                <w:szCs w:val="21"/>
                <w:highlight w:val="none"/>
                <w:lang w:eastAsia="zh-CN"/>
              </w:rPr>
            </w:pPr>
            <w:r>
              <w:rPr>
                <w:rFonts w:hint="default" w:ascii="Arial" w:hAnsi="Arial" w:eastAsia="宋体" w:cs="Arial"/>
                <w:i w:val="0"/>
                <w:iCs w:val="0"/>
                <w:color w:val="000000"/>
                <w:kern w:val="0"/>
                <w:sz w:val="21"/>
                <w:szCs w:val="21"/>
                <w:highlight w:val="none"/>
                <w:u w:val="none"/>
                <w:lang w:val="en-US" w:eastAsia="zh-CN" w:bidi="ar"/>
              </w:rPr>
              <w:t>套</w:t>
            </w:r>
          </w:p>
        </w:tc>
        <w:tc>
          <w:tcPr>
            <w:tcW w:w="1727" w:type="dxa"/>
            <w:tcBorders>
              <w:top w:val="single" w:color="auto" w:sz="4" w:space="0"/>
              <w:left w:val="nil"/>
              <w:bottom w:val="single" w:color="auto" w:sz="4" w:space="0"/>
              <w:right w:val="single" w:color="auto" w:sz="4" w:space="0"/>
            </w:tcBorders>
            <w:noWrap w:val="0"/>
            <w:vAlign w:val="center"/>
          </w:tcPr>
          <w:p w14:paraId="536EF421">
            <w:pPr>
              <w:keepNext w:val="0"/>
              <w:keepLines w:val="0"/>
              <w:widowControl/>
              <w:suppressLineNumbers w:val="0"/>
              <w:jc w:val="center"/>
              <w:textAlignment w:val="center"/>
              <w:rPr>
                <w:rFonts w:hint="default" w:ascii="Arial" w:hAnsi="Arial" w:cs="Arial"/>
                <w:color w:val="auto"/>
                <w:szCs w:val="21"/>
                <w:highlight w:val="none"/>
                <w:lang w:val="en-US" w:eastAsia="zh-CN"/>
              </w:rPr>
            </w:pPr>
            <w:r>
              <w:rPr>
                <w:rFonts w:hint="default" w:ascii="Arial" w:hAnsi="Arial" w:eastAsia="宋体" w:cs="Arial"/>
                <w:i w:val="0"/>
                <w:iCs w:val="0"/>
                <w:color w:val="000000"/>
                <w:kern w:val="0"/>
                <w:sz w:val="21"/>
                <w:szCs w:val="21"/>
                <w:highlight w:val="none"/>
                <w:u w:val="none"/>
                <w:lang w:val="en-US" w:eastAsia="zh-CN" w:bidi="ar"/>
              </w:rPr>
              <w:t xml:space="preserve">5690.00 </w:t>
            </w:r>
          </w:p>
        </w:tc>
        <w:tc>
          <w:tcPr>
            <w:tcW w:w="1588" w:type="dxa"/>
            <w:vMerge w:val="restart"/>
            <w:tcBorders>
              <w:top w:val="single" w:color="auto" w:sz="4" w:space="0"/>
              <w:left w:val="single" w:color="auto" w:sz="4" w:space="0"/>
              <w:right w:val="single" w:color="auto" w:sz="4" w:space="0"/>
            </w:tcBorders>
            <w:noWrap w:val="0"/>
            <w:vAlign w:val="center"/>
          </w:tcPr>
          <w:p w14:paraId="23595C1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Arial" w:hAnsi="Arial" w:cs="Arial"/>
                <w:color w:val="auto"/>
                <w:szCs w:val="21"/>
                <w:highlight w:val="none"/>
              </w:rPr>
            </w:pPr>
            <w:r>
              <w:rPr>
                <w:rFonts w:hint="default" w:ascii="Arial" w:hAnsi="Arial" w:cs="Arial"/>
                <w:color w:val="auto"/>
                <w:highlight w:val="none"/>
              </w:rPr>
              <w:t>如需进一步了解详细内容，</w:t>
            </w:r>
            <w:r>
              <w:rPr>
                <w:rFonts w:hint="default" w:ascii="Arial" w:hAnsi="Arial" w:cs="Arial"/>
                <w:color w:val="auto"/>
                <w:szCs w:val="21"/>
                <w:highlight w:val="none"/>
              </w:rPr>
              <w:t>详见</w:t>
            </w:r>
            <w:r>
              <w:rPr>
                <w:rFonts w:hint="eastAsia" w:ascii="Arial" w:hAnsi="Arial" w:cs="Arial"/>
                <w:color w:val="auto"/>
                <w:szCs w:val="21"/>
                <w:highlight w:val="none"/>
                <w:lang w:val="en-US" w:eastAsia="zh-CN"/>
              </w:rPr>
              <w:t>招标</w:t>
            </w:r>
            <w:r>
              <w:rPr>
                <w:rFonts w:hint="default" w:ascii="Arial" w:hAnsi="Arial" w:cs="Arial"/>
                <w:color w:val="auto"/>
                <w:szCs w:val="21"/>
                <w:highlight w:val="none"/>
              </w:rPr>
              <w:t>文件。</w:t>
            </w:r>
          </w:p>
        </w:tc>
      </w:tr>
      <w:tr w14:paraId="69F5C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95" w:type="dxa"/>
            <w:vMerge w:val="continue"/>
            <w:tcBorders>
              <w:left w:val="single" w:color="auto" w:sz="4" w:space="0"/>
              <w:right w:val="single" w:color="auto" w:sz="4" w:space="0"/>
            </w:tcBorders>
            <w:noWrap w:val="0"/>
            <w:vAlign w:val="center"/>
          </w:tcPr>
          <w:p w14:paraId="161BAC8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Arial" w:hAnsi="Arial" w:cs="Arial"/>
                <w:color w:val="auto"/>
                <w:highlight w:val="none"/>
                <w:lang w:val="en-US" w:eastAsia="zh-CN"/>
              </w:rPr>
            </w:pPr>
          </w:p>
        </w:tc>
        <w:tc>
          <w:tcPr>
            <w:tcW w:w="671" w:type="dxa"/>
            <w:tcBorders>
              <w:top w:val="single" w:color="auto" w:sz="4" w:space="0"/>
              <w:left w:val="single" w:color="auto" w:sz="4" w:space="0"/>
              <w:bottom w:val="single" w:color="auto" w:sz="4" w:space="0"/>
              <w:right w:val="single" w:color="auto" w:sz="4" w:space="0"/>
            </w:tcBorders>
            <w:noWrap w:val="0"/>
            <w:vAlign w:val="center"/>
          </w:tcPr>
          <w:p w14:paraId="0916DC51">
            <w:pPr>
              <w:keepNext w:val="0"/>
              <w:keepLines w:val="0"/>
              <w:widowControl/>
              <w:suppressLineNumbers w:val="0"/>
              <w:jc w:val="center"/>
              <w:textAlignment w:val="center"/>
              <w:rPr>
                <w:rFonts w:hint="default" w:ascii="Arial" w:hAnsi="Arial" w:cs="Arial"/>
                <w:color w:val="auto"/>
                <w:highlight w:val="none"/>
              </w:rPr>
            </w:pPr>
            <w:r>
              <w:rPr>
                <w:rFonts w:hint="default" w:ascii="Arial" w:hAnsi="Arial" w:eastAsia="宋体" w:cs="Arial"/>
                <w:i w:val="0"/>
                <w:iCs w:val="0"/>
                <w:color w:val="000000"/>
                <w:kern w:val="0"/>
                <w:sz w:val="21"/>
                <w:szCs w:val="21"/>
                <w:highlight w:val="none"/>
                <w:u w:val="none"/>
                <w:lang w:val="en-US" w:eastAsia="zh-CN" w:bidi="ar"/>
              </w:rPr>
              <w:t>2</w:t>
            </w:r>
          </w:p>
        </w:tc>
        <w:tc>
          <w:tcPr>
            <w:tcW w:w="2656" w:type="dxa"/>
            <w:tcBorders>
              <w:top w:val="single" w:color="auto" w:sz="4" w:space="0"/>
              <w:left w:val="nil"/>
              <w:bottom w:val="single" w:color="auto" w:sz="4" w:space="0"/>
              <w:right w:val="single" w:color="auto" w:sz="4" w:space="0"/>
            </w:tcBorders>
            <w:noWrap w:val="0"/>
            <w:vAlign w:val="center"/>
          </w:tcPr>
          <w:p w14:paraId="721C1C37">
            <w:pPr>
              <w:keepNext w:val="0"/>
              <w:keepLines w:val="0"/>
              <w:widowControl/>
              <w:suppressLineNumbers w:val="0"/>
              <w:jc w:val="center"/>
              <w:textAlignment w:val="center"/>
              <w:rPr>
                <w:rFonts w:hint="default" w:ascii="Arial" w:hAnsi="Arial" w:eastAsia="宋体" w:cs="Arial"/>
                <w:color w:val="auto"/>
                <w:szCs w:val="21"/>
                <w:highlight w:val="none"/>
                <w:lang w:eastAsia="zh-CN"/>
              </w:rPr>
            </w:pPr>
            <w:r>
              <w:rPr>
                <w:rFonts w:hint="default" w:ascii="Arial" w:hAnsi="Arial" w:eastAsia="宋体" w:cs="Arial"/>
                <w:i w:val="0"/>
                <w:iCs w:val="0"/>
                <w:color w:val="000000"/>
                <w:kern w:val="0"/>
                <w:sz w:val="21"/>
                <w:szCs w:val="21"/>
                <w:highlight w:val="none"/>
                <w:u w:val="none"/>
                <w:lang w:val="en-US" w:eastAsia="zh-CN" w:bidi="ar"/>
              </w:rPr>
              <w:t>管理软件</w:t>
            </w:r>
          </w:p>
        </w:tc>
        <w:tc>
          <w:tcPr>
            <w:tcW w:w="774" w:type="dxa"/>
            <w:tcBorders>
              <w:top w:val="single" w:color="auto" w:sz="4" w:space="0"/>
              <w:left w:val="nil"/>
              <w:bottom w:val="single" w:color="auto" w:sz="4" w:space="0"/>
              <w:right w:val="single" w:color="auto" w:sz="4" w:space="0"/>
            </w:tcBorders>
            <w:noWrap w:val="0"/>
            <w:vAlign w:val="center"/>
          </w:tcPr>
          <w:p w14:paraId="31C27872">
            <w:pPr>
              <w:keepNext w:val="0"/>
              <w:keepLines w:val="0"/>
              <w:widowControl/>
              <w:suppressLineNumbers w:val="0"/>
              <w:jc w:val="center"/>
              <w:textAlignment w:val="center"/>
              <w:rPr>
                <w:rFonts w:hint="default" w:ascii="Arial" w:hAnsi="Arial" w:cs="Arial"/>
                <w:color w:val="auto"/>
                <w:szCs w:val="21"/>
                <w:highlight w:val="none"/>
              </w:rPr>
            </w:pPr>
            <w:r>
              <w:rPr>
                <w:rFonts w:hint="default" w:ascii="Arial" w:hAnsi="Arial" w:eastAsia="宋体" w:cs="Arial"/>
                <w:i w:val="0"/>
                <w:iCs w:val="0"/>
                <w:color w:val="000000"/>
                <w:kern w:val="0"/>
                <w:sz w:val="21"/>
                <w:szCs w:val="21"/>
                <w:highlight w:val="none"/>
                <w:u w:val="none"/>
                <w:lang w:val="en-US" w:eastAsia="zh-CN" w:bidi="ar"/>
              </w:rPr>
              <w:drawing>
                <wp:anchor distT="0" distB="0" distL="114300" distR="114300" simplePos="0" relativeHeight="251667456" behindDoc="0" locked="0" layoutInCell="1" allowOverlap="1">
                  <wp:simplePos x="0" y="0"/>
                  <wp:positionH relativeFrom="column">
                    <wp:posOffset>0</wp:posOffset>
                  </wp:positionH>
                  <wp:positionV relativeFrom="paragraph">
                    <wp:posOffset>0</wp:posOffset>
                  </wp:positionV>
                  <wp:extent cx="6350" cy="6350"/>
                  <wp:effectExtent l="0" t="0" r="0" b="0"/>
                  <wp:wrapNone/>
                  <wp:docPr id="32" name="图片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_5"/>
                          <pic:cNvPicPr>
                            <a:picLocks noChangeAspect="1"/>
                          </pic:cNvPicPr>
                        </pic:nvPicPr>
                        <pic:blipFill>
                          <a:blip r:embed="rId11" r:link="rId12"/>
                          <a:stretch>
                            <a:fillRect/>
                          </a:stretch>
                        </pic:blipFill>
                        <pic:spPr>
                          <a:xfrm>
                            <a:off x="5486400" y="352425"/>
                            <a:ext cx="6350" cy="6350"/>
                          </a:xfrm>
                          <a:prstGeom prst="rect">
                            <a:avLst/>
                          </a:prstGeom>
                          <a:noFill/>
                          <a:ln w="9525">
                            <a:noFill/>
                          </a:ln>
                        </pic:spPr>
                      </pic:pic>
                    </a:graphicData>
                  </a:graphic>
                </wp:anchor>
              </w:drawing>
            </w:r>
            <w:r>
              <w:rPr>
                <w:rFonts w:hint="default" w:ascii="Arial" w:hAnsi="Arial" w:eastAsia="宋体" w:cs="Arial"/>
                <w:i w:val="0"/>
                <w:iCs w:val="0"/>
                <w:color w:val="000000"/>
                <w:kern w:val="0"/>
                <w:sz w:val="21"/>
                <w:szCs w:val="21"/>
                <w:highlight w:val="none"/>
                <w:u w:val="none"/>
                <w:lang w:val="en-US" w:eastAsia="zh-CN" w:bidi="ar"/>
              </w:rPr>
              <w:drawing>
                <wp:anchor distT="0" distB="0" distL="114300" distR="114300" simplePos="0" relativeHeight="251667456" behindDoc="0" locked="0" layoutInCell="1" allowOverlap="1">
                  <wp:simplePos x="0" y="0"/>
                  <wp:positionH relativeFrom="column">
                    <wp:posOffset>0</wp:posOffset>
                  </wp:positionH>
                  <wp:positionV relativeFrom="paragraph">
                    <wp:posOffset>0</wp:posOffset>
                  </wp:positionV>
                  <wp:extent cx="6350" cy="6350"/>
                  <wp:effectExtent l="0" t="0" r="0" b="0"/>
                  <wp:wrapNone/>
                  <wp:docPr id="33" name="图片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_7"/>
                          <pic:cNvPicPr>
                            <a:picLocks noChangeAspect="1"/>
                          </pic:cNvPicPr>
                        </pic:nvPicPr>
                        <pic:blipFill>
                          <a:blip r:embed="rId11" r:link="rId12"/>
                          <a:stretch>
                            <a:fillRect/>
                          </a:stretch>
                        </pic:blipFill>
                        <pic:spPr>
                          <a:xfrm>
                            <a:off x="5486400" y="352425"/>
                            <a:ext cx="6350" cy="6350"/>
                          </a:xfrm>
                          <a:prstGeom prst="rect">
                            <a:avLst/>
                          </a:prstGeom>
                          <a:noFill/>
                          <a:ln w="9525">
                            <a:noFill/>
                          </a:ln>
                        </pic:spPr>
                      </pic:pic>
                    </a:graphicData>
                  </a:graphic>
                </wp:anchor>
              </w:drawing>
            </w:r>
            <w:r>
              <w:rPr>
                <w:rFonts w:hint="default" w:ascii="Arial" w:hAnsi="Arial" w:eastAsia="宋体" w:cs="Arial"/>
                <w:i w:val="0"/>
                <w:iCs w:val="0"/>
                <w:color w:val="000000"/>
                <w:kern w:val="0"/>
                <w:sz w:val="21"/>
                <w:szCs w:val="21"/>
                <w:highlight w:val="none"/>
                <w:u w:val="none"/>
                <w:lang w:val="en-US" w:eastAsia="zh-CN" w:bidi="ar"/>
              </w:rPr>
              <w:drawing>
                <wp:anchor distT="0" distB="0" distL="114300" distR="114300" simplePos="0" relativeHeight="251667456" behindDoc="0" locked="0" layoutInCell="1" allowOverlap="1">
                  <wp:simplePos x="0" y="0"/>
                  <wp:positionH relativeFrom="column">
                    <wp:posOffset>0</wp:posOffset>
                  </wp:positionH>
                  <wp:positionV relativeFrom="paragraph">
                    <wp:posOffset>0</wp:posOffset>
                  </wp:positionV>
                  <wp:extent cx="6350" cy="6350"/>
                  <wp:effectExtent l="0" t="0" r="0" b="0"/>
                  <wp:wrapNone/>
                  <wp:docPr id="34" name="图片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_6"/>
                          <pic:cNvPicPr>
                            <a:picLocks noChangeAspect="1"/>
                          </pic:cNvPicPr>
                        </pic:nvPicPr>
                        <pic:blipFill>
                          <a:blip r:embed="rId11" r:link="rId12"/>
                          <a:stretch>
                            <a:fillRect/>
                          </a:stretch>
                        </pic:blipFill>
                        <pic:spPr>
                          <a:xfrm>
                            <a:off x="5486400" y="352425"/>
                            <a:ext cx="6350" cy="6350"/>
                          </a:xfrm>
                          <a:prstGeom prst="rect">
                            <a:avLst/>
                          </a:prstGeom>
                          <a:noFill/>
                          <a:ln w="9525">
                            <a:noFill/>
                          </a:ln>
                        </pic:spPr>
                      </pic:pic>
                    </a:graphicData>
                  </a:graphic>
                </wp:anchor>
              </w:drawing>
            </w:r>
            <w:r>
              <w:rPr>
                <w:rFonts w:hint="default" w:ascii="Arial" w:hAnsi="Arial" w:eastAsia="宋体" w:cs="Arial"/>
                <w:i w:val="0"/>
                <w:iCs w:val="0"/>
                <w:color w:val="000000"/>
                <w:kern w:val="0"/>
                <w:sz w:val="21"/>
                <w:szCs w:val="21"/>
                <w:highlight w:val="none"/>
                <w:u w:val="none"/>
                <w:lang w:val="en-US" w:eastAsia="zh-CN" w:bidi="ar"/>
              </w:rPr>
              <w:drawing>
                <wp:anchor distT="0" distB="0" distL="114300" distR="114300" simplePos="0" relativeHeight="251667456" behindDoc="0" locked="0" layoutInCell="1" allowOverlap="1">
                  <wp:simplePos x="0" y="0"/>
                  <wp:positionH relativeFrom="column">
                    <wp:posOffset>0</wp:posOffset>
                  </wp:positionH>
                  <wp:positionV relativeFrom="paragraph">
                    <wp:posOffset>0</wp:posOffset>
                  </wp:positionV>
                  <wp:extent cx="6350" cy="6350"/>
                  <wp:effectExtent l="0" t="0" r="0" b="0"/>
                  <wp:wrapNone/>
                  <wp:docPr id="35" name="图片_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_8"/>
                          <pic:cNvPicPr>
                            <a:picLocks noChangeAspect="1"/>
                          </pic:cNvPicPr>
                        </pic:nvPicPr>
                        <pic:blipFill>
                          <a:blip r:embed="rId11" r:link="rId12"/>
                          <a:stretch>
                            <a:fillRect/>
                          </a:stretch>
                        </pic:blipFill>
                        <pic:spPr>
                          <a:xfrm>
                            <a:off x="5486400" y="352425"/>
                            <a:ext cx="6350" cy="6350"/>
                          </a:xfrm>
                          <a:prstGeom prst="rect">
                            <a:avLst/>
                          </a:prstGeom>
                          <a:noFill/>
                          <a:ln w="9525">
                            <a:noFill/>
                          </a:ln>
                        </pic:spPr>
                      </pic:pic>
                    </a:graphicData>
                  </a:graphic>
                </wp:anchor>
              </w:drawing>
            </w:r>
            <w:r>
              <w:rPr>
                <w:rFonts w:hint="default" w:ascii="Arial" w:hAnsi="Arial" w:eastAsia="宋体" w:cs="Arial"/>
                <w:i w:val="0"/>
                <w:iCs w:val="0"/>
                <w:color w:val="000000"/>
                <w:kern w:val="0"/>
                <w:sz w:val="21"/>
                <w:szCs w:val="21"/>
                <w:highlight w:val="none"/>
                <w:u w:val="none"/>
                <w:lang w:val="en-US" w:eastAsia="zh-CN" w:bidi="ar"/>
              </w:rPr>
              <w:t>1</w:t>
            </w:r>
          </w:p>
        </w:tc>
        <w:tc>
          <w:tcPr>
            <w:tcW w:w="673" w:type="dxa"/>
            <w:tcBorders>
              <w:top w:val="single" w:color="auto" w:sz="4" w:space="0"/>
              <w:left w:val="nil"/>
              <w:bottom w:val="single" w:color="auto" w:sz="4" w:space="0"/>
              <w:right w:val="single" w:color="auto" w:sz="4" w:space="0"/>
            </w:tcBorders>
            <w:noWrap w:val="0"/>
            <w:vAlign w:val="center"/>
          </w:tcPr>
          <w:p w14:paraId="65B4D3EC">
            <w:pPr>
              <w:keepNext w:val="0"/>
              <w:keepLines w:val="0"/>
              <w:widowControl/>
              <w:suppressLineNumbers w:val="0"/>
              <w:jc w:val="center"/>
              <w:textAlignment w:val="center"/>
              <w:rPr>
                <w:rFonts w:hint="eastAsia" w:ascii="Arial" w:hAnsi="Arial" w:eastAsia="宋体" w:cs="Arial"/>
                <w:color w:val="auto"/>
                <w:szCs w:val="21"/>
                <w:highlight w:val="none"/>
                <w:lang w:eastAsia="zh-CN"/>
              </w:rPr>
            </w:pPr>
            <w:r>
              <w:rPr>
                <w:rFonts w:hint="default" w:ascii="Arial" w:hAnsi="Arial" w:eastAsia="宋体" w:cs="Arial"/>
                <w:i w:val="0"/>
                <w:iCs w:val="0"/>
                <w:color w:val="000000"/>
                <w:kern w:val="0"/>
                <w:sz w:val="21"/>
                <w:szCs w:val="21"/>
                <w:highlight w:val="none"/>
                <w:u w:val="none"/>
                <w:lang w:val="en-US" w:eastAsia="zh-CN" w:bidi="ar"/>
              </w:rPr>
              <w:t>套</w:t>
            </w:r>
          </w:p>
        </w:tc>
        <w:tc>
          <w:tcPr>
            <w:tcW w:w="1727" w:type="dxa"/>
            <w:tcBorders>
              <w:top w:val="single" w:color="auto" w:sz="4" w:space="0"/>
              <w:left w:val="nil"/>
              <w:bottom w:val="single" w:color="auto" w:sz="4" w:space="0"/>
              <w:right w:val="single" w:color="auto" w:sz="4" w:space="0"/>
            </w:tcBorders>
            <w:noWrap w:val="0"/>
            <w:vAlign w:val="center"/>
          </w:tcPr>
          <w:p w14:paraId="6F5B2810">
            <w:pPr>
              <w:keepNext w:val="0"/>
              <w:keepLines w:val="0"/>
              <w:widowControl/>
              <w:suppressLineNumbers w:val="0"/>
              <w:jc w:val="center"/>
              <w:textAlignment w:val="center"/>
              <w:rPr>
                <w:rFonts w:hint="default" w:ascii="Arial" w:hAnsi="Arial" w:cs="Arial"/>
                <w:color w:val="auto"/>
                <w:szCs w:val="21"/>
                <w:highlight w:val="none"/>
                <w:lang w:val="en-US" w:eastAsia="zh-CN"/>
              </w:rPr>
            </w:pPr>
            <w:r>
              <w:rPr>
                <w:rFonts w:hint="default" w:ascii="Arial" w:hAnsi="Arial" w:eastAsia="宋体" w:cs="Arial"/>
                <w:i w:val="0"/>
                <w:iCs w:val="0"/>
                <w:color w:val="000000"/>
                <w:kern w:val="0"/>
                <w:sz w:val="21"/>
                <w:szCs w:val="21"/>
                <w:highlight w:val="none"/>
                <w:u w:val="none"/>
                <w:lang w:val="en-US" w:eastAsia="zh-CN" w:bidi="ar"/>
              </w:rPr>
              <w:t xml:space="preserve">1000.00 </w:t>
            </w:r>
          </w:p>
        </w:tc>
        <w:tc>
          <w:tcPr>
            <w:tcW w:w="1588" w:type="dxa"/>
            <w:vMerge w:val="continue"/>
            <w:tcBorders>
              <w:left w:val="single" w:color="auto" w:sz="4" w:space="0"/>
              <w:right w:val="single" w:color="auto" w:sz="4" w:space="0"/>
            </w:tcBorders>
            <w:noWrap w:val="0"/>
            <w:vAlign w:val="center"/>
          </w:tcPr>
          <w:p w14:paraId="0AB537B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Arial" w:hAnsi="Arial" w:cs="Arial"/>
                <w:color w:val="auto"/>
                <w:highlight w:val="none"/>
              </w:rPr>
            </w:pPr>
          </w:p>
        </w:tc>
      </w:tr>
      <w:tr w14:paraId="6492F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95" w:type="dxa"/>
            <w:vMerge w:val="continue"/>
            <w:tcBorders>
              <w:left w:val="single" w:color="auto" w:sz="4" w:space="0"/>
              <w:right w:val="single" w:color="auto" w:sz="4" w:space="0"/>
            </w:tcBorders>
            <w:noWrap w:val="0"/>
            <w:vAlign w:val="center"/>
          </w:tcPr>
          <w:p w14:paraId="26AFD3E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Arial" w:hAnsi="Arial" w:cs="Arial"/>
                <w:color w:val="auto"/>
                <w:highlight w:val="none"/>
                <w:lang w:val="en-US" w:eastAsia="zh-CN"/>
              </w:rPr>
            </w:pPr>
          </w:p>
        </w:tc>
        <w:tc>
          <w:tcPr>
            <w:tcW w:w="671" w:type="dxa"/>
            <w:tcBorders>
              <w:top w:val="single" w:color="auto" w:sz="4" w:space="0"/>
              <w:left w:val="single" w:color="auto" w:sz="4" w:space="0"/>
              <w:bottom w:val="single" w:color="auto" w:sz="4" w:space="0"/>
              <w:right w:val="single" w:color="auto" w:sz="4" w:space="0"/>
            </w:tcBorders>
            <w:noWrap w:val="0"/>
            <w:vAlign w:val="center"/>
          </w:tcPr>
          <w:p w14:paraId="1CA344F2">
            <w:pPr>
              <w:keepNext w:val="0"/>
              <w:keepLines w:val="0"/>
              <w:widowControl/>
              <w:suppressLineNumbers w:val="0"/>
              <w:jc w:val="center"/>
              <w:textAlignment w:val="center"/>
              <w:rPr>
                <w:rFonts w:hint="default" w:ascii="Arial" w:hAnsi="Arial" w:cs="Arial"/>
                <w:color w:val="auto"/>
                <w:highlight w:val="none"/>
              </w:rPr>
            </w:pPr>
            <w:r>
              <w:rPr>
                <w:rFonts w:hint="default" w:ascii="Arial" w:hAnsi="Arial" w:eastAsia="宋体" w:cs="Arial"/>
                <w:i w:val="0"/>
                <w:iCs w:val="0"/>
                <w:color w:val="000000"/>
                <w:kern w:val="0"/>
                <w:sz w:val="21"/>
                <w:szCs w:val="21"/>
                <w:highlight w:val="none"/>
                <w:u w:val="none"/>
                <w:lang w:val="en-US" w:eastAsia="zh-CN" w:bidi="ar"/>
              </w:rPr>
              <w:t>3</w:t>
            </w:r>
          </w:p>
        </w:tc>
        <w:tc>
          <w:tcPr>
            <w:tcW w:w="2656" w:type="dxa"/>
            <w:tcBorders>
              <w:top w:val="single" w:color="auto" w:sz="4" w:space="0"/>
              <w:left w:val="nil"/>
              <w:bottom w:val="single" w:color="auto" w:sz="4" w:space="0"/>
              <w:right w:val="single" w:color="auto" w:sz="4" w:space="0"/>
            </w:tcBorders>
            <w:noWrap w:val="0"/>
            <w:vAlign w:val="center"/>
          </w:tcPr>
          <w:p w14:paraId="7D91C8A7">
            <w:pPr>
              <w:keepNext w:val="0"/>
              <w:keepLines w:val="0"/>
              <w:widowControl/>
              <w:suppressLineNumbers w:val="0"/>
              <w:jc w:val="center"/>
              <w:textAlignment w:val="center"/>
              <w:rPr>
                <w:rFonts w:hint="default" w:ascii="Arial" w:hAnsi="Arial" w:eastAsia="宋体" w:cs="Arial"/>
                <w:color w:val="auto"/>
                <w:szCs w:val="21"/>
                <w:highlight w:val="none"/>
                <w:lang w:eastAsia="zh-CN"/>
              </w:rPr>
            </w:pPr>
            <w:r>
              <w:rPr>
                <w:rFonts w:hint="default" w:ascii="Arial" w:hAnsi="Arial" w:eastAsia="宋体" w:cs="Arial"/>
                <w:i w:val="0"/>
                <w:iCs w:val="0"/>
                <w:color w:val="000000"/>
                <w:kern w:val="0"/>
                <w:sz w:val="21"/>
                <w:szCs w:val="21"/>
                <w:highlight w:val="none"/>
                <w:u w:val="none"/>
                <w:lang w:val="en-US" w:eastAsia="zh-CN" w:bidi="ar"/>
              </w:rPr>
              <w:t>音响系统</w:t>
            </w:r>
          </w:p>
        </w:tc>
        <w:tc>
          <w:tcPr>
            <w:tcW w:w="774" w:type="dxa"/>
            <w:tcBorders>
              <w:top w:val="single" w:color="auto" w:sz="4" w:space="0"/>
              <w:left w:val="nil"/>
              <w:bottom w:val="single" w:color="auto" w:sz="4" w:space="0"/>
              <w:right w:val="single" w:color="auto" w:sz="4" w:space="0"/>
            </w:tcBorders>
            <w:noWrap w:val="0"/>
            <w:vAlign w:val="center"/>
          </w:tcPr>
          <w:p w14:paraId="14EB6E15">
            <w:pPr>
              <w:keepNext w:val="0"/>
              <w:keepLines w:val="0"/>
              <w:widowControl/>
              <w:suppressLineNumbers w:val="0"/>
              <w:jc w:val="center"/>
              <w:textAlignment w:val="center"/>
              <w:rPr>
                <w:rFonts w:hint="default" w:ascii="Arial" w:hAnsi="Arial" w:cs="Arial"/>
                <w:color w:val="auto"/>
                <w:szCs w:val="21"/>
                <w:highlight w:val="none"/>
              </w:rPr>
            </w:pPr>
            <w:r>
              <w:rPr>
                <w:rFonts w:hint="default" w:ascii="Arial" w:hAnsi="Arial" w:eastAsia="宋体" w:cs="Arial"/>
                <w:i w:val="0"/>
                <w:iCs w:val="0"/>
                <w:color w:val="000000"/>
                <w:kern w:val="0"/>
                <w:sz w:val="21"/>
                <w:szCs w:val="21"/>
                <w:highlight w:val="none"/>
                <w:u w:val="none"/>
                <w:lang w:val="en-US" w:eastAsia="zh-CN" w:bidi="ar"/>
              </w:rPr>
              <w:drawing>
                <wp:anchor distT="0" distB="0" distL="114300" distR="114300" simplePos="0" relativeHeight="251668480" behindDoc="0" locked="0" layoutInCell="1" allowOverlap="1">
                  <wp:simplePos x="0" y="0"/>
                  <wp:positionH relativeFrom="column">
                    <wp:posOffset>0</wp:posOffset>
                  </wp:positionH>
                  <wp:positionV relativeFrom="paragraph">
                    <wp:posOffset>0</wp:posOffset>
                  </wp:positionV>
                  <wp:extent cx="6350" cy="6350"/>
                  <wp:effectExtent l="0" t="0" r="0" b="0"/>
                  <wp:wrapNone/>
                  <wp:docPr id="36" name="图片_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_17"/>
                          <pic:cNvPicPr>
                            <a:picLocks noChangeAspect="1"/>
                          </pic:cNvPicPr>
                        </pic:nvPicPr>
                        <pic:blipFill>
                          <a:blip r:embed="rId11" r:link="rId12"/>
                          <a:stretch>
                            <a:fillRect/>
                          </a:stretch>
                        </pic:blipFill>
                        <pic:spPr>
                          <a:xfrm>
                            <a:off x="5486400" y="533400"/>
                            <a:ext cx="6350" cy="6350"/>
                          </a:xfrm>
                          <a:prstGeom prst="rect">
                            <a:avLst/>
                          </a:prstGeom>
                          <a:noFill/>
                          <a:ln w="9525">
                            <a:noFill/>
                          </a:ln>
                        </pic:spPr>
                      </pic:pic>
                    </a:graphicData>
                  </a:graphic>
                </wp:anchor>
              </w:drawing>
            </w:r>
            <w:r>
              <w:rPr>
                <w:rFonts w:hint="default" w:ascii="Arial" w:hAnsi="Arial" w:eastAsia="宋体" w:cs="Arial"/>
                <w:i w:val="0"/>
                <w:iCs w:val="0"/>
                <w:color w:val="000000"/>
                <w:kern w:val="0"/>
                <w:sz w:val="21"/>
                <w:szCs w:val="21"/>
                <w:highlight w:val="none"/>
                <w:u w:val="none"/>
                <w:lang w:val="en-US" w:eastAsia="zh-CN" w:bidi="ar"/>
              </w:rPr>
              <w:drawing>
                <wp:anchor distT="0" distB="0" distL="114300" distR="114300" simplePos="0" relativeHeight="251668480" behindDoc="0" locked="0" layoutInCell="1" allowOverlap="1">
                  <wp:simplePos x="0" y="0"/>
                  <wp:positionH relativeFrom="column">
                    <wp:posOffset>0</wp:posOffset>
                  </wp:positionH>
                  <wp:positionV relativeFrom="paragraph">
                    <wp:posOffset>0</wp:posOffset>
                  </wp:positionV>
                  <wp:extent cx="6350" cy="6350"/>
                  <wp:effectExtent l="0" t="0" r="0" b="0"/>
                  <wp:wrapNone/>
                  <wp:docPr id="37" name="图片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_16"/>
                          <pic:cNvPicPr>
                            <a:picLocks noChangeAspect="1"/>
                          </pic:cNvPicPr>
                        </pic:nvPicPr>
                        <pic:blipFill>
                          <a:blip r:embed="rId11" r:link="rId12"/>
                          <a:stretch>
                            <a:fillRect/>
                          </a:stretch>
                        </pic:blipFill>
                        <pic:spPr>
                          <a:xfrm>
                            <a:off x="5486400" y="533400"/>
                            <a:ext cx="6350" cy="6350"/>
                          </a:xfrm>
                          <a:prstGeom prst="rect">
                            <a:avLst/>
                          </a:prstGeom>
                          <a:noFill/>
                          <a:ln w="9525">
                            <a:noFill/>
                          </a:ln>
                        </pic:spPr>
                      </pic:pic>
                    </a:graphicData>
                  </a:graphic>
                </wp:anchor>
              </w:drawing>
            </w:r>
            <w:r>
              <w:rPr>
                <w:rFonts w:hint="default" w:ascii="Arial" w:hAnsi="Arial" w:eastAsia="宋体" w:cs="Arial"/>
                <w:i w:val="0"/>
                <w:iCs w:val="0"/>
                <w:color w:val="000000"/>
                <w:kern w:val="0"/>
                <w:sz w:val="21"/>
                <w:szCs w:val="21"/>
                <w:highlight w:val="none"/>
                <w:u w:val="none"/>
                <w:lang w:val="en-US" w:eastAsia="zh-CN" w:bidi="ar"/>
              </w:rPr>
              <w:drawing>
                <wp:anchor distT="0" distB="0" distL="114300" distR="114300" simplePos="0" relativeHeight="251668480" behindDoc="0" locked="0" layoutInCell="1" allowOverlap="1">
                  <wp:simplePos x="0" y="0"/>
                  <wp:positionH relativeFrom="column">
                    <wp:posOffset>0</wp:posOffset>
                  </wp:positionH>
                  <wp:positionV relativeFrom="paragraph">
                    <wp:posOffset>0</wp:posOffset>
                  </wp:positionV>
                  <wp:extent cx="6350" cy="6350"/>
                  <wp:effectExtent l="0" t="0" r="0" b="0"/>
                  <wp:wrapNone/>
                  <wp:docPr id="38" name="图片_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_18"/>
                          <pic:cNvPicPr>
                            <a:picLocks noChangeAspect="1"/>
                          </pic:cNvPicPr>
                        </pic:nvPicPr>
                        <pic:blipFill>
                          <a:blip r:embed="rId11" r:link="rId12"/>
                          <a:stretch>
                            <a:fillRect/>
                          </a:stretch>
                        </pic:blipFill>
                        <pic:spPr>
                          <a:xfrm>
                            <a:off x="5486400" y="533400"/>
                            <a:ext cx="6350" cy="6350"/>
                          </a:xfrm>
                          <a:prstGeom prst="rect">
                            <a:avLst/>
                          </a:prstGeom>
                          <a:noFill/>
                          <a:ln w="9525">
                            <a:noFill/>
                          </a:ln>
                        </pic:spPr>
                      </pic:pic>
                    </a:graphicData>
                  </a:graphic>
                </wp:anchor>
              </w:drawing>
            </w:r>
            <w:r>
              <w:rPr>
                <w:rFonts w:hint="default" w:ascii="Arial" w:hAnsi="Arial" w:eastAsia="宋体" w:cs="Arial"/>
                <w:i w:val="0"/>
                <w:iCs w:val="0"/>
                <w:color w:val="000000"/>
                <w:kern w:val="0"/>
                <w:sz w:val="21"/>
                <w:szCs w:val="21"/>
                <w:highlight w:val="none"/>
                <w:u w:val="none"/>
                <w:lang w:val="en-US" w:eastAsia="zh-CN" w:bidi="ar"/>
              </w:rPr>
              <w:drawing>
                <wp:anchor distT="0" distB="0" distL="114300" distR="114300" simplePos="0" relativeHeight="251668480" behindDoc="0" locked="0" layoutInCell="1" allowOverlap="1">
                  <wp:simplePos x="0" y="0"/>
                  <wp:positionH relativeFrom="column">
                    <wp:posOffset>0</wp:posOffset>
                  </wp:positionH>
                  <wp:positionV relativeFrom="paragraph">
                    <wp:posOffset>0</wp:posOffset>
                  </wp:positionV>
                  <wp:extent cx="6350" cy="6350"/>
                  <wp:effectExtent l="0" t="0" r="0" b="0"/>
                  <wp:wrapNone/>
                  <wp:docPr id="39" name="图片_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_15"/>
                          <pic:cNvPicPr>
                            <a:picLocks noChangeAspect="1"/>
                          </pic:cNvPicPr>
                        </pic:nvPicPr>
                        <pic:blipFill>
                          <a:blip r:embed="rId11" r:link="rId12"/>
                          <a:stretch>
                            <a:fillRect/>
                          </a:stretch>
                        </pic:blipFill>
                        <pic:spPr>
                          <a:xfrm>
                            <a:off x="5486400" y="533400"/>
                            <a:ext cx="6350" cy="6350"/>
                          </a:xfrm>
                          <a:prstGeom prst="rect">
                            <a:avLst/>
                          </a:prstGeom>
                          <a:noFill/>
                          <a:ln w="9525">
                            <a:noFill/>
                          </a:ln>
                        </pic:spPr>
                      </pic:pic>
                    </a:graphicData>
                  </a:graphic>
                </wp:anchor>
              </w:drawing>
            </w:r>
            <w:r>
              <w:rPr>
                <w:rFonts w:hint="default" w:ascii="Arial" w:hAnsi="Arial" w:eastAsia="宋体" w:cs="Arial"/>
                <w:i w:val="0"/>
                <w:iCs w:val="0"/>
                <w:color w:val="000000"/>
                <w:kern w:val="0"/>
                <w:sz w:val="21"/>
                <w:szCs w:val="21"/>
                <w:highlight w:val="none"/>
                <w:u w:val="none"/>
                <w:lang w:val="en-US" w:eastAsia="zh-CN" w:bidi="ar"/>
              </w:rPr>
              <w:drawing>
                <wp:anchor distT="0" distB="0" distL="114300" distR="114300" simplePos="0" relativeHeight="251668480" behindDoc="0" locked="0" layoutInCell="1" allowOverlap="1">
                  <wp:simplePos x="0" y="0"/>
                  <wp:positionH relativeFrom="column">
                    <wp:posOffset>0</wp:posOffset>
                  </wp:positionH>
                  <wp:positionV relativeFrom="paragraph">
                    <wp:posOffset>0</wp:posOffset>
                  </wp:positionV>
                  <wp:extent cx="6350" cy="6350"/>
                  <wp:effectExtent l="0" t="0" r="0" b="0"/>
                  <wp:wrapNone/>
                  <wp:docPr id="40" name="图片_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_19"/>
                          <pic:cNvPicPr>
                            <a:picLocks noChangeAspect="1"/>
                          </pic:cNvPicPr>
                        </pic:nvPicPr>
                        <pic:blipFill>
                          <a:blip r:embed="rId11" r:link="rId12"/>
                          <a:stretch>
                            <a:fillRect/>
                          </a:stretch>
                        </pic:blipFill>
                        <pic:spPr>
                          <a:xfrm>
                            <a:off x="5486400" y="533400"/>
                            <a:ext cx="6350" cy="6350"/>
                          </a:xfrm>
                          <a:prstGeom prst="rect">
                            <a:avLst/>
                          </a:prstGeom>
                          <a:noFill/>
                          <a:ln w="9525">
                            <a:noFill/>
                          </a:ln>
                        </pic:spPr>
                      </pic:pic>
                    </a:graphicData>
                  </a:graphic>
                </wp:anchor>
              </w:drawing>
            </w:r>
            <w:r>
              <w:rPr>
                <w:rFonts w:hint="default" w:ascii="Arial" w:hAnsi="Arial" w:eastAsia="宋体" w:cs="Arial"/>
                <w:i w:val="0"/>
                <w:iCs w:val="0"/>
                <w:color w:val="000000"/>
                <w:kern w:val="0"/>
                <w:sz w:val="21"/>
                <w:szCs w:val="21"/>
                <w:highlight w:val="none"/>
                <w:u w:val="none"/>
                <w:lang w:val="en-US" w:eastAsia="zh-CN" w:bidi="ar"/>
              </w:rPr>
              <w:drawing>
                <wp:anchor distT="0" distB="0" distL="114300" distR="114300" simplePos="0" relativeHeight="251668480" behindDoc="0" locked="0" layoutInCell="1" allowOverlap="1">
                  <wp:simplePos x="0" y="0"/>
                  <wp:positionH relativeFrom="column">
                    <wp:posOffset>0</wp:posOffset>
                  </wp:positionH>
                  <wp:positionV relativeFrom="paragraph">
                    <wp:posOffset>0</wp:posOffset>
                  </wp:positionV>
                  <wp:extent cx="6350" cy="6350"/>
                  <wp:effectExtent l="0" t="0" r="0" b="0"/>
                  <wp:wrapNone/>
                  <wp:docPr id="41" name="图片_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_20"/>
                          <pic:cNvPicPr>
                            <a:picLocks noChangeAspect="1"/>
                          </pic:cNvPicPr>
                        </pic:nvPicPr>
                        <pic:blipFill>
                          <a:blip r:embed="rId11" r:link="rId12"/>
                          <a:stretch>
                            <a:fillRect/>
                          </a:stretch>
                        </pic:blipFill>
                        <pic:spPr>
                          <a:xfrm>
                            <a:off x="5486400" y="533400"/>
                            <a:ext cx="6350" cy="6350"/>
                          </a:xfrm>
                          <a:prstGeom prst="rect">
                            <a:avLst/>
                          </a:prstGeom>
                          <a:noFill/>
                          <a:ln w="9525">
                            <a:noFill/>
                          </a:ln>
                        </pic:spPr>
                      </pic:pic>
                    </a:graphicData>
                  </a:graphic>
                </wp:anchor>
              </w:drawing>
            </w:r>
            <w:r>
              <w:rPr>
                <w:rFonts w:hint="default" w:ascii="Arial" w:hAnsi="Arial" w:eastAsia="宋体" w:cs="Arial"/>
                <w:i w:val="0"/>
                <w:iCs w:val="0"/>
                <w:color w:val="000000"/>
                <w:kern w:val="0"/>
                <w:sz w:val="21"/>
                <w:szCs w:val="21"/>
                <w:highlight w:val="none"/>
                <w:u w:val="none"/>
                <w:lang w:val="en-US" w:eastAsia="zh-CN" w:bidi="ar"/>
              </w:rPr>
              <w:t>1</w:t>
            </w:r>
          </w:p>
        </w:tc>
        <w:tc>
          <w:tcPr>
            <w:tcW w:w="673" w:type="dxa"/>
            <w:tcBorders>
              <w:top w:val="single" w:color="auto" w:sz="4" w:space="0"/>
              <w:left w:val="nil"/>
              <w:bottom w:val="single" w:color="auto" w:sz="4" w:space="0"/>
              <w:right w:val="single" w:color="auto" w:sz="4" w:space="0"/>
            </w:tcBorders>
            <w:noWrap w:val="0"/>
            <w:vAlign w:val="center"/>
          </w:tcPr>
          <w:p w14:paraId="7475229E">
            <w:pPr>
              <w:keepNext w:val="0"/>
              <w:keepLines w:val="0"/>
              <w:widowControl/>
              <w:suppressLineNumbers w:val="0"/>
              <w:jc w:val="center"/>
              <w:textAlignment w:val="center"/>
              <w:rPr>
                <w:rFonts w:hint="eastAsia" w:ascii="Arial" w:hAnsi="Arial" w:eastAsia="宋体" w:cs="Arial"/>
                <w:color w:val="auto"/>
                <w:szCs w:val="21"/>
                <w:highlight w:val="none"/>
                <w:lang w:eastAsia="zh-CN"/>
              </w:rPr>
            </w:pPr>
            <w:r>
              <w:rPr>
                <w:rFonts w:hint="default" w:ascii="Arial" w:hAnsi="Arial" w:eastAsia="宋体" w:cs="Arial"/>
                <w:i w:val="0"/>
                <w:iCs w:val="0"/>
                <w:color w:val="000000"/>
                <w:kern w:val="0"/>
                <w:sz w:val="21"/>
                <w:szCs w:val="21"/>
                <w:highlight w:val="none"/>
                <w:u w:val="none"/>
                <w:lang w:val="en-US" w:eastAsia="zh-CN" w:bidi="ar"/>
              </w:rPr>
              <w:t>套</w:t>
            </w:r>
          </w:p>
        </w:tc>
        <w:tc>
          <w:tcPr>
            <w:tcW w:w="1727" w:type="dxa"/>
            <w:tcBorders>
              <w:top w:val="single" w:color="auto" w:sz="4" w:space="0"/>
              <w:left w:val="nil"/>
              <w:bottom w:val="single" w:color="auto" w:sz="4" w:space="0"/>
              <w:right w:val="single" w:color="auto" w:sz="4" w:space="0"/>
            </w:tcBorders>
            <w:noWrap w:val="0"/>
            <w:vAlign w:val="center"/>
          </w:tcPr>
          <w:p w14:paraId="0FA22DEA">
            <w:pPr>
              <w:keepNext w:val="0"/>
              <w:keepLines w:val="0"/>
              <w:widowControl/>
              <w:suppressLineNumbers w:val="0"/>
              <w:jc w:val="center"/>
              <w:textAlignment w:val="center"/>
              <w:rPr>
                <w:rFonts w:hint="default" w:ascii="Arial" w:hAnsi="Arial" w:cs="Arial"/>
                <w:color w:val="auto"/>
                <w:szCs w:val="21"/>
                <w:highlight w:val="none"/>
                <w:lang w:val="en-US" w:eastAsia="zh-CN"/>
              </w:rPr>
            </w:pPr>
            <w:r>
              <w:rPr>
                <w:rFonts w:hint="default" w:ascii="Arial" w:hAnsi="Arial" w:eastAsia="宋体" w:cs="Arial"/>
                <w:i w:val="0"/>
                <w:iCs w:val="0"/>
                <w:color w:val="000000"/>
                <w:kern w:val="0"/>
                <w:sz w:val="21"/>
                <w:szCs w:val="21"/>
                <w:highlight w:val="none"/>
                <w:u w:val="none"/>
                <w:lang w:val="en-US" w:eastAsia="zh-CN" w:bidi="ar"/>
              </w:rPr>
              <w:t xml:space="preserve">1800.00 </w:t>
            </w:r>
          </w:p>
        </w:tc>
        <w:tc>
          <w:tcPr>
            <w:tcW w:w="1588" w:type="dxa"/>
            <w:vMerge w:val="continue"/>
            <w:tcBorders>
              <w:left w:val="single" w:color="auto" w:sz="4" w:space="0"/>
              <w:right w:val="single" w:color="auto" w:sz="4" w:space="0"/>
            </w:tcBorders>
            <w:noWrap w:val="0"/>
            <w:vAlign w:val="center"/>
          </w:tcPr>
          <w:p w14:paraId="719D919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Arial" w:hAnsi="Arial" w:cs="Arial"/>
                <w:color w:val="auto"/>
                <w:highlight w:val="none"/>
              </w:rPr>
            </w:pPr>
          </w:p>
        </w:tc>
      </w:tr>
      <w:tr w14:paraId="6CF3A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95" w:type="dxa"/>
            <w:vMerge w:val="continue"/>
            <w:tcBorders>
              <w:left w:val="single" w:color="auto" w:sz="4" w:space="0"/>
              <w:right w:val="single" w:color="auto" w:sz="4" w:space="0"/>
            </w:tcBorders>
            <w:noWrap w:val="0"/>
            <w:vAlign w:val="center"/>
          </w:tcPr>
          <w:p w14:paraId="10A962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Arial" w:hAnsi="Arial" w:cs="Arial"/>
                <w:color w:val="auto"/>
                <w:highlight w:val="none"/>
                <w:lang w:val="en-US" w:eastAsia="zh-CN"/>
              </w:rPr>
            </w:pPr>
          </w:p>
        </w:tc>
        <w:tc>
          <w:tcPr>
            <w:tcW w:w="671" w:type="dxa"/>
            <w:tcBorders>
              <w:top w:val="single" w:color="auto" w:sz="4" w:space="0"/>
              <w:left w:val="single" w:color="auto" w:sz="4" w:space="0"/>
              <w:bottom w:val="single" w:color="auto" w:sz="4" w:space="0"/>
              <w:right w:val="single" w:color="auto" w:sz="4" w:space="0"/>
            </w:tcBorders>
            <w:noWrap w:val="0"/>
            <w:vAlign w:val="center"/>
          </w:tcPr>
          <w:p w14:paraId="31DCBCF5">
            <w:pPr>
              <w:keepNext w:val="0"/>
              <w:keepLines w:val="0"/>
              <w:widowControl/>
              <w:suppressLineNumbers w:val="0"/>
              <w:jc w:val="center"/>
              <w:textAlignment w:val="center"/>
              <w:rPr>
                <w:rFonts w:hint="default" w:ascii="Arial" w:hAnsi="Arial" w:cs="Arial"/>
                <w:color w:val="auto"/>
                <w:highlight w:val="none"/>
              </w:rPr>
            </w:pPr>
            <w:r>
              <w:rPr>
                <w:rFonts w:hint="default" w:ascii="Arial" w:hAnsi="Arial" w:eastAsia="宋体" w:cs="Arial"/>
                <w:i w:val="0"/>
                <w:iCs w:val="0"/>
                <w:color w:val="000000"/>
                <w:kern w:val="0"/>
                <w:sz w:val="21"/>
                <w:szCs w:val="21"/>
                <w:highlight w:val="none"/>
                <w:u w:val="none"/>
                <w:lang w:val="en-US" w:eastAsia="zh-CN" w:bidi="ar"/>
              </w:rPr>
              <w:t>4</w:t>
            </w:r>
          </w:p>
        </w:tc>
        <w:tc>
          <w:tcPr>
            <w:tcW w:w="2656" w:type="dxa"/>
            <w:tcBorders>
              <w:top w:val="single" w:color="auto" w:sz="4" w:space="0"/>
              <w:left w:val="nil"/>
              <w:bottom w:val="single" w:color="auto" w:sz="4" w:space="0"/>
              <w:right w:val="single" w:color="auto" w:sz="4" w:space="0"/>
            </w:tcBorders>
            <w:noWrap w:val="0"/>
            <w:vAlign w:val="center"/>
          </w:tcPr>
          <w:p w14:paraId="4CC32077">
            <w:pPr>
              <w:keepNext w:val="0"/>
              <w:keepLines w:val="0"/>
              <w:widowControl/>
              <w:suppressLineNumbers w:val="0"/>
              <w:jc w:val="center"/>
              <w:textAlignment w:val="center"/>
              <w:rPr>
                <w:rFonts w:hint="default" w:ascii="Arial" w:hAnsi="Arial" w:eastAsia="宋体" w:cs="Arial"/>
                <w:color w:val="auto"/>
                <w:szCs w:val="21"/>
                <w:highlight w:val="none"/>
                <w:lang w:eastAsia="zh-CN"/>
              </w:rPr>
            </w:pPr>
            <w:r>
              <w:rPr>
                <w:rFonts w:hint="default" w:ascii="Arial" w:hAnsi="Arial" w:eastAsia="宋体" w:cs="Arial"/>
                <w:i w:val="0"/>
                <w:iCs w:val="0"/>
                <w:color w:val="000000"/>
                <w:kern w:val="0"/>
                <w:sz w:val="21"/>
                <w:szCs w:val="21"/>
                <w:highlight w:val="none"/>
                <w:u w:val="none"/>
                <w:lang w:val="en-US" w:eastAsia="zh-CN" w:bidi="ar"/>
              </w:rPr>
              <w:t>辅助材料及安装</w:t>
            </w:r>
          </w:p>
        </w:tc>
        <w:tc>
          <w:tcPr>
            <w:tcW w:w="774" w:type="dxa"/>
            <w:tcBorders>
              <w:top w:val="single" w:color="auto" w:sz="4" w:space="0"/>
              <w:left w:val="nil"/>
              <w:bottom w:val="single" w:color="auto" w:sz="4" w:space="0"/>
              <w:right w:val="single" w:color="auto" w:sz="4" w:space="0"/>
            </w:tcBorders>
            <w:noWrap w:val="0"/>
            <w:vAlign w:val="center"/>
          </w:tcPr>
          <w:p w14:paraId="39AC396E">
            <w:pPr>
              <w:keepNext w:val="0"/>
              <w:keepLines w:val="0"/>
              <w:widowControl/>
              <w:suppressLineNumbers w:val="0"/>
              <w:jc w:val="center"/>
              <w:textAlignment w:val="center"/>
              <w:rPr>
                <w:rFonts w:hint="default" w:ascii="Arial" w:hAnsi="Arial" w:cs="Arial"/>
                <w:color w:val="auto"/>
                <w:szCs w:val="21"/>
                <w:highlight w:val="none"/>
              </w:rPr>
            </w:pPr>
            <w:r>
              <w:rPr>
                <w:rFonts w:hint="default" w:ascii="Arial" w:hAnsi="Arial" w:eastAsia="宋体" w:cs="Arial"/>
                <w:i w:val="0"/>
                <w:iCs w:val="0"/>
                <w:color w:val="000000"/>
                <w:kern w:val="0"/>
                <w:sz w:val="21"/>
                <w:szCs w:val="21"/>
                <w:highlight w:val="none"/>
                <w:u w:val="none"/>
                <w:lang w:val="en-US" w:eastAsia="zh-CN" w:bidi="ar"/>
              </w:rPr>
              <w:t>1</w:t>
            </w:r>
          </w:p>
        </w:tc>
        <w:tc>
          <w:tcPr>
            <w:tcW w:w="673" w:type="dxa"/>
            <w:tcBorders>
              <w:top w:val="single" w:color="auto" w:sz="4" w:space="0"/>
              <w:left w:val="nil"/>
              <w:bottom w:val="single" w:color="auto" w:sz="4" w:space="0"/>
              <w:right w:val="single" w:color="auto" w:sz="4" w:space="0"/>
            </w:tcBorders>
            <w:noWrap w:val="0"/>
            <w:vAlign w:val="center"/>
          </w:tcPr>
          <w:p w14:paraId="024A675D">
            <w:pPr>
              <w:keepNext w:val="0"/>
              <w:keepLines w:val="0"/>
              <w:widowControl/>
              <w:suppressLineNumbers w:val="0"/>
              <w:jc w:val="center"/>
              <w:textAlignment w:val="center"/>
              <w:rPr>
                <w:rFonts w:hint="eastAsia" w:ascii="Arial" w:hAnsi="Arial" w:eastAsia="宋体" w:cs="Arial"/>
                <w:color w:val="auto"/>
                <w:szCs w:val="21"/>
                <w:highlight w:val="none"/>
                <w:lang w:eastAsia="zh-CN"/>
              </w:rPr>
            </w:pPr>
            <w:r>
              <w:rPr>
                <w:rFonts w:hint="default" w:ascii="Arial" w:hAnsi="Arial" w:eastAsia="宋体" w:cs="Arial"/>
                <w:i w:val="0"/>
                <w:iCs w:val="0"/>
                <w:color w:val="000000"/>
                <w:kern w:val="0"/>
                <w:sz w:val="21"/>
                <w:szCs w:val="21"/>
                <w:highlight w:val="none"/>
                <w:u w:val="none"/>
                <w:lang w:val="en-US" w:eastAsia="zh-CN" w:bidi="ar"/>
              </w:rPr>
              <w:t>套</w:t>
            </w:r>
          </w:p>
        </w:tc>
        <w:tc>
          <w:tcPr>
            <w:tcW w:w="1727" w:type="dxa"/>
            <w:tcBorders>
              <w:top w:val="single" w:color="auto" w:sz="4" w:space="0"/>
              <w:left w:val="nil"/>
              <w:bottom w:val="single" w:color="auto" w:sz="4" w:space="0"/>
              <w:right w:val="single" w:color="auto" w:sz="4" w:space="0"/>
            </w:tcBorders>
            <w:noWrap w:val="0"/>
            <w:vAlign w:val="center"/>
          </w:tcPr>
          <w:p w14:paraId="1FE987F4">
            <w:pPr>
              <w:keepNext w:val="0"/>
              <w:keepLines w:val="0"/>
              <w:widowControl/>
              <w:suppressLineNumbers w:val="0"/>
              <w:jc w:val="center"/>
              <w:textAlignment w:val="center"/>
              <w:rPr>
                <w:rFonts w:hint="default" w:ascii="Arial" w:hAnsi="Arial" w:cs="Arial"/>
                <w:color w:val="auto"/>
                <w:szCs w:val="21"/>
                <w:highlight w:val="none"/>
                <w:lang w:val="en-US" w:eastAsia="zh-CN"/>
              </w:rPr>
            </w:pPr>
            <w:r>
              <w:rPr>
                <w:rFonts w:hint="default" w:ascii="Arial" w:hAnsi="Arial" w:eastAsia="宋体" w:cs="Arial"/>
                <w:i w:val="0"/>
                <w:iCs w:val="0"/>
                <w:color w:val="000000"/>
                <w:kern w:val="0"/>
                <w:sz w:val="21"/>
                <w:szCs w:val="21"/>
                <w:highlight w:val="none"/>
                <w:u w:val="none"/>
                <w:lang w:val="en-US" w:eastAsia="zh-CN" w:bidi="ar"/>
              </w:rPr>
              <w:t xml:space="preserve">18000.00 </w:t>
            </w:r>
          </w:p>
        </w:tc>
        <w:tc>
          <w:tcPr>
            <w:tcW w:w="1588" w:type="dxa"/>
            <w:vMerge w:val="continue"/>
            <w:tcBorders>
              <w:left w:val="single" w:color="auto" w:sz="4" w:space="0"/>
              <w:right w:val="single" w:color="auto" w:sz="4" w:space="0"/>
            </w:tcBorders>
            <w:noWrap w:val="0"/>
            <w:vAlign w:val="center"/>
          </w:tcPr>
          <w:p w14:paraId="78AF3D6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Arial" w:hAnsi="Arial" w:cs="Arial"/>
                <w:color w:val="auto"/>
                <w:highlight w:val="none"/>
              </w:rPr>
            </w:pPr>
          </w:p>
        </w:tc>
      </w:tr>
      <w:tr w14:paraId="437F7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95" w:type="dxa"/>
            <w:vMerge w:val="continue"/>
            <w:tcBorders>
              <w:left w:val="single" w:color="auto" w:sz="4" w:space="0"/>
              <w:right w:val="single" w:color="auto" w:sz="4" w:space="0"/>
            </w:tcBorders>
            <w:noWrap w:val="0"/>
            <w:vAlign w:val="center"/>
          </w:tcPr>
          <w:p w14:paraId="743A19C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Arial" w:hAnsi="Arial" w:cs="Arial"/>
                <w:color w:val="auto"/>
                <w:highlight w:val="none"/>
                <w:lang w:val="en-US" w:eastAsia="zh-CN"/>
              </w:rPr>
            </w:pPr>
          </w:p>
        </w:tc>
        <w:tc>
          <w:tcPr>
            <w:tcW w:w="671" w:type="dxa"/>
            <w:tcBorders>
              <w:top w:val="single" w:color="auto" w:sz="4" w:space="0"/>
              <w:left w:val="single" w:color="auto" w:sz="4" w:space="0"/>
              <w:bottom w:val="single" w:color="auto" w:sz="4" w:space="0"/>
              <w:right w:val="single" w:color="auto" w:sz="4" w:space="0"/>
            </w:tcBorders>
            <w:noWrap w:val="0"/>
            <w:vAlign w:val="center"/>
          </w:tcPr>
          <w:p w14:paraId="0A17DAD4">
            <w:pPr>
              <w:keepNext w:val="0"/>
              <w:keepLines w:val="0"/>
              <w:widowControl/>
              <w:suppressLineNumbers w:val="0"/>
              <w:jc w:val="center"/>
              <w:textAlignment w:val="center"/>
              <w:rPr>
                <w:rFonts w:hint="default" w:ascii="Arial" w:hAnsi="Arial" w:cs="Arial"/>
                <w:color w:val="auto"/>
                <w:highlight w:val="none"/>
              </w:rPr>
            </w:pPr>
            <w:r>
              <w:rPr>
                <w:rFonts w:hint="default" w:ascii="Arial" w:hAnsi="Arial" w:eastAsia="宋体" w:cs="Arial"/>
                <w:i w:val="0"/>
                <w:iCs w:val="0"/>
                <w:color w:val="000000"/>
                <w:kern w:val="0"/>
                <w:sz w:val="21"/>
                <w:szCs w:val="21"/>
                <w:highlight w:val="none"/>
                <w:u w:val="none"/>
                <w:lang w:val="en-US" w:eastAsia="zh-CN" w:bidi="ar"/>
              </w:rPr>
              <w:t>5</w:t>
            </w:r>
          </w:p>
        </w:tc>
        <w:tc>
          <w:tcPr>
            <w:tcW w:w="2656" w:type="dxa"/>
            <w:tcBorders>
              <w:top w:val="single" w:color="auto" w:sz="4" w:space="0"/>
              <w:left w:val="nil"/>
              <w:bottom w:val="single" w:color="auto" w:sz="4" w:space="0"/>
              <w:right w:val="single" w:color="auto" w:sz="4" w:space="0"/>
            </w:tcBorders>
            <w:noWrap w:val="0"/>
            <w:vAlign w:val="center"/>
          </w:tcPr>
          <w:p w14:paraId="1A1848B4">
            <w:pPr>
              <w:keepNext w:val="0"/>
              <w:keepLines w:val="0"/>
              <w:widowControl/>
              <w:suppressLineNumbers w:val="0"/>
              <w:jc w:val="center"/>
              <w:textAlignment w:val="center"/>
              <w:rPr>
                <w:rFonts w:hint="default" w:ascii="Arial" w:hAnsi="Arial" w:eastAsia="宋体" w:cs="Arial"/>
                <w:color w:val="auto"/>
                <w:szCs w:val="21"/>
                <w:highlight w:val="none"/>
                <w:lang w:eastAsia="zh-CN"/>
              </w:rPr>
            </w:pPr>
            <w:r>
              <w:rPr>
                <w:rFonts w:hint="default" w:ascii="Arial" w:hAnsi="Arial" w:eastAsia="宋体" w:cs="Arial"/>
                <w:i w:val="0"/>
                <w:iCs w:val="0"/>
                <w:color w:val="000000"/>
                <w:kern w:val="0"/>
                <w:sz w:val="21"/>
                <w:szCs w:val="21"/>
                <w:highlight w:val="none"/>
                <w:u w:val="none"/>
                <w:lang w:val="en-US" w:eastAsia="zh-CN" w:bidi="ar"/>
              </w:rPr>
              <w:t>实训室文化建设</w:t>
            </w:r>
          </w:p>
        </w:tc>
        <w:tc>
          <w:tcPr>
            <w:tcW w:w="774" w:type="dxa"/>
            <w:tcBorders>
              <w:top w:val="single" w:color="auto" w:sz="4" w:space="0"/>
              <w:left w:val="nil"/>
              <w:bottom w:val="single" w:color="auto" w:sz="4" w:space="0"/>
              <w:right w:val="single" w:color="auto" w:sz="4" w:space="0"/>
            </w:tcBorders>
            <w:noWrap w:val="0"/>
            <w:vAlign w:val="center"/>
          </w:tcPr>
          <w:p w14:paraId="5507FBD6">
            <w:pPr>
              <w:keepNext w:val="0"/>
              <w:keepLines w:val="0"/>
              <w:widowControl/>
              <w:suppressLineNumbers w:val="0"/>
              <w:jc w:val="center"/>
              <w:textAlignment w:val="center"/>
              <w:rPr>
                <w:rFonts w:hint="default" w:ascii="Arial" w:hAnsi="Arial" w:cs="Arial"/>
                <w:color w:val="auto"/>
                <w:szCs w:val="21"/>
                <w:highlight w:val="none"/>
              </w:rPr>
            </w:pPr>
            <w:r>
              <w:rPr>
                <w:rFonts w:hint="default" w:ascii="Arial" w:hAnsi="Arial" w:eastAsia="宋体" w:cs="Arial"/>
                <w:i w:val="0"/>
                <w:iCs w:val="0"/>
                <w:color w:val="000000"/>
                <w:kern w:val="0"/>
                <w:sz w:val="21"/>
                <w:szCs w:val="21"/>
                <w:highlight w:val="none"/>
                <w:u w:val="none"/>
                <w:lang w:val="en-US" w:eastAsia="zh-CN" w:bidi="ar"/>
              </w:rPr>
              <w:t>1</w:t>
            </w:r>
          </w:p>
        </w:tc>
        <w:tc>
          <w:tcPr>
            <w:tcW w:w="673" w:type="dxa"/>
            <w:tcBorders>
              <w:top w:val="single" w:color="auto" w:sz="4" w:space="0"/>
              <w:left w:val="nil"/>
              <w:bottom w:val="single" w:color="auto" w:sz="4" w:space="0"/>
              <w:right w:val="single" w:color="auto" w:sz="4" w:space="0"/>
            </w:tcBorders>
            <w:noWrap w:val="0"/>
            <w:vAlign w:val="center"/>
          </w:tcPr>
          <w:p w14:paraId="39034C81">
            <w:pPr>
              <w:keepNext w:val="0"/>
              <w:keepLines w:val="0"/>
              <w:widowControl/>
              <w:suppressLineNumbers w:val="0"/>
              <w:jc w:val="center"/>
              <w:textAlignment w:val="center"/>
              <w:rPr>
                <w:rFonts w:hint="eastAsia" w:ascii="Arial" w:hAnsi="Arial" w:eastAsia="宋体" w:cs="Arial"/>
                <w:color w:val="auto"/>
                <w:szCs w:val="21"/>
                <w:highlight w:val="none"/>
                <w:lang w:eastAsia="zh-CN"/>
              </w:rPr>
            </w:pPr>
            <w:r>
              <w:rPr>
                <w:rFonts w:hint="default" w:ascii="Arial" w:hAnsi="Arial" w:eastAsia="宋体" w:cs="Arial"/>
                <w:i w:val="0"/>
                <w:iCs w:val="0"/>
                <w:color w:val="000000"/>
                <w:kern w:val="0"/>
                <w:sz w:val="21"/>
                <w:szCs w:val="21"/>
                <w:highlight w:val="none"/>
                <w:u w:val="none"/>
                <w:lang w:val="en-US" w:eastAsia="zh-CN" w:bidi="ar"/>
              </w:rPr>
              <w:t>项</w:t>
            </w:r>
          </w:p>
        </w:tc>
        <w:tc>
          <w:tcPr>
            <w:tcW w:w="1727" w:type="dxa"/>
            <w:tcBorders>
              <w:top w:val="single" w:color="auto" w:sz="4" w:space="0"/>
              <w:left w:val="nil"/>
              <w:bottom w:val="single" w:color="auto" w:sz="4" w:space="0"/>
              <w:right w:val="single" w:color="auto" w:sz="4" w:space="0"/>
            </w:tcBorders>
            <w:noWrap w:val="0"/>
            <w:vAlign w:val="center"/>
          </w:tcPr>
          <w:p w14:paraId="03E69ECC">
            <w:pPr>
              <w:keepNext w:val="0"/>
              <w:keepLines w:val="0"/>
              <w:widowControl/>
              <w:suppressLineNumbers w:val="0"/>
              <w:jc w:val="center"/>
              <w:textAlignment w:val="center"/>
              <w:rPr>
                <w:rFonts w:hint="default" w:ascii="Arial" w:hAnsi="Arial" w:cs="Arial"/>
                <w:color w:val="auto"/>
                <w:szCs w:val="21"/>
                <w:highlight w:val="none"/>
                <w:lang w:val="en-US" w:eastAsia="zh-CN"/>
              </w:rPr>
            </w:pPr>
            <w:r>
              <w:rPr>
                <w:rFonts w:hint="default" w:ascii="Arial" w:hAnsi="Arial" w:eastAsia="宋体" w:cs="Arial"/>
                <w:i w:val="0"/>
                <w:iCs w:val="0"/>
                <w:color w:val="000000"/>
                <w:kern w:val="0"/>
                <w:sz w:val="21"/>
                <w:szCs w:val="21"/>
                <w:highlight w:val="none"/>
                <w:u w:val="none"/>
                <w:lang w:val="en-US" w:eastAsia="zh-CN" w:bidi="ar"/>
              </w:rPr>
              <w:t xml:space="preserve">95100.00 </w:t>
            </w:r>
          </w:p>
        </w:tc>
        <w:tc>
          <w:tcPr>
            <w:tcW w:w="1588" w:type="dxa"/>
            <w:vMerge w:val="continue"/>
            <w:tcBorders>
              <w:left w:val="single" w:color="auto" w:sz="4" w:space="0"/>
              <w:right w:val="single" w:color="auto" w:sz="4" w:space="0"/>
            </w:tcBorders>
            <w:noWrap w:val="0"/>
            <w:vAlign w:val="center"/>
          </w:tcPr>
          <w:p w14:paraId="2A33BCD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Arial" w:hAnsi="Arial" w:cs="Arial"/>
                <w:color w:val="auto"/>
                <w:highlight w:val="none"/>
              </w:rPr>
            </w:pPr>
          </w:p>
        </w:tc>
      </w:tr>
      <w:tr w14:paraId="49C37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95" w:type="dxa"/>
            <w:vMerge w:val="continue"/>
            <w:tcBorders>
              <w:left w:val="single" w:color="auto" w:sz="4" w:space="0"/>
              <w:right w:val="single" w:color="auto" w:sz="4" w:space="0"/>
            </w:tcBorders>
            <w:noWrap w:val="0"/>
            <w:vAlign w:val="center"/>
          </w:tcPr>
          <w:p w14:paraId="7176620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Arial" w:hAnsi="Arial" w:cs="Arial"/>
                <w:color w:val="auto"/>
                <w:highlight w:val="none"/>
                <w:lang w:val="en-US" w:eastAsia="zh-CN"/>
              </w:rPr>
            </w:pPr>
          </w:p>
        </w:tc>
        <w:tc>
          <w:tcPr>
            <w:tcW w:w="671" w:type="dxa"/>
            <w:tcBorders>
              <w:top w:val="single" w:color="auto" w:sz="4" w:space="0"/>
              <w:left w:val="single" w:color="auto" w:sz="4" w:space="0"/>
              <w:bottom w:val="single" w:color="auto" w:sz="4" w:space="0"/>
              <w:right w:val="single" w:color="auto" w:sz="4" w:space="0"/>
            </w:tcBorders>
            <w:noWrap w:val="0"/>
            <w:vAlign w:val="center"/>
          </w:tcPr>
          <w:p w14:paraId="73DA185D">
            <w:pPr>
              <w:keepNext w:val="0"/>
              <w:keepLines w:val="0"/>
              <w:widowControl/>
              <w:suppressLineNumbers w:val="0"/>
              <w:jc w:val="center"/>
              <w:textAlignment w:val="center"/>
              <w:rPr>
                <w:rFonts w:hint="default" w:ascii="Arial" w:hAnsi="Arial" w:cs="Arial"/>
                <w:color w:val="auto"/>
                <w:highlight w:val="none"/>
              </w:rPr>
            </w:pPr>
            <w:r>
              <w:rPr>
                <w:rFonts w:hint="default" w:ascii="Arial" w:hAnsi="Arial" w:eastAsia="宋体" w:cs="Arial"/>
                <w:i w:val="0"/>
                <w:iCs w:val="0"/>
                <w:color w:val="000000"/>
                <w:kern w:val="0"/>
                <w:sz w:val="21"/>
                <w:szCs w:val="21"/>
                <w:highlight w:val="none"/>
                <w:u w:val="none"/>
                <w:lang w:val="en-US" w:eastAsia="zh-CN" w:bidi="ar"/>
              </w:rPr>
              <w:t>6</w:t>
            </w:r>
          </w:p>
        </w:tc>
        <w:tc>
          <w:tcPr>
            <w:tcW w:w="2656" w:type="dxa"/>
            <w:tcBorders>
              <w:top w:val="single" w:color="auto" w:sz="4" w:space="0"/>
              <w:left w:val="nil"/>
              <w:bottom w:val="single" w:color="auto" w:sz="4" w:space="0"/>
              <w:right w:val="single" w:color="auto" w:sz="4" w:space="0"/>
            </w:tcBorders>
            <w:noWrap w:val="0"/>
            <w:vAlign w:val="center"/>
          </w:tcPr>
          <w:p w14:paraId="04EE5627">
            <w:pPr>
              <w:keepNext w:val="0"/>
              <w:keepLines w:val="0"/>
              <w:widowControl/>
              <w:suppressLineNumbers w:val="0"/>
              <w:jc w:val="center"/>
              <w:textAlignment w:val="center"/>
              <w:rPr>
                <w:rFonts w:hint="default" w:ascii="Arial" w:hAnsi="Arial" w:eastAsia="宋体" w:cs="Arial"/>
                <w:color w:val="auto"/>
                <w:szCs w:val="21"/>
                <w:highlight w:val="none"/>
                <w:lang w:eastAsia="zh-CN"/>
              </w:rPr>
            </w:pPr>
            <w:r>
              <w:rPr>
                <w:rFonts w:hint="default" w:ascii="Arial" w:hAnsi="Arial" w:eastAsia="宋体" w:cs="Arial"/>
                <w:i w:val="0"/>
                <w:iCs w:val="0"/>
                <w:color w:val="000000"/>
                <w:kern w:val="0"/>
                <w:sz w:val="21"/>
                <w:szCs w:val="21"/>
                <w:highlight w:val="none"/>
                <w:u w:val="none"/>
                <w:lang w:val="en-US" w:eastAsia="zh-CN" w:bidi="ar"/>
              </w:rPr>
              <w:t>环境改造</w:t>
            </w:r>
          </w:p>
        </w:tc>
        <w:tc>
          <w:tcPr>
            <w:tcW w:w="774" w:type="dxa"/>
            <w:tcBorders>
              <w:top w:val="single" w:color="auto" w:sz="4" w:space="0"/>
              <w:left w:val="nil"/>
              <w:bottom w:val="single" w:color="auto" w:sz="4" w:space="0"/>
              <w:right w:val="single" w:color="auto" w:sz="4" w:space="0"/>
            </w:tcBorders>
            <w:noWrap w:val="0"/>
            <w:vAlign w:val="center"/>
          </w:tcPr>
          <w:p w14:paraId="3FEA8C6C">
            <w:pPr>
              <w:keepNext w:val="0"/>
              <w:keepLines w:val="0"/>
              <w:widowControl/>
              <w:suppressLineNumbers w:val="0"/>
              <w:jc w:val="center"/>
              <w:textAlignment w:val="center"/>
              <w:rPr>
                <w:rFonts w:hint="default" w:ascii="Arial" w:hAnsi="Arial" w:cs="Arial"/>
                <w:color w:val="auto"/>
                <w:szCs w:val="21"/>
                <w:highlight w:val="none"/>
              </w:rPr>
            </w:pPr>
            <w:r>
              <w:rPr>
                <w:rFonts w:hint="default" w:ascii="Arial" w:hAnsi="Arial" w:eastAsia="宋体" w:cs="Arial"/>
                <w:i w:val="0"/>
                <w:iCs w:val="0"/>
                <w:color w:val="000000"/>
                <w:kern w:val="0"/>
                <w:sz w:val="21"/>
                <w:szCs w:val="21"/>
                <w:highlight w:val="none"/>
                <w:u w:val="none"/>
                <w:lang w:val="en-US" w:eastAsia="zh-CN" w:bidi="ar"/>
              </w:rPr>
              <w:t>1</w:t>
            </w:r>
          </w:p>
        </w:tc>
        <w:tc>
          <w:tcPr>
            <w:tcW w:w="673" w:type="dxa"/>
            <w:tcBorders>
              <w:top w:val="single" w:color="auto" w:sz="4" w:space="0"/>
              <w:left w:val="nil"/>
              <w:bottom w:val="single" w:color="auto" w:sz="4" w:space="0"/>
              <w:right w:val="single" w:color="auto" w:sz="4" w:space="0"/>
            </w:tcBorders>
            <w:noWrap w:val="0"/>
            <w:vAlign w:val="center"/>
          </w:tcPr>
          <w:p w14:paraId="0ADF374E">
            <w:pPr>
              <w:keepNext w:val="0"/>
              <w:keepLines w:val="0"/>
              <w:widowControl/>
              <w:suppressLineNumbers w:val="0"/>
              <w:jc w:val="center"/>
              <w:textAlignment w:val="center"/>
              <w:rPr>
                <w:rFonts w:hint="eastAsia" w:ascii="Arial" w:hAnsi="Arial" w:eastAsia="宋体" w:cs="Arial"/>
                <w:color w:val="auto"/>
                <w:szCs w:val="21"/>
                <w:highlight w:val="none"/>
                <w:lang w:eastAsia="zh-CN"/>
              </w:rPr>
            </w:pPr>
            <w:r>
              <w:rPr>
                <w:rFonts w:hint="default" w:ascii="Arial" w:hAnsi="Arial" w:eastAsia="宋体" w:cs="Arial"/>
                <w:i w:val="0"/>
                <w:iCs w:val="0"/>
                <w:color w:val="000000"/>
                <w:kern w:val="0"/>
                <w:sz w:val="21"/>
                <w:szCs w:val="21"/>
                <w:highlight w:val="none"/>
                <w:u w:val="none"/>
                <w:lang w:val="en-US" w:eastAsia="zh-CN" w:bidi="ar"/>
              </w:rPr>
              <w:t>项</w:t>
            </w:r>
          </w:p>
        </w:tc>
        <w:tc>
          <w:tcPr>
            <w:tcW w:w="1727" w:type="dxa"/>
            <w:tcBorders>
              <w:top w:val="single" w:color="auto" w:sz="4" w:space="0"/>
              <w:left w:val="nil"/>
              <w:bottom w:val="single" w:color="auto" w:sz="4" w:space="0"/>
              <w:right w:val="single" w:color="auto" w:sz="4" w:space="0"/>
            </w:tcBorders>
            <w:noWrap w:val="0"/>
            <w:vAlign w:val="center"/>
          </w:tcPr>
          <w:p w14:paraId="6943280F">
            <w:pPr>
              <w:keepNext w:val="0"/>
              <w:keepLines w:val="0"/>
              <w:widowControl/>
              <w:suppressLineNumbers w:val="0"/>
              <w:jc w:val="center"/>
              <w:textAlignment w:val="center"/>
              <w:rPr>
                <w:rFonts w:hint="default" w:ascii="Arial" w:hAnsi="Arial" w:cs="Arial"/>
                <w:color w:val="auto"/>
                <w:szCs w:val="21"/>
                <w:highlight w:val="none"/>
                <w:lang w:val="en-US" w:eastAsia="zh-CN"/>
              </w:rPr>
            </w:pPr>
            <w:r>
              <w:rPr>
                <w:rFonts w:hint="default" w:ascii="Arial" w:hAnsi="Arial" w:eastAsia="宋体" w:cs="Arial"/>
                <w:i w:val="0"/>
                <w:iCs w:val="0"/>
                <w:color w:val="000000"/>
                <w:kern w:val="0"/>
                <w:sz w:val="21"/>
                <w:szCs w:val="21"/>
                <w:highlight w:val="none"/>
                <w:u w:val="none"/>
                <w:lang w:val="en-US" w:eastAsia="zh-CN" w:bidi="ar"/>
              </w:rPr>
              <w:t xml:space="preserve">163300.00 </w:t>
            </w:r>
          </w:p>
        </w:tc>
        <w:tc>
          <w:tcPr>
            <w:tcW w:w="1588" w:type="dxa"/>
            <w:vMerge w:val="continue"/>
            <w:tcBorders>
              <w:left w:val="single" w:color="auto" w:sz="4" w:space="0"/>
              <w:right w:val="single" w:color="auto" w:sz="4" w:space="0"/>
            </w:tcBorders>
            <w:noWrap w:val="0"/>
            <w:vAlign w:val="center"/>
          </w:tcPr>
          <w:p w14:paraId="027236C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Arial" w:hAnsi="Arial" w:cs="Arial"/>
                <w:color w:val="auto"/>
                <w:highlight w:val="none"/>
              </w:rPr>
            </w:pPr>
          </w:p>
        </w:tc>
      </w:tr>
      <w:tr w14:paraId="27C7A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95" w:type="dxa"/>
            <w:vMerge w:val="continue"/>
            <w:tcBorders>
              <w:left w:val="single" w:color="auto" w:sz="4" w:space="0"/>
              <w:right w:val="single" w:color="auto" w:sz="4" w:space="0"/>
            </w:tcBorders>
            <w:noWrap w:val="0"/>
            <w:vAlign w:val="center"/>
          </w:tcPr>
          <w:p w14:paraId="0F4F43A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Arial" w:hAnsi="Arial" w:cs="Arial"/>
                <w:color w:val="auto"/>
                <w:highlight w:val="none"/>
                <w:lang w:val="en-US" w:eastAsia="zh-CN"/>
              </w:rPr>
            </w:pPr>
          </w:p>
        </w:tc>
        <w:tc>
          <w:tcPr>
            <w:tcW w:w="671" w:type="dxa"/>
            <w:tcBorders>
              <w:top w:val="single" w:color="auto" w:sz="4" w:space="0"/>
              <w:left w:val="single" w:color="auto" w:sz="4" w:space="0"/>
              <w:bottom w:val="single" w:color="auto" w:sz="4" w:space="0"/>
              <w:right w:val="single" w:color="auto" w:sz="4" w:space="0"/>
            </w:tcBorders>
            <w:noWrap w:val="0"/>
            <w:vAlign w:val="center"/>
          </w:tcPr>
          <w:p w14:paraId="49A72F0C">
            <w:pPr>
              <w:keepNext w:val="0"/>
              <w:keepLines w:val="0"/>
              <w:widowControl/>
              <w:suppressLineNumbers w:val="0"/>
              <w:jc w:val="center"/>
              <w:textAlignment w:val="center"/>
              <w:rPr>
                <w:rFonts w:hint="default" w:ascii="Arial" w:hAnsi="Arial" w:cs="Arial"/>
                <w:color w:val="auto"/>
                <w:highlight w:val="none"/>
              </w:rPr>
            </w:pPr>
            <w:r>
              <w:rPr>
                <w:rFonts w:hint="default" w:ascii="Arial" w:hAnsi="Arial" w:eastAsia="宋体" w:cs="Arial"/>
                <w:i w:val="0"/>
                <w:iCs w:val="0"/>
                <w:color w:val="000000"/>
                <w:kern w:val="0"/>
                <w:sz w:val="21"/>
                <w:szCs w:val="21"/>
                <w:highlight w:val="none"/>
                <w:u w:val="none"/>
                <w:lang w:val="en-US" w:eastAsia="zh-CN" w:bidi="ar"/>
              </w:rPr>
              <w:t>7</w:t>
            </w:r>
          </w:p>
        </w:tc>
        <w:tc>
          <w:tcPr>
            <w:tcW w:w="2656" w:type="dxa"/>
            <w:tcBorders>
              <w:top w:val="single" w:color="auto" w:sz="4" w:space="0"/>
              <w:left w:val="nil"/>
              <w:bottom w:val="single" w:color="auto" w:sz="4" w:space="0"/>
              <w:right w:val="single" w:color="auto" w:sz="4" w:space="0"/>
            </w:tcBorders>
            <w:noWrap w:val="0"/>
            <w:vAlign w:val="center"/>
          </w:tcPr>
          <w:p w14:paraId="18053460">
            <w:pPr>
              <w:keepNext w:val="0"/>
              <w:keepLines w:val="0"/>
              <w:widowControl/>
              <w:suppressLineNumbers w:val="0"/>
              <w:jc w:val="center"/>
              <w:textAlignment w:val="center"/>
              <w:rPr>
                <w:rFonts w:hint="default" w:ascii="Arial" w:hAnsi="Arial" w:eastAsia="宋体" w:cs="Arial"/>
                <w:color w:val="auto"/>
                <w:szCs w:val="21"/>
                <w:highlight w:val="none"/>
                <w:lang w:eastAsia="zh-CN"/>
              </w:rPr>
            </w:pPr>
            <w:r>
              <w:rPr>
                <w:rFonts w:hint="default" w:ascii="Arial" w:hAnsi="Arial" w:eastAsia="宋体" w:cs="Arial"/>
                <w:i w:val="0"/>
                <w:iCs w:val="0"/>
                <w:color w:val="000000"/>
                <w:kern w:val="0"/>
                <w:sz w:val="21"/>
                <w:szCs w:val="21"/>
                <w:highlight w:val="none"/>
                <w:u w:val="none"/>
                <w:lang w:val="en-US" w:eastAsia="zh-CN" w:bidi="ar"/>
              </w:rPr>
              <w:t>六门冰箱</w:t>
            </w:r>
          </w:p>
        </w:tc>
        <w:tc>
          <w:tcPr>
            <w:tcW w:w="774" w:type="dxa"/>
            <w:tcBorders>
              <w:top w:val="single" w:color="auto" w:sz="4" w:space="0"/>
              <w:left w:val="nil"/>
              <w:bottom w:val="single" w:color="auto" w:sz="4" w:space="0"/>
              <w:right w:val="single" w:color="auto" w:sz="4" w:space="0"/>
            </w:tcBorders>
            <w:noWrap w:val="0"/>
            <w:vAlign w:val="center"/>
          </w:tcPr>
          <w:p w14:paraId="5FE6B464">
            <w:pPr>
              <w:keepNext w:val="0"/>
              <w:keepLines w:val="0"/>
              <w:widowControl/>
              <w:suppressLineNumbers w:val="0"/>
              <w:jc w:val="center"/>
              <w:textAlignment w:val="center"/>
              <w:rPr>
                <w:rFonts w:hint="default" w:ascii="Arial" w:hAnsi="Arial" w:cs="Arial"/>
                <w:color w:val="auto"/>
                <w:szCs w:val="21"/>
                <w:highlight w:val="none"/>
              </w:rPr>
            </w:pPr>
            <w:r>
              <w:rPr>
                <w:rFonts w:hint="default" w:ascii="Arial" w:hAnsi="Arial" w:eastAsia="宋体" w:cs="Arial"/>
                <w:i w:val="0"/>
                <w:iCs w:val="0"/>
                <w:color w:val="000000"/>
                <w:kern w:val="0"/>
                <w:sz w:val="21"/>
                <w:szCs w:val="21"/>
                <w:highlight w:val="none"/>
                <w:u w:val="none"/>
                <w:lang w:val="en-US" w:eastAsia="zh-CN" w:bidi="ar"/>
              </w:rPr>
              <w:t>8</w:t>
            </w:r>
          </w:p>
        </w:tc>
        <w:tc>
          <w:tcPr>
            <w:tcW w:w="673" w:type="dxa"/>
            <w:tcBorders>
              <w:top w:val="single" w:color="auto" w:sz="4" w:space="0"/>
              <w:left w:val="nil"/>
              <w:bottom w:val="single" w:color="auto" w:sz="4" w:space="0"/>
              <w:right w:val="single" w:color="auto" w:sz="4" w:space="0"/>
            </w:tcBorders>
            <w:noWrap w:val="0"/>
            <w:vAlign w:val="center"/>
          </w:tcPr>
          <w:p w14:paraId="135FBB55">
            <w:pPr>
              <w:keepNext w:val="0"/>
              <w:keepLines w:val="0"/>
              <w:widowControl/>
              <w:suppressLineNumbers w:val="0"/>
              <w:jc w:val="center"/>
              <w:textAlignment w:val="center"/>
              <w:rPr>
                <w:rFonts w:hint="eastAsia" w:ascii="Arial" w:hAnsi="Arial" w:eastAsia="宋体" w:cs="Arial"/>
                <w:color w:val="auto"/>
                <w:szCs w:val="21"/>
                <w:highlight w:val="none"/>
                <w:lang w:eastAsia="zh-CN"/>
              </w:rPr>
            </w:pPr>
            <w:r>
              <w:rPr>
                <w:rFonts w:hint="default" w:ascii="Arial" w:hAnsi="Arial" w:eastAsia="宋体" w:cs="Arial"/>
                <w:i w:val="0"/>
                <w:iCs w:val="0"/>
                <w:color w:val="000000"/>
                <w:kern w:val="0"/>
                <w:sz w:val="21"/>
                <w:szCs w:val="21"/>
                <w:highlight w:val="none"/>
                <w:u w:val="none"/>
                <w:lang w:val="en-US" w:eastAsia="zh-CN" w:bidi="ar"/>
              </w:rPr>
              <w:t>台</w:t>
            </w:r>
          </w:p>
        </w:tc>
        <w:tc>
          <w:tcPr>
            <w:tcW w:w="1727" w:type="dxa"/>
            <w:tcBorders>
              <w:top w:val="single" w:color="auto" w:sz="4" w:space="0"/>
              <w:left w:val="nil"/>
              <w:bottom w:val="single" w:color="auto" w:sz="4" w:space="0"/>
              <w:right w:val="single" w:color="auto" w:sz="4" w:space="0"/>
            </w:tcBorders>
            <w:noWrap w:val="0"/>
            <w:vAlign w:val="center"/>
          </w:tcPr>
          <w:p w14:paraId="2A49BFF2">
            <w:pPr>
              <w:keepNext w:val="0"/>
              <w:keepLines w:val="0"/>
              <w:widowControl/>
              <w:suppressLineNumbers w:val="0"/>
              <w:jc w:val="center"/>
              <w:textAlignment w:val="center"/>
              <w:rPr>
                <w:rFonts w:hint="default" w:ascii="Arial" w:hAnsi="Arial" w:cs="Arial"/>
                <w:color w:val="auto"/>
                <w:szCs w:val="21"/>
                <w:highlight w:val="none"/>
                <w:lang w:val="en-US" w:eastAsia="zh-CN"/>
              </w:rPr>
            </w:pPr>
            <w:r>
              <w:rPr>
                <w:rFonts w:hint="default" w:ascii="Arial" w:hAnsi="Arial" w:eastAsia="宋体" w:cs="Arial"/>
                <w:i w:val="0"/>
                <w:iCs w:val="0"/>
                <w:color w:val="000000"/>
                <w:kern w:val="0"/>
                <w:sz w:val="21"/>
                <w:szCs w:val="21"/>
                <w:highlight w:val="none"/>
                <w:u w:val="none"/>
                <w:lang w:val="en-US" w:eastAsia="zh-CN" w:bidi="ar"/>
              </w:rPr>
              <w:t xml:space="preserve">5500.00 </w:t>
            </w:r>
          </w:p>
        </w:tc>
        <w:tc>
          <w:tcPr>
            <w:tcW w:w="1588" w:type="dxa"/>
            <w:vMerge w:val="continue"/>
            <w:tcBorders>
              <w:left w:val="single" w:color="auto" w:sz="4" w:space="0"/>
              <w:right w:val="single" w:color="auto" w:sz="4" w:space="0"/>
            </w:tcBorders>
            <w:noWrap w:val="0"/>
            <w:vAlign w:val="center"/>
          </w:tcPr>
          <w:p w14:paraId="5E83C49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Arial" w:hAnsi="Arial" w:cs="Arial"/>
                <w:color w:val="auto"/>
                <w:highlight w:val="none"/>
              </w:rPr>
            </w:pPr>
          </w:p>
        </w:tc>
      </w:tr>
      <w:tr w14:paraId="235D2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95" w:type="dxa"/>
            <w:vMerge w:val="continue"/>
            <w:tcBorders>
              <w:left w:val="single" w:color="auto" w:sz="4" w:space="0"/>
              <w:right w:val="single" w:color="auto" w:sz="4" w:space="0"/>
            </w:tcBorders>
            <w:noWrap w:val="0"/>
            <w:vAlign w:val="center"/>
          </w:tcPr>
          <w:p w14:paraId="602E921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Arial" w:hAnsi="Arial" w:cs="Arial"/>
                <w:color w:val="auto"/>
                <w:highlight w:val="none"/>
                <w:lang w:val="en-US" w:eastAsia="zh-CN"/>
              </w:rPr>
            </w:pPr>
          </w:p>
        </w:tc>
        <w:tc>
          <w:tcPr>
            <w:tcW w:w="671" w:type="dxa"/>
            <w:tcBorders>
              <w:top w:val="single" w:color="auto" w:sz="4" w:space="0"/>
              <w:left w:val="single" w:color="auto" w:sz="4" w:space="0"/>
              <w:bottom w:val="single" w:color="auto" w:sz="4" w:space="0"/>
              <w:right w:val="single" w:color="auto" w:sz="4" w:space="0"/>
            </w:tcBorders>
            <w:noWrap w:val="0"/>
            <w:vAlign w:val="center"/>
          </w:tcPr>
          <w:p w14:paraId="6761308F">
            <w:pPr>
              <w:keepNext w:val="0"/>
              <w:keepLines w:val="0"/>
              <w:widowControl/>
              <w:suppressLineNumbers w:val="0"/>
              <w:jc w:val="center"/>
              <w:textAlignment w:val="center"/>
              <w:rPr>
                <w:rFonts w:hint="default" w:ascii="Arial" w:hAnsi="Arial" w:cs="Arial"/>
                <w:color w:val="auto"/>
                <w:highlight w:val="none"/>
              </w:rPr>
            </w:pPr>
            <w:r>
              <w:rPr>
                <w:rFonts w:hint="default" w:ascii="Arial" w:hAnsi="Arial" w:eastAsia="宋体" w:cs="Arial"/>
                <w:i w:val="0"/>
                <w:iCs w:val="0"/>
                <w:color w:val="000000"/>
                <w:kern w:val="0"/>
                <w:sz w:val="21"/>
                <w:szCs w:val="21"/>
                <w:highlight w:val="none"/>
                <w:u w:val="none"/>
                <w:lang w:val="en-US" w:eastAsia="zh-CN" w:bidi="ar"/>
              </w:rPr>
              <w:t>8</w:t>
            </w:r>
          </w:p>
        </w:tc>
        <w:tc>
          <w:tcPr>
            <w:tcW w:w="2656" w:type="dxa"/>
            <w:tcBorders>
              <w:top w:val="single" w:color="auto" w:sz="4" w:space="0"/>
              <w:left w:val="nil"/>
              <w:bottom w:val="single" w:color="auto" w:sz="4" w:space="0"/>
              <w:right w:val="single" w:color="auto" w:sz="4" w:space="0"/>
            </w:tcBorders>
            <w:noWrap w:val="0"/>
            <w:vAlign w:val="center"/>
          </w:tcPr>
          <w:p w14:paraId="491DFD19">
            <w:pPr>
              <w:keepNext w:val="0"/>
              <w:keepLines w:val="0"/>
              <w:widowControl/>
              <w:suppressLineNumbers w:val="0"/>
              <w:jc w:val="center"/>
              <w:textAlignment w:val="center"/>
              <w:rPr>
                <w:rFonts w:hint="default" w:ascii="Arial" w:hAnsi="Arial" w:eastAsia="宋体" w:cs="Arial"/>
                <w:color w:val="auto"/>
                <w:szCs w:val="21"/>
                <w:highlight w:val="none"/>
                <w:lang w:eastAsia="zh-CN"/>
              </w:rPr>
            </w:pPr>
            <w:r>
              <w:rPr>
                <w:rFonts w:hint="default" w:ascii="Arial" w:hAnsi="Arial" w:eastAsia="宋体" w:cs="Arial"/>
                <w:i w:val="0"/>
                <w:iCs w:val="0"/>
                <w:color w:val="000000"/>
                <w:kern w:val="0"/>
                <w:sz w:val="21"/>
                <w:szCs w:val="21"/>
                <w:highlight w:val="none"/>
                <w:u w:val="none"/>
                <w:lang w:val="en-US" w:eastAsia="zh-CN" w:bidi="ar"/>
              </w:rPr>
              <w:t>储物箱</w:t>
            </w:r>
          </w:p>
        </w:tc>
        <w:tc>
          <w:tcPr>
            <w:tcW w:w="774" w:type="dxa"/>
            <w:tcBorders>
              <w:top w:val="single" w:color="auto" w:sz="4" w:space="0"/>
              <w:left w:val="nil"/>
              <w:bottom w:val="single" w:color="auto" w:sz="4" w:space="0"/>
              <w:right w:val="single" w:color="auto" w:sz="4" w:space="0"/>
            </w:tcBorders>
            <w:noWrap w:val="0"/>
            <w:vAlign w:val="center"/>
          </w:tcPr>
          <w:p w14:paraId="3DFA80EC">
            <w:pPr>
              <w:keepNext w:val="0"/>
              <w:keepLines w:val="0"/>
              <w:widowControl/>
              <w:suppressLineNumbers w:val="0"/>
              <w:jc w:val="center"/>
              <w:textAlignment w:val="center"/>
              <w:rPr>
                <w:rFonts w:hint="default" w:ascii="Arial" w:hAnsi="Arial" w:cs="Arial"/>
                <w:color w:val="auto"/>
                <w:szCs w:val="21"/>
                <w:highlight w:val="none"/>
              </w:rPr>
            </w:pPr>
            <w:r>
              <w:rPr>
                <w:rFonts w:hint="default" w:ascii="Arial" w:hAnsi="Arial" w:eastAsia="宋体" w:cs="Arial"/>
                <w:i w:val="0"/>
                <w:iCs w:val="0"/>
                <w:color w:val="000000"/>
                <w:kern w:val="0"/>
                <w:sz w:val="21"/>
                <w:szCs w:val="21"/>
                <w:highlight w:val="none"/>
                <w:u w:val="none"/>
                <w:lang w:val="en-US" w:eastAsia="zh-CN" w:bidi="ar"/>
              </w:rPr>
              <w:t>5</w:t>
            </w:r>
          </w:p>
        </w:tc>
        <w:tc>
          <w:tcPr>
            <w:tcW w:w="673" w:type="dxa"/>
            <w:tcBorders>
              <w:top w:val="single" w:color="auto" w:sz="4" w:space="0"/>
              <w:left w:val="nil"/>
              <w:bottom w:val="single" w:color="auto" w:sz="4" w:space="0"/>
              <w:right w:val="single" w:color="auto" w:sz="4" w:space="0"/>
            </w:tcBorders>
            <w:noWrap w:val="0"/>
            <w:vAlign w:val="center"/>
          </w:tcPr>
          <w:p w14:paraId="5DCEFB3A">
            <w:pPr>
              <w:keepNext w:val="0"/>
              <w:keepLines w:val="0"/>
              <w:widowControl/>
              <w:suppressLineNumbers w:val="0"/>
              <w:jc w:val="center"/>
              <w:textAlignment w:val="center"/>
              <w:rPr>
                <w:rFonts w:hint="eastAsia" w:ascii="Arial" w:hAnsi="Arial" w:eastAsia="宋体" w:cs="Arial"/>
                <w:color w:val="auto"/>
                <w:szCs w:val="21"/>
                <w:highlight w:val="none"/>
                <w:lang w:eastAsia="zh-CN"/>
              </w:rPr>
            </w:pPr>
            <w:r>
              <w:rPr>
                <w:rFonts w:hint="default" w:ascii="Arial" w:hAnsi="Arial" w:eastAsia="宋体" w:cs="Arial"/>
                <w:i w:val="0"/>
                <w:iCs w:val="0"/>
                <w:color w:val="000000"/>
                <w:kern w:val="0"/>
                <w:sz w:val="21"/>
                <w:szCs w:val="21"/>
                <w:highlight w:val="none"/>
                <w:u w:val="none"/>
                <w:lang w:val="en-US" w:eastAsia="zh-CN" w:bidi="ar"/>
              </w:rPr>
              <w:t>个</w:t>
            </w:r>
          </w:p>
        </w:tc>
        <w:tc>
          <w:tcPr>
            <w:tcW w:w="1727" w:type="dxa"/>
            <w:tcBorders>
              <w:top w:val="single" w:color="auto" w:sz="4" w:space="0"/>
              <w:left w:val="nil"/>
              <w:bottom w:val="single" w:color="auto" w:sz="4" w:space="0"/>
              <w:right w:val="single" w:color="auto" w:sz="4" w:space="0"/>
            </w:tcBorders>
            <w:noWrap w:val="0"/>
            <w:vAlign w:val="center"/>
          </w:tcPr>
          <w:p w14:paraId="71C82896">
            <w:pPr>
              <w:keepNext w:val="0"/>
              <w:keepLines w:val="0"/>
              <w:widowControl/>
              <w:suppressLineNumbers w:val="0"/>
              <w:jc w:val="center"/>
              <w:textAlignment w:val="center"/>
              <w:rPr>
                <w:rFonts w:hint="default" w:ascii="Arial" w:hAnsi="Arial" w:cs="Arial"/>
                <w:color w:val="auto"/>
                <w:szCs w:val="21"/>
                <w:highlight w:val="none"/>
                <w:lang w:val="en-US" w:eastAsia="zh-CN"/>
              </w:rPr>
            </w:pPr>
            <w:r>
              <w:rPr>
                <w:rFonts w:hint="default" w:ascii="Arial" w:hAnsi="Arial" w:eastAsia="宋体" w:cs="Arial"/>
                <w:i w:val="0"/>
                <w:iCs w:val="0"/>
                <w:color w:val="000000"/>
                <w:kern w:val="0"/>
                <w:sz w:val="21"/>
                <w:szCs w:val="21"/>
                <w:highlight w:val="none"/>
                <w:u w:val="none"/>
                <w:lang w:val="en-US" w:eastAsia="zh-CN" w:bidi="ar"/>
              </w:rPr>
              <w:t xml:space="preserve">1950.00 </w:t>
            </w:r>
          </w:p>
        </w:tc>
        <w:tc>
          <w:tcPr>
            <w:tcW w:w="1588" w:type="dxa"/>
            <w:vMerge w:val="continue"/>
            <w:tcBorders>
              <w:left w:val="single" w:color="auto" w:sz="4" w:space="0"/>
              <w:right w:val="single" w:color="auto" w:sz="4" w:space="0"/>
            </w:tcBorders>
            <w:noWrap w:val="0"/>
            <w:vAlign w:val="center"/>
          </w:tcPr>
          <w:p w14:paraId="34A6082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Arial" w:hAnsi="Arial" w:cs="Arial"/>
                <w:color w:val="auto"/>
                <w:highlight w:val="none"/>
              </w:rPr>
            </w:pPr>
          </w:p>
        </w:tc>
      </w:tr>
      <w:tr w14:paraId="66EAE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95" w:type="dxa"/>
            <w:vMerge w:val="continue"/>
            <w:tcBorders>
              <w:left w:val="single" w:color="auto" w:sz="4" w:space="0"/>
              <w:right w:val="single" w:color="auto" w:sz="4" w:space="0"/>
            </w:tcBorders>
            <w:noWrap w:val="0"/>
            <w:vAlign w:val="center"/>
          </w:tcPr>
          <w:p w14:paraId="18E53D7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Arial" w:hAnsi="Arial" w:cs="Arial"/>
                <w:color w:val="auto"/>
                <w:highlight w:val="none"/>
                <w:lang w:val="en-US" w:eastAsia="zh-CN"/>
              </w:rPr>
            </w:pPr>
          </w:p>
        </w:tc>
        <w:tc>
          <w:tcPr>
            <w:tcW w:w="671" w:type="dxa"/>
            <w:tcBorders>
              <w:top w:val="single" w:color="auto" w:sz="4" w:space="0"/>
              <w:left w:val="single" w:color="auto" w:sz="4" w:space="0"/>
              <w:bottom w:val="single" w:color="auto" w:sz="4" w:space="0"/>
              <w:right w:val="single" w:color="auto" w:sz="4" w:space="0"/>
            </w:tcBorders>
            <w:noWrap w:val="0"/>
            <w:vAlign w:val="center"/>
          </w:tcPr>
          <w:p w14:paraId="7D4F613B">
            <w:pPr>
              <w:keepNext w:val="0"/>
              <w:keepLines w:val="0"/>
              <w:widowControl/>
              <w:suppressLineNumbers w:val="0"/>
              <w:jc w:val="center"/>
              <w:textAlignment w:val="center"/>
              <w:rPr>
                <w:rFonts w:hint="default" w:ascii="Arial" w:hAnsi="Arial" w:cs="Arial"/>
                <w:color w:val="auto"/>
                <w:highlight w:val="none"/>
              </w:rPr>
            </w:pPr>
            <w:r>
              <w:rPr>
                <w:rFonts w:hint="default" w:ascii="Arial" w:hAnsi="Arial" w:eastAsia="宋体" w:cs="Arial"/>
                <w:i w:val="0"/>
                <w:iCs w:val="0"/>
                <w:color w:val="000000"/>
                <w:kern w:val="0"/>
                <w:sz w:val="21"/>
                <w:szCs w:val="21"/>
                <w:highlight w:val="none"/>
                <w:u w:val="none"/>
                <w:lang w:val="en-US" w:eastAsia="zh-CN" w:bidi="ar"/>
              </w:rPr>
              <w:t>9</w:t>
            </w:r>
          </w:p>
        </w:tc>
        <w:tc>
          <w:tcPr>
            <w:tcW w:w="2656" w:type="dxa"/>
            <w:tcBorders>
              <w:top w:val="single" w:color="auto" w:sz="4" w:space="0"/>
              <w:left w:val="nil"/>
              <w:bottom w:val="single" w:color="auto" w:sz="4" w:space="0"/>
              <w:right w:val="single" w:color="auto" w:sz="4" w:space="0"/>
            </w:tcBorders>
            <w:noWrap w:val="0"/>
            <w:vAlign w:val="center"/>
          </w:tcPr>
          <w:p w14:paraId="70252649">
            <w:pPr>
              <w:keepNext w:val="0"/>
              <w:keepLines w:val="0"/>
              <w:widowControl/>
              <w:suppressLineNumbers w:val="0"/>
              <w:jc w:val="center"/>
              <w:textAlignment w:val="center"/>
              <w:rPr>
                <w:rFonts w:hint="default" w:ascii="Arial" w:hAnsi="Arial" w:eastAsia="宋体" w:cs="Arial"/>
                <w:color w:val="auto"/>
                <w:szCs w:val="21"/>
                <w:highlight w:val="none"/>
                <w:lang w:eastAsia="zh-CN"/>
              </w:rPr>
            </w:pPr>
            <w:r>
              <w:rPr>
                <w:rFonts w:hint="default" w:ascii="Arial" w:hAnsi="Arial" w:eastAsia="宋体" w:cs="Arial"/>
                <w:i w:val="0"/>
                <w:iCs w:val="0"/>
                <w:color w:val="000000"/>
                <w:kern w:val="0"/>
                <w:sz w:val="21"/>
                <w:szCs w:val="21"/>
                <w:highlight w:val="none"/>
                <w:u w:val="none"/>
                <w:lang w:val="en-US" w:eastAsia="zh-CN" w:bidi="ar"/>
              </w:rPr>
              <w:t>双门晾鸭机</w:t>
            </w:r>
          </w:p>
        </w:tc>
        <w:tc>
          <w:tcPr>
            <w:tcW w:w="774" w:type="dxa"/>
            <w:tcBorders>
              <w:top w:val="single" w:color="auto" w:sz="4" w:space="0"/>
              <w:left w:val="nil"/>
              <w:bottom w:val="single" w:color="auto" w:sz="4" w:space="0"/>
              <w:right w:val="single" w:color="auto" w:sz="4" w:space="0"/>
            </w:tcBorders>
            <w:noWrap w:val="0"/>
            <w:vAlign w:val="center"/>
          </w:tcPr>
          <w:p w14:paraId="56523969">
            <w:pPr>
              <w:keepNext w:val="0"/>
              <w:keepLines w:val="0"/>
              <w:widowControl/>
              <w:suppressLineNumbers w:val="0"/>
              <w:jc w:val="center"/>
              <w:textAlignment w:val="center"/>
              <w:rPr>
                <w:rFonts w:hint="default" w:ascii="Arial" w:hAnsi="Arial" w:cs="Arial"/>
                <w:color w:val="auto"/>
                <w:szCs w:val="21"/>
                <w:highlight w:val="none"/>
              </w:rPr>
            </w:pPr>
            <w:r>
              <w:rPr>
                <w:rFonts w:hint="default" w:ascii="Arial" w:hAnsi="Arial" w:eastAsia="宋体" w:cs="Arial"/>
                <w:i w:val="0"/>
                <w:iCs w:val="0"/>
                <w:color w:val="000000"/>
                <w:kern w:val="0"/>
                <w:sz w:val="21"/>
                <w:szCs w:val="21"/>
                <w:highlight w:val="none"/>
                <w:u w:val="none"/>
                <w:lang w:val="en-US" w:eastAsia="zh-CN" w:bidi="ar"/>
              </w:rPr>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6350" cy="6350"/>
                  <wp:effectExtent l="0" t="0" r="0" b="0"/>
                  <wp:wrapNone/>
                  <wp:docPr id="42" name="图片_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_24"/>
                          <pic:cNvPicPr>
                            <a:picLocks noChangeAspect="1"/>
                          </pic:cNvPicPr>
                        </pic:nvPicPr>
                        <pic:blipFill>
                          <a:blip r:embed="rId11" r:link="rId12"/>
                          <a:stretch>
                            <a:fillRect/>
                          </a:stretch>
                        </pic:blipFill>
                        <pic:spPr>
                          <a:xfrm>
                            <a:off x="5486400" y="1962150"/>
                            <a:ext cx="6350" cy="6350"/>
                          </a:xfrm>
                          <a:prstGeom prst="rect">
                            <a:avLst/>
                          </a:prstGeom>
                          <a:noFill/>
                          <a:ln w="9525">
                            <a:noFill/>
                          </a:ln>
                        </pic:spPr>
                      </pic:pic>
                    </a:graphicData>
                  </a:graphic>
                </wp:anchor>
              </w:drawing>
            </w:r>
            <w:r>
              <w:rPr>
                <w:rFonts w:hint="default" w:ascii="Arial" w:hAnsi="Arial" w:eastAsia="宋体" w:cs="Arial"/>
                <w:i w:val="0"/>
                <w:iCs w:val="0"/>
                <w:color w:val="000000"/>
                <w:kern w:val="0"/>
                <w:sz w:val="21"/>
                <w:szCs w:val="21"/>
                <w:highlight w:val="none"/>
                <w:u w:val="none"/>
                <w:lang w:val="en-US" w:eastAsia="zh-CN" w:bidi="ar"/>
              </w:rPr>
              <w:t>1</w:t>
            </w:r>
          </w:p>
        </w:tc>
        <w:tc>
          <w:tcPr>
            <w:tcW w:w="673" w:type="dxa"/>
            <w:tcBorders>
              <w:top w:val="single" w:color="auto" w:sz="4" w:space="0"/>
              <w:left w:val="nil"/>
              <w:bottom w:val="single" w:color="auto" w:sz="4" w:space="0"/>
              <w:right w:val="single" w:color="auto" w:sz="4" w:space="0"/>
            </w:tcBorders>
            <w:noWrap w:val="0"/>
            <w:vAlign w:val="center"/>
          </w:tcPr>
          <w:p w14:paraId="4CA43E09">
            <w:pPr>
              <w:keepNext w:val="0"/>
              <w:keepLines w:val="0"/>
              <w:widowControl/>
              <w:suppressLineNumbers w:val="0"/>
              <w:jc w:val="center"/>
              <w:textAlignment w:val="center"/>
              <w:rPr>
                <w:rFonts w:hint="eastAsia" w:ascii="Arial" w:hAnsi="Arial" w:eastAsia="宋体" w:cs="Arial"/>
                <w:color w:val="auto"/>
                <w:szCs w:val="21"/>
                <w:highlight w:val="none"/>
                <w:lang w:eastAsia="zh-CN"/>
              </w:rPr>
            </w:pPr>
            <w:r>
              <w:rPr>
                <w:rFonts w:hint="default" w:ascii="Arial" w:hAnsi="Arial" w:eastAsia="宋体" w:cs="Arial"/>
                <w:i w:val="0"/>
                <w:iCs w:val="0"/>
                <w:color w:val="000000"/>
                <w:kern w:val="0"/>
                <w:sz w:val="21"/>
                <w:szCs w:val="21"/>
                <w:highlight w:val="none"/>
                <w:u w:val="none"/>
                <w:lang w:val="en-US" w:eastAsia="zh-CN" w:bidi="ar"/>
              </w:rPr>
              <w:t>台</w:t>
            </w:r>
          </w:p>
        </w:tc>
        <w:tc>
          <w:tcPr>
            <w:tcW w:w="1727" w:type="dxa"/>
            <w:tcBorders>
              <w:top w:val="single" w:color="auto" w:sz="4" w:space="0"/>
              <w:left w:val="nil"/>
              <w:bottom w:val="single" w:color="auto" w:sz="4" w:space="0"/>
              <w:right w:val="single" w:color="auto" w:sz="4" w:space="0"/>
            </w:tcBorders>
            <w:noWrap w:val="0"/>
            <w:vAlign w:val="center"/>
          </w:tcPr>
          <w:p w14:paraId="40184A44">
            <w:pPr>
              <w:keepNext w:val="0"/>
              <w:keepLines w:val="0"/>
              <w:widowControl/>
              <w:suppressLineNumbers w:val="0"/>
              <w:jc w:val="center"/>
              <w:textAlignment w:val="center"/>
              <w:rPr>
                <w:rFonts w:hint="default" w:ascii="Arial" w:hAnsi="Arial" w:cs="Arial"/>
                <w:color w:val="auto"/>
                <w:szCs w:val="21"/>
                <w:highlight w:val="none"/>
                <w:lang w:val="en-US" w:eastAsia="zh-CN"/>
              </w:rPr>
            </w:pPr>
            <w:r>
              <w:rPr>
                <w:rFonts w:hint="default" w:ascii="Arial" w:hAnsi="Arial" w:eastAsia="宋体" w:cs="Arial"/>
                <w:i w:val="0"/>
                <w:iCs w:val="0"/>
                <w:color w:val="000000"/>
                <w:kern w:val="0"/>
                <w:sz w:val="21"/>
                <w:szCs w:val="21"/>
                <w:highlight w:val="none"/>
                <w:u w:val="none"/>
                <w:lang w:val="en-US" w:eastAsia="zh-CN" w:bidi="ar"/>
              </w:rPr>
              <w:t xml:space="preserve">8200.00 </w:t>
            </w:r>
          </w:p>
        </w:tc>
        <w:tc>
          <w:tcPr>
            <w:tcW w:w="1588" w:type="dxa"/>
            <w:vMerge w:val="continue"/>
            <w:tcBorders>
              <w:left w:val="single" w:color="auto" w:sz="4" w:space="0"/>
              <w:right w:val="single" w:color="auto" w:sz="4" w:space="0"/>
            </w:tcBorders>
            <w:noWrap w:val="0"/>
            <w:vAlign w:val="center"/>
          </w:tcPr>
          <w:p w14:paraId="33E845B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Arial" w:hAnsi="Arial" w:cs="Arial"/>
                <w:color w:val="auto"/>
                <w:highlight w:val="none"/>
              </w:rPr>
            </w:pPr>
          </w:p>
        </w:tc>
      </w:tr>
      <w:tr w14:paraId="013BD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95" w:type="dxa"/>
            <w:vMerge w:val="continue"/>
            <w:tcBorders>
              <w:left w:val="single" w:color="auto" w:sz="4" w:space="0"/>
              <w:right w:val="single" w:color="auto" w:sz="4" w:space="0"/>
            </w:tcBorders>
            <w:noWrap w:val="0"/>
            <w:vAlign w:val="center"/>
          </w:tcPr>
          <w:p w14:paraId="58AFDC7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Arial" w:hAnsi="Arial" w:cs="Arial"/>
                <w:color w:val="auto"/>
                <w:highlight w:val="none"/>
                <w:lang w:val="en-US" w:eastAsia="zh-CN"/>
              </w:rPr>
            </w:pPr>
          </w:p>
        </w:tc>
        <w:tc>
          <w:tcPr>
            <w:tcW w:w="671" w:type="dxa"/>
            <w:tcBorders>
              <w:top w:val="single" w:color="auto" w:sz="4" w:space="0"/>
              <w:left w:val="single" w:color="auto" w:sz="4" w:space="0"/>
              <w:bottom w:val="single" w:color="auto" w:sz="4" w:space="0"/>
              <w:right w:val="single" w:color="auto" w:sz="4" w:space="0"/>
            </w:tcBorders>
            <w:noWrap w:val="0"/>
            <w:vAlign w:val="center"/>
          </w:tcPr>
          <w:p w14:paraId="220F3736">
            <w:pPr>
              <w:keepNext w:val="0"/>
              <w:keepLines w:val="0"/>
              <w:widowControl/>
              <w:suppressLineNumbers w:val="0"/>
              <w:jc w:val="center"/>
              <w:textAlignment w:val="center"/>
              <w:rPr>
                <w:rFonts w:hint="default" w:ascii="Arial" w:hAnsi="Arial" w:cs="Arial"/>
                <w:color w:val="auto"/>
                <w:highlight w:val="none"/>
              </w:rPr>
            </w:pPr>
            <w:r>
              <w:rPr>
                <w:rFonts w:hint="default" w:ascii="Arial" w:hAnsi="Arial" w:eastAsia="宋体" w:cs="Arial"/>
                <w:i w:val="0"/>
                <w:iCs w:val="0"/>
                <w:color w:val="000000"/>
                <w:kern w:val="0"/>
                <w:sz w:val="21"/>
                <w:szCs w:val="21"/>
                <w:highlight w:val="none"/>
                <w:u w:val="none"/>
                <w:lang w:val="en-US" w:eastAsia="zh-CN" w:bidi="ar"/>
              </w:rPr>
              <w:t>10</w:t>
            </w:r>
          </w:p>
        </w:tc>
        <w:tc>
          <w:tcPr>
            <w:tcW w:w="2656" w:type="dxa"/>
            <w:tcBorders>
              <w:top w:val="single" w:color="auto" w:sz="4" w:space="0"/>
              <w:left w:val="nil"/>
              <w:bottom w:val="single" w:color="auto" w:sz="4" w:space="0"/>
              <w:right w:val="single" w:color="auto" w:sz="4" w:space="0"/>
            </w:tcBorders>
            <w:noWrap w:val="0"/>
            <w:vAlign w:val="center"/>
          </w:tcPr>
          <w:p w14:paraId="10E3E089">
            <w:pPr>
              <w:keepNext w:val="0"/>
              <w:keepLines w:val="0"/>
              <w:widowControl/>
              <w:suppressLineNumbers w:val="0"/>
              <w:jc w:val="center"/>
              <w:textAlignment w:val="center"/>
              <w:rPr>
                <w:rFonts w:hint="default" w:ascii="Arial" w:hAnsi="Arial" w:eastAsia="宋体" w:cs="Arial"/>
                <w:color w:val="auto"/>
                <w:szCs w:val="21"/>
                <w:highlight w:val="none"/>
                <w:lang w:eastAsia="zh-CN"/>
              </w:rPr>
            </w:pPr>
            <w:r>
              <w:rPr>
                <w:rFonts w:hint="default" w:ascii="Arial" w:hAnsi="Arial" w:eastAsia="宋体" w:cs="Arial"/>
                <w:i w:val="0"/>
                <w:iCs w:val="0"/>
                <w:color w:val="000000"/>
                <w:kern w:val="0"/>
                <w:sz w:val="21"/>
                <w:szCs w:val="21"/>
                <w:highlight w:val="none"/>
                <w:u w:val="none"/>
                <w:lang w:val="en-US" w:eastAsia="zh-CN" w:bidi="ar"/>
              </w:rPr>
              <w:t>和面机</w:t>
            </w:r>
          </w:p>
        </w:tc>
        <w:tc>
          <w:tcPr>
            <w:tcW w:w="774" w:type="dxa"/>
            <w:tcBorders>
              <w:top w:val="single" w:color="auto" w:sz="4" w:space="0"/>
              <w:left w:val="nil"/>
              <w:bottom w:val="single" w:color="auto" w:sz="4" w:space="0"/>
              <w:right w:val="single" w:color="auto" w:sz="4" w:space="0"/>
            </w:tcBorders>
            <w:noWrap w:val="0"/>
            <w:vAlign w:val="center"/>
          </w:tcPr>
          <w:p w14:paraId="7D5A1948">
            <w:pPr>
              <w:keepNext w:val="0"/>
              <w:keepLines w:val="0"/>
              <w:widowControl/>
              <w:suppressLineNumbers w:val="0"/>
              <w:jc w:val="center"/>
              <w:textAlignment w:val="center"/>
              <w:rPr>
                <w:rFonts w:hint="default" w:ascii="Arial" w:hAnsi="Arial" w:cs="Arial"/>
                <w:color w:val="auto"/>
                <w:szCs w:val="21"/>
                <w:highlight w:val="none"/>
              </w:rPr>
            </w:pPr>
            <w:r>
              <w:rPr>
                <w:rFonts w:hint="default" w:ascii="Arial" w:hAnsi="Arial" w:eastAsia="宋体" w:cs="Arial"/>
                <w:i w:val="0"/>
                <w:iCs w:val="0"/>
                <w:color w:val="000000"/>
                <w:kern w:val="0"/>
                <w:sz w:val="21"/>
                <w:szCs w:val="21"/>
                <w:highlight w:val="none"/>
                <w:u w:val="none"/>
                <w:lang w:val="en-US" w:eastAsia="zh-CN" w:bidi="ar"/>
              </w:rPr>
              <w:t>2</w:t>
            </w:r>
          </w:p>
        </w:tc>
        <w:tc>
          <w:tcPr>
            <w:tcW w:w="673" w:type="dxa"/>
            <w:tcBorders>
              <w:top w:val="single" w:color="auto" w:sz="4" w:space="0"/>
              <w:left w:val="nil"/>
              <w:bottom w:val="single" w:color="auto" w:sz="4" w:space="0"/>
              <w:right w:val="single" w:color="auto" w:sz="4" w:space="0"/>
            </w:tcBorders>
            <w:noWrap w:val="0"/>
            <w:vAlign w:val="center"/>
          </w:tcPr>
          <w:p w14:paraId="43B49E4C">
            <w:pPr>
              <w:keepNext w:val="0"/>
              <w:keepLines w:val="0"/>
              <w:widowControl/>
              <w:suppressLineNumbers w:val="0"/>
              <w:jc w:val="center"/>
              <w:textAlignment w:val="center"/>
              <w:rPr>
                <w:rFonts w:hint="eastAsia" w:ascii="Arial" w:hAnsi="Arial" w:eastAsia="宋体" w:cs="Arial"/>
                <w:color w:val="auto"/>
                <w:szCs w:val="21"/>
                <w:highlight w:val="none"/>
                <w:lang w:eastAsia="zh-CN"/>
              </w:rPr>
            </w:pPr>
            <w:r>
              <w:rPr>
                <w:rFonts w:hint="default" w:ascii="Arial" w:hAnsi="Arial" w:eastAsia="宋体" w:cs="Arial"/>
                <w:i w:val="0"/>
                <w:iCs w:val="0"/>
                <w:color w:val="000000"/>
                <w:kern w:val="0"/>
                <w:sz w:val="21"/>
                <w:szCs w:val="21"/>
                <w:highlight w:val="none"/>
                <w:u w:val="none"/>
                <w:lang w:val="en-US" w:eastAsia="zh-CN" w:bidi="ar"/>
              </w:rPr>
              <w:t>台</w:t>
            </w:r>
          </w:p>
        </w:tc>
        <w:tc>
          <w:tcPr>
            <w:tcW w:w="1727" w:type="dxa"/>
            <w:tcBorders>
              <w:top w:val="single" w:color="auto" w:sz="4" w:space="0"/>
              <w:left w:val="nil"/>
              <w:bottom w:val="single" w:color="auto" w:sz="4" w:space="0"/>
              <w:right w:val="single" w:color="auto" w:sz="4" w:space="0"/>
            </w:tcBorders>
            <w:noWrap w:val="0"/>
            <w:vAlign w:val="center"/>
          </w:tcPr>
          <w:p w14:paraId="34D0E1D9">
            <w:pPr>
              <w:keepNext w:val="0"/>
              <w:keepLines w:val="0"/>
              <w:widowControl/>
              <w:suppressLineNumbers w:val="0"/>
              <w:jc w:val="center"/>
              <w:textAlignment w:val="center"/>
              <w:rPr>
                <w:rFonts w:hint="default" w:ascii="Arial" w:hAnsi="Arial" w:cs="Arial"/>
                <w:color w:val="auto"/>
                <w:szCs w:val="21"/>
                <w:highlight w:val="none"/>
                <w:lang w:val="en-US" w:eastAsia="zh-CN"/>
              </w:rPr>
            </w:pPr>
            <w:r>
              <w:rPr>
                <w:rFonts w:hint="default" w:ascii="Arial" w:hAnsi="Arial" w:eastAsia="宋体" w:cs="Arial"/>
                <w:i w:val="0"/>
                <w:iCs w:val="0"/>
                <w:color w:val="000000"/>
                <w:kern w:val="0"/>
                <w:sz w:val="21"/>
                <w:szCs w:val="21"/>
                <w:highlight w:val="none"/>
                <w:u w:val="none"/>
                <w:lang w:val="en-US" w:eastAsia="zh-CN" w:bidi="ar"/>
              </w:rPr>
              <w:t xml:space="preserve">6600.00 </w:t>
            </w:r>
          </w:p>
        </w:tc>
        <w:tc>
          <w:tcPr>
            <w:tcW w:w="1588" w:type="dxa"/>
            <w:vMerge w:val="continue"/>
            <w:tcBorders>
              <w:left w:val="single" w:color="auto" w:sz="4" w:space="0"/>
              <w:right w:val="single" w:color="auto" w:sz="4" w:space="0"/>
            </w:tcBorders>
            <w:noWrap w:val="0"/>
            <w:vAlign w:val="center"/>
          </w:tcPr>
          <w:p w14:paraId="0161697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Arial" w:hAnsi="Arial" w:cs="Arial"/>
                <w:color w:val="auto"/>
                <w:highlight w:val="none"/>
              </w:rPr>
            </w:pPr>
          </w:p>
        </w:tc>
      </w:tr>
      <w:tr w14:paraId="25BAC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95" w:type="dxa"/>
            <w:vMerge w:val="continue"/>
            <w:tcBorders>
              <w:left w:val="single" w:color="auto" w:sz="4" w:space="0"/>
              <w:right w:val="single" w:color="auto" w:sz="4" w:space="0"/>
            </w:tcBorders>
            <w:noWrap w:val="0"/>
            <w:vAlign w:val="center"/>
          </w:tcPr>
          <w:p w14:paraId="2AED50C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Arial" w:hAnsi="Arial" w:cs="Arial"/>
                <w:color w:val="auto"/>
                <w:highlight w:val="none"/>
                <w:lang w:val="en-US" w:eastAsia="zh-CN"/>
              </w:rPr>
            </w:pPr>
          </w:p>
        </w:tc>
        <w:tc>
          <w:tcPr>
            <w:tcW w:w="671" w:type="dxa"/>
            <w:tcBorders>
              <w:top w:val="single" w:color="auto" w:sz="4" w:space="0"/>
              <w:left w:val="single" w:color="auto" w:sz="4" w:space="0"/>
              <w:bottom w:val="single" w:color="auto" w:sz="4" w:space="0"/>
              <w:right w:val="single" w:color="auto" w:sz="4" w:space="0"/>
            </w:tcBorders>
            <w:noWrap w:val="0"/>
            <w:vAlign w:val="center"/>
          </w:tcPr>
          <w:p w14:paraId="75A51F7A">
            <w:pPr>
              <w:keepNext w:val="0"/>
              <w:keepLines w:val="0"/>
              <w:widowControl/>
              <w:suppressLineNumbers w:val="0"/>
              <w:jc w:val="center"/>
              <w:textAlignment w:val="center"/>
              <w:rPr>
                <w:rFonts w:hint="default" w:ascii="Arial" w:hAnsi="Arial" w:cs="Arial"/>
                <w:color w:val="auto"/>
                <w:highlight w:val="none"/>
              </w:rPr>
            </w:pPr>
            <w:r>
              <w:rPr>
                <w:rFonts w:hint="default" w:ascii="Arial" w:hAnsi="Arial" w:eastAsia="宋体" w:cs="Arial"/>
                <w:i w:val="0"/>
                <w:iCs w:val="0"/>
                <w:color w:val="000000"/>
                <w:kern w:val="0"/>
                <w:sz w:val="21"/>
                <w:szCs w:val="21"/>
                <w:highlight w:val="none"/>
                <w:u w:val="none"/>
                <w:lang w:val="en-US" w:eastAsia="zh-CN" w:bidi="ar"/>
              </w:rPr>
              <w:t>11</w:t>
            </w:r>
          </w:p>
        </w:tc>
        <w:tc>
          <w:tcPr>
            <w:tcW w:w="2656" w:type="dxa"/>
            <w:tcBorders>
              <w:top w:val="single" w:color="auto" w:sz="4" w:space="0"/>
              <w:left w:val="nil"/>
              <w:bottom w:val="single" w:color="auto" w:sz="4" w:space="0"/>
              <w:right w:val="single" w:color="auto" w:sz="4" w:space="0"/>
            </w:tcBorders>
            <w:noWrap w:val="0"/>
            <w:vAlign w:val="center"/>
          </w:tcPr>
          <w:p w14:paraId="50DD26FB">
            <w:pPr>
              <w:keepNext w:val="0"/>
              <w:keepLines w:val="0"/>
              <w:widowControl/>
              <w:suppressLineNumbers w:val="0"/>
              <w:jc w:val="center"/>
              <w:textAlignment w:val="center"/>
              <w:rPr>
                <w:rFonts w:hint="default" w:ascii="Arial" w:hAnsi="Arial" w:eastAsia="宋体" w:cs="Arial"/>
                <w:color w:val="auto"/>
                <w:szCs w:val="21"/>
                <w:highlight w:val="none"/>
                <w:lang w:eastAsia="zh-CN"/>
              </w:rPr>
            </w:pPr>
            <w:r>
              <w:rPr>
                <w:rFonts w:hint="default" w:ascii="Arial" w:hAnsi="Arial" w:eastAsia="宋体" w:cs="Arial"/>
                <w:i w:val="0"/>
                <w:iCs w:val="0"/>
                <w:color w:val="000000"/>
                <w:kern w:val="0"/>
                <w:sz w:val="21"/>
                <w:szCs w:val="21"/>
                <w:highlight w:val="none"/>
                <w:u w:val="none"/>
                <w:lang w:val="en-US" w:eastAsia="zh-CN" w:bidi="ar"/>
              </w:rPr>
              <w:t>三层九盘烤箱</w:t>
            </w:r>
          </w:p>
        </w:tc>
        <w:tc>
          <w:tcPr>
            <w:tcW w:w="774" w:type="dxa"/>
            <w:tcBorders>
              <w:top w:val="single" w:color="auto" w:sz="4" w:space="0"/>
              <w:left w:val="nil"/>
              <w:bottom w:val="single" w:color="auto" w:sz="4" w:space="0"/>
              <w:right w:val="single" w:color="auto" w:sz="4" w:space="0"/>
            </w:tcBorders>
            <w:noWrap w:val="0"/>
            <w:vAlign w:val="center"/>
          </w:tcPr>
          <w:p w14:paraId="677E33BC">
            <w:pPr>
              <w:keepNext w:val="0"/>
              <w:keepLines w:val="0"/>
              <w:widowControl/>
              <w:suppressLineNumbers w:val="0"/>
              <w:jc w:val="center"/>
              <w:textAlignment w:val="center"/>
              <w:rPr>
                <w:rFonts w:hint="default" w:ascii="Arial" w:hAnsi="Arial" w:cs="Arial"/>
                <w:color w:val="auto"/>
                <w:szCs w:val="21"/>
                <w:highlight w:val="none"/>
              </w:rPr>
            </w:pPr>
            <w:r>
              <w:rPr>
                <w:rFonts w:hint="default" w:ascii="Arial" w:hAnsi="Arial" w:eastAsia="宋体" w:cs="Arial"/>
                <w:i w:val="0"/>
                <w:iCs w:val="0"/>
                <w:color w:val="000000"/>
                <w:kern w:val="0"/>
                <w:sz w:val="21"/>
                <w:szCs w:val="21"/>
                <w:highlight w:val="none"/>
                <w:u w:val="none"/>
                <w:lang w:val="en-US" w:eastAsia="zh-CN" w:bidi="ar"/>
              </w:rPr>
              <w:t>2</w:t>
            </w:r>
          </w:p>
        </w:tc>
        <w:tc>
          <w:tcPr>
            <w:tcW w:w="673" w:type="dxa"/>
            <w:tcBorders>
              <w:top w:val="single" w:color="auto" w:sz="4" w:space="0"/>
              <w:left w:val="nil"/>
              <w:bottom w:val="single" w:color="auto" w:sz="4" w:space="0"/>
              <w:right w:val="single" w:color="auto" w:sz="4" w:space="0"/>
            </w:tcBorders>
            <w:noWrap w:val="0"/>
            <w:vAlign w:val="center"/>
          </w:tcPr>
          <w:p w14:paraId="4BE39BFF">
            <w:pPr>
              <w:keepNext w:val="0"/>
              <w:keepLines w:val="0"/>
              <w:widowControl/>
              <w:suppressLineNumbers w:val="0"/>
              <w:jc w:val="center"/>
              <w:textAlignment w:val="center"/>
              <w:rPr>
                <w:rFonts w:hint="eastAsia" w:ascii="Arial" w:hAnsi="Arial" w:eastAsia="宋体" w:cs="Arial"/>
                <w:color w:val="auto"/>
                <w:szCs w:val="21"/>
                <w:highlight w:val="none"/>
                <w:lang w:eastAsia="zh-CN"/>
              </w:rPr>
            </w:pPr>
            <w:r>
              <w:rPr>
                <w:rFonts w:hint="default" w:ascii="Arial" w:hAnsi="Arial" w:eastAsia="宋体" w:cs="Arial"/>
                <w:i w:val="0"/>
                <w:iCs w:val="0"/>
                <w:color w:val="000000"/>
                <w:kern w:val="0"/>
                <w:sz w:val="21"/>
                <w:szCs w:val="21"/>
                <w:highlight w:val="none"/>
                <w:u w:val="none"/>
                <w:lang w:val="en-US" w:eastAsia="zh-CN" w:bidi="ar"/>
              </w:rPr>
              <w:t>个</w:t>
            </w:r>
          </w:p>
        </w:tc>
        <w:tc>
          <w:tcPr>
            <w:tcW w:w="1727" w:type="dxa"/>
            <w:tcBorders>
              <w:top w:val="single" w:color="auto" w:sz="4" w:space="0"/>
              <w:left w:val="nil"/>
              <w:bottom w:val="single" w:color="auto" w:sz="4" w:space="0"/>
              <w:right w:val="single" w:color="auto" w:sz="4" w:space="0"/>
            </w:tcBorders>
            <w:noWrap w:val="0"/>
            <w:vAlign w:val="center"/>
          </w:tcPr>
          <w:p w14:paraId="236EC7C0">
            <w:pPr>
              <w:keepNext w:val="0"/>
              <w:keepLines w:val="0"/>
              <w:widowControl/>
              <w:suppressLineNumbers w:val="0"/>
              <w:jc w:val="center"/>
              <w:textAlignment w:val="center"/>
              <w:rPr>
                <w:rFonts w:hint="default" w:ascii="Arial" w:hAnsi="Arial" w:cs="Arial"/>
                <w:color w:val="auto"/>
                <w:szCs w:val="21"/>
                <w:highlight w:val="none"/>
                <w:lang w:val="en-US" w:eastAsia="zh-CN"/>
              </w:rPr>
            </w:pPr>
            <w:r>
              <w:rPr>
                <w:rFonts w:hint="default" w:ascii="Arial" w:hAnsi="Arial" w:eastAsia="宋体" w:cs="Arial"/>
                <w:i w:val="0"/>
                <w:iCs w:val="0"/>
                <w:color w:val="000000"/>
                <w:kern w:val="0"/>
                <w:sz w:val="21"/>
                <w:szCs w:val="21"/>
                <w:highlight w:val="none"/>
                <w:u w:val="none"/>
                <w:lang w:val="en-US" w:eastAsia="zh-CN" w:bidi="ar"/>
              </w:rPr>
              <w:t xml:space="preserve">8100.00 </w:t>
            </w:r>
          </w:p>
        </w:tc>
        <w:tc>
          <w:tcPr>
            <w:tcW w:w="1588" w:type="dxa"/>
            <w:vMerge w:val="continue"/>
            <w:tcBorders>
              <w:left w:val="single" w:color="auto" w:sz="4" w:space="0"/>
              <w:right w:val="single" w:color="auto" w:sz="4" w:space="0"/>
            </w:tcBorders>
            <w:noWrap w:val="0"/>
            <w:vAlign w:val="center"/>
          </w:tcPr>
          <w:p w14:paraId="716DF07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Arial" w:hAnsi="Arial" w:cs="Arial"/>
                <w:color w:val="auto"/>
                <w:highlight w:val="none"/>
              </w:rPr>
            </w:pPr>
          </w:p>
        </w:tc>
      </w:tr>
      <w:tr w14:paraId="6AA15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95" w:type="dxa"/>
            <w:vMerge w:val="continue"/>
            <w:tcBorders>
              <w:left w:val="single" w:color="auto" w:sz="4" w:space="0"/>
              <w:right w:val="single" w:color="auto" w:sz="4" w:space="0"/>
            </w:tcBorders>
            <w:noWrap w:val="0"/>
            <w:vAlign w:val="center"/>
          </w:tcPr>
          <w:p w14:paraId="0FBC376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Arial" w:hAnsi="Arial" w:cs="Arial"/>
                <w:color w:val="auto"/>
                <w:highlight w:val="none"/>
                <w:lang w:val="en-US" w:eastAsia="zh-CN"/>
              </w:rPr>
            </w:pPr>
          </w:p>
        </w:tc>
        <w:tc>
          <w:tcPr>
            <w:tcW w:w="671" w:type="dxa"/>
            <w:tcBorders>
              <w:top w:val="single" w:color="auto" w:sz="4" w:space="0"/>
              <w:left w:val="single" w:color="auto" w:sz="4" w:space="0"/>
              <w:bottom w:val="single" w:color="auto" w:sz="4" w:space="0"/>
              <w:right w:val="single" w:color="auto" w:sz="4" w:space="0"/>
            </w:tcBorders>
            <w:noWrap w:val="0"/>
            <w:vAlign w:val="center"/>
          </w:tcPr>
          <w:p w14:paraId="11E44159">
            <w:pPr>
              <w:keepNext w:val="0"/>
              <w:keepLines w:val="0"/>
              <w:widowControl/>
              <w:suppressLineNumbers w:val="0"/>
              <w:jc w:val="center"/>
              <w:textAlignment w:val="center"/>
              <w:rPr>
                <w:rFonts w:hint="default" w:ascii="Arial" w:hAnsi="Arial" w:cs="Arial"/>
                <w:color w:val="auto"/>
                <w:highlight w:val="none"/>
              </w:rPr>
            </w:pPr>
            <w:r>
              <w:rPr>
                <w:rFonts w:hint="default" w:ascii="Arial" w:hAnsi="Arial" w:eastAsia="宋体" w:cs="Arial"/>
                <w:i w:val="0"/>
                <w:iCs w:val="0"/>
                <w:color w:val="000000"/>
                <w:kern w:val="0"/>
                <w:sz w:val="21"/>
                <w:szCs w:val="21"/>
                <w:highlight w:val="none"/>
                <w:u w:val="none"/>
                <w:lang w:val="en-US" w:eastAsia="zh-CN" w:bidi="ar"/>
              </w:rPr>
              <w:t>12</w:t>
            </w:r>
          </w:p>
        </w:tc>
        <w:tc>
          <w:tcPr>
            <w:tcW w:w="2656" w:type="dxa"/>
            <w:tcBorders>
              <w:top w:val="single" w:color="auto" w:sz="4" w:space="0"/>
              <w:left w:val="nil"/>
              <w:bottom w:val="single" w:color="auto" w:sz="4" w:space="0"/>
              <w:right w:val="single" w:color="auto" w:sz="4" w:space="0"/>
            </w:tcBorders>
            <w:noWrap w:val="0"/>
            <w:vAlign w:val="center"/>
          </w:tcPr>
          <w:p w14:paraId="028CDC07">
            <w:pPr>
              <w:keepNext w:val="0"/>
              <w:keepLines w:val="0"/>
              <w:widowControl/>
              <w:suppressLineNumbers w:val="0"/>
              <w:jc w:val="center"/>
              <w:textAlignment w:val="center"/>
              <w:rPr>
                <w:rFonts w:hint="default" w:ascii="Arial" w:hAnsi="Arial" w:eastAsia="宋体" w:cs="Arial"/>
                <w:color w:val="auto"/>
                <w:szCs w:val="21"/>
                <w:highlight w:val="none"/>
                <w:lang w:eastAsia="zh-CN"/>
              </w:rPr>
            </w:pPr>
            <w:r>
              <w:rPr>
                <w:rFonts w:hint="default" w:ascii="Arial" w:hAnsi="Arial" w:eastAsia="宋体" w:cs="Arial"/>
                <w:i w:val="0"/>
                <w:iCs w:val="0"/>
                <w:color w:val="000000"/>
                <w:kern w:val="0"/>
                <w:sz w:val="21"/>
                <w:szCs w:val="21"/>
                <w:highlight w:val="none"/>
                <w:u w:val="none"/>
                <w:lang w:val="en-US" w:eastAsia="zh-CN" w:bidi="ar"/>
              </w:rPr>
              <w:t>打蛋搅拌机</w:t>
            </w:r>
          </w:p>
        </w:tc>
        <w:tc>
          <w:tcPr>
            <w:tcW w:w="774" w:type="dxa"/>
            <w:tcBorders>
              <w:top w:val="single" w:color="auto" w:sz="4" w:space="0"/>
              <w:left w:val="nil"/>
              <w:bottom w:val="single" w:color="auto" w:sz="4" w:space="0"/>
              <w:right w:val="single" w:color="auto" w:sz="4" w:space="0"/>
            </w:tcBorders>
            <w:noWrap w:val="0"/>
            <w:vAlign w:val="center"/>
          </w:tcPr>
          <w:p w14:paraId="0D24E92B">
            <w:pPr>
              <w:keepNext w:val="0"/>
              <w:keepLines w:val="0"/>
              <w:widowControl/>
              <w:suppressLineNumbers w:val="0"/>
              <w:jc w:val="center"/>
              <w:textAlignment w:val="center"/>
              <w:rPr>
                <w:rFonts w:hint="default" w:ascii="Arial" w:hAnsi="Arial" w:cs="Arial"/>
                <w:color w:val="auto"/>
                <w:szCs w:val="21"/>
                <w:highlight w:val="none"/>
              </w:rPr>
            </w:pPr>
            <w:r>
              <w:rPr>
                <w:rFonts w:hint="default" w:ascii="Arial" w:hAnsi="Arial" w:eastAsia="宋体" w:cs="Arial"/>
                <w:i w:val="0"/>
                <w:iCs w:val="0"/>
                <w:color w:val="000000"/>
                <w:kern w:val="0"/>
                <w:sz w:val="21"/>
                <w:szCs w:val="21"/>
                <w:highlight w:val="none"/>
                <w:u w:val="none"/>
                <w:lang w:val="en-US" w:eastAsia="zh-CN" w:bidi="ar"/>
              </w:rPr>
              <w:t>4</w:t>
            </w:r>
          </w:p>
        </w:tc>
        <w:tc>
          <w:tcPr>
            <w:tcW w:w="673" w:type="dxa"/>
            <w:tcBorders>
              <w:top w:val="single" w:color="auto" w:sz="4" w:space="0"/>
              <w:left w:val="nil"/>
              <w:bottom w:val="single" w:color="auto" w:sz="4" w:space="0"/>
              <w:right w:val="single" w:color="auto" w:sz="4" w:space="0"/>
            </w:tcBorders>
            <w:noWrap w:val="0"/>
            <w:vAlign w:val="center"/>
          </w:tcPr>
          <w:p w14:paraId="1923A336">
            <w:pPr>
              <w:keepNext w:val="0"/>
              <w:keepLines w:val="0"/>
              <w:widowControl/>
              <w:suppressLineNumbers w:val="0"/>
              <w:jc w:val="center"/>
              <w:textAlignment w:val="center"/>
              <w:rPr>
                <w:rFonts w:hint="eastAsia" w:ascii="Arial" w:hAnsi="Arial" w:eastAsia="宋体" w:cs="Arial"/>
                <w:color w:val="auto"/>
                <w:szCs w:val="21"/>
                <w:highlight w:val="none"/>
                <w:lang w:eastAsia="zh-CN"/>
              </w:rPr>
            </w:pPr>
            <w:r>
              <w:rPr>
                <w:rFonts w:hint="default" w:ascii="Arial" w:hAnsi="Arial" w:eastAsia="宋体" w:cs="Arial"/>
                <w:i w:val="0"/>
                <w:iCs w:val="0"/>
                <w:color w:val="000000"/>
                <w:kern w:val="0"/>
                <w:sz w:val="21"/>
                <w:szCs w:val="21"/>
                <w:highlight w:val="none"/>
                <w:u w:val="none"/>
                <w:lang w:val="en-US" w:eastAsia="zh-CN" w:bidi="ar"/>
              </w:rPr>
              <w:t>台</w:t>
            </w:r>
          </w:p>
        </w:tc>
        <w:tc>
          <w:tcPr>
            <w:tcW w:w="1727" w:type="dxa"/>
            <w:tcBorders>
              <w:top w:val="single" w:color="auto" w:sz="4" w:space="0"/>
              <w:left w:val="nil"/>
              <w:bottom w:val="single" w:color="auto" w:sz="4" w:space="0"/>
              <w:right w:val="single" w:color="auto" w:sz="4" w:space="0"/>
            </w:tcBorders>
            <w:noWrap w:val="0"/>
            <w:vAlign w:val="center"/>
          </w:tcPr>
          <w:p w14:paraId="7E666660">
            <w:pPr>
              <w:keepNext w:val="0"/>
              <w:keepLines w:val="0"/>
              <w:widowControl/>
              <w:suppressLineNumbers w:val="0"/>
              <w:jc w:val="center"/>
              <w:textAlignment w:val="center"/>
              <w:rPr>
                <w:rFonts w:hint="default" w:ascii="Arial" w:hAnsi="Arial" w:cs="Arial"/>
                <w:color w:val="auto"/>
                <w:szCs w:val="21"/>
                <w:highlight w:val="none"/>
                <w:lang w:val="en-US" w:eastAsia="zh-CN"/>
              </w:rPr>
            </w:pPr>
            <w:r>
              <w:rPr>
                <w:rFonts w:hint="default" w:ascii="Arial" w:hAnsi="Arial" w:eastAsia="宋体" w:cs="Arial"/>
                <w:i w:val="0"/>
                <w:iCs w:val="0"/>
                <w:color w:val="000000"/>
                <w:kern w:val="0"/>
                <w:sz w:val="21"/>
                <w:szCs w:val="21"/>
                <w:highlight w:val="none"/>
                <w:u w:val="none"/>
                <w:lang w:val="en-US" w:eastAsia="zh-CN" w:bidi="ar"/>
              </w:rPr>
              <w:t xml:space="preserve">4500.00 </w:t>
            </w:r>
          </w:p>
        </w:tc>
        <w:tc>
          <w:tcPr>
            <w:tcW w:w="1588" w:type="dxa"/>
            <w:vMerge w:val="continue"/>
            <w:tcBorders>
              <w:left w:val="single" w:color="auto" w:sz="4" w:space="0"/>
              <w:right w:val="single" w:color="auto" w:sz="4" w:space="0"/>
            </w:tcBorders>
            <w:noWrap w:val="0"/>
            <w:vAlign w:val="center"/>
          </w:tcPr>
          <w:p w14:paraId="2207516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Arial" w:hAnsi="Arial" w:cs="Arial"/>
                <w:color w:val="auto"/>
                <w:highlight w:val="none"/>
              </w:rPr>
            </w:pPr>
          </w:p>
        </w:tc>
      </w:tr>
      <w:tr w14:paraId="3F69A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95" w:type="dxa"/>
            <w:vMerge w:val="continue"/>
            <w:tcBorders>
              <w:left w:val="single" w:color="auto" w:sz="4" w:space="0"/>
              <w:right w:val="single" w:color="auto" w:sz="4" w:space="0"/>
            </w:tcBorders>
            <w:noWrap w:val="0"/>
            <w:vAlign w:val="center"/>
          </w:tcPr>
          <w:p w14:paraId="1A29D8B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Arial" w:hAnsi="Arial" w:cs="Arial"/>
                <w:color w:val="auto"/>
                <w:highlight w:val="none"/>
                <w:lang w:val="en-US" w:eastAsia="zh-CN"/>
              </w:rPr>
            </w:pPr>
          </w:p>
        </w:tc>
        <w:tc>
          <w:tcPr>
            <w:tcW w:w="671" w:type="dxa"/>
            <w:tcBorders>
              <w:top w:val="single" w:color="auto" w:sz="4" w:space="0"/>
              <w:left w:val="single" w:color="auto" w:sz="4" w:space="0"/>
              <w:bottom w:val="single" w:color="auto" w:sz="4" w:space="0"/>
              <w:right w:val="single" w:color="auto" w:sz="4" w:space="0"/>
            </w:tcBorders>
            <w:noWrap w:val="0"/>
            <w:vAlign w:val="center"/>
          </w:tcPr>
          <w:p w14:paraId="3A84D37E">
            <w:pPr>
              <w:keepNext w:val="0"/>
              <w:keepLines w:val="0"/>
              <w:widowControl/>
              <w:suppressLineNumbers w:val="0"/>
              <w:jc w:val="center"/>
              <w:textAlignment w:val="center"/>
              <w:rPr>
                <w:rFonts w:hint="default" w:ascii="Arial" w:hAnsi="Arial" w:cs="Arial"/>
                <w:color w:val="auto"/>
                <w:highlight w:val="none"/>
              </w:rPr>
            </w:pPr>
            <w:r>
              <w:rPr>
                <w:rFonts w:hint="default" w:ascii="Arial" w:hAnsi="Arial" w:eastAsia="宋体" w:cs="Arial"/>
                <w:i w:val="0"/>
                <w:iCs w:val="0"/>
                <w:color w:val="000000"/>
                <w:kern w:val="0"/>
                <w:sz w:val="21"/>
                <w:szCs w:val="21"/>
                <w:highlight w:val="none"/>
                <w:u w:val="none"/>
                <w:lang w:val="en-US" w:eastAsia="zh-CN" w:bidi="ar"/>
              </w:rPr>
              <w:t>13</w:t>
            </w:r>
          </w:p>
        </w:tc>
        <w:tc>
          <w:tcPr>
            <w:tcW w:w="2656" w:type="dxa"/>
            <w:tcBorders>
              <w:top w:val="single" w:color="auto" w:sz="4" w:space="0"/>
              <w:left w:val="nil"/>
              <w:bottom w:val="single" w:color="auto" w:sz="4" w:space="0"/>
              <w:right w:val="single" w:color="auto" w:sz="4" w:space="0"/>
            </w:tcBorders>
            <w:noWrap w:val="0"/>
            <w:vAlign w:val="center"/>
          </w:tcPr>
          <w:p w14:paraId="2B5C2564">
            <w:pPr>
              <w:keepNext w:val="0"/>
              <w:keepLines w:val="0"/>
              <w:widowControl/>
              <w:suppressLineNumbers w:val="0"/>
              <w:jc w:val="center"/>
              <w:textAlignment w:val="center"/>
              <w:rPr>
                <w:rFonts w:hint="default" w:ascii="Arial" w:hAnsi="Arial" w:eastAsia="宋体" w:cs="Arial"/>
                <w:color w:val="auto"/>
                <w:szCs w:val="21"/>
                <w:highlight w:val="none"/>
                <w:lang w:eastAsia="zh-CN"/>
              </w:rPr>
            </w:pPr>
            <w:r>
              <w:rPr>
                <w:rFonts w:hint="default" w:ascii="Arial" w:hAnsi="Arial" w:eastAsia="宋体" w:cs="Arial"/>
                <w:i w:val="0"/>
                <w:iCs w:val="0"/>
                <w:color w:val="000000"/>
                <w:kern w:val="0"/>
                <w:sz w:val="21"/>
                <w:szCs w:val="21"/>
                <w:highlight w:val="none"/>
                <w:u w:val="none"/>
                <w:lang w:val="en-US" w:eastAsia="zh-CN" w:bidi="ar"/>
              </w:rPr>
              <w:t>不粘烤盘</w:t>
            </w:r>
          </w:p>
        </w:tc>
        <w:tc>
          <w:tcPr>
            <w:tcW w:w="774" w:type="dxa"/>
            <w:tcBorders>
              <w:top w:val="single" w:color="auto" w:sz="4" w:space="0"/>
              <w:left w:val="nil"/>
              <w:bottom w:val="single" w:color="auto" w:sz="4" w:space="0"/>
              <w:right w:val="single" w:color="auto" w:sz="4" w:space="0"/>
            </w:tcBorders>
            <w:noWrap w:val="0"/>
            <w:vAlign w:val="center"/>
          </w:tcPr>
          <w:p w14:paraId="0F8AC2EF">
            <w:pPr>
              <w:keepNext w:val="0"/>
              <w:keepLines w:val="0"/>
              <w:widowControl/>
              <w:suppressLineNumbers w:val="0"/>
              <w:jc w:val="center"/>
              <w:textAlignment w:val="center"/>
              <w:rPr>
                <w:rFonts w:hint="default" w:ascii="Arial" w:hAnsi="Arial" w:cs="Arial"/>
                <w:color w:val="auto"/>
                <w:szCs w:val="21"/>
                <w:highlight w:val="none"/>
              </w:rPr>
            </w:pPr>
            <w:r>
              <w:rPr>
                <w:rFonts w:hint="default" w:ascii="Arial" w:hAnsi="Arial" w:eastAsia="宋体" w:cs="Arial"/>
                <w:i w:val="0"/>
                <w:iCs w:val="0"/>
                <w:color w:val="000000"/>
                <w:kern w:val="0"/>
                <w:sz w:val="21"/>
                <w:szCs w:val="21"/>
                <w:highlight w:val="none"/>
                <w:u w:val="none"/>
                <w:lang w:val="en-US" w:eastAsia="zh-CN" w:bidi="ar"/>
              </w:rPr>
              <w:t>100</w:t>
            </w:r>
          </w:p>
        </w:tc>
        <w:tc>
          <w:tcPr>
            <w:tcW w:w="673" w:type="dxa"/>
            <w:tcBorders>
              <w:top w:val="single" w:color="auto" w:sz="4" w:space="0"/>
              <w:left w:val="nil"/>
              <w:bottom w:val="single" w:color="auto" w:sz="4" w:space="0"/>
              <w:right w:val="single" w:color="auto" w:sz="4" w:space="0"/>
            </w:tcBorders>
            <w:noWrap w:val="0"/>
            <w:vAlign w:val="center"/>
          </w:tcPr>
          <w:p w14:paraId="22004AE8">
            <w:pPr>
              <w:keepNext w:val="0"/>
              <w:keepLines w:val="0"/>
              <w:widowControl/>
              <w:suppressLineNumbers w:val="0"/>
              <w:jc w:val="center"/>
              <w:textAlignment w:val="center"/>
              <w:rPr>
                <w:rFonts w:hint="eastAsia" w:ascii="Arial" w:hAnsi="Arial" w:eastAsia="宋体" w:cs="Arial"/>
                <w:color w:val="auto"/>
                <w:szCs w:val="21"/>
                <w:highlight w:val="none"/>
                <w:lang w:eastAsia="zh-CN"/>
              </w:rPr>
            </w:pPr>
            <w:r>
              <w:rPr>
                <w:rFonts w:hint="default" w:ascii="Arial" w:hAnsi="Arial" w:eastAsia="宋体" w:cs="Arial"/>
                <w:i w:val="0"/>
                <w:iCs w:val="0"/>
                <w:color w:val="000000"/>
                <w:kern w:val="0"/>
                <w:sz w:val="21"/>
                <w:szCs w:val="21"/>
                <w:highlight w:val="none"/>
                <w:u w:val="none"/>
                <w:lang w:val="en-US" w:eastAsia="zh-CN" w:bidi="ar"/>
              </w:rPr>
              <w:t>个</w:t>
            </w:r>
          </w:p>
        </w:tc>
        <w:tc>
          <w:tcPr>
            <w:tcW w:w="1727" w:type="dxa"/>
            <w:tcBorders>
              <w:top w:val="single" w:color="auto" w:sz="4" w:space="0"/>
              <w:left w:val="nil"/>
              <w:bottom w:val="single" w:color="auto" w:sz="4" w:space="0"/>
              <w:right w:val="single" w:color="auto" w:sz="4" w:space="0"/>
            </w:tcBorders>
            <w:noWrap w:val="0"/>
            <w:vAlign w:val="center"/>
          </w:tcPr>
          <w:p w14:paraId="3E8D78EA">
            <w:pPr>
              <w:keepNext w:val="0"/>
              <w:keepLines w:val="0"/>
              <w:widowControl/>
              <w:suppressLineNumbers w:val="0"/>
              <w:jc w:val="center"/>
              <w:textAlignment w:val="center"/>
              <w:rPr>
                <w:rFonts w:hint="default" w:ascii="Arial" w:hAnsi="Arial" w:cs="Arial"/>
                <w:color w:val="auto"/>
                <w:szCs w:val="21"/>
                <w:highlight w:val="none"/>
                <w:lang w:val="en-US" w:eastAsia="zh-CN"/>
              </w:rPr>
            </w:pPr>
            <w:r>
              <w:rPr>
                <w:rFonts w:hint="default" w:ascii="Arial" w:hAnsi="Arial" w:eastAsia="宋体" w:cs="Arial"/>
                <w:i w:val="0"/>
                <w:iCs w:val="0"/>
                <w:color w:val="000000"/>
                <w:kern w:val="0"/>
                <w:sz w:val="21"/>
                <w:szCs w:val="21"/>
                <w:highlight w:val="none"/>
                <w:u w:val="none"/>
                <w:lang w:val="en-US" w:eastAsia="zh-CN" w:bidi="ar"/>
              </w:rPr>
              <w:t xml:space="preserve">70.00 </w:t>
            </w:r>
          </w:p>
        </w:tc>
        <w:tc>
          <w:tcPr>
            <w:tcW w:w="1588" w:type="dxa"/>
            <w:vMerge w:val="continue"/>
            <w:tcBorders>
              <w:left w:val="single" w:color="auto" w:sz="4" w:space="0"/>
              <w:right w:val="single" w:color="auto" w:sz="4" w:space="0"/>
            </w:tcBorders>
            <w:noWrap w:val="0"/>
            <w:vAlign w:val="center"/>
          </w:tcPr>
          <w:p w14:paraId="01B9E86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Arial" w:hAnsi="Arial" w:cs="Arial"/>
                <w:color w:val="auto"/>
                <w:highlight w:val="none"/>
              </w:rPr>
            </w:pPr>
          </w:p>
        </w:tc>
      </w:tr>
      <w:tr w14:paraId="6BC79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95" w:type="dxa"/>
            <w:vMerge w:val="continue"/>
            <w:tcBorders>
              <w:left w:val="single" w:color="auto" w:sz="4" w:space="0"/>
              <w:right w:val="single" w:color="auto" w:sz="4" w:space="0"/>
            </w:tcBorders>
            <w:noWrap w:val="0"/>
            <w:vAlign w:val="center"/>
          </w:tcPr>
          <w:p w14:paraId="5C47D0A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Arial" w:hAnsi="Arial" w:cs="Arial"/>
                <w:color w:val="auto"/>
                <w:highlight w:val="none"/>
                <w:lang w:val="en-US" w:eastAsia="zh-CN"/>
              </w:rPr>
            </w:pPr>
          </w:p>
        </w:tc>
        <w:tc>
          <w:tcPr>
            <w:tcW w:w="671" w:type="dxa"/>
            <w:tcBorders>
              <w:top w:val="single" w:color="auto" w:sz="4" w:space="0"/>
              <w:left w:val="single" w:color="auto" w:sz="4" w:space="0"/>
              <w:bottom w:val="single" w:color="auto" w:sz="4" w:space="0"/>
              <w:right w:val="single" w:color="auto" w:sz="4" w:space="0"/>
            </w:tcBorders>
            <w:noWrap w:val="0"/>
            <w:vAlign w:val="center"/>
          </w:tcPr>
          <w:p w14:paraId="3BCE1C5E">
            <w:pPr>
              <w:keepNext w:val="0"/>
              <w:keepLines w:val="0"/>
              <w:widowControl/>
              <w:suppressLineNumbers w:val="0"/>
              <w:jc w:val="center"/>
              <w:textAlignment w:val="center"/>
              <w:rPr>
                <w:rFonts w:hint="default" w:ascii="Arial" w:hAnsi="Arial" w:cs="Arial"/>
                <w:color w:val="auto"/>
                <w:highlight w:val="none"/>
              </w:rPr>
            </w:pPr>
            <w:r>
              <w:rPr>
                <w:rFonts w:hint="default" w:ascii="Arial" w:hAnsi="Arial" w:eastAsia="宋体" w:cs="Arial"/>
                <w:i w:val="0"/>
                <w:iCs w:val="0"/>
                <w:color w:val="000000"/>
                <w:kern w:val="0"/>
                <w:sz w:val="21"/>
                <w:szCs w:val="21"/>
                <w:highlight w:val="none"/>
                <w:u w:val="none"/>
                <w:lang w:val="en-US" w:eastAsia="zh-CN" w:bidi="ar"/>
              </w:rPr>
              <w:t>14</w:t>
            </w:r>
          </w:p>
        </w:tc>
        <w:tc>
          <w:tcPr>
            <w:tcW w:w="2656" w:type="dxa"/>
            <w:tcBorders>
              <w:top w:val="single" w:color="auto" w:sz="4" w:space="0"/>
              <w:left w:val="nil"/>
              <w:bottom w:val="single" w:color="auto" w:sz="4" w:space="0"/>
              <w:right w:val="single" w:color="auto" w:sz="4" w:space="0"/>
            </w:tcBorders>
            <w:noWrap w:val="0"/>
            <w:vAlign w:val="center"/>
          </w:tcPr>
          <w:p w14:paraId="71B32999">
            <w:pPr>
              <w:keepNext w:val="0"/>
              <w:keepLines w:val="0"/>
              <w:widowControl/>
              <w:suppressLineNumbers w:val="0"/>
              <w:jc w:val="center"/>
              <w:textAlignment w:val="center"/>
              <w:rPr>
                <w:rFonts w:hint="default" w:ascii="Arial" w:hAnsi="Arial" w:eastAsia="宋体" w:cs="Arial"/>
                <w:color w:val="auto"/>
                <w:szCs w:val="21"/>
                <w:highlight w:val="none"/>
                <w:lang w:eastAsia="zh-CN"/>
              </w:rPr>
            </w:pPr>
            <w:r>
              <w:rPr>
                <w:rFonts w:hint="default" w:ascii="Arial" w:hAnsi="Arial" w:eastAsia="宋体" w:cs="Arial"/>
                <w:i w:val="0"/>
                <w:iCs w:val="0"/>
                <w:color w:val="000000"/>
                <w:kern w:val="0"/>
                <w:sz w:val="21"/>
                <w:szCs w:val="21"/>
                <w:highlight w:val="none"/>
                <w:u w:val="none"/>
                <w:lang w:val="en-US" w:eastAsia="zh-CN" w:bidi="ar"/>
              </w:rPr>
              <w:t>制冰机</w:t>
            </w:r>
          </w:p>
        </w:tc>
        <w:tc>
          <w:tcPr>
            <w:tcW w:w="774" w:type="dxa"/>
            <w:tcBorders>
              <w:top w:val="single" w:color="auto" w:sz="4" w:space="0"/>
              <w:left w:val="nil"/>
              <w:bottom w:val="single" w:color="auto" w:sz="4" w:space="0"/>
              <w:right w:val="single" w:color="auto" w:sz="4" w:space="0"/>
            </w:tcBorders>
            <w:noWrap w:val="0"/>
            <w:vAlign w:val="center"/>
          </w:tcPr>
          <w:p w14:paraId="244CFD38">
            <w:pPr>
              <w:keepNext w:val="0"/>
              <w:keepLines w:val="0"/>
              <w:widowControl/>
              <w:suppressLineNumbers w:val="0"/>
              <w:jc w:val="center"/>
              <w:textAlignment w:val="center"/>
              <w:rPr>
                <w:rFonts w:hint="default" w:ascii="Arial" w:hAnsi="Arial" w:cs="Arial"/>
                <w:color w:val="auto"/>
                <w:szCs w:val="21"/>
                <w:highlight w:val="none"/>
              </w:rPr>
            </w:pPr>
            <w:r>
              <w:rPr>
                <w:rFonts w:hint="default" w:ascii="Arial" w:hAnsi="Arial" w:eastAsia="宋体" w:cs="Arial"/>
                <w:i w:val="0"/>
                <w:iCs w:val="0"/>
                <w:color w:val="000000"/>
                <w:kern w:val="0"/>
                <w:sz w:val="21"/>
                <w:szCs w:val="21"/>
                <w:highlight w:val="none"/>
                <w:u w:val="none"/>
                <w:lang w:val="en-US" w:eastAsia="zh-CN" w:bidi="ar"/>
              </w:rPr>
              <w:t>2</w:t>
            </w:r>
          </w:p>
        </w:tc>
        <w:tc>
          <w:tcPr>
            <w:tcW w:w="673" w:type="dxa"/>
            <w:tcBorders>
              <w:top w:val="single" w:color="auto" w:sz="4" w:space="0"/>
              <w:left w:val="nil"/>
              <w:bottom w:val="single" w:color="auto" w:sz="4" w:space="0"/>
              <w:right w:val="single" w:color="auto" w:sz="4" w:space="0"/>
            </w:tcBorders>
            <w:noWrap w:val="0"/>
            <w:vAlign w:val="center"/>
          </w:tcPr>
          <w:p w14:paraId="11C3E612">
            <w:pPr>
              <w:keepNext w:val="0"/>
              <w:keepLines w:val="0"/>
              <w:widowControl/>
              <w:suppressLineNumbers w:val="0"/>
              <w:jc w:val="center"/>
              <w:textAlignment w:val="center"/>
              <w:rPr>
                <w:rFonts w:hint="eastAsia" w:ascii="Arial" w:hAnsi="Arial" w:eastAsia="宋体" w:cs="Arial"/>
                <w:color w:val="auto"/>
                <w:szCs w:val="21"/>
                <w:highlight w:val="none"/>
                <w:lang w:eastAsia="zh-CN"/>
              </w:rPr>
            </w:pPr>
            <w:r>
              <w:rPr>
                <w:rFonts w:hint="default" w:ascii="Arial" w:hAnsi="Arial" w:eastAsia="宋体" w:cs="Arial"/>
                <w:i w:val="0"/>
                <w:iCs w:val="0"/>
                <w:color w:val="000000"/>
                <w:kern w:val="0"/>
                <w:sz w:val="21"/>
                <w:szCs w:val="21"/>
                <w:highlight w:val="none"/>
                <w:u w:val="none"/>
                <w:lang w:val="en-US" w:eastAsia="zh-CN" w:bidi="ar"/>
              </w:rPr>
              <w:t>台</w:t>
            </w:r>
          </w:p>
        </w:tc>
        <w:tc>
          <w:tcPr>
            <w:tcW w:w="1727" w:type="dxa"/>
            <w:tcBorders>
              <w:top w:val="single" w:color="auto" w:sz="4" w:space="0"/>
              <w:left w:val="nil"/>
              <w:bottom w:val="single" w:color="auto" w:sz="4" w:space="0"/>
              <w:right w:val="single" w:color="auto" w:sz="4" w:space="0"/>
            </w:tcBorders>
            <w:noWrap w:val="0"/>
            <w:vAlign w:val="center"/>
          </w:tcPr>
          <w:p w14:paraId="6098B711">
            <w:pPr>
              <w:keepNext w:val="0"/>
              <w:keepLines w:val="0"/>
              <w:widowControl/>
              <w:suppressLineNumbers w:val="0"/>
              <w:jc w:val="center"/>
              <w:textAlignment w:val="center"/>
              <w:rPr>
                <w:rFonts w:hint="default" w:ascii="Arial" w:hAnsi="Arial" w:cs="Arial"/>
                <w:color w:val="auto"/>
                <w:szCs w:val="21"/>
                <w:highlight w:val="none"/>
                <w:lang w:val="en-US" w:eastAsia="zh-CN"/>
              </w:rPr>
            </w:pPr>
            <w:r>
              <w:rPr>
                <w:rFonts w:hint="default" w:ascii="Arial" w:hAnsi="Arial" w:eastAsia="宋体" w:cs="Arial"/>
                <w:i w:val="0"/>
                <w:iCs w:val="0"/>
                <w:color w:val="000000"/>
                <w:kern w:val="0"/>
                <w:sz w:val="21"/>
                <w:szCs w:val="21"/>
                <w:highlight w:val="none"/>
                <w:u w:val="none"/>
                <w:lang w:val="en-US" w:eastAsia="zh-CN" w:bidi="ar"/>
              </w:rPr>
              <w:t xml:space="preserve">4200.00 </w:t>
            </w:r>
          </w:p>
        </w:tc>
        <w:tc>
          <w:tcPr>
            <w:tcW w:w="1588" w:type="dxa"/>
            <w:vMerge w:val="continue"/>
            <w:tcBorders>
              <w:left w:val="single" w:color="auto" w:sz="4" w:space="0"/>
              <w:right w:val="single" w:color="auto" w:sz="4" w:space="0"/>
            </w:tcBorders>
            <w:noWrap w:val="0"/>
            <w:vAlign w:val="center"/>
          </w:tcPr>
          <w:p w14:paraId="28D2BA7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Arial" w:hAnsi="Arial" w:cs="Arial"/>
                <w:color w:val="auto"/>
                <w:highlight w:val="none"/>
              </w:rPr>
            </w:pPr>
          </w:p>
        </w:tc>
      </w:tr>
      <w:tr w14:paraId="446E9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95" w:type="dxa"/>
            <w:vMerge w:val="continue"/>
            <w:tcBorders>
              <w:left w:val="single" w:color="auto" w:sz="4" w:space="0"/>
              <w:right w:val="single" w:color="auto" w:sz="4" w:space="0"/>
            </w:tcBorders>
            <w:noWrap w:val="0"/>
            <w:vAlign w:val="center"/>
          </w:tcPr>
          <w:p w14:paraId="1AAED91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Arial" w:hAnsi="Arial" w:cs="Arial"/>
                <w:color w:val="auto"/>
                <w:highlight w:val="none"/>
                <w:lang w:val="en-US" w:eastAsia="zh-CN"/>
              </w:rPr>
            </w:pPr>
          </w:p>
        </w:tc>
        <w:tc>
          <w:tcPr>
            <w:tcW w:w="671" w:type="dxa"/>
            <w:tcBorders>
              <w:top w:val="single" w:color="auto" w:sz="4" w:space="0"/>
              <w:left w:val="single" w:color="auto" w:sz="4" w:space="0"/>
              <w:bottom w:val="single" w:color="auto" w:sz="4" w:space="0"/>
              <w:right w:val="single" w:color="auto" w:sz="4" w:space="0"/>
            </w:tcBorders>
            <w:noWrap w:val="0"/>
            <w:vAlign w:val="center"/>
          </w:tcPr>
          <w:p w14:paraId="4A92455F">
            <w:pPr>
              <w:keepNext w:val="0"/>
              <w:keepLines w:val="0"/>
              <w:widowControl/>
              <w:suppressLineNumbers w:val="0"/>
              <w:jc w:val="center"/>
              <w:textAlignment w:val="center"/>
              <w:rPr>
                <w:rFonts w:hint="default" w:ascii="Arial" w:hAnsi="Arial" w:cs="Arial"/>
                <w:color w:val="auto"/>
                <w:highlight w:val="none"/>
              </w:rPr>
            </w:pPr>
            <w:r>
              <w:rPr>
                <w:rFonts w:hint="default" w:ascii="Arial" w:hAnsi="Arial" w:eastAsia="宋体" w:cs="Arial"/>
                <w:i w:val="0"/>
                <w:iCs w:val="0"/>
                <w:color w:val="000000"/>
                <w:kern w:val="0"/>
                <w:sz w:val="21"/>
                <w:szCs w:val="21"/>
                <w:highlight w:val="none"/>
                <w:u w:val="none"/>
                <w:lang w:val="en-US" w:eastAsia="zh-CN" w:bidi="ar"/>
              </w:rPr>
              <w:t>15</w:t>
            </w:r>
          </w:p>
        </w:tc>
        <w:tc>
          <w:tcPr>
            <w:tcW w:w="2656" w:type="dxa"/>
            <w:tcBorders>
              <w:top w:val="single" w:color="auto" w:sz="4" w:space="0"/>
              <w:left w:val="nil"/>
              <w:bottom w:val="single" w:color="auto" w:sz="4" w:space="0"/>
              <w:right w:val="single" w:color="auto" w:sz="4" w:space="0"/>
            </w:tcBorders>
            <w:noWrap w:val="0"/>
            <w:vAlign w:val="center"/>
          </w:tcPr>
          <w:p w14:paraId="4099662B">
            <w:pPr>
              <w:keepNext w:val="0"/>
              <w:keepLines w:val="0"/>
              <w:widowControl/>
              <w:suppressLineNumbers w:val="0"/>
              <w:jc w:val="center"/>
              <w:textAlignment w:val="center"/>
              <w:rPr>
                <w:rFonts w:hint="default" w:ascii="Arial" w:hAnsi="Arial" w:eastAsia="宋体" w:cs="Arial"/>
                <w:color w:val="auto"/>
                <w:szCs w:val="21"/>
                <w:highlight w:val="none"/>
                <w:lang w:eastAsia="zh-CN"/>
              </w:rPr>
            </w:pPr>
            <w:r>
              <w:rPr>
                <w:rFonts w:hint="default" w:ascii="Arial" w:hAnsi="Arial" w:eastAsia="宋体" w:cs="Arial"/>
                <w:i w:val="0"/>
                <w:iCs w:val="0"/>
                <w:color w:val="000000"/>
                <w:kern w:val="0"/>
                <w:sz w:val="21"/>
                <w:szCs w:val="21"/>
                <w:highlight w:val="none"/>
                <w:u w:val="none"/>
                <w:lang w:val="en-US" w:eastAsia="zh-CN" w:bidi="ar"/>
              </w:rPr>
              <w:t>西式开酥机</w:t>
            </w:r>
          </w:p>
        </w:tc>
        <w:tc>
          <w:tcPr>
            <w:tcW w:w="774" w:type="dxa"/>
            <w:tcBorders>
              <w:top w:val="single" w:color="auto" w:sz="4" w:space="0"/>
              <w:left w:val="nil"/>
              <w:bottom w:val="single" w:color="auto" w:sz="4" w:space="0"/>
              <w:right w:val="single" w:color="auto" w:sz="4" w:space="0"/>
            </w:tcBorders>
            <w:noWrap w:val="0"/>
            <w:vAlign w:val="center"/>
          </w:tcPr>
          <w:p w14:paraId="7176D67A">
            <w:pPr>
              <w:keepNext w:val="0"/>
              <w:keepLines w:val="0"/>
              <w:widowControl/>
              <w:suppressLineNumbers w:val="0"/>
              <w:jc w:val="center"/>
              <w:textAlignment w:val="center"/>
              <w:rPr>
                <w:rFonts w:hint="default" w:ascii="Arial" w:hAnsi="Arial" w:cs="Arial"/>
                <w:color w:val="auto"/>
                <w:szCs w:val="21"/>
                <w:highlight w:val="none"/>
              </w:rPr>
            </w:pPr>
            <w:r>
              <w:rPr>
                <w:rFonts w:hint="default" w:ascii="Arial" w:hAnsi="Arial" w:eastAsia="宋体" w:cs="Arial"/>
                <w:i w:val="0"/>
                <w:iCs w:val="0"/>
                <w:color w:val="000000"/>
                <w:kern w:val="0"/>
                <w:sz w:val="21"/>
                <w:szCs w:val="21"/>
                <w:highlight w:val="none"/>
                <w:u w:val="none"/>
                <w:lang w:val="en-US" w:eastAsia="zh-CN" w:bidi="ar"/>
              </w:rPr>
              <w:t>1</w:t>
            </w:r>
          </w:p>
        </w:tc>
        <w:tc>
          <w:tcPr>
            <w:tcW w:w="673" w:type="dxa"/>
            <w:tcBorders>
              <w:top w:val="single" w:color="auto" w:sz="4" w:space="0"/>
              <w:left w:val="nil"/>
              <w:bottom w:val="single" w:color="auto" w:sz="4" w:space="0"/>
              <w:right w:val="single" w:color="auto" w:sz="4" w:space="0"/>
            </w:tcBorders>
            <w:noWrap w:val="0"/>
            <w:vAlign w:val="center"/>
          </w:tcPr>
          <w:p w14:paraId="77E18E50">
            <w:pPr>
              <w:keepNext w:val="0"/>
              <w:keepLines w:val="0"/>
              <w:widowControl/>
              <w:suppressLineNumbers w:val="0"/>
              <w:jc w:val="center"/>
              <w:textAlignment w:val="center"/>
              <w:rPr>
                <w:rFonts w:hint="eastAsia" w:ascii="Arial" w:hAnsi="Arial" w:eastAsia="宋体" w:cs="Arial"/>
                <w:color w:val="auto"/>
                <w:szCs w:val="21"/>
                <w:highlight w:val="none"/>
                <w:lang w:eastAsia="zh-CN"/>
              </w:rPr>
            </w:pPr>
            <w:r>
              <w:rPr>
                <w:rFonts w:hint="default" w:ascii="Arial" w:hAnsi="Arial" w:eastAsia="宋体" w:cs="Arial"/>
                <w:i w:val="0"/>
                <w:iCs w:val="0"/>
                <w:color w:val="000000"/>
                <w:kern w:val="0"/>
                <w:sz w:val="21"/>
                <w:szCs w:val="21"/>
                <w:highlight w:val="none"/>
                <w:u w:val="none"/>
                <w:lang w:val="en-US" w:eastAsia="zh-CN" w:bidi="ar"/>
              </w:rPr>
              <w:t>台</w:t>
            </w:r>
          </w:p>
        </w:tc>
        <w:tc>
          <w:tcPr>
            <w:tcW w:w="1727" w:type="dxa"/>
            <w:tcBorders>
              <w:top w:val="single" w:color="auto" w:sz="4" w:space="0"/>
              <w:left w:val="nil"/>
              <w:bottom w:val="single" w:color="auto" w:sz="4" w:space="0"/>
              <w:right w:val="single" w:color="auto" w:sz="4" w:space="0"/>
            </w:tcBorders>
            <w:noWrap w:val="0"/>
            <w:vAlign w:val="center"/>
          </w:tcPr>
          <w:p w14:paraId="5AA2A1EA">
            <w:pPr>
              <w:keepNext w:val="0"/>
              <w:keepLines w:val="0"/>
              <w:widowControl/>
              <w:suppressLineNumbers w:val="0"/>
              <w:jc w:val="center"/>
              <w:textAlignment w:val="center"/>
              <w:rPr>
                <w:rFonts w:hint="default" w:ascii="Arial" w:hAnsi="Arial" w:cs="Arial"/>
                <w:color w:val="auto"/>
                <w:szCs w:val="21"/>
                <w:highlight w:val="none"/>
                <w:lang w:val="en-US" w:eastAsia="zh-CN"/>
              </w:rPr>
            </w:pPr>
            <w:r>
              <w:rPr>
                <w:rFonts w:hint="default" w:ascii="Arial" w:hAnsi="Arial" w:eastAsia="宋体" w:cs="Arial"/>
                <w:i w:val="0"/>
                <w:iCs w:val="0"/>
                <w:color w:val="000000"/>
                <w:kern w:val="0"/>
                <w:sz w:val="21"/>
                <w:szCs w:val="21"/>
                <w:highlight w:val="none"/>
                <w:u w:val="none"/>
                <w:lang w:val="en-US" w:eastAsia="zh-CN" w:bidi="ar"/>
              </w:rPr>
              <w:t xml:space="preserve">21000.00 </w:t>
            </w:r>
          </w:p>
        </w:tc>
        <w:tc>
          <w:tcPr>
            <w:tcW w:w="1588" w:type="dxa"/>
            <w:vMerge w:val="continue"/>
            <w:tcBorders>
              <w:left w:val="single" w:color="auto" w:sz="4" w:space="0"/>
              <w:right w:val="single" w:color="auto" w:sz="4" w:space="0"/>
            </w:tcBorders>
            <w:noWrap w:val="0"/>
            <w:vAlign w:val="center"/>
          </w:tcPr>
          <w:p w14:paraId="0F9529F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Arial" w:hAnsi="Arial" w:cs="Arial"/>
                <w:color w:val="auto"/>
                <w:highlight w:val="none"/>
              </w:rPr>
            </w:pPr>
          </w:p>
        </w:tc>
      </w:tr>
      <w:tr w14:paraId="20008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95" w:type="dxa"/>
            <w:vMerge w:val="continue"/>
            <w:tcBorders>
              <w:left w:val="single" w:color="auto" w:sz="4" w:space="0"/>
              <w:right w:val="single" w:color="auto" w:sz="4" w:space="0"/>
            </w:tcBorders>
            <w:noWrap w:val="0"/>
            <w:vAlign w:val="center"/>
          </w:tcPr>
          <w:p w14:paraId="53B3D7F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Arial" w:hAnsi="Arial" w:cs="Arial"/>
                <w:color w:val="auto"/>
                <w:highlight w:val="none"/>
                <w:lang w:val="en-US" w:eastAsia="zh-CN"/>
              </w:rPr>
            </w:pPr>
          </w:p>
        </w:tc>
        <w:tc>
          <w:tcPr>
            <w:tcW w:w="671" w:type="dxa"/>
            <w:tcBorders>
              <w:top w:val="single" w:color="auto" w:sz="4" w:space="0"/>
              <w:left w:val="single" w:color="auto" w:sz="4" w:space="0"/>
              <w:bottom w:val="single" w:color="auto" w:sz="4" w:space="0"/>
              <w:right w:val="single" w:color="auto" w:sz="4" w:space="0"/>
            </w:tcBorders>
            <w:noWrap w:val="0"/>
            <w:vAlign w:val="center"/>
          </w:tcPr>
          <w:p w14:paraId="7DBEDD3D">
            <w:pPr>
              <w:keepNext w:val="0"/>
              <w:keepLines w:val="0"/>
              <w:widowControl/>
              <w:suppressLineNumbers w:val="0"/>
              <w:jc w:val="center"/>
              <w:textAlignment w:val="center"/>
              <w:rPr>
                <w:rFonts w:hint="default" w:ascii="Arial" w:hAnsi="Arial" w:cs="Arial"/>
                <w:color w:val="auto"/>
                <w:highlight w:val="none"/>
              </w:rPr>
            </w:pPr>
            <w:r>
              <w:rPr>
                <w:rFonts w:hint="default" w:ascii="Arial" w:hAnsi="Arial" w:eastAsia="宋体" w:cs="Arial"/>
                <w:i w:val="0"/>
                <w:iCs w:val="0"/>
                <w:color w:val="000000"/>
                <w:kern w:val="0"/>
                <w:sz w:val="21"/>
                <w:szCs w:val="21"/>
                <w:highlight w:val="none"/>
                <w:u w:val="none"/>
                <w:lang w:val="en-US" w:eastAsia="zh-CN" w:bidi="ar"/>
              </w:rPr>
              <w:t>16</w:t>
            </w:r>
          </w:p>
        </w:tc>
        <w:tc>
          <w:tcPr>
            <w:tcW w:w="2656" w:type="dxa"/>
            <w:tcBorders>
              <w:top w:val="single" w:color="auto" w:sz="4" w:space="0"/>
              <w:left w:val="nil"/>
              <w:bottom w:val="single" w:color="auto" w:sz="4" w:space="0"/>
              <w:right w:val="single" w:color="auto" w:sz="4" w:space="0"/>
            </w:tcBorders>
            <w:noWrap w:val="0"/>
            <w:vAlign w:val="center"/>
          </w:tcPr>
          <w:p w14:paraId="60BF965D">
            <w:pPr>
              <w:keepNext w:val="0"/>
              <w:keepLines w:val="0"/>
              <w:widowControl/>
              <w:suppressLineNumbers w:val="0"/>
              <w:jc w:val="center"/>
              <w:textAlignment w:val="center"/>
              <w:rPr>
                <w:rFonts w:hint="default" w:ascii="Arial" w:hAnsi="Arial" w:eastAsia="宋体" w:cs="Arial"/>
                <w:color w:val="auto"/>
                <w:szCs w:val="21"/>
                <w:highlight w:val="none"/>
                <w:lang w:eastAsia="zh-CN"/>
              </w:rPr>
            </w:pPr>
            <w:r>
              <w:rPr>
                <w:rFonts w:hint="default" w:ascii="Arial" w:hAnsi="Arial" w:eastAsia="宋体" w:cs="Arial"/>
                <w:i w:val="0"/>
                <w:iCs w:val="0"/>
                <w:color w:val="000000"/>
                <w:kern w:val="0"/>
                <w:sz w:val="21"/>
                <w:szCs w:val="21"/>
                <w:highlight w:val="none"/>
                <w:u w:val="none"/>
                <w:lang w:val="en-US" w:eastAsia="zh-CN" w:bidi="ar"/>
              </w:rPr>
              <w:t>急速冷冻箱</w:t>
            </w:r>
          </w:p>
        </w:tc>
        <w:tc>
          <w:tcPr>
            <w:tcW w:w="774" w:type="dxa"/>
            <w:tcBorders>
              <w:top w:val="single" w:color="auto" w:sz="4" w:space="0"/>
              <w:left w:val="nil"/>
              <w:bottom w:val="single" w:color="auto" w:sz="4" w:space="0"/>
              <w:right w:val="single" w:color="auto" w:sz="4" w:space="0"/>
            </w:tcBorders>
            <w:noWrap w:val="0"/>
            <w:vAlign w:val="center"/>
          </w:tcPr>
          <w:p w14:paraId="7E6E284B">
            <w:pPr>
              <w:keepNext w:val="0"/>
              <w:keepLines w:val="0"/>
              <w:widowControl/>
              <w:suppressLineNumbers w:val="0"/>
              <w:jc w:val="center"/>
              <w:textAlignment w:val="center"/>
              <w:rPr>
                <w:rFonts w:hint="default" w:ascii="Arial" w:hAnsi="Arial" w:cs="Arial"/>
                <w:color w:val="auto"/>
                <w:szCs w:val="21"/>
                <w:highlight w:val="none"/>
              </w:rPr>
            </w:pPr>
            <w:r>
              <w:rPr>
                <w:rFonts w:hint="default" w:ascii="Arial" w:hAnsi="Arial" w:eastAsia="宋体" w:cs="Arial"/>
                <w:i w:val="0"/>
                <w:iCs w:val="0"/>
                <w:color w:val="000000"/>
                <w:kern w:val="0"/>
                <w:sz w:val="21"/>
                <w:szCs w:val="21"/>
                <w:highlight w:val="none"/>
                <w:u w:val="none"/>
                <w:lang w:val="en-US" w:eastAsia="zh-CN" w:bidi="ar"/>
              </w:rPr>
              <w:t>1</w:t>
            </w:r>
          </w:p>
        </w:tc>
        <w:tc>
          <w:tcPr>
            <w:tcW w:w="673" w:type="dxa"/>
            <w:tcBorders>
              <w:top w:val="single" w:color="auto" w:sz="4" w:space="0"/>
              <w:left w:val="nil"/>
              <w:bottom w:val="single" w:color="auto" w:sz="4" w:space="0"/>
              <w:right w:val="single" w:color="auto" w:sz="4" w:space="0"/>
            </w:tcBorders>
            <w:noWrap w:val="0"/>
            <w:vAlign w:val="center"/>
          </w:tcPr>
          <w:p w14:paraId="7E7877E7">
            <w:pPr>
              <w:keepNext w:val="0"/>
              <w:keepLines w:val="0"/>
              <w:widowControl/>
              <w:suppressLineNumbers w:val="0"/>
              <w:jc w:val="center"/>
              <w:textAlignment w:val="center"/>
              <w:rPr>
                <w:rFonts w:hint="eastAsia" w:ascii="Arial" w:hAnsi="Arial" w:eastAsia="宋体" w:cs="Arial"/>
                <w:color w:val="auto"/>
                <w:szCs w:val="21"/>
                <w:highlight w:val="none"/>
                <w:lang w:eastAsia="zh-CN"/>
              </w:rPr>
            </w:pPr>
            <w:r>
              <w:rPr>
                <w:rFonts w:hint="default" w:ascii="Arial" w:hAnsi="Arial" w:eastAsia="宋体" w:cs="Arial"/>
                <w:i w:val="0"/>
                <w:iCs w:val="0"/>
                <w:color w:val="000000"/>
                <w:kern w:val="0"/>
                <w:sz w:val="21"/>
                <w:szCs w:val="21"/>
                <w:highlight w:val="none"/>
                <w:u w:val="none"/>
                <w:lang w:val="en-US" w:eastAsia="zh-CN" w:bidi="ar"/>
              </w:rPr>
              <w:t>台</w:t>
            </w:r>
          </w:p>
        </w:tc>
        <w:tc>
          <w:tcPr>
            <w:tcW w:w="1727" w:type="dxa"/>
            <w:tcBorders>
              <w:top w:val="single" w:color="auto" w:sz="4" w:space="0"/>
              <w:left w:val="nil"/>
              <w:bottom w:val="single" w:color="auto" w:sz="4" w:space="0"/>
              <w:right w:val="single" w:color="auto" w:sz="4" w:space="0"/>
            </w:tcBorders>
            <w:noWrap w:val="0"/>
            <w:vAlign w:val="center"/>
          </w:tcPr>
          <w:p w14:paraId="7F9E6245">
            <w:pPr>
              <w:keepNext w:val="0"/>
              <w:keepLines w:val="0"/>
              <w:widowControl/>
              <w:suppressLineNumbers w:val="0"/>
              <w:jc w:val="center"/>
              <w:textAlignment w:val="center"/>
              <w:rPr>
                <w:rFonts w:hint="default" w:ascii="Arial" w:hAnsi="Arial" w:cs="Arial"/>
                <w:color w:val="auto"/>
                <w:szCs w:val="21"/>
                <w:highlight w:val="none"/>
                <w:lang w:val="en-US" w:eastAsia="zh-CN"/>
              </w:rPr>
            </w:pPr>
            <w:r>
              <w:rPr>
                <w:rFonts w:hint="default" w:ascii="Arial" w:hAnsi="Arial" w:eastAsia="宋体" w:cs="Arial"/>
                <w:i w:val="0"/>
                <w:iCs w:val="0"/>
                <w:color w:val="000000"/>
                <w:kern w:val="0"/>
                <w:sz w:val="21"/>
                <w:szCs w:val="21"/>
                <w:highlight w:val="none"/>
                <w:u w:val="none"/>
                <w:lang w:val="en-US" w:eastAsia="zh-CN" w:bidi="ar"/>
              </w:rPr>
              <w:t xml:space="preserve">12800.00 </w:t>
            </w:r>
          </w:p>
        </w:tc>
        <w:tc>
          <w:tcPr>
            <w:tcW w:w="1588" w:type="dxa"/>
            <w:vMerge w:val="continue"/>
            <w:tcBorders>
              <w:left w:val="single" w:color="auto" w:sz="4" w:space="0"/>
              <w:right w:val="single" w:color="auto" w:sz="4" w:space="0"/>
            </w:tcBorders>
            <w:noWrap w:val="0"/>
            <w:vAlign w:val="center"/>
          </w:tcPr>
          <w:p w14:paraId="53404C1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Arial" w:hAnsi="Arial" w:cs="Arial"/>
                <w:color w:val="auto"/>
                <w:highlight w:val="none"/>
              </w:rPr>
            </w:pPr>
          </w:p>
        </w:tc>
      </w:tr>
      <w:tr w14:paraId="2CAB3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95" w:type="dxa"/>
            <w:vMerge w:val="continue"/>
            <w:tcBorders>
              <w:left w:val="single" w:color="auto" w:sz="4" w:space="0"/>
              <w:right w:val="single" w:color="auto" w:sz="4" w:space="0"/>
            </w:tcBorders>
            <w:noWrap w:val="0"/>
            <w:vAlign w:val="center"/>
          </w:tcPr>
          <w:p w14:paraId="073DBA0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Arial" w:hAnsi="Arial" w:cs="Arial"/>
                <w:color w:val="auto"/>
                <w:highlight w:val="none"/>
                <w:lang w:val="en-US" w:eastAsia="zh-CN"/>
              </w:rPr>
            </w:pPr>
          </w:p>
        </w:tc>
        <w:tc>
          <w:tcPr>
            <w:tcW w:w="671" w:type="dxa"/>
            <w:tcBorders>
              <w:top w:val="single" w:color="auto" w:sz="4" w:space="0"/>
              <w:left w:val="single" w:color="auto" w:sz="4" w:space="0"/>
              <w:bottom w:val="single" w:color="auto" w:sz="4" w:space="0"/>
              <w:right w:val="single" w:color="auto" w:sz="4" w:space="0"/>
            </w:tcBorders>
            <w:noWrap w:val="0"/>
            <w:vAlign w:val="center"/>
          </w:tcPr>
          <w:p w14:paraId="7311631C">
            <w:pPr>
              <w:keepNext w:val="0"/>
              <w:keepLines w:val="0"/>
              <w:widowControl/>
              <w:suppressLineNumbers w:val="0"/>
              <w:jc w:val="center"/>
              <w:textAlignment w:val="center"/>
              <w:rPr>
                <w:rFonts w:hint="default" w:ascii="Arial" w:hAnsi="Arial" w:cs="Arial"/>
                <w:color w:val="auto"/>
                <w:highlight w:val="none"/>
              </w:rPr>
            </w:pPr>
            <w:r>
              <w:rPr>
                <w:rFonts w:hint="default" w:ascii="Arial" w:hAnsi="Arial" w:eastAsia="宋体" w:cs="Arial"/>
                <w:i w:val="0"/>
                <w:iCs w:val="0"/>
                <w:color w:val="000000"/>
                <w:kern w:val="0"/>
                <w:sz w:val="21"/>
                <w:szCs w:val="21"/>
                <w:highlight w:val="none"/>
                <w:u w:val="none"/>
                <w:lang w:val="en-US" w:eastAsia="zh-CN" w:bidi="ar"/>
              </w:rPr>
              <w:t>17</w:t>
            </w:r>
          </w:p>
        </w:tc>
        <w:tc>
          <w:tcPr>
            <w:tcW w:w="2656" w:type="dxa"/>
            <w:tcBorders>
              <w:top w:val="single" w:color="auto" w:sz="4" w:space="0"/>
              <w:left w:val="nil"/>
              <w:bottom w:val="single" w:color="auto" w:sz="4" w:space="0"/>
              <w:right w:val="single" w:color="auto" w:sz="4" w:space="0"/>
            </w:tcBorders>
            <w:noWrap w:val="0"/>
            <w:vAlign w:val="center"/>
          </w:tcPr>
          <w:p w14:paraId="58672E50">
            <w:pPr>
              <w:keepNext w:val="0"/>
              <w:keepLines w:val="0"/>
              <w:widowControl/>
              <w:suppressLineNumbers w:val="0"/>
              <w:jc w:val="center"/>
              <w:textAlignment w:val="center"/>
              <w:rPr>
                <w:rFonts w:hint="default" w:ascii="Arial" w:hAnsi="Arial" w:eastAsia="宋体" w:cs="Arial"/>
                <w:color w:val="auto"/>
                <w:szCs w:val="21"/>
                <w:highlight w:val="none"/>
                <w:lang w:eastAsia="zh-CN"/>
              </w:rPr>
            </w:pPr>
            <w:r>
              <w:rPr>
                <w:rFonts w:hint="default" w:ascii="Arial" w:hAnsi="Arial" w:eastAsia="宋体" w:cs="Arial"/>
                <w:i w:val="0"/>
                <w:iCs w:val="0"/>
                <w:color w:val="000000"/>
                <w:kern w:val="0"/>
                <w:sz w:val="21"/>
                <w:szCs w:val="21"/>
                <w:highlight w:val="none"/>
                <w:u w:val="none"/>
                <w:lang w:val="en-US" w:eastAsia="zh-CN" w:bidi="ar"/>
              </w:rPr>
              <w:t>发酵箱</w:t>
            </w:r>
          </w:p>
        </w:tc>
        <w:tc>
          <w:tcPr>
            <w:tcW w:w="774" w:type="dxa"/>
            <w:tcBorders>
              <w:top w:val="single" w:color="auto" w:sz="4" w:space="0"/>
              <w:left w:val="nil"/>
              <w:bottom w:val="single" w:color="auto" w:sz="4" w:space="0"/>
              <w:right w:val="single" w:color="auto" w:sz="4" w:space="0"/>
            </w:tcBorders>
            <w:noWrap w:val="0"/>
            <w:vAlign w:val="center"/>
          </w:tcPr>
          <w:p w14:paraId="601232A9">
            <w:pPr>
              <w:keepNext w:val="0"/>
              <w:keepLines w:val="0"/>
              <w:widowControl/>
              <w:suppressLineNumbers w:val="0"/>
              <w:jc w:val="center"/>
              <w:textAlignment w:val="center"/>
              <w:rPr>
                <w:rFonts w:hint="default" w:ascii="Arial" w:hAnsi="Arial" w:cs="Arial"/>
                <w:color w:val="auto"/>
                <w:szCs w:val="21"/>
                <w:highlight w:val="none"/>
              </w:rPr>
            </w:pPr>
            <w:r>
              <w:rPr>
                <w:rFonts w:hint="default" w:ascii="Arial" w:hAnsi="Arial" w:eastAsia="宋体" w:cs="Arial"/>
                <w:i w:val="0"/>
                <w:iCs w:val="0"/>
                <w:color w:val="000000"/>
                <w:kern w:val="0"/>
                <w:sz w:val="21"/>
                <w:szCs w:val="21"/>
                <w:highlight w:val="none"/>
                <w:u w:val="none"/>
                <w:lang w:val="en-US" w:eastAsia="zh-CN" w:bidi="ar"/>
              </w:rPr>
              <w:t>3</w:t>
            </w:r>
          </w:p>
        </w:tc>
        <w:tc>
          <w:tcPr>
            <w:tcW w:w="673" w:type="dxa"/>
            <w:tcBorders>
              <w:top w:val="single" w:color="auto" w:sz="4" w:space="0"/>
              <w:left w:val="nil"/>
              <w:bottom w:val="single" w:color="auto" w:sz="4" w:space="0"/>
              <w:right w:val="single" w:color="auto" w:sz="4" w:space="0"/>
            </w:tcBorders>
            <w:noWrap w:val="0"/>
            <w:vAlign w:val="center"/>
          </w:tcPr>
          <w:p w14:paraId="56CA41B6">
            <w:pPr>
              <w:keepNext w:val="0"/>
              <w:keepLines w:val="0"/>
              <w:widowControl/>
              <w:suppressLineNumbers w:val="0"/>
              <w:jc w:val="center"/>
              <w:textAlignment w:val="center"/>
              <w:rPr>
                <w:rFonts w:hint="eastAsia" w:ascii="Arial" w:hAnsi="Arial" w:eastAsia="宋体" w:cs="Arial"/>
                <w:color w:val="auto"/>
                <w:szCs w:val="21"/>
                <w:highlight w:val="none"/>
                <w:lang w:eastAsia="zh-CN"/>
              </w:rPr>
            </w:pPr>
            <w:r>
              <w:rPr>
                <w:rFonts w:hint="default" w:ascii="Arial" w:hAnsi="Arial" w:eastAsia="宋体" w:cs="Arial"/>
                <w:i w:val="0"/>
                <w:iCs w:val="0"/>
                <w:color w:val="000000"/>
                <w:kern w:val="0"/>
                <w:sz w:val="21"/>
                <w:szCs w:val="21"/>
                <w:highlight w:val="none"/>
                <w:u w:val="none"/>
                <w:lang w:val="en-US" w:eastAsia="zh-CN" w:bidi="ar"/>
              </w:rPr>
              <w:t>台</w:t>
            </w:r>
          </w:p>
        </w:tc>
        <w:tc>
          <w:tcPr>
            <w:tcW w:w="1727" w:type="dxa"/>
            <w:tcBorders>
              <w:top w:val="single" w:color="auto" w:sz="4" w:space="0"/>
              <w:left w:val="nil"/>
              <w:bottom w:val="single" w:color="auto" w:sz="4" w:space="0"/>
              <w:right w:val="single" w:color="auto" w:sz="4" w:space="0"/>
            </w:tcBorders>
            <w:noWrap w:val="0"/>
            <w:vAlign w:val="center"/>
          </w:tcPr>
          <w:p w14:paraId="320FCCF7">
            <w:pPr>
              <w:keepNext w:val="0"/>
              <w:keepLines w:val="0"/>
              <w:widowControl/>
              <w:suppressLineNumbers w:val="0"/>
              <w:jc w:val="center"/>
              <w:textAlignment w:val="center"/>
              <w:rPr>
                <w:rFonts w:hint="default" w:ascii="Arial" w:hAnsi="Arial" w:cs="Arial"/>
                <w:color w:val="auto"/>
                <w:szCs w:val="21"/>
                <w:highlight w:val="none"/>
                <w:lang w:val="en-US" w:eastAsia="zh-CN"/>
              </w:rPr>
            </w:pPr>
            <w:r>
              <w:rPr>
                <w:rFonts w:hint="default" w:ascii="Arial" w:hAnsi="Arial" w:eastAsia="宋体" w:cs="Arial"/>
                <w:i w:val="0"/>
                <w:iCs w:val="0"/>
                <w:color w:val="000000"/>
                <w:kern w:val="0"/>
                <w:sz w:val="21"/>
                <w:szCs w:val="21"/>
                <w:highlight w:val="none"/>
                <w:u w:val="none"/>
                <w:lang w:val="en-US" w:eastAsia="zh-CN" w:bidi="ar"/>
              </w:rPr>
              <w:t xml:space="preserve">8500.00 </w:t>
            </w:r>
          </w:p>
        </w:tc>
        <w:tc>
          <w:tcPr>
            <w:tcW w:w="1588" w:type="dxa"/>
            <w:vMerge w:val="continue"/>
            <w:tcBorders>
              <w:left w:val="single" w:color="auto" w:sz="4" w:space="0"/>
              <w:right w:val="single" w:color="auto" w:sz="4" w:space="0"/>
            </w:tcBorders>
            <w:noWrap w:val="0"/>
            <w:vAlign w:val="center"/>
          </w:tcPr>
          <w:p w14:paraId="25D75D1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Arial" w:hAnsi="Arial" w:cs="Arial"/>
                <w:color w:val="auto"/>
                <w:highlight w:val="none"/>
              </w:rPr>
            </w:pPr>
          </w:p>
        </w:tc>
      </w:tr>
      <w:tr w14:paraId="410B8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95" w:type="dxa"/>
            <w:vMerge w:val="continue"/>
            <w:tcBorders>
              <w:left w:val="single" w:color="auto" w:sz="4" w:space="0"/>
              <w:right w:val="single" w:color="auto" w:sz="4" w:space="0"/>
            </w:tcBorders>
            <w:noWrap w:val="0"/>
            <w:vAlign w:val="center"/>
          </w:tcPr>
          <w:p w14:paraId="24E0BFB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Arial" w:hAnsi="Arial" w:cs="Arial"/>
                <w:color w:val="auto"/>
                <w:highlight w:val="none"/>
                <w:lang w:val="en-US" w:eastAsia="zh-CN"/>
              </w:rPr>
            </w:pPr>
          </w:p>
        </w:tc>
        <w:tc>
          <w:tcPr>
            <w:tcW w:w="671" w:type="dxa"/>
            <w:tcBorders>
              <w:top w:val="single" w:color="auto" w:sz="4" w:space="0"/>
              <w:left w:val="single" w:color="auto" w:sz="4" w:space="0"/>
              <w:bottom w:val="single" w:color="auto" w:sz="4" w:space="0"/>
              <w:right w:val="single" w:color="auto" w:sz="4" w:space="0"/>
            </w:tcBorders>
            <w:noWrap w:val="0"/>
            <w:vAlign w:val="center"/>
          </w:tcPr>
          <w:p w14:paraId="69D008F0">
            <w:pPr>
              <w:keepNext w:val="0"/>
              <w:keepLines w:val="0"/>
              <w:widowControl/>
              <w:suppressLineNumbers w:val="0"/>
              <w:jc w:val="center"/>
              <w:textAlignment w:val="center"/>
              <w:rPr>
                <w:rFonts w:hint="default" w:ascii="Arial" w:hAnsi="Arial" w:cs="Arial"/>
                <w:color w:val="auto"/>
                <w:highlight w:val="none"/>
              </w:rPr>
            </w:pPr>
            <w:r>
              <w:rPr>
                <w:rFonts w:hint="default" w:ascii="Arial" w:hAnsi="Arial" w:eastAsia="宋体" w:cs="Arial"/>
                <w:i w:val="0"/>
                <w:iCs w:val="0"/>
                <w:color w:val="000000"/>
                <w:kern w:val="0"/>
                <w:sz w:val="21"/>
                <w:szCs w:val="21"/>
                <w:highlight w:val="none"/>
                <w:u w:val="none"/>
                <w:lang w:val="en-US" w:eastAsia="zh-CN" w:bidi="ar"/>
              </w:rPr>
              <w:t>18</w:t>
            </w:r>
          </w:p>
        </w:tc>
        <w:tc>
          <w:tcPr>
            <w:tcW w:w="2656" w:type="dxa"/>
            <w:tcBorders>
              <w:top w:val="single" w:color="auto" w:sz="4" w:space="0"/>
              <w:left w:val="nil"/>
              <w:bottom w:val="single" w:color="auto" w:sz="4" w:space="0"/>
              <w:right w:val="single" w:color="auto" w:sz="4" w:space="0"/>
            </w:tcBorders>
            <w:noWrap w:val="0"/>
            <w:vAlign w:val="center"/>
          </w:tcPr>
          <w:p w14:paraId="3222F9E0">
            <w:pPr>
              <w:keepNext w:val="0"/>
              <w:keepLines w:val="0"/>
              <w:widowControl/>
              <w:suppressLineNumbers w:val="0"/>
              <w:jc w:val="center"/>
              <w:textAlignment w:val="center"/>
              <w:rPr>
                <w:rFonts w:hint="default" w:ascii="Arial" w:hAnsi="Arial" w:eastAsia="宋体" w:cs="Arial"/>
                <w:color w:val="auto"/>
                <w:szCs w:val="21"/>
                <w:highlight w:val="none"/>
                <w:lang w:eastAsia="zh-CN"/>
              </w:rPr>
            </w:pPr>
            <w:r>
              <w:rPr>
                <w:rFonts w:hint="default" w:ascii="Arial" w:hAnsi="Arial" w:eastAsia="宋体" w:cs="Arial"/>
                <w:i w:val="0"/>
                <w:iCs w:val="0"/>
                <w:color w:val="000000"/>
                <w:kern w:val="0"/>
                <w:sz w:val="21"/>
                <w:szCs w:val="21"/>
                <w:highlight w:val="none"/>
                <w:u w:val="none"/>
                <w:lang w:val="en-US" w:eastAsia="zh-CN" w:bidi="ar"/>
              </w:rPr>
              <w:t>转台</w:t>
            </w:r>
          </w:p>
        </w:tc>
        <w:tc>
          <w:tcPr>
            <w:tcW w:w="774" w:type="dxa"/>
            <w:tcBorders>
              <w:top w:val="single" w:color="auto" w:sz="4" w:space="0"/>
              <w:left w:val="nil"/>
              <w:bottom w:val="single" w:color="auto" w:sz="4" w:space="0"/>
              <w:right w:val="single" w:color="auto" w:sz="4" w:space="0"/>
            </w:tcBorders>
            <w:noWrap w:val="0"/>
            <w:vAlign w:val="center"/>
          </w:tcPr>
          <w:p w14:paraId="798C428C">
            <w:pPr>
              <w:keepNext w:val="0"/>
              <w:keepLines w:val="0"/>
              <w:widowControl/>
              <w:suppressLineNumbers w:val="0"/>
              <w:jc w:val="center"/>
              <w:textAlignment w:val="center"/>
              <w:rPr>
                <w:rFonts w:hint="default" w:ascii="Arial" w:hAnsi="Arial" w:cs="Arial"/>
                <w:color w:val="auto"/>
                <w:szCs w:val="21"/>
                <w:highlight w:val="none"/>
              </w:rPr>
            </w:pPr>
            <w:r>
              <w:rPr>
                <w:rFonts w:hint="default" w:ascii="Arial" w:hAnsi="Arial" w:eastAsia="宋体" w:cs="Arial"/>
                <w:i w:val="0"/>
                <w:iCs w:val="0"/>
                <w:color w:val="000000"/>
                <w:kern w:val="0"/>
                <w:sz w:val="21"/>
                <w:szCs w:val="21"/>
                <w:highlight w:val="none"/>
                <w:u w:val="none"/>
                <w:lang w:val="en-US" w:eastAsia="zh-CN" w:bidi="ar"/>
              </w:rPr>
              <w:t>100</w:t>
            </w:r>
          </w:p>
        </w:tc>
        <w:tc>
          <w:tcPr>
            <w:tcW w:w="673" w:type="dxa"/>
            <w:tcBorders>
              <w:top w:val="single" w:color="auto" w:sz="4" w:space="0"/>
              <w:left w:val="nil"/>
              <w:bottom w:val="single" w:color="auto" w:sz="4" w:space="0"/>
              <w:right w:val="single" w:color="auto" w:sz="4" w:space="0"/>
            </w:tcBorders>
            <w:noWrap w:val="0"/>
            <w:vAlign w:val="center"/>
          </w:tcPr>
          <w:p w14:paraId="63CF731E">
            <w:pPr>
              <w:keepNext w:val="0"/>
              <w:keepLines w:val="0"/>
              <w:widowControl/>
              <w:suppressLineNumbers w:val="0"/>
              <w:jc w:val="center"/>
              <w:textAlignment w:val="center"/>
              <w:rPr>
                <w:rFonts w:hint="eastAsia" w:ascii="Arial" w:hAnsi="Arial" w:eastAsia="宋体" w:cs="Arial"/>
                <w:color w:val="auto"/>
                <w:szCs w:val="21"/>
                <w:highlight w:val="none"/>
                <w:lang w:eastAsia="zh-CN"/>
              </w:rPr>
            </w:pPr>
            <w:r>
              <w:rPr>
                <w:rFonts w:hint="default" w:ascii="Arial" w:hAnsi="Arial" w:eastAsia="宋体" w:cs="Arial"/>
                <w:i w:val="0"/>
                <w:iCs w:val="0"/>
                <w:color w:val="000000"/>
                <w:kern w:val="0"/>
                <w:sz w:val="21"/>
                <w:szCs w:val="21"/>
                <w:highlight w:val="none"/>
                <w:u w:val="none"/>
                <w:lang w:val="en-US" w:eastAsia="zh-CN" w:bidi="ar"/>
              </w:rPr>
              <w:t>个</w:t>
            </w:r>
          </w:p>
        </w:tc>
        <w:tc>
          <w:tcPr>
            <w:tcW w:w="1727" w:type="dxa"/>
            <w:tcBorders>
              <w:top w:val="single" w:color="auto" w:sz="4" w:space="0"/>
              <w:left w:val="nil"/>
              <w:bottom w:val="single" w:color="auto" w:sz="4" w:space="0"/>
              <w:right w:val="single" w:color="auto" w:sz="4" w:space="0"/>
            </w:tcBorders>
            <w:noWrap w:val="0"/>
            <w:vAlign w:val="center"/>
          </w:tcPr>
          <w:p w14:paraId="76398201">
            <w:pPr>
              <w:keepNext w:val="0"/>
              <w:keepLines w:val="0"/>
              <w:widowControl/>
              <w:suppressLineNumbers w:val="0"/>
              <w:jc w:val="center"/>
              <w:textAlignment w:val="center"/>
              <w:rPr>
                <w:rFonts w:hint="default" w:ascii="Arial" w:hAnsi="Arial" w:cs="Arial"/>
                <w:color w:val="auto"/>
                <w:szCs w:val="21"/>
                <w:highlight w:val="none"/>
                <w:lang w:val="en-US" w:eastAsia="zh-CN"/>
              </w:rPr>
            </w:pPr>
            <w:r>
              <w:rPr>
                <w:rFonts w:hint="default" w:ascii="Arial" w:hAnsi="Arial" w:eastAsia="宋体" w:cs="Arial"/>
                <w:i w:val="0"/>
                <w:iCs w:val="0"/>
                <w:color w:val="000000"/>
                <w:kern w:val="0"/>
                <w:sz w:val="21"/>
                <w:szCs w:val="21"/>
                <w:highlight w:val="none"/>
                <w:u w:val="none"/>
                <w:lang w:val="en-US" w:eastAsia="zh-CN" w:bidi="ar"/>
              </w:rPr>
              <w:t xml:space="preserve">90.00 </w:t>
            </w:r>
          </w:p>
        </w:tc>
        <w:tc>
          <w:tcPr>
            <w:tcW w:w="1588" w:type="dxa"/>
            <w:vMerge w:val="continue"/>
            <w:tcBorders>
              <w:left w:val="single" w:color="auto" w:sz="4" w:space="0"/>
              <w:right w:val="single" w:color="auto" w:sz="4" w:space="0"/>
            </w:tcBorders>
            <w:noWrap w:val="0"/>
            <w:vAlign w:val="center"/>
          </w:tcPr>
          <w:p w14:paraId="7B7326E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Arial" w:hAnsi="Arial" w:cs="Arial"/>
                <w:color w:val="auto"/>
                <w:highlight w:val="none"/>
              </w:rPr>
            </w:pPr>
          </w:p>
        </w:tc>
      </w:tr>
      <w:tr w14:paraId="5A325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95" w:type="dxa"/>
            <w:vMerge w:val="continue"/>
            <w:tcBorders>
              <w:left w:val="single" w:color="auto" w:sz="4" w:space="0"/>
              <w:right w:val="single" w:color="auto" w:sz="4" w:space="0"/>
            </w:tcBorders>
            <w:noWrap w:val="0"/>
            <w:vAlign w:val="center"/>
          </w:tcPr>
          <w:p w14:paraId="0C0E7C5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Arial" w:hAnsi="Arial" w:cs="Arial"/>
                <w:color w:val="auto"/>
                <w:highlight w:val="none"/>
                <w:lang w:val="en-US" w:eastAsia="zh-CN"/>
              </w:rPr>
            </w:pPr>
          </w:p>
        </w:tc>
        <w:tc>
          <w:tcPr>
            <w:tcW w:w="671" w:type="dxa"/>
            <w:tcBorders>
              <w:top w:val="single" w:color="auto" w:sz="4" w:space="0"/>
              <w:left w:val="single" w:color="auto" w:sz="4" w:space="0"/>
              <w:bottom w:val="single" w:color="auto" w:sz="4" w:space="0"/>
              <w:right w:val="single" w:color="auto" w:sz="4" w:space="0"/>
            </w:tcBorders>
            <w:noWrap w:val="0"/>
            <w:vAlign w:val="center"/>
          </w:tcPr>
          <w:p w14:paraId="2A4D030A">
            <w:pPr>
              <w:keepNext w:val="0"/>
              <w:keepLines w:val="0"/>
              <w:widowControl/>
              <w:suppressLineNumbers w:val="0"/>
              <w:jc w:val="center"/>
              <w:textAlignment w:val="center"/>
              <w:rPr>
                <w:rFonts w:hint="default" w:ascii="Arial" w:hAnsi="Arial" w:cs="Arial"/>
                <w:color w:val="auto"/>
                <w:highlight w:val="none"/>
              </w:rPr>
            </w:pPr>
            <w:r>
              <w:rPr>
                <w:rFonts w:hint="default" w:ascii="Arial" w:hAnsi="Arial" w:eastAsia="宋体" w:cs="Arial"/>
                <w:i w:val="0"/>
                <w:iCs w:val="0"/>
                <w:color w:val="000000"/>
                <w:kern w:val="0"/>
                <w:sz w:val="21"/>
                <w:szCs w:val="21"/>
                <w:highlight w:val="none"/>
                <w:u w:val="none"/>
                <w:lang w:val="en-US" w:eastAsia="zh-CN" w:bidi="ar"/>
              </w:rPr>
              <w:t>19</w:t>
            </w:r>
          </w:p>
        </w:tc>
        <w:tc>
          <w:tcPr>
            <w:tcW w:w="2656" w:type="dxa"/>
            <w:tcBorders>
              <w:top w:val="single" w:color="auto" w:sz="4" w:space="0"/>
              <w:left w:val="nil"/>
              <w:bottom w:val="single" w:color="auto" w:sz="4" w:space="0"/>
              <w:right w:val="single" w:color="auto" w:sz="4" w:space="0"/>
            </w:tcBorders>
            <w:noWrap w:val="0"/>
            <w:vAlign w:val="center"/>
          </w:tcPr>
          <w:p w14:paraId="0E679948">
            <w:pPr>
              <w:keepNext w:val="0"/>
              <w:keepLines w:val="0"/>
              <w:widowControl/>
              <w:suppressLineNumbers w:val="0"/>
              <w:jc w:val="center"/>
              <w:textAlignment w:val="center"/>
              <w:rPr>
                <w:rFonts w:hint="default" w:ascii="Arial" w:hAnsi="Arial" w:eastAsia="宋体" w:cs="Arial"/>
                <w:color w:val="auto"/>
                <w:szCs w:val="21"/>
                <w:highlight w:val="none"/>
                <w:lang w:eastAsia="zh-CN"/>
              </w:rPr>
            </w:pPr>
            <w:r>
              <w:rPr>
                <w:rFonts w:hint="default" w:ascii="Arial" w:hAnsi="Arial" w:eastAsia="宋体" w:cs="Arial"/>
                <w:i w:val="0"/>
                <w:iCs w:val="0"/>
                <w:color w:val="000000"/>
                <w:kern w:val="0"/>
                <w:sz w:val="21"/>
                <w:szCs w:val="21"/>
                <w:highlight w:val="none"/>
                <w:u w:val="none"/>
                <w:lang w:val="en-US" w:eastAsia="zh-CN" w:bidi="ar"/>
              </w:rPr>
              <w:t>抹刀</w:t>
            </w:r>
          </w:p>
        </w:tc>
        <w:tc>
          <w:tcPr>
            <w:tcW w:w="774" w:type="dxa"/>
            <w:tcBorders>
              <w:top w:val="single" w:color="auto" w:sz="4" w:space="0"/>
              <w:left w:val="nil"/>
              <w:bottom w:val="single" w:color="auto" w:sz="4" w:space="0"/>
              <w:right w:val="single" w:color="auto" w:sz="4" w:space="0"/>
            </w:tcBorders>
            <w:noWrap w:val="0"/>
            <w:vAlign w:val="center"/>
          </w:tcPr>
          <w:p w14:paraId="6F5E7B6F">
            <w:pPr>
              <w:keepNext w:val="0"/>
              <w:keepLines w:val="0"/>
              <w:widowControl/>
              <w:suppressLineNumbers w:val="0"/>
              <w:jc w:val="center"/>
              <w:textAlignment w:val="center"/>
              <w:rPr>
                <w:rFonts w:hint="default" w:ascii="Arial" w:hAnsi="Arial" w:cs="Arial"/>
                <w:color w:val="auto"/>
                <w:szCs w:val="21"/>
                <w:highlight w:val="none"/>
              </w:rPr>
            </w:pPr>
            <w:r>
              <w:rPr>
                <w:rFonts w:hint="default" w:ascii="Arial" w:hAnsi="Arial" w:eastAsia="宋体" w:cs="Arial"/>
                <w:i w:val="0"/>
                <w:iCs w:val="0"/>
                <w:color w:val="000000"/>
                <w:kern w:val="0"/>
                <w:sz w:val="21"/>
                <w:szCs w:val="21"/>
                <w:highlight w:val="none"/>
                <w:u w:val="none"/>
                <w:lang w:val="en-US" w:eastAsia="zh-CN" w:bidi="ar"/>
              </w:rPr>
              <w:t>100</w:t>
            </w:r>
          </w:p>
        </w:tc>
        <w:tc>
          <w:tcPr>
            <w:tcW w:w="673" w:type="dxa"/>
            <w:tcBorders>
              <w:top w:val="single" w:color="auto" w:sz="4" w:space="0"/>
              <w:left w:val="nil"/>
              <w:bottom w:val="single" w:color="auto" w:sz="4" w:space="0"/>
              <w:right w:val="single" w:color="auto" w:sz="4" w:space="0"/>
            </w:tcBorders>
            <w:noWrap w:val="0"/>
            <w:vAlign w:val="center"/>
          </w:tcPr>
          <w:p w14:paraId="0CAAA145">
            <w:pPr>
              <w:keepNext w:val="0"/>
              <w:keepLines w:val="0"/>
              <w:widowControl/>
              <w:suppressLineNumbers w:val="0"/>
              <w:jc w:val="center"/>
              <w:textAlignment w:val="center"/>
              <w:rPr>
                <w:rFonts w:hint="eastAsia" w:ascii="Arial" w:hAnsi="Arial" w:eastAsia="宋体" w:cs="Arial"/>
                <w:color w:val="auto"/>
                <w:szCs w:val="21"/>
                <w:highlight w:val="none"/>
                <w:lang w:eastAsia="zh-CN"/>
              </w:rPr>
            </w:pPr>
            <w:r>
              <w:rPr>
                <w:rFonts w:hint="default" w:ascii="Arial" w:hAnsi="Arial" w:eastAsia="宋体" w:cs="Arial"/>
                <w:i w:val="0"/>
                <w:iCs w:val="0"/>
                <w:color w:val="000000"/>
                <w:kern w:val="0"/>
                <w:sz w:val="21"/>
                <w:szCs w:val="21"/>
                <w:highlight w:val="none"/>
                <w:u w:val="none"/>
                <w:lang w:val="en-US" w:eastAsia="zh-CN" w:bidi="ar"/>
              </w:rPr>
              <w:t>个</w:t>
            </w:r>
          </w:p>
        </w:tc>
        <w:tc>
          <w:tcPr>
            <w:tcW w:w="1727" w:type="dxa"/>
            <w:tcBorders>
              <w:top w:val="single" w:color="auto" w:sz="4" w:space="0"/>
              <w:left w:val="nil"/>
              <w:bottom w:val="single" w:color="auto" w:sz="4" w:space="0"/>
              <w:right w:val="single" w:color="auto" w:sz="4" w:space="0"/>
            </w:tcBorders>
            <w:noWrap w:val="0"/>
            <w:vAlign w:val="center"/>
          </w:tcPr>
          <w:p w14:paraId="5373296F">
            <w:pPr>
              <w:keepNext w:val="0"/>
              <w:keepLines w:val="0"/>
              <w:widowControl/>
              <w:suppressLineNumbers w:val="0"/>
              <w:jc w:val="center"/>
              <w:textAlignment w:val="center"/>
              <w:rPr>
                <w:rFonts w:hint="default" w:ascii="Arial" w:hAnsi="Arial" w:cs="Arial"/>
                <w:color w:val="auto"/>
                <w:szCs w:val="21"/>
                <w:highlight w:val="none"/>
                <w:lang w:val="en-US" w:eastAsia="zh-CN"/>
              </w:rPr>
            </w:pPr>
            <w:r>
              <w:rPr>
                <w:rFonts w:hint="default" w:ascii="Arial" w:hAnsi="Arial" w:eastAsia="宋体" w:cs="Arial"/>
                <w:i w:val="0"/>
                <w:iCs w:val="0"/>
                <w:color w:val="000000"/>
                <w:kern w:val="0"/>
                <w:sz w:val="21"/>
                <w:szCs w:val="21"/>
                <w:highlight w:val="none"/>
                <w:u w:val="none"/>
                <w:lang w:val="en-US" w:eastAsia="zh-CN" w:bidi="ar"/>
              </w:rPr>
              <w:t xml:space="preserve">22.00 </w:t>
            </w:r>
          </w:p>
        </w:tc>
        <w:tc>
          <w:tcPr>
            <w:tcW w:w="1588" w:type="dxa"/>
            <w:vMerge w:val="continue"/>
            <w:tcBorders>
              <w:left w:val="single" w:color="auto" w:sz="4" w:space="0"/>
              <w:right w:val="single" w:color="auto" w:sz="4" w:space="0"/>
            </w:tcBorders>
            <w:noWrap w:val="0"/>
            <w:vAlign w:val="center"/>
          </w:tcPr>
          <w:p w14:paraId="3E2C46C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Arial" w:hAnsi="Arial" w:cs="Arial"/>
                <w:color w:val="auto"/>
                <w:highlight w:val="none"/>
              </w:rPr>
            </w:pPr>
          </w:p>
        </w:tc>
      </w:tr>
      <w:tr w14:paraId="27D73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95" w:type="dxa"/>
            <w:vMerge w:val="continue"/>
            <w:tcBorders>
              <w:left w:val="single" w:color="auto" w:sz="4" w:space="0"/>
              <w:right w:val="single" w:color="auto" w:sz="4" w:space="0"/>
            </w:tcBorders>
            <w:noWrap w:val="0"/>
            <w:vAlign w:val="center"/>
          </w:tcPr>
          <w:p w14:paraId="38C10B5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Arial" w:hAnsi="Arial" w:cs="Arial"/>
                <w:color w:val="auto"/>
                <w:highlight w:val="none"/>
                <w:lang w:val="en-US" w:eastAsia="zh-CN"/>
              </w:rPr>
            </w:pPr>
          </w:p>
        </w:tc>
        <w:tc>
          <w:tcPr>
            <w:tcW w:w="671" w:type="dxa"/>
            <w:tcBorders>
              <w:top w:val="single" w:color="auto" w:sz="4" w:space="0"/>
              <w:left w:val="single" w:color="auto" w:sz="4" w:space="0"/>
              <w:bottom w:val="single" w:color="auto" w:sz="4" w:space="0"/>
              <w:right w:val="single" w:color="auto" w:sz="4" w:space="0"/>
            </w:tcBorders>
            <w:noWrap w:val="0"/>
            <w:vAlign w:val="center"/>
          </w:tcPr>
          <w:p w14:paraId="1582A034">
            <w:pPr>
              <w:keepNext w:val="0"/>
              <w:keepLines w:val="0"/>
              <w:widowControl/>
              <w:suppressLineNumbers w:val="0"/>
              <w:jc w:val="center"/>
              <w:textAlignment w:val="center"/>
              <w:rPr>
                <w:rFonts w:hint="default" w:ascii="Arial" w:hAnsi="Arial" w:cs="Arial"/>
                <w:color w:val="auto"/>
                <w:highlight w:val="none"/>
              </w:rPr>
            </w:pPr>
            <w:r>
              <w:rPr>
                <w:rFonts w:hint="default" w:ascii="Arial" w:hAnsi="Arial" w:eastAsia="宋体" w:cs="Arial"/>
                <w:i w:val="0"/>
                <w:iCs w:val="0"/>
                <w:color w:val="000000"/>
                <w:kern w:val="0"/>
                <w:sz w:val="21"/>
                <w:szCs w:val="21"/>
                <w:highlight w:val="none"/>
                <w:u w:val="none"/>
                <w:lang w:val="en-US" w:eastAsia="zh-CN" w:bidi="ar"/>
              </w:rPr>
              <w:t>20</w:t>
            </w:r>
          </w:p>
        </w:tc>
        <w:tc>
          <w:tcPr>
            <w:tcW w:w="2656" w:type="dxa"/>
            <w:tcBorders>
              <w:top w:val="single" w:color="auto" w:sz="4" w:space="0"/>
              <w:left w:val="nil"/>
              <w:bottom w:val="single" w:color="auto" w:sz="4" w:space="0"/>
              <w:right w:val="single" w:color="auto" w:sz="4" w:space="0"/>
            </w:tcBorders>
            <w:noWrap w:val="0"/>
            <w:vAlign w:val="center"/>
          </w:tcPr>
          <w:p w14:paraId="7E23A80F">
            <w:pPr>
              <w:keepNext w:val="0"/>
              <w:keepLines w:val="0"/>
              <w:widowControl/>
              <w:suppressLineNumbers w:val="0"/>
              <w:jc w:val="center"/>
              <w:textAlignment w:val="center"/>
              <w:rPr>
                <w:rFonts w:hint="default" w:ascii="Arial" w:hAnsi="Arial" w:eastAsia="宋体" w:cs="Arial"/>
                <w:color w:val="auto"/>
                <w:szCs w:val="21"/>
                <w:highlight w:val="none"/>
                <w:lang w:eastAsia="zh-CN"/>
              </w:rPr>
            </w:pPr>
            <w:r>
              <w:rPr>
                <w:rFonts w:hint="default" w:ascii="Arial" w:hAnsi="Arial" w:eastAsia="宋体" w:cs="Arial"/>
                <w:i w:val="0"/>
                <w:iCs w:val="0"/>
                <w:color w:val="000000"/>
                <w:kern w:val="0"/>
                <w:sz w:val="21"/>
                <w:szCs w:val="21"/>
                <w:highlight w:val="none"/>
                <w:u w:val="none"/>
                <w:lang w:val="en-US" w:eastAsia="zh-CN" w:bidi="ar"/>
              </w:rPr>
              <w:t>锯齿刀</w:t>
            </w:r>
          </w:p>
        </w:tc>
        <w:tc>
          <w:tcPr>
            <w:tcW w:w="774" w:type="dxa"/>
            <w:tcBorders>
              <w:top w:val="single" w:color="auto" w:sz="4" w:space="0"/>
              <w:left w:val="nil"/>
              <w:bottom w:val="single" w:color="auto" w:sz="4" w:space="0"/>
              <w:right w:val="single" w:color="auto" w:sz="4" w:space="0"/>
            </w:tcBorders>
            <w:noWrap w:val="0"/>
            <w:vAlign w:val="center"/>
          </w:tcPr>
          <w:p w14:paraId="50FF1FDA">
            <w:pPr>
              <w:keepNext w:val="0"/>
              <w:keepLines w:val="0"/>
              <w:widowControl/>
              <w:suppressLineNumbers w:val="0"/>
              <w:jc w:val="center"/>
              <w:textAlignment w:val="center"/>
              <w:rPr>
                <w:rFonts w:hint="default" w:ascii="Arial" w:hAnsi="Arial" w:cs="Arial"/>
                <w:color w:val="auto"/>
                <w:szCs w:val="21"/>
                <w:highlight w:val="none"/>
              </w:rPr>
            </w:pPr>
            <w:r>
              <w:rPr>
                <w:rFonts w:hint="default" w:ascii="Arial" w:hAnsi="Arial" w:eastAsia="宋体" w:cs="Arial"/>
                <w:i w:val="0"/>
                <w:iCs w:val="0"/>
                <w:color w:val="000000"/>
                <w:kern w:val="0"/>
                <w:sz w:val="21"/>
                <w:szCs w:val="21"/>
                <w:highlight w:val="none"/>
                <w:u w:val="none"/>
                <w:lang w:val="en-US" w:eastAsia="zh-CN" w:bidi="ar"/>
              </w:rPr>
              <w:t>100</w:t>
            </w:r>
          </w:p>
        </w:tc>
        <w:tc>
          <w:tcPr>
            <w:tcW w:w="673" w:type="dxa"/>
            <w:tcBorders>
              <w:top w:val="single" w:color="auto" w:sz="4" w:space="0"/>
              <w:left w:val="nil"/>
              <w:bottom w:val="single" w:color="auto" w:sz="4" w:space="0"/>
              <w:right w:val="single" w:color="auto" w:sz="4" w:space="0"/>
            </w:tcBorders>
            <w:noWrap w:val="0"/>
            <w:vAlign w:val="center"/>
          </w:tcPr>
          <w:p w14:paraId="1D778EFB">
            <w:pPr>
              <w:keepNext w:val="0"/>
              <w:keepLines w:val="0"/>
              <w:widowControl/>
              <w:suppressLineNumbers w:val="0"/>
              <w:jc w:val="center"/>
              <w:textAlignment w:val="center"/>
              <w:rPr>
                <w:rFonts w:hint="eastAsia" w:ascii="Arial" w:hAnsi="Arial" w:eastAsia="宋体" w:cs="Arial"/>
                <w:color w:val="auto"/>
                <w:szCs w:val="21"/>
                <w:highlight w:val="none"/>
                <w:lang w:eastAsia="zh-CN"/>
              </w:rPr>
            </w:pPr>
            <w:r>
              <w:rPr>
                <w:rFonts w:hint="default" w:ascii="Arial" w:hAnsi="Arial" w:eastAsia="宋体" w:cs="Arial"/>
                <w:i w:val="0"/>
                <w:iCs w:val="0"/>
                <w:color w:val="000000"/>
                <w:kern w:val="0"/>
                <w:sz w:val="21"/>
                <w:szCs w:val="21"/>
                <w:highlight w:val="none"/>
                <w:u w:val="none"/>
                <w:lang w:val="en-US" w:eastAsia="zh-CN" w:bidi="ar"/>
              </w:rPr>
              <w:t>个</w:t>
            </w:r>
          </w:p>
        </w:tc>
        <w:tc>
          <w:tcPr>
            <w:tcW w:w="1727" w:type="dxa"/>
            <w:tcBorders>
              <w:top w:val="single" w:color="auto" w:sz="4" w:space="0"/>
              <w:left w:val="nil"/>
              <w:bottom w:val="single" w:color="auto" w:sz="4" w:space="0"/>
              <w:right w:val="single" w:color="auto" w:sz="4" w:space="0"/>
            </w:tcBorders>
            <w:noWrap w:val="0"/>
            <w:vAlign w:val="center"/>
          </w:tcPr>
          <w:p w14:paraId="25394072">
            <w:pPr>
              <w:keepNext w:val="0"/>
              <w:keepLines w:val="0"/>
              <w:widowControl/>
              <w:suppressLineNumbers w:val="0"/>
              <w:jc w:val="center"/>
              <w:textAlignment w:val="center"/>
              <w:rPr>
                <w:rFonts w:hint="default" w:ascii="Arial" w:hAnsi="Arial" w:cs="Arial"/>
                <w:color w:val="auto"/>
                <w:szCs w:val="21"/>
                <w:highlight w:val="none"/>
                <w:lang w:val="en-US" w:eastAsia="zh-CN"/>
              </w:rPr>
            </w:pPr>
            <w:r>
              <w:rPr>
                <w:rFonts w:hint="default" w:ascii="Arial" w:hAnsi="Arial" w:eastAsia="宋体" w:cs="Arial"/>
                <w:i w:val="0"/>
                <w:iCs w:val="0"/>
                <w:color w:val="000000"/>
                <w:kern w:val="0"/>
                <w:sz w:val="21"/>
                <w:szCs w:val="21"/>
                <w:highlight w:val="none"/>
                <w:u w:val="none"/>
                <w:lang w:val="en-US" w:eastAsia="zh-CN" w:bidi="ar"/>
              </w:rPr>
              <w:t xml:space="preserve">22.00 </w:t>
            </w:r>
          </w:p>
        </w:tc>
        <w:tc>
          <w:tcPr>
            <w:tcW w:w="1588" w:type="dxa"/>
            <w:vMerge w:val="continue"/>
            <w:tcBorders>
              <w:left w:val="single" w:color="auto" w:sz="4" w:space="0"/>
              <w:right w:val="single" w:color="auto" w:sz="4" w:space="0"/>
            </w:tcBorders>
            <w:noWrap w:val="0"/>
            <w:vAlign w:val="center"/>
          </w:tcPr>
          <w:p w14:paraId="4B64D35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Arial" w:hAnsi="Arial" w:cs="Arial"/>
                <w:color w:val="auto"/>
                <w:highlight w:val="none"/>
              </w:rPr>
            </w:pPr>
          </w:p>
        </w:tc>
      </w:tr>
      <w:tr w14:paraId="259F1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95" w:type="dxa"/>
            <w:vMerge w:val="continue"/>
            <w:tcBorders>
              <w:left w:val="single" w:color="auto" w:sz="4" w:space="0"/>
              <w:right w:val="single" w:color="auto" w:sz="4" w:space="0"/>
            </w:tcBorders>
            <w:noWrap w:val="0"/>
            <w:vAlign w:val="center"/>
          </w:tcPr>
          <w:p w14:paraId="688EC46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Arial" w:hAnsi="Arial" w:cs="Arial"/>
                <w:color w:val="auto"/>
                <w:highlight w:val="none"/>
                <w:lang w:val="en-US" w:eastAsia="zh-CN"/>
              </w:rPr>
            </w:pPr>
          </w:p>
        </w:tc>
        <w:tc>
          <w:tcPr>
            <w:tcW w:w="671" w:type="dxa"/>
            <w:tcBorders>
              <w:top w:val="single" w:color="auto" w:sz="4" w:space="0"/>
              <w:left w:val="single" w:color="auto" w:sz="4" w:space="0"/>
              <w:bottom w:val="single" w:color="auto" w:sz="4" w:space="0"/>
              <w:right w:val="single" w:color="auto" w:sz="4" w:space="0"/>
            </w:tcBorders>
            <w:noWrap w:val="0"/>
            <w:vAlign w:val="center"/>
          </w:tcPr>
          <w:p w14:paraId="4FFD200B">
            <w:pPr>
              <w:keepNext w:val="0"/>
              <w:keepLines w:val="0"/>
              <w:widowControl/>
              <w:suppressLineNumbers w:val="0"/>
              <w:jc w:val="center"/>
              <w:textAlignment w:val="center"/>
              <w:rPr>
                <w:rFonts w:hint="default" w:ascii="Arial" w:hAnsi="Arial" w:cs="Arial"/>
                <w:color w:val="auto"/>
                <w:highlight w:val="none"/>
              </w:rPr>
            </w:pPr>
            <w:r>
              <w:rPr>
                <w:rFonts w:hint="default" w:ascii="Arial" w:hAnsi="Arial" w:eastAsia="宋体" w:cs="Arial"/>
                <w:i w:val="0"/>
                <w:iCs w:val="0"/>
                <w:color w:val="000000"/>
                <w:kern w:val="0"/>
                <w:sz w:val="21"/>
                <w:szCs w:val="21"/>
                <w:highlight w:val="none"/>
                <w:u w:val="none"/>
                <w:lang w:val="en-US" w:eastAsia="zh-CN" w:bidi="ar"/>
              </w:rPr>
              <w:t>21</w:t>
            </w:r>
          </w:p>
        </w:tc>
        <w:tc>
          <w:tcPr>
            <w:tcW w:w="2656" w:type="dxa"/>
            <w:tcBorders>
              <w:top w:val="single" w:color="auto" w:sz="4" w:space="0"/>
              <w:left w:val="nil"/>
              <w:bottom w:val="single" w:color="auto" w:sz="4" w:space="0"/>
              <w:right w:val="single" w:color="auto" w:sz="4" w:space="0"/>
            </w:tcBorders>
            <w:noWrap w:val="0"/>
            <w:vAlign w:val="center"/>
          </w:tcPr>
          <w:p w14:paraId="0648EB1B">
            <w:pPr>
              <w:keepNext w:val="0"/>
              <w:keepLines w:val="0"/>
              <w:widowControl/>
              <w:suppressLineNumbers w:val="0"/>
              <w:jc w:val="center"/>
              <w:textAlignment w:val="center"/>
              <w:rPr>
                <w:rFonts w:hint="default" w:ascii="Arial" w:hAnsi="Arial" w:eastAsia="宋体" w:cs="Arial"/>
                <w:color w:val="auto"/>
                <w:szCs w:val="21"/>
                <w:highlight w:val="none"/>
                <w:lang w:eastAsia="zh-CN"/>
              </w:rPr>
            </w:pPr>
            <w:r>
              <w:rPr>
                <w:rFonts w:hint="default" w:ascii="Arial" w:hAnsi="Arial" w:eastAsia="宋体" w:cs="Arial"/>
                <w:i w:val="0"/>
                <w:iCs w:val="0"/>
                <w:color w:val="000000"/>
                <w:kern w:val="0"/>
                <w:sz w:val="21"/>
                <w:szCs w:val="21"/>
                <w:highlight w:val="none"/>
                <w:u w:val="none"/>
                <w:lang w:val="en-US" w:eastAsia="zh-CN" w:bidi="ar"/>
              </w:rPr>
              <w:t>6寸蛋糕模具</w:t>
            </w:r>
          </w:p>
        </w:tc>
        <w:tc>
          <w:tcPr>
            <w:tcW w:w="774" w:type="dxa"/>
            <w:tcBorders>
              <w:top w:val="single" w:color="auto" w:sz="4" w:space="0"/>
              <w:left w:val="nil"/>
              <w:bottom w:val="single" w:color="auto" w:sz="4" w:space="0"/>
              <w:right w:val="single" w:color="auto" w:sz="4" w:space="0"/>
            </w:tcBorders>
            <w:noWrap w:val="0"/>
            <w:vAlign w:val="center"/>
          </w:tcPr>
          <w:p w14:paraId="7CCE8F63">
            <w:pPr>
              <w:keepNext w:val="0"/>
              <w:keepLines w:val="0"/>
              <w:widowControl/>
              <w:suppressLineNumbers w:val="0"/>
              <w:jc w:val="center"/>
              <w:textAlignment w:val="center"/>
              <w:rPr>
                <w:rFonts w:hint="default" w:ascii="Arial" w:hAnsi="Arial" w:cs="Arial"/>
                <w:color w:val="auto"/>
                <w:szCs w:val="21"/>
                <w:highlight w:val="none"/>
              </w:rPr>
            </w:pPr>
            <w:r>
              <w:rPr>
                <w:rFonts w:hint="default" w:ascii="Arial" w:hAnsi="Arial" w:eastAsia="宋体" w:cs="Arial"/>
                <w:i w:val="0"/>
                <w:iCs w:val="0"/>
                <w:color w:val="000000"/>
                <w:kern w:val="0"/>
                <w:sz w:val="21"/>
                <w:szCs w:val="21"/>
                <w:highlight w:val="none"/>
                <w:u w:val="none"/>
                <w:lang w:val="en-US" w:eastAsia="zh-CN" w:bidi="ar"/>
              </w:rPr>
              <w:t>30</w:t>
            </w:r>
          </w:p>
        </w:tc>
        <w:tc>
          <w:tcPr>
            <w:tcW w:w="673" w:type="dxa"/>
            <w:tcBorders>
              <w:top w:val="single" w:color="auto" w:sz="4" w:space="0"/>
              <w:left w:val="nil"/>
              <w:bottom w:val="single" w:color="auto" w:sz="4" w:space="0"/>
              <w:right w:val="single" w:color="auto" w:sz="4" w:space="0"/>
            </w:tcBorders>
            <w:noWrap w:val="0"/>
            <w:vAlign w:val="center"/>
          </w:tcPr>
          <w:p w14:paraId="6ED09313">
            <w:pPr>
              <w:keepNext w:val="0"/>
              <w:keepLines w:val="0"/>
              <w:widowControl/>
              <w:suppressLineNumbers w:val="0"/>
              <w:jc w:val="center"/>
              <w:textAlignment w:val="center"/>
              <w:rPr>
                <w:rFonts w:hint="eastAsia" w:ascii="Arial" w:hAnsi="Arial" w:eastAsia="宋体" w:cs="Arial"/>
                <w:color w:val="auto"/>
                <w:szCs w:val="21"/>
                <w:highlight w:val="none"/>
                <w:lang w:eastAsia="zh-CN"/>
              </w:rPr>
            </w:pPr>
            <w:r>
              <w:rPr>
                <w:rFonts w:hint="default" w:ascii="Arial" w:hAnsi="Arial" w:eastAsia="宋体" w:cs="Arial"/>
                <w:i w:val="0"/>
                <w:iCs w:val="0"/>
                <w:color w:val="000000"/>
                <w:kern w:val="0"/>
                <w:sz w:val="21"/>
                <w:szCs w:val="21"/>
                <w:highlight w:val="none"/>
                <w:u w:val="none"/>
                <w:lang w:val="en-US" w:eastAsia="zh-CN" w:bidi="ar"/>
              </w:rPr>
              <w:t>个</w:t>
            </w:r>
          </w:p>
        </w:tc>
        <w:tc>
          <w:tcPr>
            <w:tcW w:w="1727" w:type="dxa"/>
            <w:tcBorders>
              <w:top w:val="single" w:color="auto" w:sz="4" w:space="0"/>
              <w:left w:val="nil"/>
              <w:bottom w:val="single" w:color="auto" w:sz="4" w:space="0"/>
              <w:right w:val="single" w:color="auto" w:sz="4" w:space="0"/>
            </w:tcBorders>
            <w:noWrap w:val="0"/>
            <w:vAlign w:val="center"/>
          </w:tcPr>
          <w:p w14:paraId="5B33181A">
            <w:pPr>
              <w:keepNext w:val="0"/>
              <w:keepLines w:val="0"/>
              <w:widowControl/>
              <w:suppressLineNumbers w:val="0"/>
              <w:jc w:val="center"/>
              <w:textAlignment w:val="center"/>
              <w:rPr>
                <w:rFonts w:hint="default" w:ascii="Arial" w:hAnsi="Arial" w:cs="Arial"/>
                <w:color w:val="auto"/>
                <w:szCs w:val="21"/>
                <w:highlight w:val="none"/>
                <w:lang w:val="en-US" w:eastAsia="zh-CN"/>
              </w:rPr>
            </w:pPr>
            <w:r>
              <w:rPr>
                <w:rFonts w:hint="default" w:ascii="Arial" w:hAnsi="Arial" w:eastAsia="宋体" w:cs="Arial"/>
                <w:i w:val="0"/>
                <w:iCs w:val="0"/>
                <w:color w:val="000000"/>
                <w:kern w:val="0"/>
                <w:sz w:val="21"/>
                <w:szCs w:val="21"/>
                <w:highlight w:val="none"/>
                <w:u w:val="none"/>
                <w:lang w:val="en-US" w:eastAsia="zh-CN" w:bidi="ar"/>
              </w:rPr>
              <w:t xml:space="preserve">26.00 </w:t>
            </w:r>
          </w:p>
        </w:tc>
        <w:tc>
          <w:tcPr>
            <w:tcW w:w="1588" w:type="dxa"/>
            <w:vMerge w:val="continue"/>
            <w:tcBorders>
              <w:left w:val="single" w:color="auto" w:sz="4" w:space="0"/>
              <w:right w:val="single" w:color="auto" w:sz="4" w:space="0"/>
            </w:tcBorders>
            <w:noWrap w:val="0"/>
            <w:vAlign w:val="center"/>
          </w:tcPr>
          <w:p w14:paraId="6AA91FB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Arial" w:hAnsi="Arial" w:cs="Arial"/>
                <w:color w:val="auto"/>
                <w:highlight w:val="none"/>
              </w:rPr>
            </w:pPr>
          </w:p>
        </w:tc>
      </w:tr>
      <w:tr w14:paraId="018D3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95" w:type="dxa"/>
            <w:vMerge w:val="continue"/>
            <w:tcBorders>
              <w:left w:val="single" w:color="auto" w:sz="4" w:space="0"/>
              <w:right w:val="single" w:color="auto" w:sz="4" w:space="0"/>
            </w:tcBorders>
            <w:noWrap w:val="0"/>
            <w:vAlign w:val="center"/>
          </w:tcPr>
          <w:p w14:paraId="790EE8E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Arial" w:hAnsi="Arial" w:cs="Arial"/>
                <w:color w:val="auto"/>
                <w:highlight w:val="none"/>
                <w:lang w:val="en-US" w:eastAsia="zh-CN"/>
              </w:rPr>
            </w:pPr>
          </w:p>
        </w:tc>
        <w:tc>
          <w:tcPr>
            <w:tcW w:w="671" w:type="dxa"/>
            <w:tcBorders>
              <w:top w:val="single" w:color="auto" w:sz="4" w:space="0"/>
              <w:left w:val="single" w:color="auto" w:sz="4" w:space="0"/>
              <w:bottom w:val="single" w:color="auto" w:sz="4" w:space="0"/>
              <w:right w:val="single" w:color="auto" w:sz="4" w:space="0"/>
            </w:tcBorders>
            <w:noWrap w:val="0"/>
            <w:vAlign w:val="center"/>
          </w:tcPr>
          <w:p w14:paraId="4A77BBAC">
            <w:pPr>
              <w:keepNext w:val="0"/>
              <w:keepLines w:val="0"/>
              <w:widowControl/>
              <w:suppressLineNumbers w:val="0"/>
              <w:jc w:val="center"/>
              <w:textAlignment w:val="center"/>
              <w:rPr>
                <w:rFonts w:hint="default" w:ascii="Arial" w:hAnsi="Arial" w:cs="Arial"/>
                <w:color w:val="auto"/>
                <w:highlight w:val="none"/>
              </w:rPr>
            </w:pPr>
            <w:r>
              <w:rPr>
                <w:rFonts w:hint="default" w:ascii="Arial" w:hAnsi="Arial" w:eastAsia="宋体" w:cs="Arial"/>
                <w:i w:val="0"/>
                <w:iCs w:val="0"/>
                <w:color w:val="000000"/>
                <w:kern w:val="0"/>
                <w:sz w:val="21"/>
                <w:szCs w:val="21"/>
                <w:highlight w:val="none"/>
                <w:u w:val="none"/>
                <w:lang w:val="en-US" w:eastAsia="zh-CN" w:bidi="ar"/>
              </w:rPr>
              <w:t>22</w:t>
            </w:r>
          </w:p>
        </w:tc>
        <w:tc>
          <w:tcPr>
            <w:tcW w:w="2656" w:type="dxa"/>
            <w:tcBorders>
              <w:top w:val="single" w:color="auto" w:sz="4" w:space="0"/>
              <w:left w:val="nil"/>
              <w:bottom w:val="single" w:color="auto" w:sz="4" w:space="0"/>
              <w:right w:val="single" w:color="auto" w:sz="4" w:space="0"/>
            </w:tcBorders>
            <w:noWrap w:val="0"/>
            <w:vAlign w:val="center"/>
          </w:tcPr>
          <w:p w14:paraId="66C7BC8C">
            <w:pPr>
              <w:keepNext w:val="0"/>
              <w:keepLines w:val="0"/>
              <w:widowControl/>
              <w:suppressLineNumbers w:val="0"/>
              <w:jc w:val="center"/>
              <w:textAlignment w:val="center"/>
              <w:rPr>
                <w:rFonts w:hint="default" w:ascii="Arial" w:hAnsi="Arial" w:eastAsia="宋体" w:cs="Arial"/>
                <w:color w:val="auto"/>
                <w:szCs w:val="21"/>
                <w:highlight w:val="none"/>
                <w:lang w:eastAsia="zh-CN"/>
              </w:rPr>
            </w:pPr>
            <w:r>
              <w:rPr>
                <w:rFonts w:hint="default" w:ascii="Arial" w:hAnsi="Arial" w:eastAsia="宋体" w:cs="Arial"/>
                <w:i w:val="0"/>
                <w:iCs w:val="0"/>
                <w:color w:val="000000"/>
                <w:kern w:val="0"/>
                <w:sz w:val="21"/>
                <w:szCs w:val="21"/>
                <w:highlight w:val="none"/>
                <w:u w:val="none"/>
                <w:lang w:val="en-US" w:eastAsia="zh-CN" w:bidi="ar"/>
              </w:rPr>
              <w:t>8寸蛋糕模具</w:t>
            </w:r>
          </w:p>
        </w:tc>
        <w:tc>
          <w:tcPr>
            <w:tcW w:w="774" w:type="dxa"/>
            <w:tcBorders>
              <w:top w:val="single" w:color="auto" w:sz="4" w:space="0"/>
              <w:left w:val="nil"/>
              <w:bottom w:val="single" w:color="auto" w:sz="4" w:space="0"/>
              <w:right w:val="single" w:color="auto" w:sz="4" w:space="0"/>
            </w:tcBorders>
            <w:noWrap w:val="0"/>
            <w:vAlign w:val="center"/>
          </w:tcPr>
          <w:p w14:paraId="636F1F35">
            <w:pPr>
              <w:keepNext w:val="0"/>
              <w:keepLines w:val="0"/>
              <w:widowControl/>
              <w:suppressLineNumbers w:val="0"/>
              <w:jc w:val="center"/>
              <w:textAlignment w:val="center"/>
              <w:rPr>
                <w:rFonts w:hint="default" w:ascii="Arial" w:hAnsi="Arial" w:cs="Arial"/>
                <w:color w:val="auto"/>
                <w:szCs w:val="21"/>
                <w:highlight w:val="none"/>
              </w:rPr>
            </w:pPr>
            <w:r>
              <w:rPr>
                <w:rFonts w:hint="default" w:ascii="Arial" w:hAnsi="Arial" w:eastAsia="宋体" w:cs="Arial"/>
                <w:i w:val="0"/>
                <w:iCs w:val="0"/>
                <w:color w:val="000000"/>
                <w:kern w:val="0"/>
                <w:sz w:val="21"/>
                <w:szCs w:val="21"/>
                <w:highlight w:val="none"/>
                <w:u w:val="none"/>
                <w:lang w:val="en-US" w:eastAsia="zh-CN" w:bidi="ar"/>
              </w:rPr>
              <w:t>30</w:t>
            </w:r>
          </w:p>
        </w:tc>
        <w:tc>
          <w:tcPr>
            <w:tcW w:w="673" w:type="dxa"/>
            <w:tcBorders>
              <w:top w:val="single" w:color="auto" w:sz="4" w:space="0"/>
              <w:left w:val="nil"/>
              <w:bottom w:val="single" w:color="auto" w:sz="4" w:space="0"/>
              <w:right w:val="single" w:color="auto" w:sz="4" w:space="0"/>
            </w:tcBorders>
            <w:noWrap w:val="0"/>
            <w:vAlign w:val="center"/>
          </w:tcPr>
          <w:p w14:paraId="4086CA57">
            <w:pPr>
              <w:keepNext w:val="0"/>
              <w:keepLines w:val="0"/>
              <w:widowControl/>
              <w:suppressLineNumbers w:val="0"/>
              <w:jc w:val="center"/>
              <w:textAlignment w:val="center"/>
              <w:rPr>
                <w:rFonts w:hint="eastAsia" w:ascii="Arial" w:hAnsi="Arial" w:eastAsia="宋体" w:cs="Arial"/>
                <w:color w:val="auto"/>
                <w:szCs w:val="21"/>
                <w:highlight w:val="none"/>
                <w:lang w:eastAsia="zh-CN"/>
              </w:rPr>
            </w:pPr>
            <w:r>
              <w:rPr>
                <w:rFonts w:hint="default" w:ascii="Arial" w:hAnsi="Arial" w:eastAsia="宋体" w:cs="Arial"/>
                <w:i w:val="0"/>
                <w:iCs w:val="0"/>
                <w:color w:val="000000"/>
                <w:kern w:val="0"/>
                <w:sz w:val="21"/>
                <w:szCs w:val="21"/>
                <w:highlight w:val="none"/>
                <w:u w:val="none"/>
                <w:lang w:val="en-US" w:eastAsia="zh-CN" w:bidi="ar"/>
              </w:rPr>
              <w:t>个</w:t>
            </w:r>
          </w:p>
        </w:tc>
        <w:tc>
          <w:tcPr>
            <w:tcW w:w="1727" w:type="dxa"/>
            <w:tcBorders>
              <w:top w:val="single" w:color="auto" w:sz="4" w:space="0"/>
              <w:left w:val="nil"/>
              <w:bottom w:val="single" w:color="auto" w:sz="4" w:space="0"/>
              <w:right w:val="single" w:color="auto" w:sz="4" w:space="0"/>
            </w:tcBorders>
            <w:noWrap w:val="0"/>
            <w:vAlign w:val="center"/>
          </w:tcPr>
          <w:p w14:paraId="1E6FE6DD">
            <w:pPr>
              <w:keepNext w:val="0"/>
              <w:keepLines w:val="0"/>
              <w:widowControl/>
              <w:suppressLineNumbers w:val="0"/>
              <w:jc w:val="center"/>
              <w:textAlignment w:val="center"/>
              <w:rPr>
                <w:rFonts w:hint="default" w:ascii="Arial" w:hAnsi="Arial" w:cs="Arial"/>
                <w:color w:val="auto"/>
                <w:szCs w:val="21"/>
                <w:highlight w:val="none"/>
                <w:lang w:val="en-US" w:eastAsia="zh-CN"/>
              </w:rPr>
            </w:pPr>
            <w:r>
              <w:rPr>
                <w:rFonts w:hint="default" w:ascii="Arial" w:hAnsi="Arial" w:eastAsia="宋体" w:cs="Arial"/>
                <w:i w:val="0"/>
                <w:iCs w:val="0"/>
                <w:color w:val="000000"/>
                <w:kern w:val="0"/>
                <w:sz w:val="21"/>
                <w:szCs w:val="21"/>
                <w:highlight w:val="none"/>
                <w:u w:val="none"/>
                <w:lang w:val="en-US" w:eastAsia="zh-CN" w:bidi="ar"/>
              </w:rPr>
              <w:t xml:space="preserve">30.00 </w:t>
            </w:r>
          </w:p>
        </w:tc>
        <w:tc>
          <w:tcPr>
            <w:tcW w:w="1588" w:type="dxa"/>
            <w:vMerge w:val="continue"/>
            <w:tcBorders>
              <w:left w:val="single" w:color="auto" w:sz="4" w:space="0"/>
              <w:right w:val="single" w:color="auto" w:sz="4" w:space="0"/>
            </w:tcBorders>
            <w:noWrap w:val="0"/>
            <w:vAlign w:val="center"/>
          </w:tcPr>
          <w:p w14:paraId="6F1CC39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Arial" w:hAnsi="Arial" w:cs="Arial"/>
                <w:color w:val="auto"/>
                <w:highlight w:val="none"/>
              </w:rPr>
            </w:pPr>
          </w:p>
        </w:tc>
      </w:tr>
      <w:tr w14:paraId="2731C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95" w:type="dxa"/>
            <w:vMerge w:val="continue"/>
            <w:tcBorders>
              <w:left w:val="single" w:color="auto" w:sz="4" w:space="0"/>
              <w:bottom w:val="single" w:color="auto" w:sz="4" w:space="0"/>
              <w:right w:val="single" w:color="auto" w:sz="4" w:space="0"/>
            </w:tcBorders>
            <w:noWrap w:val="0"/>
            <w:vAlign w:val="center"/>
          </w:tcPr>
          <w:p w14:paraId="3DE9CE3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Arial" w:hAnsi="Arial" w:eastAsia="宋体" w:cs="Arial"/>
                <w:color w:val="auto"/>
                <w:highlight w:val="none"/>
                <w:lang w:val="en-US" w:eastAsia="zh-CN"/>
              </w:rPr>
            </w:pPr>
          </w:p>
        </w:tc>
        <w:tc>
          <w:tcPr>
            <w:tcW w:w="671" w:type="dxa"/>
            <w:tcBorders>
              <w:top w:val="single" w:color="auto" w:sz="4" w:space="0"/>
              <w:left w:val="single" w:color="auto" w:sz="4" w:space="0"/>
              <w:bottom w:val="single" w:color="auto" w:sz="4" w:space="0"/>
              <w:right w:val="single" w:color="auto" w:sz="4" w:space="0"/>
            </w:tcBorders>
            <w:noWrap w:val="0"/>
            <w:vAlign w:val="center"/>
          </w:tcPr>
          <w:p w14:paraId="4842ED12">
            <w:pPr>
              <w:keepNext w:val="0"/>
              <w:keepLines w:val="0"/>
              <w:widowControl/>
              <w:suppressLineNumbers w:val="0"/>
              <w:jc w:val="center"/>
              <w:textAlignment w:val="center"/>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23</w:t>
            </w:r>
          </w:p>
        </w:tc>
        <w:tc>
          <w:tcPr>
            <w:tcW w:w="2656" w:type="dxa"/>
            <w:tcBorders>
              <w:top w:val="single" w:color="auto" w:sz="4" w:space="0"/>
              <w:left w:val="nil"/>
              <w:bottom w:val="single" w:color="auto" w:sz="4" w:space="0"/>
              <w:right w:val="single" w:color="auto" w:sz="4" w:space="0"/>
            </w:tcBorders>
            <w:noWrap w:val="0"/>
            <w:vAlign w:val="center"/>
          </w:tcPr>
          <w:p w14:paraId="17885FB8">
            <w:pPr>
              <w:keepNext w:val="0"/>
              <w:keepLines w:val="0"/>
              <w:widowControl/>
              <w:suppressLineNumbers w:val="0"/>
              <w:jc w:val="center"/>
              <w:textAlignment w:val="center"/>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蒸箱</w:t>
            </w:r>
          </w:p>
        </w:tc>
        <w:tc>
          <w:tcPr>
            <w:tcW w:w="774" w:type="dxa"/>
            <w:tcBorders>
              <w:top w:val="single" w:color="auto" w:sz="4" w:space="0"/>
              <w:left w:val="nil"/>
              <w:bottom w:val="single" w:color="auto" w:sz="4" w:space="0"/>
              <w:right w:val="single" w:color="auto" w:sz="4" w:space="0"/>
            </w:tcBorders>
            <w:noWrap w:val="0"/>
            <w:vAlign w:val="center"/>
          </w:tcPr>
          <w:p w14:paraId="51B0DEB8">
            <w:pPr>
              <w:keepNext w:val="0"/>
              <w:keepLines w:val="0"/>
              <w:widowControl/>
              <w:suppressLineNumbers w:val="0"/>
              <w:jc w:val="center"/>
              <w:textAlignment w:val="center"/>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3</w:t>
            </w:r>
          </w:p>
        </w:tc>
        <w:tc>
          <w:tcPr>
            <w:tcW w:w="673" w:type="dxa"/>
            <w:tcBorders>
              <w:top w:val="single" w:color="auto" w:sz="4" w:space="0"/>
              <w:left w:val="nil"/>
              <w:bottom w:val="single" w:color="auto" w:sz="4" w:space="0"/>
              <w:right w:val="single" w:color="auto" w:sz="4" w:space="0"/>
            </w:tcBorders>
            <w:noWrap w:val="0"/>
            <w:vAlign w:val="center"/>
          </w:tcPr>
          <w:p w14:paraId="6E29B018">
            <w:pPr>
              <w:keepNext w:val="0"/>
              <w:keepLines w:val="0"/>
              <w:widowControl/>
              <w:suppressLineNumbers w:val="0"/>
              <w:jc w:val="center"/>
              <w:textAlignment w:val="center"/>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台</w:t>
            </w:r>
          </w:p>
        </w:tc>
        <w:tc>
          <w:tcPr>
            <w:tcW w:w="1727" w:type="dxa"/>
            <w:tcBorders>
              <w:top w:val="single" w:color="auto" w:sz="4" w:space="0"/>
              <w:left w:val="nil"/>
              <w:bottom w:val="single" w:color="auto" w:sz="4" w:space="0"/>
              <w:right w:val="single" w:color="auto" w:sz="4" w:space="0"/>
            </w:tcBorders>
            <w:noWrap w:val="0"/>
            <w:vAlign w:val="center"/>
          </w:tcPr>
          <w:p w14:paraId="05663D87">
            <w:pPr>
              <w:keepNext w:val="0"/>
              <w:keepLines w:val="0"/>
              <w:widowControl/>
              <w:suppressLineNumbers w:val="0"/>
              <w:jc w:val="center"/>
              <w:textAlignment w:val="center"/>
              <w:rPr>
                <w:rFonts w:hint="default" w:ascii="Arial" w:hAnsi="Arial" w:eastAsia="宋体" w:cs="Arial"/>
                <w:i w:val="0"/>
                <w:iCs w:val="0"/>
                <w:color w:val="000000"/>
                <w:kern w:val="0"/>
                <w:sz w:val="21"/>
                <w:szCs w:val="21"/>
                <w:highlight w:val="none"/>
                <w:u w:val="none"/>
                <w:lang w:val="en-US" w:eastAsia="zh-CN" w:bidi="ar"/>
              </w:rPr>
            </w:pPr>
            <w:r>
              <w:rPr>
                <w:rFonts w:hint="default" w:ascii="Arial" w:hAnsi="Arial" w:eastAsia="宋体" w:cs="Arial"/>
                <w:i w:val="0"/>
                <w:iCs w:val="0"/>
                <w:color w:val="000000"/>
                <w:kern w:val="0"/>
                <w:sz w:val="21"/>
                <w:szCs w:val="21"/>
                <w:highlight w:val="none"/>
                <w:u w:val="none"/>
                <w:lang w:val="en-US" w:eastAsia="zh-CN" w:bidi="ar"/>
              </w:rPr>
              <w:t xml:space="preserve">4500.00 </w:t>
            </w:r>
          </w:p>
        </w:tc>
        <w:tc>
          <w:tcPr>
            <w:tcW w:w="1588" w:type="dxa"/>
            <w:vMerge w:val="continue"/>
            <w:tcBorders>
              <w:left w:val="single" w:color="auto" w:sz="4" w:space="0"/>
              <w:right w:val="single" w:color="auto" w:sz="4" w:space="0"/>
            </w:tcBorders>
            <w:noWrap w:val="0"/>
            <w:vAlign w:val="center"/>
          </w:tcPr>
          <w:p w14:paraId="0AD462D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Arial" w:hAnsi="Arial" w:cs="Arial"/>
                <w:color w:val="auto"/>
                <w:szCs w:val="21"/>
                <w:highlight w:val="none"/>
              </w:rPr>
            </w:pPr>
          </w:p>
        </w:tc>
      </w:tr>
      <w:tr w14:paraId="0ECB5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95" w:type="dxa"/>
            <w:vMerge w:val="continue"/>
            <w:tcBorders>
              <w:left w:val="single" w:color="auto" w:sz="4" w:space="0"/>
              <w:bottom w:val="single" w:color="auto" w:sz="4" w:space="0"/>
              <w:right w:val="single" w:color="auto" w:sz="4" w:space="0"/>
            </w:tcBorders>
            <w:noWrap w:val="0"/>
            <w:vAlign w:val="center"/>
          </w:tcPr>
          <w:p w14:paraId="4677189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Arial" w:hAnsi="Arial" w:eastAsia="宋体" w:cs="Arial"/>
                <w:color w:val="auto"/>
                <w:highlight w:val="none"/>
                <w:lang w:val="en-US" w:eastAsia="zh-CN"/>
              </w:rPr>
            </w:pPr>
          </w:p>
        </w:tc>
        <w:tc>
          <w:tcPr>
            <w:tcW w:w="671" w:type="dxa"/>
            <w:tcBorders>
              <w:top w:val="single" w:color="auto" w:sz="4" w:space="0"/>
              <w:left w:val="single" w:color="auto" w:sz="4" w:space="0"/>
              <w:bottom w:val="single" w:color="auto" w:sz="4" w:space="0"/>
              <w:right w:val="single" w:color="auto" w:sz="4" w:space="0"/>
            </w:tcBorders>
            <w:noWrap w:val="0"/>
            <w:vAlign w:val="center"/>
          </w:tcPr>
          <w:p w14:paraId="536C9EED">
            <w:pPr>
              <w:keepNext w:val="0"/>
              <w:keepLines w:val="0"/>
              <w:widowControl/>
              <w:suppressLineNumbers w:val="0"/>
              <w:jc w:val="center"/>
              <w:textAlignment w:val="center"/>
              <w:rPr>
                <w:rFonts w:hint="default" w:ascii="Arial" w:hAnsi="Arial" w:eastAsia="宋体" w:cs="Arial"/>
                <w:color w:val="auto"/>
                <w:szCs w:val="21"/>
                <w:highlight w:val="none"/>
                <w:lang w:val="en-US" w:eastAsia="zh-CN"/>
              </w:rPr>
            </w:pPr>
            <w:r>
              <w:rPr>
                <w:rFonts w:hint="eastAsia" w:ascii="Arial" w:hAnsi="Arial" w:cs="Arial"/>
                <w:color w:val="auto"/>
                <w:szCs w:val="21"/>
                <w:highlight w:val="none"/>
                <w:lang w:val="en-US" w:eastAsia="zh-CN"/>
              </w:rPr>
              <w:t>24</w:t>
            </w:r>
          </w:p>
        </w:tc>
        <w:tc>
          <w:tcPr>
            <w:tcW w:w="2656" w:type="dxa"/>
            <w:tcBorders>
              <w:top w:val="single" w:color="auto" w:sz="4" w:space="0"/>
              <w:left w:val="nil"/>
              <w:bottom w:val="single" w:color="auto" w:sz="4" w:space="0"/>
              <w:right w:val="single" w:color="auto" w:sz="4" w:space="0"/>
            </w:tcBorders>
            <w:noWrap w:val="0"/>
            <w:vAlign w:val="center"/>
          </w:tcPr>
          <w:p w14:paraId="60C7ADC4">
            <w:pPr>
              <w:keepNext w:val="0"/>
              <w:keepLines w:val="0"/>
              <w:widowControl/>
              <w:suppressLineNumbers w:val="0"/>
              <w:jc w:val="center"/>
              <w:textAlignment w:val="center"/>
              <w:rPr>
                <w:rFonts w:hint="default" w:ascii="Arial" w:hAnsi="Arial" w:eastAsia="宋体" w:cs="Arial"/>
                <w:color w:val="auto"/>
                <w:szCs w:val="21"/>
                <w:highlight w:val="none"/>
                <w:lang w:eastAsia="zh-CN"/>
              </w:rPr>
            </w:pPr>
            <w:r>
              <w:rPr>
                <w:rFonts w:hint="default" w:ascii="Arial" w:hAnsi="Arial" w:eastAsia="宋体" w:cs="Arial"/>
                <w:i w:val="0"/>
                <w:iCs w:val="0"/>
                <w:color w:val="000000"/>
                <w:kern w:val="0"/>
                <w:sz w:val="21"/>
                <w:szCs w:val="21"/>
                <w:highlight w:val="none"/>
                <w:u w:val="none"/>
                <w:lang w:val="en-US" w:eastAsia="zh-CN" w:bidi="ar"/>
              </w:rPr>
              <w:t>系统集成</w:t>
            </w:r>
          </w:p>
        </w:tc>
        <w:tc>
          <w:tcPr>
            <w:tcW w:w="774" w:type="dxa"/>
            <w:tcBorders>
              <w:top w:val="single" w:color="auto" w:sz="4" w:space="0"/>
              <w:left w:val="nil"/>
              <w:bottom w:val="single" w:color="auto" w:sz="4" w:space="0"/>
              <w:right w:val="single" w:color="auto" w:sz="4" w:space="0"/>
            </w:tcBorders>
            <w:noWrap w:val="0"/>
            <w:vAlign w:val="center"/>
          </w:tcPr>
          <w:p w14:paraId="4C79428B">
            <w:pPr>
              <w:keepNext w:val="0"/>
              <w:keepLines w:val="0"/>
              <w:widowControl/>
              <w:suppressLineNumbers w:val="0"/>
              <w:jc w:val="center"/>
              <w:textAlignment w:val="center"/>
              <w:rPr>
                <w:rFonts w:hint="eastAsia" w:ascii="Arial" w:hAnsi="Arial" w:eastAsia="宋体" w:cs="Arial"/>
                <w:color w:val="auto"/>
                <w:szCs w:val="21"/>
                <w:highlight w:val="none"/>
                <w:lang w:val="en-US" w:eastAsia="zh-CN"/>
              </w:rPr>
            </w:pPr>
            <w:r>
              <w:rPr>
                <w:rFonts w:hint="eastAsia" w:ascii="Arial" w:hAnsi="Arial" w:cs="Arial"/>
                <w:color w:val="auto"/>
                <w:szCs w:val="21"/>
                <w:highlight w:val="none"/>
                <w:lang w:val="en-US" w:eastAsia="zh-CN"/>
              </w:rPr>
              <w:t>1</w:t>
            </w:r>
          </w:p>
        </w:tc>
        <w:tc>
          <w:tcPr>
            <w:tcW w:w="673" w:type="dxa"/>
            <w:tcBorders>
              <w:top w:val="single" w:color="auto" w:sz="4" w:space="0"/>
              <w:left w:val="nil"/>
              <w:bottom w:val="single" w:color="auto" w:sz="4" w:space="0"/>
              <w:right w:val="single" w:color="auto" w:sz="4" w:space="0"/>
            </w:tcBorders>
            <w:noWrap w:val="0"/>
            <w:vAlign w:val="center"/>
          </w:tcPr>
          <w:p w14:paraId="5622430E">
            <w:pPr>
              <w:keepNext w:val="0"/>
              <w:keepLines w:val="0"/>
              <w:widowControl/>
              <w:suppressLineNumbers w:val="0"/>
              <w:jc w:val="center"/>
              <w:textAlignment w:val="center"/>
              <w:rPr>
                <w:rFonts w:hint="default" w:ascii="Arial" w:hAnsi="Arial" w:eastAsia="宋体" w:cs="Arial"/>
                <w:color w:val="auto"/>
                <w:szCs w:val="21"/>
                <w:highlight w:val="none"/>
                <w:lang w:val="en-US" w:eastAsia="zh-CN"/>
              </w:rPr>
            </w:pPr>
            <w:r>
              <w:rPr>
                <w:rFonts w:hint="eastAsia" w:ascii="Arial" w:hAnsi="Arial" w:cs="Arial"/>
                <w:color w:val="auto"/>
                <w:szCs w:val="21"/>
                <w:highlight w:val="none"/>
                <w:lang w:val="en-US" w:eastAsia="zh-CN"/>
              </w:rPr>
              <w:t>项</w:t>
            </w:r>
          </w:p>
        </w:tc>
        <w:tc>
          <w:tcPr>
            <w:tcW w:w="1727" w:type="dxa"/>
            <w:tcBorders>
              <w:top w:val="single" w:color="auto" w:sz="4" w:space="0"/>
              <w:left w:val="nil"/>
              <w:bottom w:val="single" w:color="auto" w:sz="4" w:space="0"/>
              <w:right w:val="single" w:color="auto" w:sz="4" w:space="0"/>
            </w:tcBorders>
            <w:noWrap w:val="0"/>
            <w:vAlign w:val="center"/>
          </w:tcPr>
          <w:p w14:paraId="41FBB6C6">
            <w:pPr>
              <w:keepNext w:val="0"/>
              <w:keepLines w:val="0"/>
              <w:widowControl/>
              <w:suppressLineNumbers w:val="0"/>
              <w:jc w:val="center"/>
              <w:textAlignment w:val="center"/>
              <w:rPr>
                <w:rFonts w:hint="default" w:ascii="Arial" w:hAnsi="Arial" w:cs="Arial"/>
                <w:color w:val="auto"/>
                <w:szCs w:val="21"/>
                <w:highlight w:val="none"/>
                <w:lang w:val="en-US" w:eastAsia="zh-CN"/>
              </w:rPr>
            </w:pPr>
            <w:r>
              <w:rPr>
                <w:rFonts w:hint="default" w:ascii="Arial" w:hAnsi="Arial" w:eastAsia="宋体" w:cs="Arial"/>
                <w:i w:val="0"/>
                <w:iCs w:val="0"/>
                <w:color w:val="000000"/>
                <w:kern w:val="0"/>
                <w:sz w:val="21"/>
                <w:szCs w:val="21"/>
                <w:highlight w:val="none"/>
                <w:u w:val="none"/>
                <w:lang w:val="en-US" w:eastAsia="zh-CN" w:bidi="ar"/>
              </w:rPr>
              <w:t>16720.00</w:t>
            </w:r>
          </w:p>
        </w:tc>
        <w:tc>
          <w:tcPr>
            <w:tcW w:w="1588" w:type="dxa"/>
            <w:vMerge w:val="continue"/>
            <w:tcBorders>
              <w:left w:val="single" w:color="auto" w:sz="4" w:space="0"/>
              <w:right w:val="single" w:color="auto" w:sz="4" w:space="0"/>
            </w:tcBorders>
            <w:noWrap w:val="0"/>
            <w:vAlign w:val="center"/>
          </w:tcPr>
          <w:p w14:paraId="37C375A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Arial" w:hAnsi="Arial" w:cs="Arial"/>
                <w:color w:val="auto"/>
                <w:szCs w:val="21"/>
                <w:highlight w:val="none"/>
              </w:rPr>
            </w:pPr>
          </w:p>
        </w:tc>
      </w:tr>
      <w:tr w14:paraId="5E541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95" w:type="dxa"/>
            <w:vMerge w:val="restart"/>
            <w:tcBorders>
              <w:top w:val="single" w:color="auto" w:sz="4" w:space="0"/>
              <w:left w:val="single" w:color="auto" w:sz="4" w:space="0"/>
              <w:right w:val="single" w:color="auto" w:sz="4" w:space="0"/>
            </w:tcBorders>
            <w:noWrap w:val="0"/>
            <w:vAlign w:val="center"/>
          </w:tcPr>
          <w:p w14:paraId="7907CB5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Arial" w:hAnsi="Arial" w:eastAsia="宋体" w:cs="Arial"/>
                <w:color w:val="auto"/>
                <w:highlight w:val="none"/>
                <w:lang w:val="en-US" w:eastAsia="zh-CN"/>
              </w:rPr>
            </w:pPr>
            <w:r>
              <w:rPr>
                <w:rFonts w:hint="eastAsia" w:ascii="Arial" w:hAnsi="Arial" w:cs="Arial"/>
                <w:color w:val="auto"/>
                <w:highlight w:val="none"/>
                <w:lang w:val="en-US" w:eastAsia="zh-CN"/>
              </w:rPr>
              <w:t>B分标</w:t>
            </w:r>
          </w:p>
        </w:tc>
        <w:tc>
          <w:tcPr>
            <w:tcW w:w="671" w:type="dxa"/>
            <w:tcBorders>
              <w:top w:val="single" w:color="auto" w:sz="4" w:space="0"/>
              <w:left w:val="single" w:color="auto" w:sz="4" w:space="0"/>
              <w:bottom w:val="single" w:color="auto" w:sz="4" w:space="0"/>
              <w:right w:val="single" w:color="auto" w:sz="4" w:space="0"/>
            </w:tcBorders>
            <w:noWrap w:val="0"/>
            <w:vAlign w:val="center"/>
          </w:tcPr>
          <w:p w14:paraId="78BEBA8C">
            <w:pPr>
              <w:keepNext w:val="0"/>
              <w:keepLines w:val="0"/>
              <w:widowControl/>
              <w:suppressLineNumbers w:val="0"/>
              <w:jc w:val="center"/>
              <w:textAlignment w:val="center"/>
              <w:rPr>
                <w:rFonts w:hint="eastAsia" w:ascii="Arial" w:hAnsi="Arial" w:cs="Arial"/>
                <w:color w:val="auto"/>
                <w:highlight w:val="none"/>
                <w:lang w:val="en-US" w:eastAsia="zh-CN"/>
              </w:rPr>
            </w:pPr>
            <w:r>
              <w:rPr>
                <w:rFonts w:hint="default" w:ascii="Arial" w:hAnsi="Arial" w:eastAsia="宋体" w:cs="Arial"/>
                <w:i w:val="0"/>
                <w:iCs w:val="0"/>
                <w:color w:val="000000"/>
                <w:kern w:val="0"/>
                <w:sz w:val="21"/>
                <w:szCs w:val="21"/>
                <w:highlight w:val="none"/>
                <w:u w:val="none"/>
                <w:lang w:val="en-US" w:eastAsia="zh-CN" w:bidi="ar"/>
              </w:rPr>
              <w:t>1</w:t>
            </w:r>
          </w:p>
        </w:tc>
        <w:tc>
          <w:tcPr>
            <w:tcW w:w="2656" w:type="dxa"/>
            <w:tcBorders>
              <w:top w:val="single" w:color="auto" w:sz="4" w:space="0"/>
              <w:left w:val="nil"/>
              <w:bottom w:val="single" w:color="auto" w:sz="4" w:space="0"/>
              <w:right w:val="single" w:color="auto" w:sz="4" w:space="0"/>
            </w:tcBorders>
            <w:noWrap w:val="0"/>
            <w:vAlign w:val="center"/>
          </w:tcPr>
          <w:p w14:paraId="4A6E78A5">
            <w:pPr>
              <w:keepNext w:val="0"/>
              <w:keepLines w:val="0"/>
              <w:widowControl/>
              <w:suppressLineNumbers w:val="0"/>
              <w:jc w:val="center"/>
              <w:textAlignment w:val="center"/>
              <w:rPr>
                <w:rFonts w:hint="default" w:ascii="Arial" w:hAnsi="Arial" w:cs="Arial"/>
                <w:color w:val="auto"/>
                <w:szCs w:val="21"/>
                <w:highlight w:val="none"/>
                <w:lang w:val="en-US" w:eastAsia="zh-CN"/>
              </w:rPr>
            </w:pPr>
            <w:r>
              <w:rPr>
                <w:rFonts w:hint="eastAsia" w:ascii="宋体" w:hAnsi="宋体" w:eastAsia="宋体" w:cs="宋体"/>
                <w:b w:val="0"/>
                <w:bCs w:val="0"/>
                <w:i w:val="0"/>
                <w:iCs w:val="0"/>
                <w:color w:val="000000"/>
                <w:kern w:val="0"/>
                <w:sz w:val="21"/>
                <w:szCs w:val="21"/>
                <w:highlight w:val="none"/>
                <w:u w:val="none"/>
                <w:lang w:val="en-US" w:eastAsia="zh-CN" w:bidi="ar"/>
              </w:rPr>
              <w:t>教材建设出版及配套资源建设</w:t>
            </w:r>
          </w:p>
        </w:tc>
        <w:tc>
          <w:tcPr>
            <w:tcW w:w="774" w:type="dxa"/>
            <w:tcBorders>
              <w:top w:val="single" w:color="auto" w:sz="4" w:space="0"/>
              <w:left w:val="nil"/>
              <w:bottom w:val="single" w:color="auto" w:sz="4" w:space="0"/>
              <w:right w:val="single" w:color="auto" w:sz="4" w:space="0"/>
            </w:tcBorders>
            <w:noWrap w:val="0"/>
            <w:vAlign w:val="center"/>
          </w:tcPr>
          <w:p w14:paraId="1593DD33">
            <w:pPr>
              <w:keepNext w:val="0"/>
              <w:keepLines w:val="0"/>
              <w:widowControl/>
              <w:suppressLineNumbers w:val="0"/>
              <w:jc w:val="center"/>
              <w:textAlignment w:val="center"/>
              <w:rPr>
                <w:rFonts w:hint="eastAsia" w:ascii="Arial" w:hAnsi="Arial" w:eastAsia="宋体" w:cs="Arial"/>
                <w:color w:val="auto"/>
                <w:highlight w:val="none"/>
                <w:lang w:val="en-US" w:eastAsia="zh-CN"/>
              </w:rPr>
            </w:pPr>
            <w:r>
              <w:rPr>
                <w:rFonts w:hint="default" w:ascii="Arial" w:hAnsi="Arial" w:eastAsia="宋体" w:cs="Arial"/>
                <w:b w:val="0"/>
                <w:bCs w:val="0"/>
                <w:i w:val="0"/>
                <w:iCs w:val="0"/>
                <w:color w:val="000000"/>
                <w:kern w:val="0"/>
                <w:sz w:val="21"/>
                <w:szCs w:val="21"/>
                <w:highlight w:val="none"/>
                <w:u w:val="none"/>
                <w:lang w:val="en-US" w:eastAsia="zh-CN" w:bidi="ar"/>
              </w:rPr>
              <w:t>1</w:t>
            </w:r>
          </w:p>
        </w:tc>
        <w:tc>
          <w:tcPr>
            <w:tcW w:w="673" w:type="dxa"/>
            <w:tcBorders>
              <w:top w:val="single" w:color="auto" w:sz="4" w:space="0"/>
              <w:left w:val="nil"/>
              <w:bottom w:val="single" w:color="auto" w:sz="4" w:space="0"/>
              <w:right w:val="single" w:color="auto" w:sz="4" w:space="0"/>
            </w:tcBorders>
            <w:noWrap w:val="0"/>
            <w:vAlign w:val="center"/>
          </w:tcPr>
          <w:p w14:paraId="53915131">
            <w:pPr>
              <w:keepNext w:val="0"/>
              <w:keepLines w:val="0"/>
              <w:widowControl/>
              <w:suppressLineNumbers w:val="0"/>
              <w:jc w:val="center"/>
              <w:textAlignment w:val="center"/>
              <w:rPr>
                <w:rFonts w:hint="default" w:ascii="Arial" w:hAnsi="Arial" w:cs="Arial"/>
                <w:color w:val="auto"/>
                <w:highlight w:val="none"/>
              </w:rPr>
            </w:pPr>
            <w:r>
              <w:rPr>
                <w:rFonts w:hint="default" w:ascii="Arial" w:hAnsi="Arial" w:eastAsia="宋体" w:cs="Arial"/>
                <w:b w:val="0"/>
                <w:bCs w:val="0"/>
                <w:i w:val="0"/>
                <w:iCs w:val="0"/>
                <w:color w:val="000000"/>
                <w:kern w:val="0"/>
                <w:sz w:val="21"/>
                <w:szCs w:val="21"/>
                <w:highlight w:val="none"/>
                <w:u w:val="none"/>
                <w:lang w:val="en-US" w:eastAsia="zh-CN" w:bidi="ar"/>
              </w:rPr>
              <w:t>项</w:t>
            </w:r>
          </w:p>
        </w:tc>
        <w:tc>
          <w:tcPr>
            <w:tcW w:w="1727" w:type="dxa"/>
            <w:tcBorders>
              <w:top w:val="single" w:color="auto" w:sz="4" w:space="0"/>
              <w:left w:val="nil"/>
              <w:right w:val="single" w:color="auto" w:sz="4" w:space="0"/>
            </w:tcBorders>
            <w:noWrap w:val="0"/>
            <w:vAlign w:val="center"/>
          </w:tcPr>
          <w:p w14:paraId="42FE8013">
            <w:pPr>
              <w:keepNext w:val="0"/>
              <w:keepLines w:val="0"/>
              <w:widowControl/>
              <w:suppressLineNumbers w:val="0"/>
              <w:jc w:val="center"/>
              <w:textAlignment w:val="center"/>
              <w:rPr>
                <w:rFonts w:hint="default" w:ascii="Arial" w:hAnsi="Arial" w:cs="Arial"/>
                <w:color w:val="auto"/>
                <w:szCs w:val="21"/>
                <w:highlight w:val="none"/>
                <w:lang w:val="en-US" w:eastAsia="zh-CN"/>
              </w:rPr>
            </w:pPr>
            <w:r>
              <w:rPr>
                <w:rFonts w:hint="default" w:ascii="Arial" w:hAnsi="Arial" w:eastAsia="宋体" w:cs="Arial"/>
                <w:i w:val="0"/>
                <w:iCs w:val="0"/>
                <w:color w:val="000000"/>
                <w:kern w:val="0"/>
                <w:sz w:val="20"/>
                <w:szCs w:val="20"/>
                <w:highlight w:val="none"/>
                <w:u w:val="none"/>
                <w:lang w:val="en-US" w:eastAsia="zh-CN" w:bidi="ar"/>
              </w:rPr>
              <w:t xml:space="preserve">189000.00 </w:t>
            </w:r>
          </w:p>
        </w:tc>
        <w:tc>
          <w:tcPr>
            <w:tcW w:w="1588" w:type="dxa"/>
            <w:vMerge w:val="continue"/>
            <w:tcBorders>
              <w:left w:val="single" w:color="auto" w:sz="4" w:space="0"/>
              <w:right w:val="single" w:color="auto" w:sz="4" w:space="0"/>
            </w:tcBorders>
            <w:noWrap w:val="0"/>
            <w:vAlign w:val="center"/>
          </w:tcPr>
          <w:p w14:paraId="528DEA1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Arial" w:hAnsi="Arial" w:cs="Arial"/>
                <w:color w:val="auto"/>
                <w:highlight w:val="none"/>
              </w:rPr>
            </w:pPr>
          </w:p>
        </w:tc>
      </w:tr>
      <w:tr w14:paraId="68A5A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95" w:type="dxa"/>
            <w:vMerge w:val="continue"/>
            <w:tcBorders>
              <w:left w:val="single" w:color="auto" w:sz="4" w:space="0"/>
              <w:right w:val="single" w:color="auto" w:sz="4" w:space="0"/>
            </w:tcBorders>
            <w:noWrap w:val="0"/>
            <w:vAlign w:val="center"/>
          </w:tcPr>
          <w:p w14:paraId="025BB1B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Arial" w:hAnsi="Arial" w:cs="Arial"/>
                <w:color w:val="auto"/>
                <w:highlight w:val="none"/>
                <w:lang w:val="en-US" w:eastAsia="zh-CN"/>
              </w:rPr>
            </w:pPr>
          </w:p>
        </w:tc>
        <w:tc>
          <w:tcPr>
            <w:tcW w:w="671" w:type="dxa"/>
            <w:tcBorders>
              <w:top w:val="single" w:color="auto" w:sz="4" w:space="0"/>
              <w:left w:val="single" w:color="auto" w:sz="4" w:space="0"/>
              <w:bottom w:val="single" w:color="auto" w:sz="4" w:space="0"/>
              <w:right w:val="single" w:color="auto" w:sz="4" w:space="0"/>
            </w:tcBorders>
            <w:noWrap w:val="0"/>
            <w:vAlign w:val="center"/>
          </w:tcPr>
          <w:p w14:paraId="3CFAE8C8">
            <w:pPr>
              <w:keepNext w:val="0"/>
              <w:keepLines w:val="0"/>
              <w:widowControl/>
              <w:suppressLineNumbers w:val="0"/>
              <w:jc w:val="center"/>
              <w:textAlignment w:val="center"/>
              <w:rPr>
                <w:rFonts w:hint="eastAsia" w:ascii="Arial" w:hAnsi="Arial" w:cs="Arial"/>
                <w:color w:val="auto"/>
                <w:highlight w:val="none"/>
                <w:lang w:val="en-US" w:eastAsia="zh-CN"/>
              </w:rPr>
            </w:pPr>
            <w:r>
              <w:rPr>
                <w:rFonts w:hint="default" w:ascii="Arial" w:hAnsi="Arial" w:eastAsia="宋体" w:cs="Arial"/>
                <w:i w:val="0"/>
                <w:iCs w:val="0"/>
                <w:color w:val="000000"/>
                <w:kern w:val="0"/>
                <w:sz w:val="21"/>
                <w:szCs w:val="21"/>
                <w:highlight w:val="none"/>
                <w:u w:val="none"/>
                <w:lang w:val="en-US" w:eastAsia="zh-CN" w:bidi="ar"/>
              </w:rPr>
              <w:t>2</w:t>
            </w:r>
          </w:p>
        </w:tc>
        <w:tc>
          <w:tcPr>
            <w:tcW w:w="2656" w:type="dxa"/>
            <w:tcBorders>
              <w:top w:val="single" w:color="auto" w:sz="4" w:space="0"/>
              <w:left w:val="nil"/>
              <w:bottom w:val="single" w:color="auto" w:sz="4" w:space="0"/>
              <w:right w:val="single" w:color="auto" w:sz="4" w:space="0"/>
            </w:tcBorders>
            <w:noWrap w:val="0"/>
            <w:vAlign w:val="center"/>
          </w:tcPr>
          <w:p w14:paraId="07A58F77">
            <w:pPr>
              <w:keepNext w:val="0"/>
              <w:keepLines w:val="0"/>
              <w:widowControl/>
              <w:suppressLineNumbers w:val="0"/>
              <w:jc w:val="center"/>
              <w:textAlignment w:val="center"/>
              <w:rPr>
                <w:rFonts w:hint="default" w:ascii="Arial" w:hAnsi="Arial" w:cs="Arial"/>
                <w:color w:val="auto"/>
                <w:szCs w:val="21"/>
                <w:highlight w:val="none"/>
                <w:lang w:val="en-US" w:eastAsia="zh-CN"/>
              </w:rPr>
            </w:pPr>
            <w:r>
              <w:rPr>
                <w:rFonts w:hint="eastAsia" w:ascii="宋体" w:hAnsi="宋体" w:eastAsia="宋体" w:cs="宋体"/>
                <w:b w:val="0"/>
                <w:bCs w:val="0"/>
                <w:i w:val="0"/>
                <w:iCs w:val="0"/>
                <w:color w:val="000000"/>
                <w:kern w:val="0"/>
                <w:sz w:val="21"/>
                <w:szCs w:val="21"/>
                <w:highlight w:val="none"/>
                <w:u w:val="none"/>
                <w:lang w:val="en-US" w:eastAsia="zh-CN" w:bidi="ar"/>
              </w:rPr>
              <w:t>一体化教师培训</w:t>
            </w:r>
          </w:p>
        </w:tc>
        <w:tc>
          <w:tcPr>
            <w:tcW w:w="774" w:type="dxa"/>
            <w:tcBorders>
              <w:top w:val="single" w:color="auto" w:sz="4" w:space="0"/>
              <w:left w:val="nil"/>
              <w:bottom w:val="single" w:color="auto" w:sz="4" w:space="0"/>
              <w:right w:val="single" w:color="auto" w:sz="4" w:space="0"/>
            </w:tcBorders>
            <w:noWrap w:val="0"/>
            <w:vAlign w:val="center"/>
          </w:tcPr>
          <w:p w14:paraId="1FCCC4A5">
            <w:pPr>
              <w:keepNext w:val="0"/>
              <w:keepLines w:val="0"/>
              <w:widowControl/>
              <w:suppressLineNumbers w:val="0"/>
              <w:jc w:val="center"/>
              <w:textAlignment w:val="center"/>
              <w:rPr>
                <w:rFonts w:hint="eastAsia" w:ascii="Arial" w:hAnsi="Arial" w:eastAsia="宋体" w:cs="Arial"/>
                <w:color w:val="auto"/>
                <w:highlight w:val="none"/>
                <w:lang w:val="en-US" w:eastAsia="zh-CN"/>
              </w:rPr>
            </w:pPr>
            <w:r>
              <w:rPr>
                <w:rFonts w:hint="default" w:ascii="Arial" w:hAnsi="Arial" w:eastAsia="宋体" w:cs="Arial"/>
                <w:b w:val="0"/>
                <w:bCs w:val="0"/>
                <w:i w:val="0"/>
                <w:iCs w:val="0"/>
                <w:color w:val="000000"/>
                <w:kern w:val="0"/>
                <w:sz w:val="21"/>
                <w:szCs w:val="21"/>
                <w:highlight w:val="none"/>
                <w:u w:val="none"/>
                <w:lang w:val="en-US" w:eastAsia="zh-CN" w:bidi="ar"/>
              </w:rPr>
              <w:t>1</w:t>
            </w:r>
          </w:p>
        </w:tc>
        <w:tc>
          <w:tcPr>
            <w:tcW w:w="673" w:type="dxa"/>
            <w:tcBorders>
              <w:top w:val="single" w:color="auto" w:sz="4" w:space="0"/>
              <w:left w:val="nil"/>
              <w:bottom w:val="single" w:color="auto" w:sz="4" w:space="0"/>
              <w:right w:val="single" w:color="auto" w:sz="4" w:space="0"/>
            </w:tcBorders>
            <w:noWrap w:val="0"/>
            <w:vAlign w:val="center"/>
          </w:tcPr>
          <w:p w14:paraId="37F7E768">
            <w:pPr>
              <w:keepNext w:val="0"/>
              <w:keepLines w:val="0"/>
              <w:widowControl/>
              <w:suppressLineNumbers w:val="0"/>
              <w:jc w:val="center"/>
              <w:textAlignment w:val="center"/>
              <w:rPr>
                <w:rFonts w:hint="default" w:ascii="Arial" w:hAnsi="Arial" w:cs="Arial"/>
                <w:color w:val="auto"/>
                <w:highlight w:val="none"/>
              </w:rPr>
            </w:pPr>
            <w:r>
              <w:rPr>
                <w:rFonts w:hint="default" w:ascii="Arial" w:hAnsi="Arial" w:eastAsia="宋体" w:cs="Arial"/>
                <w:b w:val="0"/>
                <w:bCs w:val="0"/>
                <w:i w:val="0"/>
                <w:iCs w:val="0"/>
                <w:color w:val="000000"/>
                <w:kern w:val="0"/>
                <w:sz w:val="21"/>
                <w:szCs w:val="21"/>
                <w:highlight w:val="none"/>
                <w:u w:val="none"/>
                <w:lang w:val="en-US" w:eastAsia="zh-CN" w:bidi="ar"/>
              </w:rPr>
              <w:t>项</w:t>
            </w:r>
          </w:p>
        </w:tc>
        <w:tc>
          <w:tcPr>
            <w:tcW w:w="1727" w:type="dxa"/>
            <w:tcBorders>
              <w:top w:val="single" w:color="auto" w:sz="4" w:space="0"/>
              <w:left w:val="nil"/>
              <w:right w:val="single" w:color="auto" w:sz="4" w:space="0"/>
            </w:tcBorders>
            <w:noWrap w:val="0"/>
            <w:vAlign w:val="center"/>
          </w:tcPr>
          <w:p w14:paraId="4ADC66B3">
            <w:pPr>
              <w:keepNext w:val="0"/>
              <w:keepLines w:val="0"/>
              <w:widowControl/>
              <w:suppressLineNumbers w:val="0"/>
              <w:jc w:val="center"/>
              <w:textAlignment w:val="center"/>
              <w:rPr>
                <w:rFonts w:hint="default" w:ascii="Arial" w:hAnsi="Arial" w:cs="Arial"/>
                <w:color w:val="auto"/>
                <w:szCs w:val="21"/>
                <w:highlight w:val="none"/>
                <w:lang w:val="en-US" w:eastAsia="zh-CN"/>
              </w:rPr>
            </w:pPr>
            <w:r>
              <w:rPr>
                <w:rFonts w:hint="default" w:ascii="Arial" w:hAnsi="Arial" w:eastAsia="宋体" w:cs="Arial"/>
                <w:i w:val="0"/>
                <w:iCs w:val="0"/>
                <w:color w:val="000000"/>
                <w:kern w:val="0"/>
                <w:sz w:val="20"/>
                <w:szCs w:val="20"/>
                <w:highlight w:val="none"/>
                <w:u w:val="none"/>
                <w:lang w:val="en-US" w:eastAsia="zh-CN" w:bidi="ar"/>
              </w:rPr>
              <w:t xml:space="preserve">134660.00 </w:t>
            </w:r>
          </w:p>
        </w:tc>
        <w:tc>
          <w:tcPr>
            <w:tcW w:w="1588" w:type="dxa"/>
            <w:vMerge w:val="continue"/>
            <w:tcBorders>
              <w:left w:val="single" w:color="auto" w:sz="4" w:space="0"/>
              <w:right w:val="single" w:color="auto" w:sz="4" w:space="0"/>
            </w:tcBorders>
            <w:noWrap w:val="0"/>
            <w:vAlign w:val="center"/>
          </w:tcPr>
          <w:p w14:paraId="6E0B80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Arial" w:hAnsi="Arial" w:cs="Arial"/>
                <w:color w:val="auto"/>
                <w:highlight w:val="none"/>
              </w:rPr>
            </w:pPr>
          </w:p>
        </w:tc>
      </w:tr>
      <w:tr w14:paraId="578B0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95" w:type="dxa"/>
            <w:vMerge w:val="continue"/>
            <w:tcBorders>
              <w:left w:val="single" w:color="auto" w:sz="4" w:space="0"/>
              <w:right w:val="single" w:color="auto" w:sz="4" w:space="0"/>
            </w:tcBorders>
            <w:noWrap w:val="0"/>
            <w:vAlign w:val="center"/>
          </w:tcPr>
          <w:p w14:paraId="5E259B0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Arial" w:hAnsi="Arial" w:cs="Arial"/>
                <w:color w:val="auto"/>
                <w:highlight w:val="none"/>
                <w:lang w:val="en-US" w:eastAsia="zh-CN"/>
              </w:rPr>
            </w:pPr>
          </w:p>
        </w:tc>
        <w:tc>
          <w:tcPr>
            <w:tcW w:w="671" w:type="dxa"/>
            <w:tcBorders>
              <w:top w:val="single" w:color="auto" w:sz="4" w:space="0"/>
              <w:left w:val="single" w:color="auto" w:sz="4" w:space="0"/>
              <w:bottom w:val="single" w:color="auto" w:sz="4" w:space="0"/>
              <w:right w:val="single" w:color="auto" w:sz="4" w:space="0"/>
            </w:tcBorders>
            <w:noWrap w:val="0"/>
            <w:vAlign w:val="center"/>
          </w:tcPr>
          <w:p w14:paraId="7F10FA75">
            <w:pPr>
              <w:keepNext w:val="0"/>
              <w:keepLines w:val="0"/>
              <w:widowControl/>
              <w:suppressLineNumbers w:val="0"/>
              <w:jc w:val="center"/>
              <w:textAlignment w:val="center"/>
              <w:rPr>
                <w:rFonts w:hint="eastAsia" w:ascii="Arial" w:hAnsi="Arial" w:cs="Arial"/>
                <w:color w:val="auto"/>
                <w:highlight w:val="none"/>
                <w:lang w:val="en-US" w:eastAsia="zh-CN"/>
              </w:rPr>
            </w:pPr>
            <w:r>
              <w:rPr>
                <w:rFonts w:hint="default" w:ascii="Arial" w:hAnsi="Arial" w:eastAsia="宋体" w:cs="Arial"/>
                <w:i w:val="0"/>
                <w:iCs w:val="0"/>
                <w:color w:val="000000"/>
                <w:kern w:val="0"/>
                <w:sz w:val="21"/>
                <w:szCs w:val="21"/>
                <w:highlight w:val="none"/>
                <w:u w:val="none"/>
                <w:lang w:val="en-US" w:eastAsia="zh-CN" w:bidi="ar"/>
              </w:rPr>
              <w:t>3</w:t>
            </w:r>
          </w:p>
        </w:tc>
        <w:tc>
          <w:tcPr>
            <w:tcW w:w="2656" w:type="dxa"/>
            <w:tcBorders>
              <w:top w:val="single" w:color="auto" w:sz="4" w:space="0"/>
              <w:left w:val="nil"/>
              <w:bottom w:val="single" w:color="auto" w:sz="4" w:space="0"/>
              <w:right w:val="single" w:color="auto" w:sz="4" w:space="0"/>
            </w:tcBorders>
            <w:noWrap w:val="0"/>
            <w:vAlign w:val="center"/>
          </w:tcPr>
          <w:p w14:paraId="2DC4E10B">
            <w:pPr>
              <w:keepNext w:val="0"/>
              <w:keepLines w:val="0"/>
              <w:widowControl/>
              <w:suppressLineNumbers w:val="0"/>
              <w:jc w:val="center"/>
              <w:textAlignment w:val="center"/>
              <w:rPr>
                <w:rFonts w:hint="default" w:ascii="Arial" w:hAnsi="Arial" w:cs="Arial"/>
                <w:color w:val="auto"/>
                <w:szCs w:val="21"/>
                <w:highlight w:val="none"/>
                <w:lang w:val="en-US" w:eastAsia="zh-CN"/>
              </w:rPr>
            </w:pPr>
            <w:r>
              <w:rPr>
                <w:rFonts w:hint="eastAsia" w:ascii="宋体" w:hAnsi="宋体" w:eastAsia="宋体" w:cs="宋体"/>
                <w:b w:val="0"/>
                <w:bCs w:val="0"/>
                <w:i w:val="0"/>
                <w:iCs w:val="0"/>
                <w:color w:val="000000"/>
                <w:kern w:val="0"/>
                <w:sz w:val="21"/>
                <w:szCs w:val="21"/>
                <w:highlight w:val="none"/>
                <w:u w:val="none"/>
                <w:lang w:val="en-US" w:eastAsia="zh-CN" w:bidi="ar"/>
              </w:rPr>
              <w:t>创新高技能人才培训模式</w:t>
            </w:r>
          </w:p>
        </w:tc>
        <w:tc>
          <w:tcPr>
            <w:tcW w:w="774" w:type="dxa"/>
            <w:tcBorders>
              <w:top w:val="single" w:color="auto" w:sz="4" w:space="0"/>
              <w:left w:val="nil"/>
              <w:bottom w:val="single" w:color="auto" w:sz="4" w:space="0"/>
              <w:right w:val="single" w:color="auto" w:sz="4" w:space="0"/>
            </w:tcBorders>
            <w:noWrap w:val="0"/>
            <w:vAlign w:val="center"/>
          </w:tcPr>
          <w:p w14:paraId="4B6CEB32">
            <w:pPr>
              <w:keepNext w:val="0"/>
              <w:keepLines w:val="0"/>
              <w:widowControl/>
              <w:suppressLineNumbers w:val="0"/>
              <w:jc w:val="center"/>
              <w:textAlignment w:val="center"/>
              <w:rPr>
                <w:rFonts w:hint="eastAsia" w:ascii="Arial" w:hAnsi="Arial" w:eastAsia="宋体" w:cs="Arial"/>
                <w:color w:val="auto"/>
                <w:highlight w:val="none"/>
                <w:lang w:val="en-US" w:eastAsia="zh-CN"/>
              </w:rPr>
            </w:pPr>
            <w:r>
              <w:rPr>
                <w:rFonts w:hint="eastAsia" w:ascii="Arial" w:hAnsi="Arial" w:cs="Arial"/>
                <w:b w:val="0"/>
                <w:bCs w:val="0"/>
                <w:i w:val="0"/>
                <w:iCs w:val="0"/>
                <w:color w:val="000000"/>
                <w:kern w:val="0"/>
                <w:sz w:val="21"/>
                <w:szCs w:val="21"/>
                <w:highlight w:val="none"/>
                <w:u w:val="none"/>
                <w:lang w:val="en-US" w:eastAsia="zh-CN" w:bidi="ar"/>
              </w:rPr>
              <w:t>2</w:t>
            </w:r>
          </w:p>
        </w:tc>
        <w:tc>
          <w:tcPr>
            <w:tcW w:w="673" w:type="dxa"/>
            <w:tcBorders>
              <w:top w:val="single" w:color="auto" w:sz="4" w:space="0"/>
              <w:left w:val="nil"/>
              <w:bottom w:val="single" w:color="auto" w:sz="4" w:space="0"/>
              <w:right w:val="single" w:color="auto" w:sz="4" w:space="0"/>
            </w:tcBorders>
            <w:noWrap w:val="0"/>
            <w:vAlign w:val="center"/>
          </w:tcPr>
          <w:p w14:paraId="01F5EC75">
            <w:pPr>
              <w:keepNext w:val="0"/>
              <w:keepLines w:val="0"/>
              <w:widowControl/>
              <w:suppressLineNumbers w:val="0"/>
              <w:jc w:val="center"/>
              <w:textAlignment w:val="center"/>
              <w:rPr>
                <w:rFonts w:hint="default" w:ascii="Arial" w:hAnsi="Arial" w:cs="Arial"/>
                <w:color w:val="auto"/>
                <w:highlight w:val="none"/>
              </w:rPr>
            </w:pPr>
            <w:r>
              <w:rPr>
                <w:rFonts w:hint="eastAsia" w:ascii="Arial" w:hAnsi="Arial" w:cs="Arial"/>
                <w:b w:val="0"/>
                <w:bCs w:val="0"/>
                <w:i w:val="0"/>
                <w:iCs w:val="0"/>
                <w:color w:val="000000"/>
                <w:kern w:val="0"/>
                <w:sz w:val="21"/>
                <w:szCs w:val="21"/>
                <w:highlight w:val="none"/>
                <w:u w:val="none"/>
                <w:lang w:val="en-US" w:eastAsia="zh-CN" w:bidi="ar"/>
              </w:rPr>
              <w:t>项</w:t>
            </w:r>
          </w:p>
        </w:tc>
        <w:tc>
          <w:tcPr>
            <w:tcW w:w="1727" w:type="dxa"/>
            <w:tcBorders>
              <w:top w:val="single" w:color="auto" w:sz="4" w:space="0"/>
              <w:left w:val="nil"/>
              <w:right w:val="single" w:color="auto" w:sz="4" w:space="0"/>
            </w:tcBorders>
            <w:noWrap w:val="0"/>
            <w:vAlign w:val="center"/>
          </w:tcPr>
          <w:p w14:paraId="206DFD90">
            <w:pPr>
              <w:keepNext w:val="0"/>
              <w:keepLines w:val="0"/>
              <w:widowControl/>
              <w:suppressLineNumbers w:val="0"/>
              <w:jc w:val="center"/>
              <w:textAlignment w:val="center"/>
              <w:rPr>
                <w:rFonts w:hint="default" w:ascii="Arial" w:hAnsi="Arial" w:cs="Arial"/>
                <w:color w:val="auto"/>
                <w:szCs w:val="21"/>
                <w:highlight w:val="none"/>
                <w:lang w:val="en-US" w:eastAsia="zh-CN"/>
              </w:rPr>
            </w:pPr>
            <w:r>
              <w:rPr>
                <w:rFonts w:hint="default" w:ascii="Arial" w:hAnsi="Arial" w:eastAsia="宋体" w:cs="Arial"/>
                <w:i w:val="0"/>
                <w:iCs w:val="0"/>
                <w:color w:val="000000"/>
                <w:kern w:val="0"/>
                <w:sz w:val="20"/>
                <w:szCs w:val="20"/>
                <w:highlight w:val="none"/>
                <w:u w:val="none"/>
                <w:lang w:val="en-US" w:eastAsia="zh-CN" w:bidi="ar"/>
              </w:rPr>
              <w:t xml:space="preserve">20000.00 </w:t>
            </w:r>
          </w:p>
        </w:tc>
        <w:tc>
          <w:tcPr>
            <w:tcW w:w="1588" w:type="dxa"/>
            <w:vMerge w:val="continue"/>
            <w:tcBorders>
              <w:left w:val="single" w:color="auto" w:sz="4" w:space="0"/>
              <w:right w:val="single" w:color="auto" w:sz="4" w:space="0"/>
            </w:tcBorders>
            <w:noWrap w:val="0"/>
            <w:vAlign w:val="center"/>
          </w:tcPr>
          <w:p w14:paraId="744A082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Arial" w:hAnsi="Arial" w:cs="Arial"/>
                <w:color w:val="auto"/>
                <w:highlight w:val="none"/>
              </w:rPr>
            </w:pPr>
          </w:p>
        </w:tc>
      </w:tr>
      <w:tr w14:paraId="1C676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95" w:type="dxa"/>
            <w:vMerge w:val="continue"/>
            <w:tcBorders>
              <w:left w:val="single" w:color="auto" w:sz="4" w:space="0"/>
              <w:right w:val="single" w:color="auto" w:sz="4" w:space="0"/>
            </w:tcBorders>
            <w:noWrap w:val="0"/>
            <w:vAlign w:val="center"/>
          </w:tcPr>
          <w:p w14:paraId="523EBC6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Arial" w:hAnsi="Arial" w:cs="Arial"/>
                <w:color w:val="auto"/>
                <w:highlight w:val="none"/>
                <w:lang w:val="en-US" w:eastAsia="zh-CN"/>
              </w:rPr>
            </w:pPr>
          </w:p>
        </w:tc>
        <w:tc>
          <w:tcPr>
            <w:tcW w:w="671" w:type="dxa"/>
            <w:tcBorders>
              <w:top w:val="single" w:color="auto" w:sz="4" w:space="0"/>
              <w:left w:val="single" w:color="auto" w:sz="4" w:space="0"/>
              <w:bottom w:val="single" w:color="auto" w:sz="4" w:space="0"/>
              <w:right w:val="single" w:color="auto" w:sz="4" w:space="0"/>
            </w:tcBorders>
            <w:noWrap w:val="0"/>
            <w:vAlign w:val="center"/>
          </w:tcPr>
          <w:p w14:paraId="5C533C8E">
            <w:pPr>
              <w:keepNext w:val="0"/>
              <w:keepLines w:val="0"/>
              <w:widowControl/>
              <w:suppressLineNumbers w:val="0"/>
              <w:jc w:val="center"/>
              <w:textAlignment w:val="center"/>
              <w:rPr>
                <w:rFonts w:hint="eastAsia" w:ascii="Arial" w:hAnsi="Arial" w:cs="Arial"/>
                <w:color w:val="auto"/>
                <w:highlight w:val="none"/>
                <w:lang w:val="en-US" w:eastAsia="zh-CN"/>
              </w:rPr>
            </w:pPr>
            <w:r>
              <w:rPr>
                <w:rFonts w:hint="default" w:ascii="Arial" w:hAnsi="Arial" w:eastAsia="宋体" w:cs="Arial"/>
                <w:i w:val="0"/>
                <w:iCs w:val="0"/>
                <w:color w:val="000000"/>
                <w:kern w:val="0"/>
                <w:sz w:val="21"/>
                <w:szCs w:val="21"/>
                <w:highlight w:val="none"/>
                <w:u w:val="none"/>
                <w:lang w:val="en-US" w:eastAsia="zh-CN" w:bidi="ar"/>
              </w:rPr>
              <w:t>4</w:t>
            </w:r>
          </w:p>
        </w:tc>
        <w:tc>
          <w:tcPr>
            <w:tcW w:w="2656" w:type="dxa"/>
            <w:tcBorders>
              <w:top w:val="single" w:color="auto" w:sz="4" w:space="0"/>
              <w:left w:val="nil"/>
              <w:bottom w:val="single" w:color="auto" w:sz="4" w:space="0"/>
              <w:right w:val="single" w:color="auto" w:sz="4" w:space="0"/>
            </w:tcBorders>
            <w:noWrap w:val="0"/>
            <w:vAlign w:val="center"/>
          </w:tcPr>
          <w:p w14:paraId="026260B2">
            <w:pPr>
              <w:keepNext w:val="0"/>
              <w:keepLines w:val="0"/>
              <w:widowControl/>
              <w:suppressLineNumbers w:val="0"/>
              <w:jc w:val="center"/>
              <w:textAlignment w:val="center"/>
              <w:rPr>
                <w:rFonts w:hint="default" w:ascii="Arial" w:hAnsi="Arial" w:cs="Arial"/>
                <w:color w:val="auto"/>
                <w:szCs w:val="21"/>
                <w:highlight w:val="none"/>
                <w:lang w:val="en-US" w:eastAsia="zh-CN"/>
              </w:rPr>
            </w:pPr>
            <w:r>
              <w:rPr>
                <w:rFonts w:hint="eastAsia" w:ascii="宋体" w:hAnsi="宋体" w:eastAsia="宋体" w:cs="宋体"/>
                <w:b w:val="0"/>
                <w:bCs w:val="0"/>
                <w:i w:val="0"/>
                <w:iCs w:val="0"/>
                <w:color w:val="000000"/>
                <w:kern w:val="0"/>
                <w:sz w:val="21"/>
                <w:szCs w:val="21"/>
                <w:highlight w:val="none"/>
                <w:u w:val="none"/>
                <w:lang w:val="en-US" w:eastAsia="zh-CN" w:bidi="ar"/>
              </w:rPr>
              <w:t>专业课程体系改革</w:t>
            </w:r>
          </w:p>
        </w:tc>
        <w:tc>
          <w:tcPr>
            <w:tcW w:w="774" w:type="dxa"/>
            <w:tcBorders>
              <w:top w:val="single" w:color="auto" w:sz="4" w:space="0"/>
              <w:left w:val="nil"/>
              <w:bottom w:val="single" w:color="auto" w:sz="4" w:space="0"/>
              <w:right w:val="single" w:color="auto" w:sz="4" w:space="0"/>
            </w:tcBorders>
            <w:noWrap w:val="0"/>
            <w:vAlign w:val="center"/>
          </w:tcPr>
          <w:p w14:paraId="17EC5030">
            <w:pPr>
              <w:keepNext w:val="0"/>
              <w:keepLines w:val="0"/>
              <w:widowControl/>
              <w:suppressLineNumbers w:val="0"/>
              <w:jc w:val="center"/>
              <w:textAlignment w:val="center"/>
              <w:rPr>
                <w:rFonts w:hint="eastAsia" w:ascii="Arial" w:hAnsi="Arial" w:eastAsia="宋体" w:cs="Arial"/>
                <w:color w:val="auto"/>
                <w:highlight w:val="none"/>
                <w:lang w:val="en-US" w:eastAsia="zh-CN"/>
              </w:rPr>
            </w:pPr>
            <w:r>
              <w:rPr>
                <w:rFonts w:hint="default" w:ascii="Arial" w:hAnsi="Arial" w:eastAsia="宋体" w:cs="Arial"/>
                <w:b w:val="0"/>
                <w:bCs w:val="0"/>
                <w:i w:val="0"/>
                <w:iCs w:val="0"/>
                <w:color w:val="000000"/>
                <w:kern w:val="0"/>
                <w:sz w:val="21"/>
                <w:szCs w:val="21"/>
                <w:highlight w:val="none"/>
                <w:u w:val="none"/>
                <w:lang w:val="en-US" w:eastAsia="zh-CN" w:bidi="ar"/>
              </w:rPr>
              <w:t>2</w:t>
            </w:r>
          </w:p>
        </w:tc>
        <w:tc>
          <w:tcPr>
            <w:tcW w:w="673" w:type="dxa"/>
            <w:tcBorders>
              <w:top w:val="single" w:color="auto" w:sz="4" w:space="0"/>
              <w:left w:val="nil"/>
              <w:bottom w:val="single" w:color="auto" w:sz="4" w:space="0"/>
              <w:right w:val="single" w:color="auto" w:sz="4" w:space="0"/>
            </w:tcBorders>
            <w:noWrap w:val="0"/>
            <w:vAlign w:val="center"/>
          </w:tcPr>
          <w:p w14:paraId="0A4F646D">
            <w:pPr>
              <w:keepNext w:val="0"/>
              <w:keepLines w:val="0"/>
              <w:widowControl/>
              <w:suppressLineNumbers w:val="0"/>
              <w:jc w:val="center"/>
              <w:textAlignment w:val="center"/>
              <w:rPr>
                <w:rFonts w:hint="default" w:ascii="Arial" w:hAnsi="Arial" w:cs="Arial"/>
                <w:color w:val="auto"/>
                <w:highlight w:val="none"/>
              </w:rPr>
            </w:pPr>
            <w:r>
              <w:rPr>
                <w:rFonts w:hint="default" w:ascii="Arial" w:hAnsi="Arial" w:eastAsia="宋体" w:cs="Arial"/>
                <w:b w:val="0"/>
                <w:bCs w:val="0"/>
                <w:i w:val="0"/>
                <w:iCs w:val="0"/>
                <w:color w:val="000000"/>
                <w:kern w:val="0"/>
                <w:sz w:val="21"/>
                <w:szCs w:val="21"/>
                <w:highlight w:val="none"/>
                <w:u w:val="none"/>
                <w:lang w:val="en-US" w:eastAsia="zh-CN" w:bidi="ar"/>
              </w:rPr>
              <w:t>门</w:t>
            </w:r>
          </w:p>
        </w:tc>
        <w:tc>
          <w:tcPr>
            <w:tcW w:w="1727" w:type="dxa"/>
            <w:tcBorders>
              <w:top w:val="single" w:color="auto" w:sz="4" w:space="0"/>
              <w:left w:val="nil"/>
              <w:right w:val="single" w:color="auto" w:sz="4" w:space="0"/>
            </w:tcBorders>
            <w:noWrap w:val="0"/>
            <w:vAlign w:val="center"/>
          </w:tcPr>
          <w:p w14:paraId="6E1C7751">
            <w:pPr>
              <w:keepNext w:val="0"/>
              <w:keepLines w:val="0"/>
              <w:widowControl/>
              <w:suppressLineNumbers w:val="0"/>
              <w:jc w:val="center"/>
              <w:textAlignment w:val="center"/>
              <w:rPr>
                <w:rFonts w:hint="default" w:ascii="Arial" w:hAnsi="Arial" w:cs="Arial"/>
                <w:color w:val="auto"/>
                <w:szCs w:val="21"/>
                <w:highlight w:val="none"/>
                <w:lang w:val="en-US" w:eastAsia="zh-CN"/>
              </w:rPr>
            </w:pPr>
            <w:r>
              <w:rPr>
                <w:rFonts w:hint="default" w:ascii="Arial" w:hAnsi="Arial" w:eastAsia="宋体" w:cs="Arial"/>
                <w:i w:val="0"/>
                <w:iCs w:val="0"/>
                <w:color w:val="000000"/>
                <w:kern w:val="0"/>
                <w:sz w:val="20"/>
                <w:szCs w:val="20"/>
                <w:highlight w:val="none"/>
                <w:u w:val="none"/>
                <w:lang w:val="en-US" w:eastAsia="zh-CN" w:bidi="ar"/>
              </w:rPr>
              <w:t xml:space="preserve">2500.00 </w:t>
            </w:r>
          </w:p>
        </w:tc>
        <w:tc>
          <w:tcPr>
            <w:tcW w:w="1588" w:type="dxa"/>
            <w:vMerge w:val="continue"/>
            <w:tcBorders>
              <w:left w:val="single" w:color="auto" w:sz="4" w:space="0"/>
              <w:right w:val="single" w:color="auto" w:sz="4" w:space="0"/>
            </w:tcBorders>
            <w:noWrap w:val="0"/>
            <w:vAlign w:val="center"/>
          </w:tcPr>
          <w:p w14:paraId="3C6AC19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Arial" w:hAnsi="Arial" w:cs="Arial"/>
                <w:color w:val="auto"/>
                <w:highlight w:val="none"/>
              </w:rPr>
            </w:pPr>
          </w:p>
        </w:tc>
      </w:tr>
      <w:tr w14:paraId="1149A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95" w:type="dxa"/>
            <w:vMerge w:val="continue"/>
            <w:tcBorders>
              <w:left w:val="single" w:color="auto" w:sz="4" w:space="0"/>
              <w:right w:val="single" w:color="auto" w:sz="4" w:space="0"/>
            </w:tcBorders>
            <w:noWrap w:val="0"/>
            <w:vAlign w:val="center"/>
          </w:tcPr>
          <w:p w14:paraId="3FED3E6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Arial" w:hAnsi="Arial" w:cs="Arial"/>
                <w:color w:val="auto"/>
                <w:highlight w:val="none"/>
                <w:lang w:val="en-US" w:eastAsia="zh-CN"/>
              </w:rPr>
            </w:pPr>
          </w:p>
        </w:tc>
        <w:tc>
          <w:tcPr>
            <w:tcW w:w="671" w:type="dxa"/>
            <w:tcBorders>
              <w:top w:val="single" w:color="auto" w:sz="4" w:space="0"/>
              <w:left w:val="single" w:color="auto" w:sz="4" w:space="0"/>
              <w:bottom w:val="single" w:color="auto" w:sz="4" w:space="0"/>
              <w:right w:val="single" w:color="auto" w:sz="4" w:space="0"/>
            </w:tcBorders>
            <w:noWrap w:val="0"/>
            <w:vAlign w:val="center"/>
          </w:tcPr>
          <w:p w14:paraId="2E0516AA">
            <w:pPr>
              <w:keepNext w:val="0"/>
              <w:keepLines w:val="0"/>
              <w:widowControl/>
              <w:suppressLineNumbers w:val="0"/>
              <w:jc w:val="center"/>
              <w:textAlignment w:val="center"/>
              <w:rPr>
                <w:rFonts w:hint="eastAsia" w:ascii="Arial" w:hAnsi="Arial" w:cs="Arial"/>
                <w:color w:val="auto"/>
                <w:highlight w:val="none"/>
                <w:lang w:val="en-US" w:eastAsia="zh-CN"/>
              </w:rPr>
            </w:pPr>
            <w:r>
              <w:rPr>
                <w:rFonts w:hint="default" w:ascii="Arial" w:hAnsi="Arial" w:eastAsia="宋体" w:cs="Arial"/>
                <w:i w:val="0"/>
                <w:iCs w:val="0"/>
                <w:color w:val="000000"/>
                <w:kern w:val="0"/>
                <w:sz w:val="21"/>
                <w:szCs w:val="21"/>
                <w:highlight w:val="none"/>
                <w:u w:val="none"/>
                <w:lang w:val="en-US" w:eastAsia="zh-CN" w:bidi="ar"/>
              </w:rPr>
              <w:t>5</w:t>
            </w:r>
          </w:p>
        </w:tc>
        <w:tc>
          <w:tcPr>
            <w:tcW w:w="2656" w:type="dxa"/>
            <w:tcBorders>
              <w:top w:val="single" w:color="auto" w:sz="4" w:space="0"/>
              <w:left w:val="nil"/>
              <w:bottom w:val="single" w:color="auto" w:sz="4" w:space="0"/>
              <w:right w:val="single" w:color="auto" w:sz="4" w:space="0"/>
            </w:tcBorders>
            <w:noWrap w:val="0"/>
            <w:vAlign w:val="center"/>
          </w:tcPr>
          <w:p w14:paraId="17829AA9">
            <w:pPr>
              <w:keepNext w:val="0"/>
              <w:keepLines w:val="0"/>
              <w:widowControl/>
              <w:suppressLineNumbers w:val="0"/>
              <w:jc w:val="center"/>
              <w:textAlignment w:val="center"/>
              <w:rPr>
                <w:rFonts w:hint="default" w:ascii="Arial" w:hAnsi="Arial" w:cs="Arial"/>
                <w:color w:val="auto"/>
                <w:szCs w:val="21"/>
                <w:highlight w:val="none"/>
                <w:lang w:val="en-US" w:eastAsia="zh-CN"/>
              </w:rPr>
            </w:pPr>
            <w:r>
              <w:rPr>
                <w:rFonts w:hint="eastAsia" w:ascii="宋体" w:hAnsi="宋体" w:eastAsia="宋体" w:cs="宋体"/>
                <w:b w:val="0"/>
                <w:bCs w:val="0"/>
                <w:i w:val="0"/>
                <w:iCs w:val="0"/>
                <w:color w:val="000000"/>
                <w:kern w:val="0"/>
                <w:sz w:val="21"/>
                <w:szCs w:val="21"/>
                <w:highlight w:val="none"/>
                <w:u w:val="none"/>
                <w:lang w:val="en-US" w:eastAsia="zh-CN" w:bidi="ar"/>
              </w:rPr>
              <w:t>学校层面建设资料汇总</w:t>
            </w:r>
          </w:p>
        </w:tc>
        <w:tc>
          <w:tcPr>
            <w:tcW w:w="774" w:type="dxa"/>
            <w:tcBorders>
              <w:top w:val="single" w:color="auto" w:sz="4" w:space="0"/>
              <w:left w:val="nil"/>
              <w:bottom w:val="single" w:color="auto" w:sz="4" w:space="0"/>
              <w:right w:val="single" w:color="auto" w:sz="4" w:space="0"/>
            </w:tcBorders>
            <w:noWrap w:val="0"/>
            <w:vAlign w:val="center"/>
          </w:tcPr>
          <w:p w14:paraId="07AAED65">
            <w:pPr>
              <w:keepNext w:val="0"/>
              <w:keepLines w:val="0"/>
              <w:widowControl/>
              <w:suppressLineNumbers w:val="0"/>
              <w:jc w:val="center"/>
              <w:textAlignment w:val="center"/>
              <w:rPr>
                <w:rFonts w:hint="eastAsia" w:ascii="Arial" w:hAnsi="Arial" w:eastAsia="宋体" w:cs="Arial"/>
                <w:color w:val="auto"/>
                <w:highlight w:val="none"/>
                <w:lang w:val="en-US" w:eastAsia="zh-CN"/>
              </w:rPr>
            </w:pPr>
            <w:r>
              <w:rPr>
                <w:rFonts w:hint="default" w:ascii="Arial" w:hAnsi="Arial" w:eastAsia="宋体" w:cs="Arial"/>
                <w:b w:val="0"/>
                <w:bCs w:val="0"/>
                <w:i w:val="0"/>
                <w:iCs w:val="0"/>
                <w:color w:val="000000"/>
                <w:kern w:val="0"/>
                <w:sz w:val="21"/>
                <w:szCs w:val="21"/>
                <w:highlight w:val="none"/>
                <w:u w:val="none"/>
                <w:lang w:val="en-US" w:eastAsia="zh-CN" w:bidi="ar"/>
              </w:rPr>
              <w:t>2</w:t>
            </w:r>
          </w:p>
        </w:tc>
        <w:tc>
          <w:tcPr>
            <w:tcW w:w="673" w:type="dxa"/>
            <w:tcBorders>
              <w:top w:val="single" w:color="auto" w:sz="4" w:space="0"/>
              <w:left w:val="nil"/>
              <w:bottom w:val="single" w:color="auto" w:sz="4" w:space="0"/>
              <w:right w:val="single" w:color="auto" w:sz="4" w:space="0"/>
            </w:tcBorders>
            <w:noWrap w:val="0"/>
            <w:vAlign w:val="center"/>
          </w:tcPr>
          <w:p w14:paraId="42EAA0D5">
            <w:pPr>
              <w:keepNext w:val="0"/>
              <w:keepLines w:val="0"/>
              <w:widowControl/>
              <w:suppressLineNumbers w:val="0"/>
              <w:jc w:val="center"/>
              <w:textAlignment w:val="center"/>
              <w:rPr>
                <w:rFonts w:hint="default" w:ascii="Arial" w:hAnsi="Arial" w:cs="Arial"/>
                <w:color w:val="auto"/>
                <w:highlight w:val="none"/>
              </w:rPr>
            </w:pPr>
            <w:r>
              <w:rPr>
                <w:rFonts w:hint="default" w:ascii="Arial" w:hAnsi="Arial" w:eastAsia="宋体" w:cs="Arial"/>
                <w:b w:val="0"/>
                <w:bCs w:val="0"/>
                <w:i w:val="0"/>
                <w:iCs w:val="0"/>
                <w:color w:val="000000"/>
                <w:kern w:val="0"/>
                <w:sz w:val="21"/>
                <w:szCs w:val="21"/>
                <w:highlight w:val="none"/>
                <w:u w:val="none"/>
                <w:lang w:val="en-US" w:eastAsia="zh-CN" w:bidi="ar"/>
              </w:rPr>
              <w:t>套</w:t>
            </w:r>
          </w:p>
        </w:tc>
        <w:tc>
          <w:tcPr>
            <w:tcW w:w="1727" w:type="dxa"/>
            <w:tcBorders>
              <w:top w:val="single" w:color="auto" w:sz="4" w:space="0"/>
              <w:left w:val="nil"/>
              <w:right w:val="single" w:color="auto" w:sz="4" w:space="0"/>
            </w:tcBorders>
            <w:noWrap w:val="0"/>
            <w:vAlign w:val="center"/>
          </w:tcPr>
          <w:p w14:paraId="7C5F69ED">
            <w:pPr>
              <w:keepNext w:val="0"/>
              <w:keepLines w:val="0"/>
              <w:widowControl/>
              <w:suppressLineNumbers w:val="0"/>
              <w:jc w:val="center"/>
              <w:textAlignment w:val="center"/>
              <w:rPr>
                <w:rFonts w:hint="default" w:ascii="Arial" w:hAnsi="Arial" w:cs="Arial"/>
                <w:color w:val="auto"/>
                <w:szCs w:val="21"/>
                <w:highlight w:val="none"/>
                <w:lang w:val="en-US" w:eastAsia="zh-CN"/>
              </w:rPr>
            </w:pPr>
            <w:r>
              <w:rPr>
                <w:rFonts w:hint="default" w:ascii="Arial" w:hAnsi="Arial" w:eastAsia="宋体" w:cs="Arial"/>
                <w:i w:val="0"/>
                <w:iCs w:val="0"/>
                <w:color w:val="000000"/>
                <w:kern w:val="0"/>
                <w:sz w:val="20"/>
                <w:szCs w:val="20"/>
                <w:highlight w:val="none"/>
                <w:u w:val="none"/>
                <w:lang w:val="en-US" w:eastAsia="zh-CN" w:bidi="ar"/>
              </w:rPr>
              <w:t xml:space="preserve">25000.00 </w:t>
            </w:r>
          </w:p>
        </w:tc>
        <w:tc>
          <w:tcPr>
            <w:tcW w:w="1588" w:type="dxa"/>
            <w:vMerge w:val="continue"/>
            <w:tcBorders>
              <w:left w:val="single" w:color="auto" w:sz="4" w:space="0"/>
              <w:right w:val="single" w:color="auto" w:sz="4" w:space="0"/>
            </w:tcBorders>
            <w:noWrap w:val="0"/>
            <w:vAlign w:val="center"/>
          </w:tcPr>
          <w:p w14:paraId="1F92E19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Arial" w:hAnsi="Arial" w:cs="Arial"/>
                <w:color w:val="auto"/>
                <w:highlight w:val="none"/>
              </w:rPr>
            </w:pPr>
          </w:p>
        </w:tc>
      </w:tr>
      <w:tr w14:paraId="1B65C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95" w:type="dxa"/>
            <w:vMerge w:val="continue"/>
            <w:tcBorders>
              <w:left w:val="single" w:color="auto" w:sz="4" w:space="0"/>
              <w:bottom w:val="single" w:color="auto" w:sz="4" w:space="0"/>
              <w:right w:val="single" w:color="auto" w:sz="4" w:space="0"/>
            </w:tcBorders>
            <w:noWrap w:val="0"/>
            <w:vAlign w:val="center"/>
          </w:tcPr>
          <w:p w14:paraId="73D7899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Arial" w:hAnsi="Arial" w:eastAsia="宋体" w:cs="Arial"/>
                <w:color w:val="auto"/>
                <w:highlight w:val="none"/>
                <w:lang w:val="en-US" w:eastAsia="zh-CN"/>
              </w:rPr>
            </w:pPr>
          </w:p>
        </w:tc>
        <w:tc>
          <w:tcPr>
            <w:tcW w:w="671" w:type="dxa"/>
            <w:tcBorders>
              <w:top w:val="single" w:color="auto" w:sz="4" w:space="0"/>
              <w:left w:val="single" w:color="auto" w:sz="4" w:space="0"/>
              <w:bottom w:val="single" w:color="auto" w:sz="4" w:space="0"/>
              <w:right w:val="single" w:color="auto" w:sz="4" w:space="0"/>
            </w:tcBorders>
            <w:noWrap w:val="0"/>
            <w:vAlign w:val="center"/>
          </w:tcPr>
          <w:p w14:paraId="027B0BF0">
            <w:pPr>
              <w:keepNext w:val="0"/>
              <w:keepLines w:val="0"/>
              <w:widowControl/>
              <w:suppressLineNumbers w:val="0"/>
              <w:jc w:val="center"/>
              <w:textAlignment w:val="center"/>
              <w:rPr>
                <w:rFonts w:hint="eastAsia" w:ascii="Arial" w:hAnsi="Arial" w:eastAsia="宋体" w:cs="Arial"/>
                <w:color w:val="auto"/>
                <w:highlight w:val="none"/>
                <w:lang w:val="en-US" w:eastAsia="zh-CN"/>
              </w:rPr>
            </w:pPr>
            <w:r>
              <w:rPr>
                <w:rFonts w:hint="default" w:ascii="Arial" w:hAnsi="Arial" w:eastAsia="宋体" w:cs="Arial"/>
                <w:i w:val="0"/>
                <w:iCs w:val="0"/>
                <w:color w:val="000000"/>
                <w:kern w:val="0"/>
                <w:sz w:val="21"/>
                <w:szCs w:val="21"/>
                <w:highlight w:val="none"/>
                <w:u w:val="none"/>
                <w:lang w:val="en-US" w:eastAsia="zh-CN" w:bidi="ar"/>
              </w:rPr>
              <w:t>6</w:t>
            </w:r>
          </w:p>
        </w:tc>
        <w:tc>
          <w:tcPr>
            <w:tcW w:w="2656" w:type="dxa"/>
            <w:tcBorders>
              <w:top w:val="single" w:color="auto" w:sz="4" w:space="0"/>
              <w:left w:val="nil"/>
              <w:bottom w:val="single" w:color="auto" w:sz="4" w:space="0"/>
              <w:right w:val="single" w:color="auto" w:sz="4" w:space="0"/>
            </w:tcBorders>
            <w:noWrap w:val="0"/>
            <w:vAlign w:val="center"/>
          </w:tcPr>
          <w:p w14:paraId="6DB725A0">
            <w:pPr>
              <w:keepNext w:val="0"/>
              <w:keepLines w:val="0"/>
              <w:widowControl/>
              <w:suppressLineNumbers w:val="0"/>
              <w:jc w:val="center"/>
              <w:textAlignment w:val="center"/>
              <w:rPr>
                <w:rFonts w:hint="default" w:ascii="Arial" w:hAnsi="Arial" w:cs="Arial"/>
                <w:color w:val="auto"/>
                <w:szCs w:val="21"/>
                <w:highlight w:val="none"/>
                <w:lang w:val="en-US" w:eastAsia="zh-CN"/>
              </w:rPr>
            </w:pPr>
            <w:r>
              <w:rPr>
                <w:rFonts w:hint="eastAsia" w:ascii="宋体" w:hAnsi="宋体" w:eastAsia="宋体" w:cs="宋体"/>
                <w:b w:val="0"/>
                <w:bCs w:val="0"/>
                <w:i w:val="0"/>
                <w:iCs w:val="0"/>
                <w:color w:val="000000"/>
                <w:kern w:val="0"/>
                <w:sz w:val="21"/>
                <w:szCs w:val="21"/>
                <w:highlight w:val="none"/>
                <w:u w:val="none"/>
                <w:lang w:val="en-US" w:eastAsia="zh-CN" w:bidi="ar"/>
              </w:rPr>
              <w:t>文化建设</w:t>
            </w:r>
          </w:p>
        </w:tc>
        <w:tc>
          <w:tcPr>
            <w:tcW w:w="774" w:type="dxa"/>
            <w:tcBorders>
              <w:top w:val="single" w:color="auto" w:sz="4" w:space="0"/>
              <w:left w:val="nil"/>
              <w:bottom w:val="single" w:color="auto" w:sz="4" w:space="0"/>
              <w:right w:val="single" w:color="auto" w:sz="4" w:space="0"/>
            </w:tcBorders>
            <w:noWrap w:val="0"/>
            <w:vAlign w:val="center"/>
          </w:tcPr>
          <w:p w14:paraId="09B96510">
            <w:pPr>
              <w:keepNext w:val="0"/>
              <w:keepLines w:val="0"/>
              <w:widowControl/>
              <w:suppressLineNumbers w:val="0"/>
              <w:jc w:val="center"/>
              <w:textAlignment w:val="center"/>
              <w:rPr>
                <w:rFonts w:hint="eastAsia" w:ascii="Arial" w:hAnsi="Arial" w:eastAsia="宋体" w:cs="Arial"/>
                <w:color w:val="auto"/>
                <w:highlight w:val="none"/>
                <w:lang w:val="en-US" w:eastAsia="zh-CN"/>
              </w:rPr>
            </w:pPr>
            <w:r>
              <w:rPr>
                <w:rFonts w:hint="eastAsia" w:ascii="Arial" w:hAnsi="Arial" w:cs="Arial"/>
                <w:b w:val="0"/>
                <w:bCs w:val="0"/>
                <w:i w:val="0"/>
                <w:iCs w:val="0"/>
                <w:color w:val="000000"/>
                <w:kern w:val="0"/>
                <w:sz w:val="21"/>
                <w:szCs w:val="21"/>
                <w:highlight w:val="none"/>
                <w:u w:val="none"/>
                <w:lang w:val="en-US" w:eastAsia="zh-CN" w:bidi="ar"/>
              </w:rPr>
              <w:t>1</w:t>
            </w:r>
          </w:p>
        </w:tc>
        <w:tc>
          <w:tcPr>
            <w:tcW w:w="673" w:type="dxa"/>
            <w:tcBorders>
              <w:top w:val="single" w:color="auto" w:sz="4" w:space="0"/>
              <w:left w:val="nil"/>
              <w:bottom w:val="single" w:color="auto" w:sz="4" w:space="0"/>
              <w:right w:val="single" w:color="auto" w:sz="4" w:space="0"/>
            </w:tcBorders>
            <w:noWrap w:val="0"/>
            <w:vAlign w:val="center"/>
          </w:tcPr>
          <w:p w14:paraId="2E579369">
            <w:pPr>
              <w:keepNext w:val="0"/>
              <w:keepLines w:val="0"/>
              <w:widowControl/>
              <w:suppressLineNumbers w:val="0"/>
              <w:jc w:val="center"/>
              <w:textAlignment w:val="center"/>
              <w:rPr>
                <w:rFonts w:hint="default" w:ascii="Arial" w:hAnsi="Arial" w:cs="Arial"/>
                <w:color w:val="auto"/>
                <w:highlight w:val="none"/>
              </w:rPr>
            </w:pPr>
            <w:r>
              <w:rPr>
                <w:rFonts w:hint="eastAsia" w:ascii="Arial" w:hAnsi="Arial" w:cs="Arial"/>
                <w:b w:val="0"/>
                <w:bCs w:val="0"/>
                <w:i w:val="0"/>
                <w:iCs w:val="0"/>
                <w:color w:val="000000"/>
                <w:kern w:val="0"/>
                <w:sz w:val="21"/>
                <w:szCs w:val="21"/>
                <w:highlight w:val="none"/>
                <w:u w:val="none"/>
                <w:lang w:val="en-US" w:eastAsia="zh-CN" w:bidi="ar"/>
              </w:rPr>
              <w:t>专业</w:t>
            </w:r>
          </w:p>
        </w:tc>
        <w:tc>
          <w:tcPr>
            <w:tcW w:w="1727" w:type="dxa"/>
            <w:tcBorders>
              <w:top w:val="single" w:color="auto" w:sz="4" w:space="0"/>
              <w:left w:val="nil"/>
              <w:right w:val="single" w:color="auto" w:sz="4" w:space="0"/>
            </w:tcBorders>
            <w:noWrap w:val="0"/>
            <w:vAlign w:val="center"/>
          </w:tcPr>
          <w:p w14:paraId="62D217A6">
            <w:pPr>
              <w:keepNext w:val="0"/>
              <w:keepLines w:val="0"/>
              <w:widowControl/>
              <w:suppressLineNumbers w:val="0"/>
              <w:jc w:val="center"/>
              <w:textAlignment w:val="center"/>
              <w:rPr>
                <w:rFonts w:hint="default" w:ascii="Arial" w:hAnsi="Arial" w:cs="Arial"/>
                <w:color w:val="auto"/>
                <w:szCs w:val="21"/>
                <w:highlight w:val="none"/>
                <w:lang w:val="en-US" w:eastAsia="zh-CN"/>
              </w:rPr>
            </w:pPr>
            <w:r>
              <w:rPr>
                <w:rFonts w:hint="default" w:ascii="Arial" w:hAnsi="Arial" w:eastAsia="宋体" w:cs="Arial"/>
                <w:i w:val="0"/>
                <w:iCs w:val="0"/>
                <w:color w:val="000000"/>
                <w:kern w:val="0"/>
                <w:sz w:val="20"/>
                <w:szCs w:val="20"/>
                <w:highlight w:val="none"/>
                <w:u w:val="none"/>
                <w:lang w:val="en-US" w:eastAsia="zh-CN" w:bidi="ar"/>
              </w:rPr>
              <w:t xml:space="preserve">79090.00 </w:t>
            </w:r>
          </w:p>
        </w:tc>
        <w:tc>
          <w:tcPr>
            <w:tcW w:w="1588" w:type="dxa"/>
            <w:vMerge w:val="continue"/>
            <w:tcBorders>
              <w:left w:val="single" w:color="auto" w:sz="4" w:space="0"/>
              <w:right w:val="single" w:color="auto" w:sz="4" w:space="0"/>
            </w:tcBorders>
            <w:noWrap w:val="0"/>
            <w:vAlign w:val="center"/>
          </w:tcPr>
          <w:p w14:paraId="33EA8A1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Arial" w:hAnsi="Arial" w:cs="Arial"/>
                <w:color w:val="auto"/>
                <w:highlight w:val="none"/>
              </w:rPr>
            </w:pPr>
          </w:p>
        </w:tc>
      </w:tr>
    </w:tbl>
    <w:p w14:paraId="1998FEDE">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default" w:ascii="Arial" w:hAnsi="Arial" w:cs="Arial"/>
          <w:szCs w:val="21"/>
          <w:highlight w:val="none"/>
        </w:rPr>
      </w:pPr>
      <w:r>
        <w:rPr>
          <w:rFonts w:hint="default" w:ascii="Arial" w:hAnsi="Arial" w:cs="Arial"/>
          <w:color w:val="auto"/>
          <w:szCs w:val="21"/>
          <w:highlight w:val="none"/>
        </w:rPr>
        <w:t>合同履行期限：</w:t>
      </w:r>
      <w:r>
        <w:rPr>
          <w:rFonts w:hint="eastAsia" w:ascii="Arial" w:hAnsi="Arial" w:cs="Arial"/>
          <w:szCs w:val="21"/>
          <w:highlight w:val="none"/>
          <w:lang w:val="en-US" w:eastAsia="zh-CN"/>
        </w:rPr>
        <w:t>A分标：合同签订后第60天内完成；B分标：自签订合同之日起12个月。</w:t>
      </w:r>
    </w:p>
    <w:p w14:paraId="7450239B">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本项目</w:t>
      </w:r>
      <w:r>
        <w:rPr>
          <w:rFonts w:hint="default" w:ascii="Arial" w:hAnsi="Arial" w:cs="Arial"/>
          <w:b/>
          <w:bCs/>
          <w:color w:val="auto"/>
          <w:szCs w:val="21"/>
          <w:highlight w:val="none"/>
          <w:u w:val="single"/>
        </w:rPr>
        <w:t>不接受</w:t>
      </w:r>
      <w:r>
        <w:rPr>
          <w:rFonts w:hint="default" w:ascii="Arial" w:hAnsi="Arial" w:cs="Arial"/>
          <w:color w:val="auto"/>
          <w:szCs w:val="21"/>
          <w:highlight w:val="none"/>
        </w:rPr>
        <w:t>联合体。</w:t>
      </w:r>
    </w:p>
    <w:p w14:paraId="00C4B877">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default" w:ascii="Arial" w:hAnsi="Arial" w:cs="Arial"/>
          <w:b/>
          <w:bCs/>
          <w:szCs w:val="21"/>
          <w:highlight w:val="none"/>
        </w:rPr>
      </w:pPr>
      <w:r>
        <w:rPr>
          <w:rFonts w:hint="default" w:ascii="Arial" w:hAnsi="Arial" w:cs="Arial"/>
          <w:b/>
          <w:bCs/>
          <w:szCs w:val="21"/>
          <w:highlight w:val="none"/>
        </w:rPr>
        <w:t>二、申请人的资格要求：</w:t>
      </w:r>
    </w:p>
    <w:p w14:paraId="40702213">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default" w:ascii="Arial" w:hAnsi="Arial" w:cs="Arial"/>
          <w:szCs w:val="21"/>
          <w:highlight w:val="none"/>
        </w:rPr>
      </w:pPr>
      <w:r>
        <w:rPr>
          <w:rFonts w:hint="default" w:ascii="Arial" w:hAnsi="Arial" w:cs="Arial"/>
          <w:szCs w:val="21"/>
          <w:highlight w:val="none"/>
        </w:rPr>
        <w:t>1.满足《中华人民共和国政府采购法》第二十二条规定；</w:t>
      </w:r>
    </w:p>
    <w:p w14:paraId="50FD49DD">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Arial" w:hAnsi="Arial" w:eastAsia="宋体" w:cs="Arial"/>
          <w:szCs w:val="21"/>
          <w:highlight w:val="none"/>
          <w:lang w:eastAsia="zh-CN"/>
        </w:rPr>
      </w:pPr>
      <w:r>
        <w:rPr>
          <w:rFonts w:hint="default" w:ascii="Arial" w:hAnsi="Arial" w:cs="Arial"/>
          <w:szCs w:val="21"/>
          <w:highlight w:val="none"/>
        </w:rPr>
        <w:t>2.落实政府采购政策需满足的资格要求：</w:t>
      </w:r>
      <w:r>
        <w:rPr>
          <w:rFonts w:hint="eastAsia" w:ascii="Arial" w:hAnsi="Arial" w:cs="Arial"/>
          <w:szCs w:val="21"/>
          <w:highlight w:val="none"/>
          <w:lang w:val="en-US" w:eastAsia="zh-CN"/>
        </w:rPr>
        <w:t>无</w:t>
      </w:r>
    </w:p>
    <w:p w14:paraId="171DEB7B">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default" w:ascii="Arial" w:hAnsi="Arial" w:cs="Arial"/>
          <w:szCs w:val="21"/>
          <w:highlight w:val="none"/>
        </w:rPr>
      </w:pPr>
      <w:r>
        <w:rPr>
          <w:rFonts w:hint="default" w:ascii="Arial" w:hAnsi="Arial" w:cs="Arial"/>
          <w:szCs w:val="21"/>
          <w:highlight w:val="none"/>
        </w:rPr>
        <w:t>3.本项目的特定资格要求：</w:t>
      </w:r>
    </w:p>
    <w:p w14:paraId="1389554E">
      <w:pPr>
        <w:spacing w:line="380" w:lineRule="exact"/>
        <w:ind w:firstLine="420" w:firstLineChars="200"/>
        <w:rPr>
          <w:rFonts w:hint="default" w:ascii="Arial" w:hAnsi="Arial" w:cs="Arial"/>
          <w:highlight w:val="none"/>
        </w:rPr>
      </w:pPr>
      <w:r>
        <w:rPr>
          <w:rFonts w:hint="eastAsia" w:ascii="Arial" w:hAnsi="Arial" w:cs="Arial"/>
          <w:highlight w:val="none"/>
          <w:lang w:eastAsia="zh-CN"/>
        </w:rPr>
        <w:t>（</w:t>
      </w:r>
      <w:r>
        <w:rPr>
          <w:rFonts w:hint="eastAsia" w:ascii="Arial" w:hAnsi="Arial" w:cs="Arial"/>
          <w:highlight w:val="none"/>
          <w:lang w:val="en-US" w:eastAsia="zh-CN"/>
        </w:rPr>
        <w:t>1</w:t>
      </w:r>
      <w:r>
        <w:rPr>
          <w:rFonts w:hint="eastAsia" w:ascii="Arial" w:hAnsi="Arial" w:cs="Arial"/>
          <w:highlight w:val="none"/>
          <w:lang w:eastAsia="zh-CN"/>
        </w:rPr>
        <w:t>）</w:t>
      </w:r>
      <w:r>
        <w:rPr>
          <w:rFonts w:hint="default" w:ascii="Arial" w:hAnsi="Arial" w:cs="Arial"/>
          <w:highlight w:val="none"/>
        </w:rPr>
        <w:t>对在</w:t>
      </w:r>
      <w:r>
        <w:rPr>
          <w:rFonts w:hint="eastAsia" w:ascii="Arial" w:hAnsi="Arial" w:cs="Arial"/>
          <w:highlight w:val="none"/>
          <w:lang w:eastAsia="zh-CN"/>
        </w:rPr>
        <w:t>“</w:t>
      </w:r>
      <w:r>
        <w:rPr>
          <w:rFonts w:hint="default" w:ascii="Arial" w:hAnsi="Arial" w:cs="Arial"/>
          <w:highlight w:val="none"/>
        </w:rPr>
        <w:t>信用中国</w:t>
      </w:r>
      <w:r>
        <w:rPr>
          <w:rFonts w:hint="eastAsia" w:ascii="Arial" w:hAnsi="Arial" w:cs="Arial"/>
          <w:highlight w:val="none"/>
          <w:lang w:eastAsia="zh-CN"/>
        </w:rPr>
        <w:t>”</w:t>
      </w:r>
      <w:r>
        <w:rPr>
          <w:rFonts w:hint="default" w:ascii="Arial" w:hAnsi="Arial" w:cs="Arial"/>
          <w:highlight w:val="none"/>
        </w:rPr>
        <w:t>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政府采购活动。</w:t>
      </w:r>
    </w:p>
    <w:p w14:paraId="285AED48">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default" w:ascii="Arial" w:hAnsi="Arial" w:cs="Arial"/>
          <w:szCs w:val="21"/>
          <w:highlight w:val="none"/>
        </w:rPr>
      </w:pPr>
      <w:r>
        <w:rPr>
          <w:rFonts w:hint="default" w:ascii="Arial" w:hAnsi="Arial" w:cs="Arial"/>
          <w:highlight w:val="none"/>
          <w:lang w:eastAsia="zh-CN"/>
        </w:rPr>
        <w:t>（</w:t>
      </w:r>
      <w:r>
        <w:rPr>
          <w:rFonts w:hint="eastAsia" w:ascii="Arial" w:hAnsi="Arial" w:cs="Arial"/>
          <w:highlight w:val="none"/>
          <w:lang w:val="en-US" w:eastAsia="zh-CN"/>
        </w:rPr>
        <w:t>2</w:t>
      </w:r>
      <w:r>
        <w:rPr>
          <w:rFonts w:hint="default" w:ascii="Arial" w:hAnsi="Arial" w:cs="Arial"/>
          <w:highlight w:val="none"/>
          <w:lang w:eastAsia="zh-CN"/>
        </w:rPr>
        <w:t>）</w:t>
      </w:r>
      <w:r>
        <w:rPr>
          <w:rFonts w:hint="default" w:ascii="Arial" w:hAnsi="Arial" w:cs="Arial"/>
          <w:highlight w:val="none"/>
        </w:rPr>
        <w:t>单位负责人为同一人或者存在直接控股、管理关系的不同供应商，不得参加同一合同项下的政府采购活动。除单一来源采购项目外，为本采购项目提供整体设计、规范编制或者项目管理、监理、检测等服务的供应商，不得再参加该采购项目的其他采购活动。</w:t>
      </w:r>
    </w:p>
    <w:p w14:paraId="2C97F6FC">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default" w:ascii="Arial" w:hAnsi="Arial" w:cs="Arial"/>
          <w:b/>
          <w:bCs/>
          <w:szCs w:val="21"/>
          <w:highlight w:val="none"/>
        </w:rPr>
      </w:pPr>
      <w:r>
        <w:rPr>
          <w:rFonts w:hint="default" w:ascii="Arial" w:hAnsi="Arial" w:cs="Arial"/>
          <w:b/>
          <w:bCs/>
          <w:szCs w:val="21"/>
          <w:highlight w:val="none"/>
        </w:rPr>
        <w:t>三、获取招标文件</w:t>
      </w:r>
    </w:p>
    <w:p w14:paraId="58EC7590">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default" w:ascii="Arial" w:hAnsi="Arial" w:cs="Arial"/>
          <w:szCs w:val="21"/>
          <w:highlight w:val="none"/>
        </w:rPr>
      </w:pPr>
      <w:r>
        <w:rPr>
          <w:rFonts w:hint="default" w:ascii="Arial" w:hAnsi="Arial" w:cs="Arial"/>
          <w:szCs w:val="21"/>
          <w:highlight w:val="none"/>
        </w:rPr>
        <w:t>时间：</w:t>
      </w:r>
      <w:r>
        <w:rPr>
          <w:rFonts w:hint="default" w:ascii="Arial" w:hAnsi="Arial" w:cs="Arial"/>
          <w:szCs w:val="21"/>
          <w:highlight w:val="none"/>
          <w:lang w:eastAsia="zh-CN"/>
        </w:rPr>
        <w:t>2026年</w:t>
      </w:r>
      <w:r>
        <w:rPr>
          <w:rFonts w:hint="eastAsia" w:ascii="Arial" w:hAnsi="Arial" w:cs="Arial"/>
          <w:szCs w:val="21"/>
          <w:highlight w:val="none"/>
          <w:lang w:val="en-US" w:eastAsia="zh-CN"/>
        </w:rPr>
        <w:t>8</w:t>
      </w:r>
      <w:r>
        <w:rPr>
          <w:rFonts w:hint="default" w:ascii="Arial" w:hAnsi="Arial" w:cs="Arial"/>
          <w:szCs w:val="21"/>
          <w:highlight w:val="none"/>
          <w:lang w:eastAsia="zh-CN"/>
        </w:rPr>
        <w:t>月</w:t>
      </w:r>
      <w:r>
        <w:rPr>
          <w:rFonts w:hint="eastAsia" w:ascii="Arial" w:hAnsi="Arial" w:cs="Arial"/>
          <w:szCs w:val="21"/>
          <w:highlight w:val="none"/>
          <w:lang w:val="en-US" w:eastAsia="zh-CN"/>
        </w:rPr>
        <w:t>26</w:t>
      </w:r>
      <w:r>
        <w:rPr>
          <w:rFonts w:hint="default" w:ascii="Arial" w:hAnsi="Arial" w:cs="Arial"/>
          <w:szCs w:val="21"/>
          <w:highlight w:val="none"/>
          <w:lang w:eastAsia="zh-CN"/>
        </w:rPr>
        <w:t>日</w:t>
      </w:r>
      <w:r>
        <w:rPr>
          <w:rFonts w:hint="default" w:ascii="Arial" w:hAnsi="Arial" w:cs="Arial"/>
          <w:szCs w:val="21"/>
          <w:highlight w:val="none"/>
        </w:rPr>
        <w:t>至</w:t>
      </w:r>
      <w:r>
        <w:rPr>
          <w:rFonts w:hint="default" w:ascii="Arial" w:hAnsi="Arial" w:cs="Arial"/>
          <w:szCs w:val="21"/>
          <w:highlight w:val="none"/>
          <w:lang w:eastAsia="zh-CN"/>
        </w:rPr>
        <w:t>2026年</w:t>
      </w:r>
      <w:r>
        <w:rPr>
          <w:rFonts w:hint="eastAsia" w:ascii="Arial" w:hAnsi="Arial" w:cs="Arial"/>
          <w:szCs w:val="21"/>
          <w:highlight w:val="none"/>
          <w:lang w:val="en-US" w:eastAsia="zh-CN"/>
        </w:rPr>
        <w:t>9</w:t>
      </w:r>
      <w:r>
        <w:rPr>
          <w:rFonts w:hint="default" w:ascii="Arial" w:hAnsi="Arial" w:cs="Arial"/>
          <w:szCs w:val="21"/>
          <w:highlight w:val="none"/>
          <w:lang w:eastAsia="zh-CN"/>
        </w:rPr>
        <w:t>月</w:t>
      </w:r>
      <w:r>
        <w:rPr>
          <w:rFonts w:hint="eastAsia" w:ascii="Arial" w:hAnsi="Arial" w:cs="Arial"/>
          <w:szCs w:val="21"/>
          <w:highlight w:val="none"/>
          <w:lang w:val="en-US" w:eastAsia="zh-CN"/>
        </w:rPr>
        <w:t>16</w:t>
      </w:r>
      <w:r>
        <w:rPr>
          <w:rFonts w:hint="default" w:ascii="Arial" w:hAnsi="Arial" w:cs="Arial"/>
          <w:szCs w:val="21"/>
          <w:highlight w:val="none"/>
          <w:lang w:eastAsia="zh-CN"/>
        </w:rPr>
        <w:t>日</w:t>
      </w:r>
      <w:r>
        <w:rPr>
          <w:rFonts w:hint="default" w:ascii="Arial" w:hAnsi="Arial" w:cs="Arial"/>
          <w:szCs w:val="21"/>
          <w:highlight w:val="none"/>
        </w:rPr>
        <w:t>9时30分前</w:t>
      </w:r>
    </w:p>
    <w:p w14:paraId="40C6E081">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default" w:ascii="Arial" w:hAnsi="Arial" w:cs="Arial"/>
          <w:szCs w:val="21"/>
          <w:highlight w:val="none"/>
        </w:rPr>
      </w:pPr>
      <w:r>
        <w:rPr>
          <w:rFonts w:hint="default" w:ascii="Arial" w:hAnsi="Arial" w:cs="Arial"/>
          <w:szCs w:val="21"/>
          <w:highlight w:val="none"/>
        </w:rPr>
        <w:t>方式：潜在供应商登录</w:t>
      </w:r>
      <w:r>
        <w:rPr>
          <w:rFonts w:hint="default" w:ascii="Arial" w:hAnsi="Arial" w:cs="Arial"/>
          <w:highlight w:val="none"/>
          <w:lang w:eastAsia="zh-CN"/>
        </w:rPr>
        <w:t>广西政府采购云平台（www.gcy.zfcg.gxzf.gov.cn/）</w:t>
      </w:r>
      <w:r>
        <w:rPr>
          <w:rFonts w:hint="default" w:ascii="Arial" w:hAnsi="Arial" w:cs="Arial"/>
          <w:szCs w:val="21"/>
          <w:highlight w:val="none"/>
        </w:rPr>
        <w:t>，从网上下载招标文件电子版。</w:t>
      </w:r>
    </w:p>
    <w:p w14:paraId="55B84A5A">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default" w:ascii="Arial" w:hAnsi="Arial" w:cs="Arial"/>
          <w:szCs w:val="21"/>
          <w:highlight w:val="none"/>
        </w:rPr>
      </w:pPr>
      <w:r>
        <w:rPr>
          <w:rFonts w:hint="default" w:ascii="Arial" w:hAnsi="Arial" w:cs="Arial"/>
          <w:szCs w:val="21"/>
          <w:highlight w:val="none"/>
        </w:rPr>
        <w:t>售价：免费下载。</w:t>
      </w:r>
    </w:p>
    <w:p w14:paraId="1A13294C">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default" w:ascii="Arial" w:hAnsi="Arial" w:cs="Arial"/>
          <w:b/>
          <w:bCs/>
          <w:szCs w:val="21"/>
          <w:highlight w:val="none"/>
        </w:rPr>
      </w:pPr>
      <w:r>
        <w:rPr>
          <w:rFonts w:hint="default" w:ascii="Arial" w:hAnsi="Arial" w:cs="Arial"/>
          <w:b/>
          <w:bCs/>
          <w:szCs w:val="21"/>
          <w:highlight w:val="none"/>
        </w:rPr>
        <w:t>四、提交投标文件截止时间、开标时间和地点</w:t>
      </w:r>
    </w:p>
    <w:p w14:paraId="1BC7271B">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default" w:ascii="Arial" w:hAnsi="Arial" w:cs="Arial"/>
          <w:b/>
          <w:bCs/>
          <w:highlight w:val="none"/>
        </w:rPr>
      </w:pPr>
      <w:r>
        <w:rPr>
          <w:rFonts w:hint="default" w:ascii="Arial" w:hAnsi="Arial" w:cs="Arial"/>
          <w:szCs w:val="21"/>
          <w:highlight w:val="none"/>
        </w:rPr>
        <w:t>截止时间：</w:t>
      </w:r>
      <w:r>
        <w:rPr>
          <w:rFonts w:hint="default" w:ascii="Arial" w:hAnsi="Arial" w:cs="Arial"/>
          <w:szCs w:val="21"/>
          <w:highlight w:val="none"/>
          <w:lang w:eastAsia="zh-CN"/>
        </w:rPr>
        <w:t>2026年</w:t>
      </w:r>
      <w:r>
        <w:rPr>
          <w:rFonts w:hint="eastAsia" w:ascii="Arial" w:hAnsi="Arial" w:cs="Arial"/>
          <w:szCs w:val="21"/>
          <w:highlight w:val="none"/>
          <w:lang w:val="en-US" w:eastAsia="zh-CN"/>
        </w:rPr>
        <w:t>9</w:t>
      </w:r>
      <w:r>
        <w:rPr>
          <w:rFonts w:hint="default" w:ascii="Arial" w:hAnsi="Arial" w:cs="Arial"/>
          <w:szCs w:val="21"/>
          <w:highlight w:val="none"/>
          <w:lang w:eastAsia="zh-CN"/>
        </w:rPr>
        <w:t>月</w:t>
      </w:r>
      <w:r>
        <w:rPr>
          <w:rFonts w:hint="eastAsia" w:ascii="Arial" w:hAnsi="Arial" w:cs="Arial"/>
          <w:szCs w:val="21"/>
          <w:highlight w:val="none"/>
          <w:lang w:val="en-US" w:eastAsia="zh-CN"/>
        </w:rPr>
        <w:t>16</w:t>
      </w:r>
      <w:r>
        <w:rPr>
          <w:rFonts w:hint="default" w:ascii="Arial" w:hAnsi="Arial" w:cs="Arial"/>
          <w:szCs w:val="21"/>
          <w:highlight w:val="none"/>
          <w:lang w:eastAsia="zh-CN"/>
        </w:rPr>
        <w:t>日</w:t>
      </w:r>
      <w:r>
        <w:rPr>
          <w:rFonts w:hint="default" w:ascii="Arial" w:hAnsi="Arial" w:cs="Arial"/>
          <w:szCs w:val="21"/>
          <w:highlight w:val="none"/>
        </w:rPr>
        <w:t>9时30分（北京时间）。</w:t>
      </w:r>
    </w:p>
    <w:p w14:paraId="01F2D270">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default" w:ascii="Arial" w:hAnsi="Arial" w:cs="Arial"/>
          <w:highlight w:val="none"/>
        </w:rPr>
      </w:pPr>
      <w:r>
        <w:rPr>
          <w:rFonts w:hint="default" w:ascii="Arial" w:hAnsi="Arial" w:cs="Arial"/>
          <w:highlight w:val="none"/>
        </w:rPr>
        <w:t>地    点：通过</w:t>
      </w:r>
      <w:r>
        <w:rPr>
          <w:rFonts w:hint="default" w:ascii="Arial" w:hAnsi="Arial" w:cs="Arial"/>
          <w:color w:val="auto"/>
          <w:szCs w:val="21"/>
          <w:highlight w:val="none"/>
        </w:rPr>
        <w:t>广西政府采购云平台</w:t>
      </w:r>
      <w:r>
        <w:rPr>
          <w:rFonts w:hint="default" w:ascii="Arial" w:hAnsi="Arial" w:cs="Arial"/>
          <w:highlight w:val="none"/>
        </w:rPr>
        <w:t>实行在线投标。</w:t>
      </w:r>
    </w:p>
    <w:p w14:paraId="48C6977C">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default" w:ascii="Arial" w:hAnsi="Arial" w:cs="Arial"/>
          <w:szCs w:val="21"/>
          <w:highlight w:val="none"/>
        </w:rPr>
      </w:pPr>
      <w:r>
        <w:rPr>
          <w:rFonts w:hint="default" w:ascii="Arial" w:hAnsi="Arial" w:cs="Arial"/>
          <w:szCs w:val="21"/>
          <w:highlight w:val="none"/>
        </w:rPr>
        <w:t>开标时间：</w:t>
      </w:r>
      <w:r>
        <w:rPr>
          <w:rFonts w:hint="default" w:ascii="Arial" w:hAnsi="Arial" w:cs="Arial"/>
          <w:szCs w:val="21"/>
          <w:highlight w:val="none"/>
          <w:lang w:eastAsia="zh-CN"/>
        </w:rPr>
        <w:t>2026年</w:t>
      </w:r>
      <w:r>
        <w:rPr>
          <w:rFonts w:hint="eastAsia" w:ascii="Arial" w:hAnsi="Arial" w:cs="Arial"/>
          <w:szCs w:val="21"/>
          <w:highlight w:val="none"/>
          <w:lang w:val="en-US" w:eastAsia="zh-CN"/>
        </w:rPr>
        <w:t>9</w:t>
      </w:r>
      <w:r>
        <w:rPr>
          <w:rFonts w:hint="default" w:ascii="Arial" w:hAnsi="Arial" w:cs="Arial"/>
          <w:szCs w:val="21"/>
          <w:highlight w:val="none"/>
          <w:lang w:eastAsia="zh-CN"/>
        </w:rPr>
        <w:t>月</w:t>
      </w:r>
      <w:r>
        <w:rPr>
          <w:rFonts w:hint="eastAsia" w:ascii="Arial" w:hAnsi="Arial" w:cs="Arial"/>
          <w:szCs w:val="21"/>
          <w:highlight w:val="none"/>
          <w:lang w:val="en-US" w:eastAsia="zh-CN"/>
        </w:rPr>
        <w:t>16</w:t>
      </w:r>
      <w:r>
        <w:rPr>
          <w:rFonts w:hint="default" w:ascii="Arial" w:hAnsi="Arial" w:cs="Arial"/>
          <w:szCs w:val="21"/>
          <w:highlight w:val="none"/>
          <w:lang w:eastAsia="zh-CN"/>
        </w:rPr>
        <w:t>日</w:t>
      </w:r>
      <w:r>
        <w:rPr>
          <w:rFonts w:hint="default" w:ascii="Arial" w:hAnsi="Arial" w:cs="Arial"/>
          <w:szCs w:val="21"/>
          <w:highlight w:val="none"/>
        </w:rPr>
        <w:t>9时30分（北京时间）截标后。</w:t>
      </w:r>
    </w:p>
    <w:p w14:paraId="4B31E233">
      <w:pPr>
        <w:keepNext w:val="0"/>
        <w:keepLines w:val="0"/>
        <w:pageBreakBefore w:val="0"/>
        <w:widowControl w:val="0"/>
        <w:tabs>
          <w:tab w:val="left" w:pos="7200"/>
        </w:tabs>
        <w:kinsoku/>
        <w:wordWrap/>
        <w:overflowPunct/>
        <w:topLinePunct w:val="0"/>
        <w:autoSpaceDE/>
        <w:autoSpaceDN/>
        <w:bidi w:val="0"/>
        <w:adjustRightInd/>
        <w:snapToGrid/>
        <w:spacing w:line="288" w:lineRule="auto"/>
        <w:ind w:firstLine="420" w:firstLineChars="200"/>
        <w:textAlignment w:val="auto"/>
        <w:rPr>
          <w:rFonts w:hint="default" w:ascii="Arial" w:hAnsi="Arial" w:cs="Arial"/>
          <w:szCs w:val="21"/>
          <w:highlight w:val="none"/>
        </w:rPr>
      </w:pPr>
      <w:r>
        <w:rPr>
          <w:rFonts w:hint="default" w:ascii="Arial" w:hAnsi="Arial" w:cs="Arial"/>
          <w:szCs w:val="21"/>
          <w:highlight w:val="none"/>
        </w:rPr>
        <w:t>地点：通过</w:t>
      </w:r>
      <w:r>
        <w:rPr>
          <w:rFonts w:hint="default" w:ascii="Arial" w:hAnsi="Arial" w:cs="Arial"/>
          <w:color w:val="auto"/>
          <w:szCs w:val="21"/>
          <w:highlight w:val="none"/>
        </w:rPr>
        <w:t>广西政府采购云平台</w:t>
      </w:r>
      <w:r>
        <w:rPr>
          <w:rFonts w:hint="default" w:ascii="Arial" w:hAnsi="Arial" w:cs="Arial"/>
          <w:szCs w:val="21"/>
          <w:highlight w:val="none"/>
        </w:rPr>
        <w:t>实行在线解密开启。</w:t>
      </w:r>
    </w:p>
    <w:p w14:paraId="54DF1908">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default" w:ascii="Arial" w:hAnsi="Arial" w:cs="Arial"/>
          <w:b/>
          <w:bCs/>
          <w:szCs w:val="21"/>
          <w:highlight w:val="none"/>
        </w:rPr>
      </w:pPr>
      <w:r>
        <w:rPr>
          <w:rFonts w:hint="default" w:ascii="Arial" w:hAnsi="Arial" w:cs="Arial"/>
          <w:b/>
          <w:bCs/>
          <w:szCs w:val="21"/>
          <w:highlight w:val="none"/>
        </w:rPr>
        <w:t>五、公告期限</w:t>
      </w:r>
    </w:p>
    <w:p w14:paraId="66D64C7A">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default" w:ascii="Arial" w:hAnsi="Arial" w:cs="Arial"/>
          <w:highlight w:val="none"/>
        </w:rPr>
      </w:pPr>
      <w:r>
        <w:rPr>
          <w:rFonts w:hint="default" w:ascii="Arial" w:hAnsi="Arial" w:cs="Arial"/>
          <w:szCs w:val="21"/>
          <w:highlight w:val="none"/>
        </w:rPr>
        <w:t>自本公告发布之日起5个工作日。</w:t>
      </w:r>
    </w:p>
    <w:p w14:paraId="0435CC6D">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default" w:ascii="Arial" w:hAnsi="Arial" w:cs="Arial"/>
          <w:b/>
          <w:bCs/>
          <w:szCs w:val="21"/>
          <w:highlight w:val="none"/>
        </w:rPr>
      </w:pPr>
      <w:r>
        <w:rPr>
          <w:rFonts w:hint="default" w:ascii="Arial" w:hAnsi="Arial" w:cs="Arial"/>
          <w:b/>
          <w:bCs/>
          <w:szCs w:val="21"/>
          <w:highlight w:val="none"/>
        </w:rPr>
        <w:t>六、其他补充事宜：</w:t>
      </w:r>
    </w:p>
    <w:p w14:paraId="2750872A">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default" w:ascii="Arial" w:hAnsi="Arial" w:cs="Arial"/>
          <w:szCs w:val="21"/>
          <w:highlight w:val="none"/>
        </w:rPr>
      </w:pPr>
      <w:r>
        <w:rPr>
          <w:rFonts w:hint="default" w:ascii="Arial" w:hAnsi="Arial" w:cs="Arial"/>
          <w:szCs w:val="21"/>
          <w:highlight w:val="none"/>
        </w:rPr>
        <w:t>1、信息公告发布媒体：中国政府采购网、广西壮族自治区政府采购网、桂林市政府采购网。</w:t>
      </w:r>
    </w:p>
    <w:p w14:paraId="5CE92722">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default" w:ascii="Arial" w:hAnsi="Arial" w:cs="Arial"/>
          <w:szCs w:val="21"/>
          <w:highlight w:val="none"/>
          <w:lang w:val="en-US" w:eastAsia="zh-CN"/>
        </w:rPr>
      </w:pPr>
      <w:r>
        <w:rPr>
          <w:rFonts w:hint="eastAsia" w:ascii="Arial" w:hAnsi="Arial" w:cs="Arial"/>
          <w:szCs w:val="21"/>
          <w:highlight w:val="none"/>
          <w:lang w:val="en-US" w:eastAsia="zh-CN"/>
        </w:rPr>
        <w:t>2、</w:t>
      </w:r>
      <w:r>
        <w:rPr>
          <w:rFonts w:hint="default" w:ascii="Arial" w:hAnsi="Arial" w:cs="Arial"/>
          <w:szCs w:val="21"/>
          <w:highlight w:val="none"/>
        </w:rPr>
        <w:t>各分标预算金额：</w:t>
      </w:r>
      <w:r>
        <w:rPr>
          <w:rFonts w:hint="default" w:ascii="Arial" w:hAnsi="Arial" w:cs="Arial"/>
          <w:b/>
          <w:bCs/>
          <w:highlight w:val="none"/>
          <w:lang w:val="en-US" w:eastAsia="zh-CN"/>
        </w:rPr>
        <w:t>A</w:t>
      </w:r>
      <w:r>
        <w:rPr>
          <w:rFonts w:hint="default" w:ascii="Arial" w:hAnsi="Arial" w:cs="Arial"/>
          <w:b/>
          <w:bCs/>
          <w:highlight w:val="none"/>
        </w:rPr>
        <w:t>分标：</w:t>
      </w:r>
      <w:r>
        <w:rPr>
          <w:rFonts w:hint="eastAsia" w:ascii="Arial" w:hAnsi="Arial" w:cs="Arial"/>
          <w:b/>
          <w:bCs/>
          <w:highlight w:val="none"/>
          <w:lang w:val="en-US" w:eastAsia="zh-CN"/>
        </w:rPr>
        <w:t>伍拾壹万肆仟贰佰肆拾元整</w:t>
      </w:r>
      <w:r>
        <w:rPr>
          <w:rFonts w:hint="default" w:ascii="Arial" w:hAnsi="Arial" w:cs="Arial"/>
          <w:b/>
          <w:bCs/>
          <w:highlight w:val="none"/>
          <w:lang w:val="en-US" w:eastAsia="zh-CN"/>
        </w:rPr>
        <w:t>（¥514240.00元）</w:t>
      </w:r>
      <w:r>
        <w:rPr>
          <w:rFonts w:hint="default" w:ascii="Arial" w:hAnsi="Arial" w:cs="Arial"/>
          <w:b/>
          <w:bCs/>
          <w:highlight w:val="none"/>
        </w:rPr>
        <w:t>；</w:t>
      </w:r>
      <w:r>
        <w:rPr>
          <w:rFonts w:hint="default" w:ascii="Arial" w:hAnsi="Arial" w:cs="Arial"/>
          <w:b/>
          <w:bCs/>
          <w:highlight w:val="none"/>
          <w:lang w:val="en-US" w:eastAsia="zh-CN"/>
        </w:rPr>
        <w:t>B</w:t>
      </w:r>
      <w:r>
        <w:rPr>
          <w:rFonts w:hint="default" w:ascii="Arial" w:hAnsi="Arial" w:cs="Arial"/>
          <w:b/>
          <w:bCs/>
          <w:highlight w:val="none"/>
        </w:rPr>
        <w:t>分标：</w:t>
      </w:r>
      <w:r>
        <w:rPr>
          <w:rFonts w:hint="eastAsia" w:ascii="Arial" w:hAnsi="Arial" w:cs="Arial"/>
          <w:b/>
          <w:bCs/>
          <w:highlight w:val="none"/>
          <w:lang w:val="en-US" w:eastAsia="zh-CN"/>
        </w:rPr>
        <w:t>肆拾玖万柒仟柒佰伍拾元整</w:t>
      </w:r>
      <w:r>
        <w:rPr>
          <w:rFonts w:hint="default" w:ascii="Arial" w:hAnsi="Arial" w:cs="Arial"/>
          <w:b/>
          <w:bCs/>
          <w:highlight w:val="none"/>
          <w:lang w:val="en-US" w:eastAsia="zh-CN"/>
        </w:rPr>
        <w:t>（¥497750.00元）</w:t>
      </w:r>
      <w:r>
        <w:rPr>
          <w:rFonts w:hint="default" w:ascii="Arial" w:hAnsi="Arial" w:cs="Arial"/>
          <w:b/>
          <w:bCs/>
          <w:highlight w:val="none"/>
        </w:rPr>
        <w:t>。</w:t>
      </w:r>
    </w:p>
    <w:p w14:paraId="13B06852">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default" w:ascii="Arial" w:hAnsi="Arial" w:cs="Arial"/>
          <w:szCs w:val="21"/>
          <w:highlight w:val="none"/>
        </w:rPr>
      </w:pPr>
      <w:r>
        <w:rPr>
          <w:rFonts w:hint="eastAsia" w:ascii="Arial" w:hAnsi="Arial" w:cs="Arial"/>
          <w:szCs w:val="21"/>
          <w:highlight w:val="none"/>
          <w:lang w:val="en-US" w:eastAsia="zh-CN"/>
        </w:rPr>
        <w:t>3</w:t>
      </w:r>
      <w:r>
        <w:rPr>
          <w:rFonts w:hint="default" w:ascii="Arial" w:hAnsi="Arial" w:cs="Arial"/>
          <w:szCs w:val="21"/>
          <w:highlight w:val="none"/>
        </w:rPr>
        <w:t>、本项目需要落实的政府采购政策：</w:t>
      </w:r>
    </w:p>
    <w:p w14:paraId="0DF2F797">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default" w:ascii="Arial" w:hAnsi="Arial" w:cs="Arial"/>
          <w:szCs w:val="21"/>
          <w:highlight w:val="none"/>
        </w:rPr>
      </w:pPr>
      <w:r>
        <w:rPr>
          <w:rFonts w:hint="default" w:ascii="Arial" w:hAnsi="Arial" w:cs="Arial"/>
          <w:szCs w:val="21"/>
          <w:highlight w:val="none"/>
        </w:rPr>
        <w:t>①《政府采购促进中小企业发展管理办法》（财库〔2020〕46号）、《关于进一步加大政府采购支持中小企业力度的通知》（财库〔2022〕19号）。②《关于政府采购支持监狱企业发展有关问题的通知》（财库[2014]68号）。③《关于促进残疾人就业政府采购政策的通知》（财库[2017]141号）。④强制采购节能产品；优先采购环境标志产品、节能产品。</w:t>
      </w:r>
      <w:r>
        <w:rPr>
          <w:rFonts w:hint="default" w:ascii="Arial" w:hAnsi="Arial" w:cs="Arial"/>
          <w:szCs w:val="21"/>
          <w:highlight w:val="none"/>
        </w:rPr>
        <w:fldChar w:fldCharType="begin"/>
      </w:r>
      <w:r>
        <w:rPr>
          <w:rFonts w:hint="default" w:ascii="Arial" w:hAnsi="Arial" w:cs="Arial"/>
          <w:szCs w:val="21"/>
          <w:highlight w:val="none"/>
        </w:rPr>
        <w:instrText xml:space="preserve"> = 5 \* GB3 </w:instrText>
      </w:r>
      <w:r>
        <w:rPr>
          <w:rFonts w:hint="default" w:ascii="Arial" w:hAnsi="Arial" w:cs="Arial"/>
          <w:szCs w:val="21"/>
          <w:highlight w:val="none"/>
        </w:rPr>
        <w:fldChar w:fldCharType="separate"/>
      </w:r>
      <w:r>
        <w:rPr>
          <w:rFonts w:hint="default" w:ascii="Arial" w:hAnsi="Arial" w:cs="Arial"/>
          <w:szCs w:val="21"/>
          <w:highlight w:val="none"/>
        </w:rPr>
        <w:t>⑤</w:t>
      </w:r>
      <w:r>
        <w:rPr>
          <w:rFonts w:hint="default" w:ascii="Arial" w:hAnsi="Arial" w:cs="Arial"/>
          <w:szCs w:val="21"/>
          <w:highlight w:val="none"/>
        </w:rPr>
        <w:fldChar w:fldCharType="end"/>
      </w:r>
      <w:r>
        <w:rPr>
          <w:rFonts w:hint="default" w:ascii="Arial" w:hAnsi="Arial" w:cs="Arial"/>
          <w:bCs/>
          <w:szCs w:val="21"/>
          <w:highlight w:val="none"/>
        </w:rPr>
        <w:t>政府采购支持采用本国产品的政策。</w:t>
      </w:r>
    </w:p>
    <w:p w14:paraId="48D5D43F">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default" w:ascii="Arial" w:hAnsi="Arial" w:cs="Arial"/>
          <w:szCs w:val="21"/>
          <w:highlight w:val="none"/>
        </w:rPr>
      </w:pPr>
      <w:r>
        <w:rPr>
          <w:rFonts w:hint="eastAsia" w:ascii="Arial" w:hAnsi="Arial" w:cs="Arial"/>
          <w:szCs w:val="21"/>
          <w:highlight w:val="none"/>
          <w:lang w:val="en-US" w:eastAsia="zh-CN"/>
        </w:rPr>
        <w:t>4</w:t>
      </w:r>
      <w:r>
        <w:rPr>
          <w:rFonts w:hint="default" w:ascii="Arial" w:hAnsi="Arial" w:cs="Arial"/>
          <w:szCs w:val="21"/>
          <w:highlight w:val="none"/>
        </w:rPr>
        <w:t>、</w:t>
      </w:r>
      <w:r>
        <w:rPr>
          <w:rFonts w:hint="default" w:ascii="Arial" w:hAnsi="Arial" w:cs="Arial"/>
          <w:b/>
          <w:bCs/>
          <w:kern w:val="2"/>
          <w:sz w:val="21"/>
          <w:szCs w:val="21"/>
          <w:highlight w:val="none"/>
          <w:lang w:val="en-US" w:eastAsia="zh-CN" w:bidi="ar-SA"/>
        </w:rPr>
        <w:t>广西政府采购云平台电子投标相关事宜</w:t>
      </w:r>
      <w:r>
        <w:rPr>
          <w:rFonts w:hint="default" w:ascii="Arial" w:hAnsi="Arial" w:cs="Arial"/>
          <w:szCs w:val="21"/>
          <w:highlight w:val="none"/>
        </w:rPr>
        <w:t>：</w:t>
      </w:r>
    </w:p>
    <w:p w14:paraId="6D752BF7">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default" w:ascii="Arial" w:hAnsi="Arial" w:cs="Arial"/>
          <w:szCs w:val="21"/>
          <w:highlight w:val="none"/>
        </w:rPr>
      </w:pPr>
      <w:r>
        <w:rPr>
          <w:rFonts w:hint="default" w:ascii="Arial" w:hAnsi="Arial" w:cs="Arial"/>
          <w:szCs w:val="21"/>
          <w:highlight w:val="none"/>
        </w:rPr>
        <w:t>（1）</w:t>
      </w:r>
      <w:r>
        <w:rPr>
          <w:rFonts w:hint="default" w:ascii="Arial" w:hAnsi="Arial" w:cs="Arial"/>
          <w:b w:val="0"/>
          <w:bCs w:val="0"/>
          <w:kern w:val="2"/>
          <w:sz w:val="21"/>
          <w:szCs w:val="21"/>
          <w:highlight w:val="none"/>
          <w:lang w:val="en-US" w:eastAsia="zh-CN" w:bidi="ar-SA"/>
        </w:rPr>
        <w:t>本项目实行全流程电子化采购，投标人通过广西政府采购云平台参与电子投标，并应做好以下相关准备工作：①在广西政府采购云平台注册成为正式供应商（操作方法详见广西壮族自治区政府采购网—办事服务—办事指南）；②完成CA证书申领和绑定（费用由投标人自行承担，办理流程详见广西壮族自治区政府采购网—办事服务—下载专区，完成CA证书办理预计一周左右，建议供应商尽快办理）；③下载“广西壮族自治区全流程电子招投标项目管理系统--供应商客户端”（操作方法详见广西壮族自治区政府采购网—办事服务—下载专区，以下称“桂采云电子投标客户端”）并安装成功，投标人应当在提交投标文件截止时间前在广西政府采购云平台完成的身份认证，确保能够对相关数据电文进行加密和使用电子签章；④自备计算机和网络设备并确保能接入互联网（费用由投标人自行承担，设备确保可进行视频通话和读取广西政府采购云平台CA证书）。因投标人未做好相关准备工作等自身原因导致无法参加本项目电子投标或投标失败的，造成的一切后果，由投标人自行承担。</w:t>
      </w:r>
    </w:p>
    <w:p w14:paraId="39065AC3">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default" w:ascii="Arial" w:hAnsi="Arial" w:cs="Arial"/>
          <w:szCs w:val="21"/>
          <w:highlight w:val="none"/>
        </w:rPr>
      </w:pPr>
      <w:r>
        <w:rPr>
          <w:rFonts w:hint="default" w:ascii="Arial" w:hAnsi="Arial" w:cs="Arial"/>
          <w:szCs w:val="21"/>
          <w:highlight w:val="none"/>
        </w:rPr>
        <w:t>（2）</w:t>
      </w:r>
      <w:r>
        <w:rPr>
          <w:rFonts w:hint="default" w:ascii="Arial" w:hAnsi="Arial" w:cs="Arial"/>
          <w:b w:val="0"/>
          <w:bCs w:val="0"/>
          <w:kern w:val="2"/>
          <w:sz w:val="21"/>
          <w:szCs w:val="21"/>
          <w:highlight w:val="none"/>
          <w:lang w:val="en-US" w:eastAsia="zh-CN" w:bidi="ar-SA"/>
        </w:rPr>
        <w:t>电子投标具体操作流程参考《政府采购项目电子交易管理操作指南-供应商》（详见桂林市政府采购网—采购资讯—重要通知）；如遇平台技术问题详询95763。</w:t>
      </w:r>
    </w:p>
    <w:p w14:paraId="1531943F">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default" w:ascii="Arial" w:hAnsi="Arial" w:cs="Arial"/>
          <w:szCs w:val="21"/>
          <w:highlight w:val="none"/>
        </w:rPr>
      </w:pPr>
      <w:r>
        <w:rPr>
          <w:rFonts w:hint="default" w:ascii="Arial" w:hAnsi="Arial" w:cs="Arial"/>
          <w:szCs w:val="21"/>
          <w:highlight w:val="none"/>
        </w:rPr>
        <w:t>（3）电子投标文件的制作、加密、提交、解密等相关事宜详见第二章“投标人须知”。</w:t>
      </w:r>
    </w:p>
    <w:p w14:paraId="0AB5FA5A">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default" w:ascii="Arial" w:hAnsi="Arial" w:cs="Arial"/>
          <w:b/>
          <w:bCs/>
          <w:highlight w:val="none"/>
        </w:rPr>
      </w:pPr>
      <w:r>
        <w:rPr>
          <w:rFonts w:hint="eastAsia" w:ascii="Arial" w:hAnsi="Arial" w:cs="Arial"/>
          <w:color w:val="auto"/>
          <w:szCs w:val="21"/>
          <w:highlight w:val="none"/>
          <w:lang w:val="en-US" w:eastAsia="zh-CN"/>
        </w:rPr>
        <w:t>5</w:t>
      </w:r>
      <w:r>
        <w:rPr>
          <w:rFonts w:hint="default" w:ascii="Arial" w:hAnsi="Arial" w:cs="Arial"/>
          <w:color w:val="auto"/>
          <w:szCs w:val="21"/>
          <w:highlight w:val="none"/>
          <w:lang w:val="en-US" w:eastAsia="zh-CN"/>
        </w:rPr>
        <w:t>、监督管理机构：</w:t>
      </w:r>
      <w:r>
        <w:rPr>
          <w:rFonts w:hint="eastAsia" w:ascii="Arial" w:hAnsi="Arial" w:cs="Arial"/>
          <w:color w:val="auto"/>
          <w:szCs w:val="21"/>
          <w:highlight w:val="none"/>
          <w:lang w:eastAsia="zh-CN"/>
        </w:rPr>
        <w:t>桂林市政府采购监督管理科</w:t>
      </w:r>
      <w:r>
        <w:rPr>
          <w:rFonts w:hint="default" w:ascii="Arial" w:hAnsi="Arial" w:cs="Arial"/>
          <w:szCs w:val="21"/>
          <w:highlight w:val="none"/>
        </w:rPr>
        <w:t>；联系电话：</w:t>
      </w:r>
      <w:r>
        <w:rPr>
          <w:rFonts w:ascii="Arial" w:hAnsi="Arial" w:cs="Arial"/>
          <w:szCs w:val="21"/>
          <w:highlight w:val="none"/>
        </w:rPr>
        <w:t>0773-2862142</w:t>
      </w:r>
    </w:p>
    <w:p w14:paraId="7EF606F4">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default" w:ascii="Arial" w:hAnsi="Arial" w:cs="Arial"/>
          <w:b/>
          <w:bCs/>
          <w:szCs w:val="21"/>
          <w:highlight w:val="none"/>
        </w:rPr>
      </w:pPr>
      <w:r>
        <w:rPr>
          <w:rFonts w:hint="default" w:ascii="Arial" w:hAnsi="Arial" w:cs="Arial"/>
          <w:b/>
          <w:bCs/>
          <w:highlight w:val="none"/>
        </w:rPr>
        <w:t>七、对本次招标提出询问，请按以下方式联系。</w:t>
      </w:r>
    </w:p>
    <w:p w14:paraId="18713F39">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default" w:ascii="Arial" w:hAnsi="Arial" w:cs="Arial"/>
          <w:szCs w:val="21"/>
          <w:highlight w:val="none"/>
        </w:rPr>
      </w:pPr>
      <w:r>
        <w:rPr>
          <w:rFonts w:hint="default" w:ascii="Arial" w:hAnsi="Arial" w:cs="Arial"/>
          <w:szCs w:val="21"/>
          <w:highlight w:val="none"/>
        </w:rPr>
        <w:t>1.采购人信息</w:t>
      </w:r>
    </w:p>
    <w:p w14:paraId="5DF1E209">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default" w:ascii="Arial" w:hAnsi="Arial" w:eastAsia="宋体" w:cs="Arial"/>
          <w:szCs w:val="21"/>
          <w:highlight w:val="none"/>
          <w:lang w:eastAsia="zh-CN"/>
        </w:rPr>
      </w:pPr>
      <w:r>
        <w:rPr>
          <w:rFonts w:hint="default" w:ascii="Arial" w:hAnsi="Arial" w:cs="Arial"/>
          <w:szCs w:val="21"/>
          <w:highlight w:val="none"/>
        </w:rPr>
        <w:t>名称：</w:t>
      </w:r>
      <w:r>
        <w:rPr>
          <w:rFonts w:hint="eastAsia" w:ascii="Arial" w:hAnsi="Arial" w:cs="Arial"/>
          <w:szCs w:val="21"/>
          <w:highlight w:val="none"/>
          <w:lang w:eastAsia="zh-CN"/>
        </w:rPr>
        <w:t>桂林市第二技工学校</w:t>
      </w:r>
    </w:p>
    <w:p w14:paraId="772384FF">
      <w:pPr>
        <w:keepNext w:val="0"/>
        <w:keepLines w:val="0"/>
        <w:pageBreakBefore w:val="0"/>
        <w:widowControl w:val="0"/>
        <w:kinsoku/>
        <w:wordWrap/>
        <w:overflowPunct/>
        <w:topLinePunct w:val="0"/>
        <w:autoSpaceDE/>
        <w:autoSpaceDN/>
        <w:bidi w:val="0"/>
        <w:adjustRightInd/>
        <w:snapToGrid/>
        <w:spacing w:line="288" w:lineRule="auto"/>
        <w:ind w:firstLine="525" w:firstLineChars="250"/>
        <w:textAlignment w:val="auto"/>
        <w:rPr>
          <w:rFonts w:hint="default" w:ascii="Arial" w:hAnsi="Arial" w:cs="Arial"/>
          <w:color w:val="auto"/>
          <w:szCs w:val="21"/>
          <w:highlight w:val="none"/>
        </w:rPr>
      </w:pPr>
      <w:r>
        <w:rPr>
          <w:rFonts w:hint="default" w:ascii="Arial" w:hAnsi="Arial" w:cs="Arial"/>
          <w:color w:val="auto"/>
          <w:szCs w:val="21"/>
          <w:highlight w:val="none"/>
        </w:rPr>
        <w:t>地址：桂林市象山区象塘路266号</w:t>
      </w:r>
    </w:p>
    <w:p w14:paraId="67F164AA">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default" w:ascii="Arial" w:hAnsi="Arial" w:cs="Arial"/>
          <w:szCs w:val="21"/>
          <w:highlight w:val="none"/>
        </w:rPr>
      </w:pPr>
      <w:r>
        <w:rPr>
          <w:rFonts w:hint="default" w:ascii="Arial" w:hAnsi="Arial" w:cs="Arial"/>
          <w:color w:val="auto"/>
          <w:szCs w:val="21"/>
          <w:highlight w:val="none"/>
        </w:rPr>
        <w:t>联系方式</w:t>
      </w:r>
      <w:r>
        <w:rPr>
          <w:rFonts w:hint="default" w:ascii="Arial" w:hAnsi="Arial" w:cs="Arial"/>
          <w:color w:val="auto"/>
          <w:szCs w:val="21"/>
          <w:highlight w:val="none"/>
          <w:lang w:eastAsia="zh-CN"/>
        </w:rPr>
        <w:t>：</w:t>
      </w:r>
      <w:r>
        <w:rPr>
          <w:rFonts w:hint="default" w:ascii="Arial" w:hAnsi="Arial" w:cs="Arial"/>
          <w:color w:val="auto"/>
          <w:szCs w:val="21"/>
          <w:highlight w:val="none"/>
          <w:lang w:val="en-US" w:eastAsia="zh-CN"/>
        </w:rPr>
        <w:t>温</w:t>
      </w:r>
      <w:r>
        <w:rPr>
          <w:rFonts w:hint="eastAsia" w:ascii="Arial" w:hAnsi="Arial" w:cs="Arial"/>
          <w:color w:val="auto"/>
          <w:szCs w:val="21"/>
          <w:highlight w:val="none"/>
          <w:lang w:val="en-US" w:eastAsia="zh-CN"/>
        </w:rPr>
        <w:t>老师</w:t>
      </w:r>
      <w:r>
        <w:rPr>
          <w:rFonts w:hint="default" w:ascii="Arial" w:hAnsi="Arial" w:cs="Arial"/>
          <w:color w:val="auto"/>
          <w:szCs w:val="21"/>
          <w:highlight w:val="none"/>
          <w:lang w:val="en-US" w:eastAsia="zh-CN"/>
        </w:rPr>
        <w:t>，0773-7960709</w:t>
      </w:r>
    </w:p>
    <w:p w14:paraId="17066159">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default" w:ascii="Arial" w:hAnsi="Arial" w:cs="Arial"/>
          <w:szCs w:val="21"/>
          <w:highlight w:val="none"/>
        </w:rPr>
      </w:pPr>
      <w:r>
        <w:rPr>
          <w:rFonts w:hint="default" w:ascii="Arial" w:hAnsi="Arial" w:cs="Arial"/>
          <w:szCs w:val="21"/>
          <w:highlight w:val="none"/>
        </w:rPr>
        <w:t>2.采购代理机构信息</w:t>
      </w:r>
    </w:p>
    <w:p w14:paraId="0BF4EDC6">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default" w:ascii="Arial" w:hAnsi="Arial" w:cs="Arial"/>
          <w:szCs w:val="21"/>
          <w:highlight w:val="none"/>
        </w:rPr>
      </w:pPr>
      <w:r>
        <w:rPr>
          <w:rFonts w:hint="default" w:ascii="Arial" w:hAnsi="Arial" w:cs="Arial"/>
          <w:szCs w:val="21"/>
          <w:highlight w:val="none"/>
        </w:rPr>
        <w:t>名称：广西机电设备招标有限公司</w:t>
      </w:r>
    </w:p>
    <w:p w14:paraId="7F4E912E">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default" w:ascii="Arial" w:hAnsi="Arial" w:cs="Arial"/>
          <w:highlight w:val="none"/>
        </w:rPr>
      </w:pPr>
      <w:r>
        <w:rPr>
          <w:rFonts w:hint="default" w:ascii="Arial" w:hAnsi="Arial" w:cs="Arial"/>
          <w:szCs w:val="21"/>
          <w:highlight w:val="none"/>
        </w:rPr>
        <w:t>地址</w:t>
      </w:r>
      <w:r>
        <w:rPr>
          <w:rFonts w:hint="default" w:ascii="Arial" w:hAnsi="Arial" w:cs="Arial"/>
          <w:highlight w:val="none"/>
        </w:rPr>
        <w:t>：广西桂林市七星区骖鸾路31号湘商大厦603</w:t>
      </w:r>
    </w:p>
    <w:p w14:paraId="02F5BF9D">
      <w:pPr>
        <w:keepNext w:val="0"/>
        <w:keepLines w:val="0"/>
        <w:pageBreakBefore w:val="0"/>
        <w:widowControl w:val="0"/>
        <w:kinsoku/>
        <w:wordWrap/>
        <w:overflowPunct/>
        <w:topLinePunct w:val="0"/>
        <w:autoSpaceDE/>
        <w:autoSpaceDN/>
        <w:bidi w:val="0"/>
        <w:adjustRightInd/>
        <w:snapToGrid/>
        <w:spacing w:line="288" w:lineRule="auto"/>
        <w:ind w:firstLine="420"/>
        <w:textAlignment w:val="auto"/>
        <w:rPr>
          <w:rFonts w:hint="default" w:ascii="Arial" w:hAnsi="Arial" w:cs="Arial"/>
          <w:szCs w:val="21"/>
          <w:highlight w:val="none"/>
        </w:rPr>
      </w:pPr>
      <w:r>
        <w:rPr>
          <w:rFonts w:hint="default" w:ascii="Arial" w:hAnsi="Arial" w:cs="Arial"/>
          <w:highlight w:val="none"/>
        </w:rPr>
        <w:t>联系方式</w:t>
      </w:r>
      <w:r>
        <w:rPr>
          <w:rFonts w:hint="default" w:ascii="Arial" w:hAnsi="Arial" w:cs="Arial"/>
          <w:highlight w:val="none"/>
          <w:lang w:eastAsia="zh-CN"/>
        </w:rPr>
        <w:t>：</w:t>
      </w:r>
      <w:r>
        <w:rPr>
          <w:rFonts w:hint="default" w:ascii="Arial" w:hAnsi="Arial" w:cs="Arial"/>
          <w:highlight w:val="none"/>
        </w:rPr>
        <w:t xml:space="preserve"> 郑雯峪、蒋仕波，0773-3696789转1     </w:t>
      </w:r>
    </w:p>
    <w:p w14:paraId="3447F259">
      <w:pPr>
        <w:keepNext w:val="0"/>
        <w:keepLines w:val="0"/>
        <w:pageBreakBefore w:val="0"/>
        <w:widowControl w:val="0"/>
        <w:kinsoku/>
        <w:wordWrap/>
        <w:overflowPunct/>
        <w:topLinePunct w:val="0"/>
        <w:autoSpaceDE/>
        <w:autoSpaceDN/>
        <w:bidi w:val="0"/>
        <w:adjustRightInd/>
        <w:snapToGrid/>
        <w:spacing w:line="288" w:lineRule="auto"/>
        <w:ind w:right="480" w:firstLine="5880" w:firstLineChars="2800"/>
        <w:textAlignment w:val="auto"/>
        <w:rPr>
          <w:rFonts w:hint="default" w:ascii="Arial" w:hAnsi="Arial" w:cs="Arial"/>
          <w:szCs w:val="21"/>
          <w:highlight w:val="none"/>
        </w:rPr>
      </w:pPr>
    </w:p>
    <w:p w14:paraId="49DCACE4">
      <w:pPr>
        <w:keepNext w:val="0"/>
        <w:keepLines w:val="0"/>
        <w:pageBreakBefore w:val="0"/>
        <w:widowControl w:val="0"/>
        <w:kinsoku/>
        <w:wordWrap/>
        <w:overflowPunct/>
        <w:topLinePunct w:val="0"/>
        <w:autoSpaceDE/>
        <w:autoSpaceDN/>
        <w:bidi w:val="0"/>
        <w:adjustRightInd/>
        <w:snapToGrid/>
        <w:spacing w:line="288" w:lineRule="auto"/>
        <w:ind w:right="-59" w:firstLine="5880" w:firstLineChars="2800"/>
        <w:jc w:val="right"/>
        <w:textAlignment w:val="auto"/>
        <w:rPr>
          <w:rFonts w:hint="default" w:ascii="Arial" w:hAnsi="Arial" w:cs="Arial"/>
          <w:highlight w:val="none"/>
        </w:rPr>
      </w:pPr>
      <w:r>
        <w:rPr>
          <w:rFonts w:hint="default" w:ascii="Arial" w:hAnsi="Arial" w:cs="Arial"/>
          <w:highlight w:val="none"/>
        </w:rPr>
        <w:t>广西机电设备招标有限公司</w:t>
      </w:r>
    </w:p>
    <w:p w14:paraId="5E5EB2D0">
      <w:pPr>
        <w:keepNext w:val="0"/>
        <w:keepLines w:val="0"/>
        <w:pageBreakBefore w:val="0"/>
        <w:widowControl w:val="0"/>
        <w:kinsoku/>
        <w:wordWrap/>
        <w:overflowPunct/>
        <w:topLinePunct w:val="0"/>
        <w:autoSpaceDE/>
        <w:autoSpaceDN/>
        <w:bidi w:val="0"/>
        <w:adjustRightInd/>
        <w:snapToGrid/>
        <w:spacing w:line="288" w:lineRule="auto"/>
        <w:ind w:right="-59" w:firstLine="5880" w:firstLineChars="2800"/>
        <w:jc w:val="right"/>
        <w:textAlignment w:val="auto"/>
        <w:rPr>
          <w:rFonts w:hint="default" w:ascii="Arial" w:hAnsi="Arial" w:eastAsia="宋体" w:cs="Arial"/>
          <w:highlight w:val="none"/>
          <w:lang w:eastAsia="zh-CN"/>
        </w:rPr>
      </w:pPr>
      <w:r>
        <w:rPr>
          <w:rFonts w:hint="default" w:ascii="Arial" w:hAnsi="Arial" w:cs="Arial"/>
          <w:highlight w:val="none"/>
          <w:lang w:eastAsia="zh-CN"/>
        </w:rPr>
        <w:t>2026年</w:t>
      </w:r>
      <w:r>
        <w:rPr>
          <w:rFonts w:hint="eastAsia" w:ascii="Arial" w:hAnsi="Arial" w:cs="Arial"/>
          <w:highlight w:val="none"/>
          <w:lang w:val="en-US" w:eastAsia="zh-CN"/>
        </w:rPr>
        <w:t>8</w:t>
      </w:r>
      <w:r>
        <w:rPr>
          <w:rFonts w:hint="default" w:ascii="Arial" w:hAnsi="Arial" w:cs="Arial"/>
          <w:highlight w:val="none"/>
          <w:lang w:eastAsia="zh-CN"/>
        </w:rPr>
        <w:t>月</w:t>
      </w:r>
      <w:r>
        <w:rPr>
          <w:rFonts w:hint="eastAsia" w:ascii="Arial" w:hAnsi="Arial" w:cs="Arial"/>
          <w:highlight w:val="none"/>
          <w:lang w:val="en-US" w:eastAsia="zh-CN"/>
        </w:rPr>
        <w:t>26</w:t>
      </w:r>
      <w:r>
        <w:rPr>
          <w:rFonts w:hint="default" w:ascii="Arial" w:hAnsi="Arial" w:cs="Arial"/>
          <w:highlight w:val="none"/>
          <w:lang w:eastAsia="zh-CN"/>
        </w:rPr>
        <w:t>日</w:t>
      </w:r>
    </w:p>
    <w:p w14:paraId="65839F23">
      <w:pPr>
        <w:pStyle w:val="44"/>
        <w:rPr>
          <w:rFonts w:hint="default" w:ascii="Arial" w:hAnsi="Arial" w:cs="Arial"/>
          <w:highlight w:val="none"/>
        </w:rPr>
      </w:pPr>
      <w:bookmarkStart w:id="6" w:name="_Toc524017822"/>
      <w:bookmarkStart w:id="7" w:name="_Toc524017689"/>
      <w:r>
        <w:rPr>
          <w:rFonts w:hint="default" w:ascii="Arial" w:hAnsi="Arial" w:cs="Arial"/>
          <w:highlight w:val="none"/>
        </w:rPr>
        <w:br w:type="page"/>
      </w:r>
      <w:bookmarkStart w:id="8" w:name="_Toc82079326"/>
      <w:bookmarkStart w:id="9" w:name="_Toc20293"/>
      <w:bookmarkStart w:id="10" w:name="_Toc82079278"/>
      <w:r>
        <w:rPr>
          <w:rFonts w:hint="default" w:ascii="Arial" w:hAnsi="Arial" w:cs="Arial"/>
          <w:highlight w:val="none"/>
        </w:rPr>
        <w:t>第二章  投标人须知</w:t>
      </w:r>
      <w:bookmarkEnd w:id="6"/>
      <w:bookmarkEnd w:id="7"/>
      <w:bookmarkEnd w:id="8"/>
      <w:bookmarkEnd w:id="9"/>
      <w:bookmarkEnd w:id="10"/>
    </w:p>
    <w:p w14:paraId="62B19950">
      <w:pPr>
        <w:tabs>
          <w:tab w:val="left" w:pos="1065"/>
          <w:tab w:val="center" w:pos="4411"/>
        </w:tabs>
        <w:spacing w:line="440" w:lineRule="exact"/>
        <w:jc w:val="center"/>
        <w:rPr>
          <w:rFonts w:hint="default" w:ascii="Arial" w:hAnsi="Arial" w:cs="Arial"/>
          <w:b/>
          <w:sz w:val="24"/>
          <w:highlight w:val="none"/>
        </w:rPr>
      </w:pPr>
      <w:r>
        <w:rPr>
          <w:rFonts w:hint="default" w:ascii="Arial" w:hAnsi="Arial" w:cs="Arial"/>
          <w:b/>
          <w:sz w:val="24"/>
          <w:highlight w:val="none"/>
        </w:rPr>
        <w:t>投标人须知前附表</w:t>
      </w:r>
    </w:p>
    <w:tbl>
      <w:tblPr>
        <w:tblStyle w:val="49"/>
        <w:tblW w:w="102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852"/>
        <w:gridCol w:w="2213"/>
        <w:gridCol w:w="6387"/>
      </w:tblGrid>
      <w:tr w14:paraId="408CA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jc w:val="center"/>
        </w:trPr>
        <w:tc>
          <w:tcPr>
            <w:tcW w:w="825" w:type="dxa"/>
            <w:vAlign w:val="center"/>
          </w:tcPr>
          <w:p w14:paraId="4190661E">
            <w:pPr>
              <w:spacing w:line="360" w:lineRule="auto"/>
              <w:jc w:val="center"/>
              <w:rPr>
                <w:rFonts w:hint="default" w:ascii="Arial" w:hAnsi="Arial" w:cs="Arial"/>
                <w:szCs w:val="21"/>
                <w:highlight w:val="none"/>
              </w:rPr>
            </w:pPr>
            <w:r>
              <w:rPr>
                <w:rFonts w:hint="default" w:ascii="Arial" w:hAnsi="Arial" w:cs="Arial"/>
                <w:szCs w:val="21"/>
                <w:highlight w:val="none"/>
              </w:rPr>
              <w:t>序号</w:t>
            </w:r>
          </w:p>
        </w:tc>
        <w:tc>
          <w:tcPr>
            <w:tcW w:w="852" w:type="dxa"/>
            <w:vAlign w:val="center"/>
          </w:tcPr>
          <w:p w14:paraId="5E10C691">
            <w:pPr>
              <w:spacing w:line="360" w:lineRule="auto"/>
              <w:jc w:val="center"/>
              <w:rPr>
                <w:rFonts w:hint="default" w:ascii="Arial" w:hAnsi="Arial" w:cs="Arial"/>
                <w:szCs w:val="21"/>
                <w:highlight w:val="none"/>
              </w:rPr>
            </w:pPr>
            <w:r>
              <w:rPr>
                <w:rFonts w:hint="default" w:ascii="Arial" w:hAnsi="Arial" w:cs="Arial"/>
                <w:szCs w:val="21"/>
                <w:highlight w:val="none"/>
              </w:rPr>
              <w:t>条款号</w:t>
            </w:r>
          </w:p>
        </w:tc>
        <w:tc>
          <w:tcPr>
            <w:tcW w:w="2213" w:type="dxa"/>
            <w:vAlign w:val="center"/>
          </w:tcPr>
          <w:p w14:paraId="1499D526">
            <w:pPr>
              <w:spacing w:line="320" w:lineRule="exact"/>
              <w:jc w:val="center"/>
              <w:rPr>
                <w:rFonts w:hint="default" w:ascii="Arial" w:hAnsi="Arial" w:cs="Arial"/>
                <w:szCs w:val="21"/>
                <w:highlight w:val="none"/>
              </w:rPr>
            </w:pPr>
            <w:r>
              <w:rPr>
                <w:rFonts w:hint="default" w:ascii="Arial" w:hAnsi="Arial" w:cs="Arial"/>
                <w:szCs w:val="21"/>
                <w:highlight w:val="none"/>
              </w:rPr>
              <w:t>条款名称</w:t>
            </w:r>
          </w:p>
        </w:tc>
        <w:tc>
          <w:tcPr>
            <w:tcW w:w="6387" w:type="dxa"/>
            <w:vAlign w:val="center"/>
          </w:tcPr>
          <w:p w14:paraId="5ABF691A">
            <w:pPr>
              <w:spacing w:line="320" w:lineRule="exact"/>
              <w:jc w:val="center"/>
              <w:rPr>
                <w:rFonts w:hint="default" w:ascii="Arial" w:hAnsi="Arial" w:cs="Arial"/>
                <w:szCs w:val="21"/>
                <w:highlight w:val="none"/>
              </w:rPr>
            </w:pPr>
            <w:r>
              <w:rPr>
                <w:rFonts w:hint="default" w:ascii="Arial" w:hAnsi="Arial" w:cs="Arial"/>
                <w:szCs w:val="21"/>
                <w:highlight w:val="none"/>
              </w:rPr>
              <w:t>内容、要求</w:t>
            </w:r>
          </w:p>
        </w:tc>
      </w:tr>
      <w:tr w14:paraId="549B9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825" w:type="dxa"/>
            <w:vAlign w:val="center"/>
          </w:tcPr>
          <w:p w14:paraId="720E2D22">
            <w:pPr>
              <w:spacing w:line="340" w:lineRule="exact"/>
              <w:jc w:val="center"/>
              <w:rPr>
                <w:rFonts w:hint="default" w:ascii="Arial" w:hAnsi="Arial" w:cs="Arial"/>
                <w:szCs w:val="21"/>
                <w:highlight w:val="none"/>
              </w:rPr>
            </w:pPr>
            <w:r>
              <w:rPr>
                <w:rFonts w:hint="default" w:ascii="Arial" w:hAnsi="Arial" w:cs="Arial"/>
                <w:szCs w:val="21"/>
                <w:highlight w:val="none"/>
              </w:rPr>
              <w:t>1</w:t>
            </w:r>
          </w:p>
        </w:tc>
        <w:tc>
          <w:tcPr>
            <w:tcW w:w="852" w:type="dxa"/>
            <w:vAlign w:val="center"/>
          </w:tcPr>
          <w:p w14:paraId="6CE81DF2">
            <w:pPr>
              <w:spacing w:line="340" w:lineRule="exact"/>
              <w:jc w:val="center"/>
              <w:rPr>
                <w:rFonts w:hint="default" w:ascii="Arial" w:hAnsi="Arial" w:cs="Arial"/>
                <w:szCs w:val="21"/>
                <w:highlight w:val="none"/>
              </w:rPr>
            </w:pPr>
            <w:r>
              <w:rPr>
                <w:rFonts w:hint="default" w:ascii="Arial" w:hAnsi="Arial" w:cs="Arial"/>
                <w:szCs w:val="21"/>
                <w:highlight w:val="none"/>
              </w:rPr>
              <w:t>1</w:t>
            </w:r>
          </w:p>
        </w:tc>
        <w:tc>
          <w:tcPr>
            <w:tcW w:w="2213" w:type="dxa"/>
            <w:vAlign w:val="center"/>
          </w:tcPr>
          <w:p w14:paraId="50AA7B13">
            <w:pPr>
              <w:spacing w:line="320" w:lineRule="exact"/>
              <w:jc w:val="center"/>
              <w:rPr>
                <w:rFonts w:hint="default" w:ascii="Arial" w:hAnsi="Arial" w:cs="Arial"/>
                <w:highlight w:val="none"/>
              </w:rPr>
            </w:pPr>
            <w:r>
              <w:rPr>
                <w:rFonts w:hint="default" w:ascii="Arial" w:hAnsi="Arial" w:cs="Arial"/>
                <w:highlight w:val="none"/>
              </w:rPr>
              <w:t>项目名称及项目编号</w:t>
            </w:r>
          </w:p>
        </w:tc>
        <w:tc>
          <w:tcPr>
            <w:tcW w:w="6387" w:type="dxa"/>
            <w:vAlign w:val="center"/>
          </w:tcPr>
          <w:p w14:paraId="20D90892">
            <w:pPr>
              <w:spacing w:line="300" w:lineRule="exact"/>
              <w:rPr>
                <w:rFonts w:hint="default" w:ascii="Arial" w:hAnsi="Arial" w:eastAsia="宋体" w:cs="Arial"/>
                <w:highlight w:val="none"/>
                <w:lang w:eastAsia="zh-CN"/>
              </w:rPr>
            </w:pPr>
            <w:r>
              <w:rPr>
                <w:rFonts w:hint="default" w:ascii="Arial" w:hAnsi="Arial" w:cs="Arial"/>
                <w:highlight w:val="none"/>
              </w:rPr>
              <w:t>项目名称：</w:t>
            </w:r>
            <w:r>
              <w:rPr>
                <w:rFonts w:hint="eastAsia" w:ascii="Arial" w:hAnsi="Arial" w:cs="Arial"/>
                <w:highlight w:val="none"/>
                <w:lang w:eastAsia="zh-CN"/>
              </w:rPr>
              <w:t>桂林市第二技工学校2025年市级高技能人才培训基地建设项目</w:t>
            </w:r>
          </w:p>
          <w:p w14:paraId="5B939862">
            <w:pPr>
              <w:spacing w:line="300" w:lineRule="exact"/>
              <w:rPr>
                <w:rFonts w:hint="default" w:ascii="Arial" w:hAnsi="Arial" w:eastAsia="宋体" w:cs="Arial"/>
                <w:highlight w:val="none"/>
                <w:lang w:eastAsia="zh-CN"/>
              </w:rPr>
            </w:pPr>
            <w:r>
              <w:rPr>
                <w:rFonts w:hint="default" w:ascii="Arial" w:hAnsi="Arial" w:cs="Arial"/>
                <w:highlight w:val="none"/>
              </w:rPr>
              <w:t>项目编号：</w:t>
            </w:r>
            <w:r>
              <w:rPr>
                <w:rFonts w:hint="eastAsia" w:ascii="Arial" w:hAnsi="Arial" w:cs="Arial"/>
                <w:highlight w:val="none"/>
                <w:lang w:eastAsia="zh-CN"/>
              </w:rPr>
              <w:t>GLZC2026-G1-990364-JDZB</w:t>
            </w:r>
          </w:p>
        </w:tc>
      </w:tr>
      <w:tr w14:paraId="36D83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825" w:type="dxa"/>
            <w:vAlign w:val="center"/>
          </w:tcPr>
          <w:p w14:paraId="1CFA23FD">
            <w:pPr>
              <w:spacing w:line="340" w:lineRule="exact"/>
              <w:jc w:val="center"/>
              <w:rPr>
                <w:rFonts w:hint="default" w:ascii="Arial" w:hAnsi="Arial" w:cs="Arial"/>
                <w:szCs w:val="21"/>
                <w:highlight w:val="none"/>
              </w:rPr>
            </w:pPr>
            <w:r>
              <w:rPr>
                <w:rFonts w:hint="default" w:ascii="Arial" w:hAnsi="Arial" w:cs="Arial"/>
                <w:szCs w:val="21"/>
                <w:highlight w:val="none"/>
              </w:rPr>
              <w:t>2</w:t>
            </w:r>
          </w:p>
        </w:tc>
        <w:tc>
          <w:tcPr>
            <w:tcW w:w="852" w:type="dxa"/>
            <w:vAlign w:val="center"/>
          </w:tcPr>
          <w:p w14:paraId="6BB70CAD">
            <w:pPr>
              <w:spacing w:line="340" w:lineRule="exact"/>
              <w:jc w:val="center"/>
              <w:rPr>
                <w:rFonts w:hint="default" w:ascii="Arial" w:hAnsi="Arial" w:cs="Arial"/>
                <w:szCs w:val="21"/>
                <w:highlight w:val="none"/>
              </w:rPr>
            </w:pPr>
            <w:r>
              <w:rPr>
                <w:rFonts w:hint="default" w:ascii="Arial" w:hAnsi="Arial" w:cs="Arial"/>
                <w:szCs w:val="21"/>
                <w:highlight w:val="none"/>
              </w:rPr>
              <w:t>5</w:t>
            </w:r>
          </w:p>
        </w:tc>
        <w:tc>
          <w:tcPr>
            <w:tcW w:w="2213" w:type="dxa"/>
            <w:vAlign w:val="center"/>
          </w:tcPr>
          <w:p w14:paraId="1FC5FE9B">
            <w:pPr>
              <w:spacing w:line="320" w:lineRule="exact"/>
              <w:jc w:val="center"/>
              <w:rPr>
                <w:rFonts w:hint="default" w:ascii="Arial" w:hAnsi="Arial" w:cs="Arial"/>
                <w:szCs w:val="21"/>
                <w:highlight w:val="none"/>
              </w:rPr>
            </w:pPr>
            <w:r>
              <w:rPr>
                <w:rFonts w:hint="default" w:ascii="Arial" w:hAnsi="Arial" w:cs="Arial"/>
                <w:szCs w:val="21"/>
                <w:highlight w:val="none"/>
              </w:rPr>
              <w:t>投标人资格</w:t>
            </w:r>
          </w:p>
        </w:tc>
        <w:tc>
          <w:tcPr>
            <w:tcW w:w="6387" w:type="dxa"/>
            <w:vAlign w:val="center"/>
          </w:tcPr>
          <w:p w14:paraId="1073309A">
            <w:pPr>
              <w:spacing w:line="300" w:lineRule="exact"/>
              <w:rPr>
                <w:rFonts w:hint="default" w:ascii="Arial" w:hAnsi="Arial" w:cs="Arial"/>
                <w:szCs w:val="21"/>
                <w:highlight w:val="none"/>
              </w:rPr>
            </w:pPr>
            <w:r>
              <w:rPr>
                <w:rFonts w:hint="default" w:ascii="Arial" w:hAnsi="Arial" w:cs="Arial"/>
                <w:szCs w:val="21"/>
                <w:highlight w:val="none"/>
              </w:rPr>
              <w:t>5.1满足《中华人民共和国政府采购法》第二十二条规定；</w:t>
            </w:r>
          </w:p>
          <w:p w14:paraId="5F4E36CF">
            <w:pPr>
              <w:spacing w:line="300" w:lineRule="exact"/>
              <w:rPr>
                <w:rFonts w:hint="default" w:ascii="Arial" w:hAnsi="Arial" w:cs="Arial"/>
                <w:szCs w:val="21"/>
                <w:highlight w:val="none"/>
              </w:rPr>
            </w:pPr>
            <w:r>
              <w:rPr>
                <w:rFonts w:hint="default" w:ascii="Arial" w:hAnsi="Arial" w:cs="Arial"/>
                <w:szCs w:val="21"/>
                <w:highlight w:val="none"/>
              </w:rPr>
              <w:t>5.2落实政府采购政策需满足的资格要求：</w:t>
            </w:r>
            <w:r>
              <w:rPr>
                <w:rFonts w:hint="eastAsia" w:ascii="Arial" w:hAnsi="Arial" w:cs="Arial"/>
                <w:szCs w:val="21"/>
                <w:highlight w:val="none"/>
                <w:lang w:val="en-US" w:eastAsia="zh-CN"/>
              </w:rPr>
              <w:t>无</w:t>
            </w:r>
          </w:p>
          <w:p w14:paraId="1D3A394E">
            <w:pPr>
              <w:spacing w:line="300" w:lineRule="exact"/>
              <w:rPr>
                <w:rFonts w:hint="default" w:ascii="Arial" w:hAnsi="Arial" w:cs="Arial"/>
                <w:szCs w:val="21"/>
                <w:highlight w:val="none"/>
              </w:rPr>
            </w:pPr>
            <w:r>
              <w:rPr>
                <w:rFonts w:hint="default" w:ascii="Arial" w:hAnsi="Arial" w:cs="Arial"/>
                <w:szCs w:val="21"/>
                <w:highlight w:val="none"/>
              </w:rPr>
              <w:t>5.3本项目的特定资格要求：</w:t>
            </w:r>
          </w:p>
          <w:p w14:paraId="620216EC">
            <w:pPr>
              <w:spacing w:line="300" w:lineRule="exact"/>
              <w:rPr>
                <w:rFonts w:hint="default" w:ascii="Arial" w:hAnsi="Arial" w:cs="Arial"/>
                <w:szCs w:val="21"/>
                <w:highlight w:val="none"/>
              </w:rPr>
            </w:pPr>
            <w:r>
              <w:rPr>
                <w:rFonts w:hint="default" w:ascii="Arial" w:hAnsi="Arial" w:cs="Arial"/>
                <w:szCs w:val="21"/>
                <w:highlight w:val="none"/>
              </w:rPr>
              <w:t>（1）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政府采购活动。</w:t>
            </w:r>
          </w:p>
          <w:p w14:paraId="144D5722">
            <w:pPr>
              <w:spacing w:line="300" w:lineRule="exact"/>
              <w:rPr>
                <w:rFonts w:hint="default" w:ascii="Arial" w:hAnsi="Arial" w:cs="Arial"/>
                <w:szCs w:val="21"/>
                <w:highlight w:val="none"/>
              </w:rPr>
            </w:pPr>
            <w:r>
              <w:rPr>
                <w:rFonts w:hint="default" w:ascii="Arial" w:hAnsi="Arial" w:cs="Arial"/>
                <w:szCs w:val="21"/>
                <w:highlight w:val="none"/>
              </w:rPr>
              <w:t>（</w:t>
            </w:r>
            <w:r>
              <w:rPr>
                <w:rFonts w:hint="eastAsia" w:ascii="Arial" w:hAnsi="Arial" w:cs="Arial"/>
                <w:szCs w:val="21"/>
                <w:highlight w:val="none"/>
                <w:lang w:val="en-US" w:eastAsia="zh-CN"/>
              </w:rPr>
              <w:t>2</w:t>
            </w:r>
            <w:r>
              <w:rPr>
                <w:rFonts w:hint="default" w:ascii="Arial" w:hAnsi="Arial" w:cs="Arial"/>
                <w:szCs w:val="21"/>
                <w:highlight w:val="none"/>
              </w:rPr>
              <w:t>）单位负责人为同一人或者存在直接控股、管理关系的不同供应商，不得参加同一合同项下的政府采购活动。除单一来源采购项目外，为本采购项目提供整体设计、规范编制或者项目管理、监理、检测等服务的供应商，不得再参加该采购项目的其他采购活动。</w:t>
            </w:r>
          </w:p>
        </w:tc>
      </w:tr>
      <w:tr w14:paraId="05AF6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825" w:type="dxa"/>
            <w:vAlign w:val="center"/>
          </w:tcPr>
          <w:p w14:paraId="37E26F69">
            <w:pPr>
              <w:spacing w:line="340" w:lineRule="exact"/>
              <w:jc w:val="center"/>
              <w:rPr>
                <w:rFonts w:hint="default" w:ascii="Arial" w:hAnsi="Arial" w:cs="Arial"/>
                <w:szCs w:val="21"/>
                <w:highlight w:val="none"/>
              </w:rPr>
            </w:pPr>
            <w:r>
              <w:rPr>
                <w:rFonts w:hint="default" w:ascii="Arial" w:hAnsi="Arial" w:cs="Arial"/>
                <w:szCs w:val="21"/>
                <w:highlight w:val="none"/>
              </w:rPr>
              <w:t>3</w:t>
            </w:r>
          </w:p>
        </w:tc>
        <w:tc>
          <w:tcPr>
            <w:tcW w:w="852" w:type="dxa"/>
            <w:vAlign w:val="center"/>
          </w:tcPr>
          <w:p w14:paraId="1C3944FD">
            <w:pPr>
              <w:spacing w:line="340" w:lineRule="exact"/>
              <w:jc w:val="center"/>
              <w:rPr>
                <w:rFonts w:hint="default" w:ascii="Arial" w:hAnsi="Arial" w:cs="Arial"/>
                <w:szCs w:val="21"/>
                <w:highlight w:val="none"/>
              </w:rPr>
            </w:pPr>
            <w:r>
              <w:rPr>
                <w:rFonts w:hint="default" w:ascii="Arial" w:hAnsi="Arial" w:cs="Arial"/>
                <w:szCs w:val="21"/>
                <w:highlight w:val="none"/>
              </w:rPr>
              <w:t>6</w:t>
            </w:r>
          </w:p>
        </w:tc>
        <w:tc>
          <w:tcPr>
            <w:tcW w:w="2213" w:type="dxa"/>
            <w:vAlign w:val="center"/>
          </w:tcPr>
          <w:p w14:paraId="350CF362">
            <w:pPr>
              <w:spacing w:line="320" w:lineRule="exact"/>
              <w:jc w:val="center"/>
              <w:rPr>
                <w:rFonts w:hint="default" w:ascii="Arial" w:hAnsi="Arial" w:cs="Arial"/>
                <w:szCs w:val="21"/>
                <w:highlight w:val="none"/>
              </w:rPr>
            </w:pPr>
            <w:r>
              <w:rPr>
                <w:rFonts w:hint="default" w:ascii="Arial" w:hAnsi="Arial" w:cs="Arial"/>
                <w:kern w:val="0"/>
                <w:szCs w:val="21"/>
                <w:highlight w:val="none"/>
              </w:rPr>
              <w:t>参与电子投标的准备工作</w:t>
            </w:r>
          </w:p>
        </w:tc>
        <w:tc>
          <w:tcPr>
            <w:tcW w:w="6387" w:type="dxa"/>
            <w:vAlign w:val="center"/>
          </w:tcPr>
          <w:p w14:paraId="26389220">
            <w:pPr>
              <w:spacing w:line="340" w:lineRule="exact"/>
              <w:rPr>
                <w:rFonts w:hint="default" w:ascii="Arial" w:hAnsi="Arial" w:cs="Arial"/>
                <w:kern w:val="0"/>
                <w:szCs w:val="21"/>
                <w:highlight w:val="none"/>
              </w:rPr>
            </w:pPr>
            <w:r>
              <w:rPr>
                <w:rFonts w:hint="default" w:ascii="Arial" w:hAnsi="Arial" w:cs="Arial"/>
                <w:kern w:val="0"/>
                <w:szCs w:val="21"/>
                <w:highlight w:val="none"/>
              </w:rPr>
              <w:t>6.1</w:t>
            </w:r>
            <w:r>
              <w:rPr>
                <w:rFonts w:hint="default" w:ascii="Arial" w:hAnsi="Arial" w:cs="Arial"/>
                <w:b w:val="0"/>
                <w:bCs w:val="0"/>
                <w:kern w:val="2"/>
                <w:sz w:val="21"/>
                <w:szCs w:val="21"/>
                <w:highlight w:val="none"/>
                <w:lang w:val="en-US" w:eastAsia="zh-CN" w:bidi="ar-SA"/>
              </w:rPr>
              <w:t>本项目实行全流程电子化采购，投标人通过广西政府采购云平台参与电子投标，并应做好以下相关准备工作：①在广西政府采购云平台注册成为正式供应商（操作方法详见广西壮族自治区政府采购网—办事服务—办事指南）；②完成CA证书申领和绑定（费用由投标人自行承担，办理流程详见广西壮族自治区政府采购网—办事服务—下载专区，完成CA证书办理预计一周左右，建议供应商尽快办理）；③下载“广西壮族自治区全流程电子招投标项目管理系统--供应商客户端”（操作方法详见广西壮族自治区政府采购网—办事服务—下载专区，以下称“桂采云电子投标客户端”）并安装成功，投标人应当在提交投标文件截止时间前在广西政府采购云平台完成的身份认证，确保能够对相关数据电文进行加密和使用电子签章；④自备计算机和网络设备并确保能接入互联网（费用由投标人自行承担，设备确保可进行视频通话和读取广西政府采购云平台CA证书）。因投标人未做好相关准备工作等自身原因导致无法参加本项目电子投标或投标失败的，造成的一切后果，由投标人自行承担。</w:t>
            </w:r>
          </w:p>
          <w:p w14:paraId="446F9816">
            <w:pPr>
              <w:spacing w:line="340" w:lineRule="exact"/>
              <w:rPr>
                <w:rFonts w:hint="default" w:ascii="Arial" w:hAnsi="Arial" w:cs="Arial"/>
                <w:kern w:val="0"/>
                <w:szCs w:val="21"/>
                <w:highlight w:val="none"/>
              </w:rPr>
            </w:pPr>
            <w:r>
              <w:rPr>
                <w:rFonts w:hint="default" w:ascii="Arial" w:hAnsi="Arial" w:cs="Arial"/>
                <w:kern w:val="0"/>
                <w:szCs w:val="21"/>
                <w:highlight w:val="none"/>
              </w:rPr>
              <w:t>6.2电子投标具体操作流程参考《政府采购项目电子交易管理操作指南-供应商》（详见桂林市政府采购网—采购资讯—重要通知）；如遇平台技术问题详询95763。</w:t>
            </w:r>
          </w:p>
          <w:p w14:paraId="2153E2F9">
            <w:pPr>
              <w:spacing w:line="300" w:lineRule="exact"/>
              <w:rPr>
                <w:rFonts w:hint="default" w:ascii="Arial" w:hAnsi="Arial" w:cs="Arial"/>
                <w:highlight w:val="none"/>
              </w:rPr>
            </w:pPr>
            <w:r>
              <w:rPr>
                <w:rFonts w:hint="default" w:ascii="Arial" w:hAnsi="Arial" w:cs="Arial"/>
                <w:kern w:val="0"/>
                <w:szCs w:val="21"/>
                <w:highlight w:val="none"/>
              </w:rPr>
              <w:t>6.3不论投标结果如何，投标人均应自行承担所有与投标有关的全部费用。</w:t>
            </w:r>
          </w:p>
        </w:tc>
      </w:tr>
      <w:tr w14:paraId="48FC5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825" w:type="dxa"/>
            <w:vAlign w:val="center"/>
          </w:tcPr>
          <w:p w14:paraId="5BBA5E1A">
            <w:pPr>
              <w:spacing w:line="340" w:lineRule="exact"/>
              <w:jc w:val="center"/>
              <w:rPr>
                <w:rFonts w:hint="default" w:ascii="Arial" w:hAnsi="Arial" w:cs="Arial"/>
                <w:szCs w:val="21"/>
                <w:highlight w:val="none"/>
              </w:rPr>
            </w:pPr>
            <w:r>
              <w:rPr>
                <w:rFonts w:hint="default" w:ascii="Arial" w:hAnsi="Arial" w:cs="Arial"/>
                <w:szCs w:val="21"/>
                <w:highlight w:val="none"/>
              </w:rPr>
              <w:t>4</w:t>
            </w:r>
          </w:p>
        </w:tc>
        <w:tc>
          <w:tcPr>
            <w:tcW w:w="852" w:type="dxa"/>
            <w:vAlign w:val="center"/>
          </w:tcPr>
          <w:p w14:paraId="3FC43C14">
            <w:pPr>
              <w:spacing w:line="340" w:lineRule="exact"/>
              <w:jc w:val="center"/>
              <w:rPr>
                <w:rFonts w:hint="default" w:ascii="Arial" w:hAnsi="Arial" w:cs="Arial"/>
                <w:position w:val="-2"/>
                <w:szCs w:val="21"/>
                <w:highlight w:val="none"/>
              </w:rPr>
            </w:pPr>
            <w:r>
              <w:rPr>
                <w:rFonts w:hint="default" w:ascii="Arial" w:hAnsi="Arial" w:cs="Arial"/>
                <w:position w:val="-2"/>
                <w:szCs w:val="21"/>
                <w:highlight w:val="none"/>
              </w:rPr>
              <w:t>15</w:t>
            </w:r>
          </w:p>
        </w:tc>
        <w:tc>
          <w:tcPr>
            <w:tcW w:w="2213" w:type="dxa"/>
            <w:vAlign w:val="center"/>
          </w:tcPr>
          <w:p w14:paraId="1DF16614">
            <w:pPr>
              <w:spacing w:line="320" w:lineRule="exact"/>
              <w:jc w:val="center"/>
              <w:rPr>
                <w:rFonts w:hint="default" w:ascii="Arial" w:hAnsi="Arial" w:cs="Arial"/>
                <w:szCs w:val="21"/>
                <w:highlight w:val="none"/>
              </w:rPr>
            </w:pPr>
            <w:r>
              <w:rPr>
                <w:rFonts w:hint="default" w:ascii="Arial" w:hAnsi="Arial" w:cs="Arial"/>
                <w:szCs w:val="21"/>
                <w:highlight w:val="none"/>
              </w:rPr>
              <w:t>投标报价</w:t>
            </w:r>
          </w:p>
        </w:tc>
        <w:tc>
          <w:tcPr>
            <w:tcW w:w="6387" w:type="dxa"/>
            <w:vAlign w:val="center"/>
          </w:tcPr>
          <w:p w14:paraId="5F9B6418">
            <w:pPr>
              <w:spacing w:line="300" w:lineRule="exact"/>
              <w:rPr>
                <w:rFonts w:hint="default" w:ascii="Arial" w:hAnsi="Arial" w:cs="Arial"/>
                <w:szCs w:val="21"/>
                <w:highlight w:val="none"/>
              </w:rPr>
            </w:pPr>
            <w:r>
              <w:rPr>
                <w:rFonts w:hint="default" w:ascii="Arial" w:hAnsi="Arial" w:cs="Arial"/>
                <w:szCs w:val="21"/>
                <w:highlight w:val="none"/>
              </w:rPr>
              <w:t>15.1投标报价应按招标文件中第六章“投标文件（格式）”填写，</w:t>
            </w:r>
            <w:bookmarkStart w:id="11" w:name="_Hlk81985358"/>
            <w:r>
              <w:rPr>
                <w:rFonts w:hint="default" w:ascii="Arial" w:hAnsi="Arial" w:cs="Arial"/>
                <w:highlight w:val="none"/>
              </w:rPr>
              <w:t>所投</w:t>
            </w:r>
            <w:bookmarkEnd w:id="11"/>
            <w:r>
              <w:rPr>
                <w:rFonts w:hint="default" w:ascii="Arial" w:hAnsi="Arial" w:cs="Arial"/>
                <w:highlight w:val="none"/>
              </w:rPr>
              <w:t>报价超采购预算总金额的，投标文件作无效处理。</w:t>
            </w:r>
          </w:p>
          <w:p w14:paraId="581E5771">
            <w:pPr>
              <w:spacing w:line="300" w:lineRule="exact"/>
              <w:rPr>
                <w:rFonts w:hint="default" w:ascii="Arial" w:hAnsi="Arial" w:cs="Arial"/>
                <w:szCs w:val="21"/>
                <w:highlight w:val="none"/>
              </w:rPr>
            </w:pPr>
            <w:r>
              <w:rPr>
                <w:rFonts w:hint="default" w:ascii="Arial" w:hAnsi="Arial" w:cs="Arial"/>
                <w:szCs w:val="21"/>
                <w:highlight w:val="none"/>
              </w:rPr>
              <w:t>15.2投标人必须就“货物采购需求”中所投的所有内容作完整唯一报价，否则，其投标将被拒绝；投标文件只允许有一个报价，有选择的或有条件的报价将不予接受。</w:t>
            </w:r>
          </w:p>
        </w:tc>
      </w:tr>
      <w:tr w14:paraId="30CF7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825" w:type="dxa"/>
            <w:vAlign w:val="center"/>
          </w:tcPr>
          <w:p w14:paraId="546F8F47">
            <w:pPr>
              <w:spacing w:line="340" w:lineRule="exact"/>
              <w:jc w:val="center"/>
              <w:rPr>
                <w:rFonts w:hint="default" w:ascii="Arial" w:hAnsi="Arial" w:cs="Arial"/>
                <w:szCs w:val="21"/>
                <w:highlight w:val="none"/>
              </w:rPr>
            </w:pPr>
            <w:r>
              <w:rPr>
                <w:rFonts w:hint="default" w:ascii="Arial" w:hAnsi="Arial" w:cs="Arial"/>
                <w:szCs w:val="21"/>
                <w:highlight w:val="none"/>
              </w:rPr>
              <w:t>5</w:t>
            </w:r>
          </w:p>
        </w:tc>
        <w:tc>
          <w:tcPr>
            <w:tcW w:w="852" w:type="dxa"/>
            <w:vAlign w:val="center"/>
          </w:tcPr>
          <w:p w14:paraId="5D94FB19">
            <w:pPr>
              <w:spacing w:line="340" w:lineRule="exact"/>
              <w:jc w:val="center"/>
              <w:rPr>
                <w:rFonts w:hint="default" w:ascii="Arial" w:hAnsi="Arial" w:cs="Arial"/>
                <w:szCs w:val="21"/>
                <w:highlight w:val="none"/>
              </w:rPr>
            </w:pPr>
            <w:r>
              <w:rPr>
                <w:rFonts w:hint="default" w:ascii="Arial" w:hAnsi="Arial" w:cs="Arial"/>
                <w:szCs w:val="21"/>
                <w:highlight w:val="none"/>
              </w:rPr>
              <w:t>16.1</w:t>
            </w:r>
          </w:p>
        </w:tc>
        <w:tc>
          <w:tcPr>
            <w:tcW w:w="2213" w:type="dxa"/>
            <w:vAlign w:val="center"/>
          </w:tcPr>
          <w:p w14:paraId="6E10FE2B">
            <w:pPr>
              <w:spacing w:line="320" w:lineRule="exact"/>
              <w:jc w:val="center"/>
              <w:rPr>
                <w:rFonts w:hint="default" w:ascii="Arial" w:hAnsi="Arial" w:cs="Arial"/>
                <w:szCs w:val="21"/>
                <w:highlight w:val="none"/>
              </w:rPr>
            </w:pPr>
            <w:r>
              <w:rPr>
                <w:rFonts w:hint="default" w:ascii="Arial" w:hAnsi="Arial" w:cs="Arial"/>
                <w:szCs w:val="21"/>
                <w:highlight w:val="none"/>
              </w:rPr>
              <w:t>投标有效期</w:t>
            </w:r>
          </w:p>
        </w:tc>
        <w:tc>
          <w:tcPr>
            <w:tcW w:w="6387" w:type="dxa"/>
            <w:vAlign w:val="center"/>
          </w:tcPr>
          <w:p w14:paraId="12536C55">
            <w:pPr>
              <w:spacing w:line="300" w:lineRule="exact"/>
              <w:rPr>
                <w:rFonts w:hint="default" w:ascii="Arial" w:hAnsi="Arial" w:cs="Arial"/>
                <w:szCs w:val="21"/>
                <w:highlight w:val="none"/>
              </w:rPr>
            </w:pPr>
            <w:r>
              <w:rPr>
                <w:rFonts w:hint="default" w:ascii="Arial" w:hAnsi="Arial" w:cs="Arial"/>
                <w:highlight w:val="none"/>
              </w:rPr>
              <w:t>投标截止时间之日起90天。</w:t>
            </w:r>
          </w:p>
        </w:tc>
      </w:tr>
      <w:tr w14:paraId="74506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825" w:type="dxa"/>
            <w:vAlign w:val="center"/>
          </w:tcPr>
          <w:p w14:paraId="67748B74">
            <w:pPr>
              <w:spacing w:line="340" w:lineRule="exact"/>
              <w:jc w:val="center"/>
              <w:rPr>
                <w:rFonts w:hint="default" w:ascii="Arial" w:hAnsi="Arial" w:cs="Arial"/>
                <w:szCs w:val="21"/>
                <w:highlight w:val="none"/>
              </w:rPr>
            </w:pPr>
            <w:r>
              <w:rPr>
                <w:rFonts w:hint="default" w:ascii="Arial" w:hAnsi="Arial" w:cs="Arial"/>
                <w:szCs w:val="21"/>
                <w:highlight w:val="none"/>
              </w:rPr>
              <w:t>6</w:t>
            </w:r>
          </w:p>
        </w:tc>
        <w:tc>
          <w:tcPr>
            <w:tcW w:w="852" w:type="dxa"/>
            <w:vAlign w:val="center"/>
          </w:tcPr>
          <w:p w14:paraId="6CC48974">
            <w:pPr>
              <w:spacing w:line="340" w:lineRule="exact"/>
              <w:jc w:val="center"/>
              <w:rPr>
                <w:rFonts w:hint="default" w:ascii="Arial" w:hAnsi="Arial" w:cs="Arial"/>
                <w:szCs w:val="21"/>
                <w:highlight w:val="none"/>
              </w:rPr>
            </w:pPr>
            <w:r>
              <w:rPr>
                <w:rFonts w:hint="default" w:ascii="Arial" w:hAnsi="Arial" w:cs="Arial"/>
                <w:szCs w:val="21"/>
                <w:highlight w:val="none"/>
              </w:rPr>
              <w:t>17</w:t>
            </w:r>
          </w:p>
        </w:tc>
        <w:tc>
          <w:tcPr>
            <w:tcW w:w="2213" w:type="dxa"/>
            <w:vAlign w:val="center"/>
          </w:tcPr>
          <w:p w14:paraId="3E43FCC7">
            <w:pPr>
              <w:spacing w:line="320" w:lineRule="exact"/>
              <w:jc w:val="center"/>
              <w:rPr>
                <w:rFonts w:hint="default" w:ascii="Arial" w:hAnsi="Arial" w:cs="Arial"/>
                <w:szCs w:val="21"/>
                <w:highlight w:val="none"/>
              </w:rPr>
            </w:pPr>
            <w:r>
              <w:rPr>
                <w:rFonts w:hint="default" w:ascii="Arial" w:hAnsi="Arial" w:cs="Arial"/>
                <w:highlight w:val="none"/>
              </w:rPr>
              <w:t>投标保证金</w:t>
            </w:r>
          </w:p>
        </w:tc>
        <w:tc>
          <w:tcPr>
            <w:tcW w:w="6387" w:type="dxa"/>
            <w:vAlign w:val="center"/>
          </w:tcPr>
          <w:p w14:paraId="1DCAC081">
            <w:pPr>
              <w:spacing w:line="300" w:lineRule="exact"/>
              <w:rPr>
                <w:rFonts w:hint="default" w:ascii="Arial" w:hAnsi="Arial" w:cs="Arial"/>
                <w:szCs w:val="21"/>
                <w:highlight w:val="none"/>
              </w:rPr>
            </w:pPr>
            <w:r>
              <w:rPr>
                <w:rFonts w:hint="default" w:ascii="Arial" w:hAnsi="Arial" w:cs="Arial"/>
                <w:highlight w:val="none"/>
              </w:rPr>
              <w:t>本项目无需缴纳投标保证金。</w:t>
            </w:r>
          </w:p>
        </w:tc>
      </w:tr>
      <w:tr w14:paraId="72F24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825" w:type="dxa"/>
            <w:vAlign w:val="center"/>
          </w:tcPr>
          <w:p w14:paraId="45DBB30C">
            <w:pPr>
              <w:spacing w:line="340" w:lineRule="exact"/>
              <w:jc w:val="center"/>
              <w:rPr>
                <w:rFonts w:hint="default" w:ascii="Arial" w:hAnsi="Arial" w:cs="Arial"/>
                <w:szCs w:val="21"/>
                <w:highlight w:val="none"/>
              </w:rPr>
            </w:pPr>
            <w:r>
              <w:rPr>
                <w:rFonts w:hint="default" w:ascii="Arial" w:hAnsi="Arial" w:cs="Arial"/>
                <w:szCs w:val="21"/>
                <w:highlight w:val="none"/>
              </w:rPr>
              <w:t>7</w:t>
            </w:r>
          </w:p>
        </w:tc>
        <w:tc>
          <w:tcPr>
            <w:tcW w:w="852" w:type="dxa"/>
            <w:vAlign w:val="center"/>
          </w:tcPr>
          <w:p w14:paraId="7296ADE2">
            <w:pPr>
              <w:spacing w:line="400" w:lineRule="exact"/>
              <w:jc w:val="center"/>
              <w:rPr>
                <w:rFonts w:hint="default" w:ascii="Arial" w:hAnsi="Arial" w:cs="Arial"/>
                <w:position w:val="10"/>
                <w:szCs w:val="21"/>
                <w:highlight w:val="none"/>
              </w:rPr>
            </w:pPr>
            <w:r>
              <w:rPr>
                <w:rFonts w:hint="default" w:ascii="Arial" w:hAnsi="Arial" w:cs="Arial"/>
                <w:szCs w:val="21"/>
                <w:highlight w:val="none"/>
              </w:rPr>
              <w:t>18.1</w:t>
            </w:r>
          </w:p>
        </w:tc>
        <w:tc>
          <w:tcPr>
            <w:tcW w:w="2213" w:type="dxa"/>
            <w:vAlign w:val="center"/>
          </w:tcPr>
          <w:p w14:paraId="1D9A743C">
            <w:pPr>
              <w:spacing w:line="400" w:lineRule="exact"/>
              <w:jc w:val="center"/>
              <w:rPr>
                <w:rFonts w:hint="default" w:ascii="Arial" w:hAnsi="Arial" w:cs="Arial"/>
                <w:position w:val="10"/>
                <w:szCs w:val="21"/>
                <w:highlight w:val="none"/>
              </w:rPr>
            </w:pPr>
            <w:r>
              <w:rPr>
                <w:rFonts w:hint="default" w:ascii="Arial" w:hAnsi="Arial" w:cs="Arial"/>
                <w:szCs w:val="21"/>
                <w:highlight w:val="none"/>
              </w:rPr>
              <w:t>电子投标文件的制作、加密</w:t>
            </w:r>
          </w:p>
        </w:tc>
        <w:tc>
          <w:tcPr>
            <w:tcW w:w="6387" w:type="dxa"/>
            <w:vAlign w:val="center"/>
          </w:tcPr>
          <w:p w14:paraId="20691777">
            <w:pPr>
              <w:snapToGrid w:val="0"/>
              <w:spacing w:line="380" w:lineRule="exact"/>
              <w:rPr>
                <w:rFonts w:hint="default" w:ascii="Arial" w:hAnsi="Arial" w:cs="Arial"/>
                <w:bCs/>
                <w:szCs w:val="21"/>
                <w:highlight w:val="none"/>
              </w:rPr>
            </w:pPr>
            <w:r>
              <w:rPr>
                <w:rFonts w:hint="default" w:ascii="Arial" w:hAnsi="Arial" w:cs="Arial"/>
                <w:kern w:val="0"/>
                <w:szCs w:val="21"/>
                <w:highlight w:val="none"/>
              </w:rPr>
              <w:t>18.1.1</w:t>
            </w:r>
            <w:r>
              <w:rPr>
                <w:rFonts w:hint="default" w:ascii="Arial" w:hAnsi="Arial" w:cs="Arial"/>
                <w:bCs/>
                <w:szCs w:val="21"/>
                <w:highlight w:val="none"/>
              </w:rPr>
              <w:t>投标人制作电子投标文件前，必须登录</w:t>
            </w:r>
            <w:r>
              <w:rPr>
                <w:rFonts w:hint="default" w:ascii="Arial" w:hAnsi="Arial" w:cs="Arial"/>
                <w:color w:val="auto"/>
                <w:szCs w:val="21"/>
                <w:highlight w:val="none"/>
              </w:rPr>
              <w:t>广西政府采购云平台</w:t>
            </w:r>
            <w:r>
              <w:rPr>
                <w:rFonts w:hint="default" w:ascii="Arial" w:hAnsi="Arial" w:cs="Arial"/>
                <w:bCs/>
                <w:szCs w:val="21"/>
                <w:highlight w:val="none"/>
              </w:rPr>
              <w:t>进行招标文件的获取操作。</w:t>
            </w:r>
          </w:p>
          <w:p w14:paraId="1F969DAF">
            <w:pPr>
              <w:snapToGrid w:val="0"/>
              <w:spacing w:line="380" w:lineRule="exact"/>
              <w:rPr>
                <w:rFonts w:hint="default" w:ascii="Arial" w:hAnsi="Arial" w:cs="Arial"/>
                <w:bCs/>
                <w:szCs w:val="21"/>
                <w:highlight w:val="none"/>
              </w:rPr>
            </w:pPr>
            <w:r>
              <w:rPr>
                <w:rFonts w:hint="default" w:ascii="Arial" w:hAnsi="Arial" w:cs="Arial"/>
                <w:bCs/>
                <w:szCs w:val="21"/>
                <w:highlight w:val="none"/>
              </w:rPr>
              <w:t>18.</w:t>
            </w:r>
            <w:r>
              <w:rPr>
                <w:rFonts w:hint="default" w:ascii="Arial" w:hAnsi="Arial" w:cs="Arial"/>
                <w:kern w:val="0"/>
                <w:szCs w:val="21"/>
                <w:highlight w:val="none"/>
              </w:rPr>
              <w:t>1.</w:t>
            </w:r>
            <w:r>
              <w:rPr>
                <w:rFonts w:hint="default" w:ascii="Arial" w:hAnsi="Arial" w:cs="Arial"/>
                <w:bCs/>
                <w:szCs w:val="21"/>
                <w:highlight w:val="none"/>
              </w:rPr>
              <w:t>2投标人下载或获取招标文件后，登录“</w:t>
            </w:r>
            <w:r>
              <w:rPr>
                <w:rFonts w:hint="default" w:ascii="Arial" w:hAnsi="Arial" w:cs="Arial"/>
                <w:color w:val="auto"/>
                <w:szCs w:val="21"/>
                <w:highlight w:val="none"/>
              </w:rPr>
              <w:t>广西政府采购云平台</w:t>
            </w:r>
            <w:r>
              <w:rPr>
                <w:rFonts w:hint="default" w:ascii="Arial" w:hAnsi="Arial" w:cs="Arial"/>
                <w:bCs/>
                <w:szCs w:val="21"/>
                <w:highlight w:val="none"/>
              </w:rPr>
              <w:t>电子投标客户端”，按照本招标文件</w:t>
            </w:r>
            <w:r>
              <w:rPr>
                <w:rFonts w:hint="default" w:ascii="Arial" w:hAnsi="Arial" w:cs="Arial"/>
                <w:szCs w:val="21"/>
                <w:highlight w:val="none"/>
              </w:rPr>
              <w:t>规定的投标文件格式、顺序</w:t>
            </w:r>
            <w:r>
              <w:rPr>
                <w:rFonts w:hint="default" w:ascii="Arial" w:hAnsi="Arial" w:cs="Arial"/>
                <w:bCs/>
                <w:szCs w:val="21"/>
                <w:highlight w:val="none"/>
              </w:rPr>
              <w:t>以及</w:t>
            </w:r>
            <w:r>
              <w:rPr>
                <w:rFonts w:hint="default" w:ascii="Arial" w:hAnsi="Arial" w:cs="Arial"/>
                <w:color w:val="auto"/>
                <w:szCs w:val="21"/>
                <w:highlight w:val="none"/>
              </w:rPr>
              <w:t>广西政府采购云平台</w:t>
            </w:r>
            <w:r>
              <w:rPr>
                <w:rFonts w:hint="default" w:ascii="Arial" w:hAnsi="Arial" w:cs="Arial"/>
                <w:bCs/>
                <w:szCs w:val="21"/>
                <w:highlight w:val="none"/>
              </w:rPr>
              <w:t>的要求，通过“</w:t>
            </w:r>
            <w:r>
              <w:rPr>
                <w:rFonts w:hint="default" w:ascii="Arial" w:hAnsi="Arial" w:cs="Arial"/>
                <w:color w:val="auto"/>
                <w:szCs w:val="21"/>
                <w:highlight w:val="none"/>
              </w:rPr>
              <w:t>广西政府采购云平台</w:t>
            </w:r>
            <w:r>
              <w:rPr>
                <w:rFonts w:hint="default" w:ascii="Arial" w:hAnsi="Arial" w:cs="Arial"/>
                <w:bCs/>
                <w:szCs w:val="21"/>
                <w:highlight w:val="none"/>
              </w:rPr>
              <w:t>电子投标客户端”编制电子投标文件。</w:t>
            </w:r>
          </w:p>
          <w:p w14:paraId="60D60D4C">
            <w:pPr>
              <w:snapToGrid w:val="0"/>
              <w:spacing w:line="380" w:lineRule="exact"/>
              <w:rPr>
                <w:rFonts w:hint="default" w:ascii="Arial" w:hAnsi="Arial" w:cs="Arial"/>
                <w:szCs w:val="21"/>
                <w:highlight w:val="none"/>
              </w:rPr>
            </w:pPr>
            <w:r>
              <w:rPr>
                <w:rFonts w:hint="default" w:ascii="Arial" w:hAnsi="Arial" w:cs="Arial"/>
                <w:szCs w:val="21"/>
                <w:highlight w:val="none"/>
              </w:rPr>
              <w:t>18.</w:t>
            </w:r>
            <w:r>
              <w:rPr>
                <w:rFonts w:hint="default" w:ascii="Arial" w:hAnsi="Arial" w:cs="Arial"/>
                <w:kern w:val="0"/>
                <w:szCs w:val="21"/>
                <w:highlight w:val="none"/>
              </w:rPr>
              <w:t>1.</w:t>
            </w:r>
            <w:r>
              <w:rPr>
                <w:rFonts w:hint="default" w:ascii="Arial" w:hAnsi="Arial" w:cs="Arial"/>
                <w:szCs w:val="21"/>
                <w:highlight w:val="none"/>
              </w:rPr>
              <w:t>3投标人应按“</w:t>
            </w:r>
            <w:r>
              <w:rPr>
                <w:rFonts w:hint="default" w:ascii="Arial" w:hAnsi="Arial" w:cs="Arial"/>
                <w:color w:val="auto"/>
                <w:szCs w:val="21"/>
                <w:highlight w:val="none"/>
              </w:rPr>
              <w:t>广西政府采购云平台</w:t>
            </w:r>
            <w:r>
              <w:rPr>
                <w:rFonts w:hint="default" w:ascii="Arial" w:hAnsi="Arial" w:cs="Arial"/>
                <w:szCs w:val="21"/>
                <w:highlight w:val="none"/>
              </w:rPr>
              <w:t>电子投标客户端”载明的“标书关联”功能进行电子投标文件相应内容的关联定位，以便评标委员会在评审时点击相应评审项可直接定位到该评审内容；如投标人的电子投标文件未能关联定位相应内容，或者关联定位的内容与该评审项不符，导致评标委员会无法查询并做出对投标人不利的评审，相关后果由投标人自行承担。</w:t>
            </w:r>
          </w:p>
          <w:p w14:paraId="29CE72AB">
            <w:pPr>
              <w:snapToGrid w:val="0"/>
              <w:spacing w:line="380" w:lineRule="exact"/>
              <w:rPr>
                <w:rFonts w:hint="default" w:ascii="Arial" w:hAnsi="Arial" w:cs="Arial"/>
                <w:szCs w:val="21"/>
                <w:highlight w:val="none"/>
              </w:rPr>
            </w:pPr>
            <w:r>
              <w:rPr>
                <w:rFonts w:hint="default" w:ascii="Arial" w:hAnsi="Arial" w:cs="Arial"/>
                <w:szCs w:val="21"/>
                <w:highlight w:val="none"/>
              </w:rPr>
              <w:t>18.</w:t>
            </w:r>
            <w:r>
              <w:rPr>
                <w:rFonts w:hint="default" w:ascii="Arial" w:hAnsi="Arial" w:cs="Arial"/>
                <w:kern w:val="0"/>
                <w:szCs w:val="21"/>
                <w:highlight w:val="none"/>
              </w:rPr>
              <w:t>1.</w:t>
            </w:r>
            <w:r>
              <w:rPr>
                <w:rFonts w:hint="default" w:ascii="Arial" w:hAnsi="Arial" w:cs="Arial"/>
                <w:szCs w:val="21"/>
                <w:highlight w:val="none"/>
              </w:rPr>
              <w:t>4电子投标文件不得涂改，若有修改错漏处，须由法定代表人（负责人）或授权委托代理人通过“</w:t>
            </w:r>
            <w:r>
              <w:rPr>
                <w:rFonts w:hint="default" w:ascii="Arial" w:hAnsi="Arial" w:cs="Arial"/>
                <w:color w:val="auto"/>
                <w:szCs w:val="21"/>
                <w:highlight w:val="none"/>
              </w:rPr>
              <w:t>广西政府采购云平台</w:t>
            </w:r>
            <w:r>
              <w:rPr>
                <w:rFonts w:hint="default" w:ascii="Arial" w:hAnsi="Arial" w:cs="Arial"/>
                <w:szCs w:val="21"/>
                <w:highlight w:val="none"/>
              </w:rPr>
              <w:t>电子投标客户端”采用</w:t>
            </w:r>
            <w:r>
              <w:rPr>
                <w:rFonts w:hint="default" w:ascii="Arial" w:hAnsi="Arial" w:cs="Arial"/>
                <w:color w:val="auto"/>
                <w:szCs w:val="21"/>
                <w:highlight w:val="none"/>
              </w:rPr>
              <w:t>广西政府采购云平台</w:t>
            </w:r>
            <w:r>
              <w:rPr>
                <w:rFonts w:hint="default" w:ascii="Arial" w:hAnsi="Arial" w:cs="Arial"/>
                <w:szCs w:val="21"/>
                <w:highlight w:val="none"/>
              </w:rPr>
              <w:t>个人CA证书签章，没有办理</w:t>
            </w:r>
            <w:r>
              <w:rPr>
                <w:rFonts w:hint="default" w:ascii="Arial" w:hAnsi="Arial" w:cs="Arial"/>
                <w:color w:val="auto"/>
                <w:szCs w:val="21"/>
                <w:highlight w:val="none"/>
              </w:rPr>
              <w:t>广西政府采购云平台</w:t>
            </w:r>
            <w:r>
              <w:rPr>
                <w:rFonts w:hint="default" w:ascii="Arial" w:hAnsi="Arial" w:cs="Arial"/>
                <w:szCs w:val="21"/>
                <w:highlight w:val="none"/>
              </w:rPr>
              <w:t>个人CA证书签章的，在投标文件中响应位置手写签字后扫描或者拍照做成 PDF 的格式上传。因投标文件字迹潦草、表达不清、内容不完整、编排混乱导致投标文件被误读、漏读，或者在按招标文件规定的部位查找不到相关内容的，其不利后果由供应商自行承担。</w:t>
            </w:r>
          </w:p>
          <w:p w14:paraId="7088AD94">
            <w:pPr>
              <w:spacing w:line="300" w:lineRule="exact"/>
              <w:rPr>
                <w:rFonts w:hint="default" w:ascii="Arial" w:hAnsi="Arial" w:cs="Arial"/>
                <w:szCs w:val="21"/>
                <w:highlight w:val="none"/>
              </w:rPr>
            </w:pPr>
            <w:r>
              <w:rPr>
                <w:rFonts w:hint="default" w:ascii="Arial" w:hAnsi="Arial" w:cs="Arial"/>
                <w:szCs w:val="21"/>
                <w:highlight w:val="none"/>
              </w:rPr>
              <w:t>18.</w:t>
            </w:r>
            <w:r>
              <w:rPr>
                <w:rFonts w:hint="default" w:ascii="Arial" w:hAnsi="Arial" w:cs="Arial"/>
                <w:kern w:val="0"/>
                <w:szCs w:val="21"/>
                <w:highlight w:val="none"/>
              </w:rPr>
              <w:t>1.</w:t>
            </w:r>
            <w:r>
              <w:rPr>
                <w:rFonts w:hint="default" w:ascii="Arial" w:hAnsi="Arial" w:cs="Arial"/>
                <w:szCs w:val="21"/>
                <w:highlight w:val="none"/>
              </w:rPr>
              <w:t>5投标人编制、生成电子投标文件后应当</w:t>
            </w:r>
            <w:r>
              <w:rPr>
                <w:rFonts w:hint="default" w:ascii="Arial" w:hAnsi="Arial" w:cs="Arial"/>
                <w:bCs/>
                <w:szCs w:val="21"/>
                <w:highlight w:val="none"/>
              </w:rPr>
              <w:t>加密投标文件。</w:t>
            </w:r>
            <w:r>
              <w:rPr>
                <w:rFonts w:hint="default" w:ascii="Arial" w:hAnsi="Arial" w:cs="Arial"/>
                <w:szCs w:val="21"/>
                <w:highlight w:val="none"/>
              </w:rPr>
              <w:t>投标人</w:t>
            </w:r>
            <w:r>
              <w:rPr>
                <w:rFonts w:hint="default" w:ascii="Arial" w:hAnsi="Arial" w:cs="Arial"/>
                <w:bCs/>
                <w:szCs w:val="21"/>
                <w:highlight w:val="none"/>
              </w:rPr>
              <w:t>未按规定编制并加密的投标文件，</w:t>
            </w:r>
            <w:r>
              <w:rPr>
                <w:rFonts w:hint="default" w:ascii="Arial" w:hAnsi="Arial" w:cs="Arial"/>
                <w:color w:val="auto"/>
                <w:szCs w:val="21"/>
                <w:highlight w:val="none"/>
              </w:rPr>
              <w:t>广西政府采购云平台</w:t>
            </w:r>
            <w:r>
              <w:rPr>
                <w:rFonts w:hint="default" w:ascii="Arial" w:hAnsi="Arial" w:cs="Arial"/>
                <w:bCs/>
                <w:szCs w:val="21"/>
                <w:highlight w:val="none"/>
              </w:rPr>
              <w:t>将予以拒收。</w:t>
            </w:r>
          </w:p>
        </w:tc>
      </w:tr>
      <w:tr w14:paraId="5DA7C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825" w:type="dxa"/>
            <w:vAlign w:val="center"/>
          </w:tcPr>
          <w:p w14:paraId="0B25D687">
            <w:pPr>
              <w:spacing w:line="340" w:lineRule="exact"/>
              <w:jc w:val="center"/>
              <w:rPr>
                <w:rFonts w:hint="default" w:ascii="Arial" w:hAnsi="Arial" w:cs="Arial"/>
                <w:szCs w:val="21"/>
                <w:highlight w:val="none"/>
              </w:rPr>
            </w:pPr>
            <w:r>
              <w:rPr>
                <w:rFonts w:hint="default" w:ascii="Arial" w:hAnsi="Arial" w:cs="Arial"/>
                <w:szCs w:val="21"/>
                <w:highlight w:val="none"/>
              </w:rPr>
              <w:t>8</w:t>
            </w:r>
          </w:p>
        </w:tc>
        <w:tc>
          <w:tcPr>
            <w:tcW w:w="852" w:type="dxa"/>
            <w:vAlign w:val="center"/>
          </w:tcPr>
          <w:p w14:paraId="57EC7D7F">
            <w:pPr>
              <w:spacing w:line="400" w:lineRule="exact"/>
              <w:jc w:val="center"/>
              <w:rPr>
                <w:rFonts w:hint="default" w:ascii="Arial" w:hAnsi="Arial" w:cs="Arial"/>
                <w:szCs w:val="21"/>
                <w:highlight w:val="none"/>
              </w:rPr>
            </w:pPr>
            <w:r>
              <w:rPr>
                <w:rFonts w:hint="default" w:ascii="Arial" w:hAnsi="Arial" w:cs="Arial"/>
                <w:szCs w:val="21"/>
                <w:highlight w:val="none"/>
              </w:rPr>
              <w:t>18.2</w:t>
            </w:r>
          </w:p>
        </w:tc>
        <w:tc>
          <w:tcPr>
            <w:tcW w:w="2213" w:type="dxa"/>
            <w:vAlign w:val="center"/>
          </w:tcPr>
          <w:p w14:paraId="02126FD6">
            <w:pPr>
              <w:spacing w:line="400" w:lineRule="exact"/>
              <w:jc w:val="center"/>
              <w:rPr>
                <w:rFonts w:hint="default" w:ascii="Arial" w:hAnsi="Arial" w:cs="Arial"/>
                <w:szCs w:val="21"/>
                <w:highlight w:val="none"/>
              </w:rPr>
            </w:pPr>
            <w:r>
              <w:rPr>
                <w:rFonts w:hint="default" w:ascii="Arial" w:hAnsi="Arial" w:cs="Arial"/>
                <w:kern w:val="0"/>
                <w:szCs w:val="21"/>
                <w:highlight w:val="none"/>
              </w:rPr>
              <w:t>投标人公章及签字</w:t>
            </w:r>
          </w:p>
        </w:tc>
        <w:tc>
          <w:tcPr>
            <w:tcW w:w="6387" w:type="dxa"/>
            <w:vAlign w:val="center"/>
          </w:tcPr>
          <w:p w14:paraId="723C1000">
            <w:pPr>
              <w:snapToGrid w:val="0"/>
              <w:spacing w:line="380" w:lineRule="exact"/>
              <w:jc w:val="left"/>
              <w:rPr>
                <w:rFonts w:hint="default" w:ascii="Arial" w:hAnsi="Arial" w:cs="Arial"/>
                <w:highlight w:val="none"/>
              </w:rPr>
            </w:pPr>
            <w:r>
              <w:rPr>
                <w:rFonts w:hint="default" w:ascii="Arial" w:hAnsi="Arial" w:cs="Arial"/>
                <w:highlight w:val="none"/>
              </w:rPr>
              <w:t>18.2.1本招标文件中描述投标人的“公章”是指投标人通过指定电子化政府采购平台办理数字证书（CA认证证书）获得的以法定主体行为名称制作的电子印章。</w:t>
            </w:r>
          </w:p>
          <w:p w14:paraId="36EE0951">
            <w:pPr>
              <w:snapToGrid w:val="0"/>
              <w:spacing w:line="380" w:lineRule="exact"/>
              <w:jc w:val="left"/>
              <w:rPr>
                <w:rFonts w:hint="default" w:ascii="Arial" w:hAnsi="Arial" w:cs="Arial"/>
                <w:highlight w:val="none"/>
              </w:rPr>
            </w:pPr>
            <w:r>
              <w:rPr>
                <w:rFonts w:hint="default" w:ascii="Arial" w:hAnsi="Arial" w:cs="Arial"/>
                <w:highlight w:val="none"/>
              </w:rPr>
              <w:t>18.2.2本招标文件中要求投标人对其电子投标文件的相关内容加盖公章的，均指采用CA证书签章。</w:t>
            </w:r>
          </w:p>
          <w:p w14:paraId="39390B44">
            <w:pPr>
              <w:snapToGrid w:val="0"/>
              <w:spacing w:line="380" w:lineRule="exact"/>
              <w:rPr>
                <w:rFonts w:hint="default" w:ascii="Arial" w:hAnsi="Arial" w:cs="Arial"/>
                <w:kern w:val="0"/>
                <w:szCs w:val="21"/>
                <w:highlight w:val="none"/>
              </w:rPr>
            </w:pPr>
            <w:r>
              <w:rPr>
                <w:rFonts w:hint="default" w:ascii="Arial" w:hAnsi="Arial" w:cs="Arial"/>
                <w:highlight w:val="none"/>
              </w:rPr>
              <w:t>18.2.3本招标文件中描述投标人的“签字”是指投标人通过指定电子化政府采购平台办理数字证书（CA认证证书）获得的以投标人法定代表人（负责人）或者委托代理人姓名制作的个人电子印章或手写签字。没有办理个人CA证书的，可以为手写签字的形式。</w:t>
            </w:r>
          </w:p>
        </w:tc>
      </w:tr>
      <w:tr w14:paraId="4D150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825" w:type="dxa"/>
            <w:vAlign w:val="center"/>
          </w:tcPr>
          <w:p w14:paraId="4BE8DDBE">
            <w:pPr>
              <w:spacing w:line="340" w:lineRule="exact"/>
              <w:jc w:val="center"/>
              <w:rPr>
                <w:rFonts w:hint="default" w:ascii="Arial" w:hAnsi="Arial" w:cs="Arial"/>
                <w:szCs w:val="21"/>
                <w:highlight w:val="none"/>
              </w:rPr>
            </w:pPr>
            <w:r>
              <w:rPr>
                <w:rFonts w:hint="default" w:ascii="Arial" w:hAnsi="Arial" w:cs="Arial"/>
                <w:szCs w:val="21"/>
                <w:highlight w:val="none"/>
              </w:rPr>
              <w:t>9</w:t>
            </w:r>
          </w:p>
        </w:tc>
        <w:tc>
          <w:tcPr>
            <w:tcW w:w="852" w:type="dxa"/>
            <w:vAlign w:val="center"/>
          </w:tcPr>
          <w:p w14:paraId="1E1B8BF8">
            <w:pPr>
              <w:spacing w:line="340" w:lineRule="exact"/>
              <w:jc w:val="center"/>
              <w:rPr>
                <w:rFonts w:hint="default" w:ascii="Arial" w:hAnsi="Arial" w:cs="Arial"/>
                <w:szCs w:val="21"/>
                <w:highlight w:val="none"/>
              </w:rPr>
            </w:pPr>
            <w:r>
              <w:rPr>
                <w:rFonts w:hint="default" w:ascii="Arial" w:hAnsi="Arial" w:cs="Arial"/>
                <w:szCs w:val="21"/>
                <w:highlight w:val="none"/>
              </w:rPr>
              <w:t>19.1</w:t>
            </w:r>
          </w:p>
        </w:tc>
        <w:tc>
          <w:tcPr>
            <w:tcW w:w="2213" w:type="dxa"/>
            <w:vAlign w:val="center"/>
          </w:tcPr>
          <w:p w14:paraId="029AACBC">
            <w:pPr>
              <w:spacing w:line="320" w:lineRule="exact"/>
              <w:jc w:val="center"/>
              <w:rPr>
                <w:rFonts w:hint="default" w:ascii="Arial" w:hAnsi="Arial" w:cs="Arial"/>
                <w:szCs w:val="21"/>
                <w:highlight w:val="none"/>
              </w:rPr>
            </w:pPr>
            <w:r>
              <w:rPr>
                <w:rFonts w:hint="default" w:ascii="Arial" w:hAnsi="Arial" w:cs="Arial"/>
                <w:szCs w:val="21"/>
                <w:highlight w:val="none"/>
              </w:rPr>
              <w:t>投标文件的补充、修改和撤回</w:t>
            </w:r>
          </w:p>
        </w:tc>
        <w:tc>
          <w:tcPr>
            <w:tcW w:w="6387" w:type="dxa"/>
            <w:vAlign w:val="center"/>
          </w:tcPr>
          <w:p w14:paraId="29BE13D0">
            <w:pPr>
              <w:spacing w:line="300" w:lineRule="exact"/>
              <w:rPr>
                <w:rFonts w:hint="default" w:ascii="Arial" w:hAnsi="Arial" w:cs="Arial"/>
                <w:szCs w:val="21"/>
                <w:highlight w:val="none"/>
              </w:rPr>
            </w:pPr>
            <w:r>
              <w:rPr>
                <w:rFonts w:hint="default" w:ascii="Arial" w:hAnsi="Arial" w:cs="Arial"/>
                <w:szCs w:val="21"/>
                <w:highlight w:val="none"/>
              </w:rPr>
              <w:t>19.1 投标文件递交截止时间前可以撤回电子投标文件。补充或者修改电子投标文件的，应当先行撤回原文件，补充、修改后重新传输递交，投标文件递交截止时间前未完成传输的，视为撤回投标文件。</w:t>
            </w:r>
          </w:p>
        </w:tc>
      </w:tr>
      <w:tr w14:paraId="66C96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825" w:type="dxa"/>
            <w:vAlign w:val="center"/>
          </w:tcPr>
          <w:p w14:paraId="2E902EA0">
            <w:pPr>
              <w:spacing w:line="340" w:lineRule="exact"/>
              <w:jc w:val="center"/>
              <w:rPr>
                <w:rFonts w:hint="default" w:ascii="Arial" w:hAnsi="Arial" w:cs="Arial"/>
                <w:szCs w:val="21"/>
                <w:highlight w:val="none"/>
              </w:rPr>
            </w:pPr>
            <w:r>
              <w:rPr>
                <w:rFonts w:hint="default" w:ascii="Arial" w:hAnsi="Arial" w:cs="Arial"/>
                <w:szCs w:val="21"/>
                <w:highlight w:val="none"/>
              </w:rPr>
              <w:t>10</w:t>
            </w:r>
          </w:p>
        </w:tc>
        <w:tc>
          <w:tcPr>
            <w:tcW w:w="852" w:type="dxa"/>
            <w:vAlign w:val="center"/>
          </w:tcPr>
          <w:p w14:paraId="1B042F24">
            <w:pPr>
              <w:spacing w:line="340" w:lineRule="exact"/>
              <w:jc w:val="center"/>
              <w:rPr>
                <w:rFonts w:hint="default" w:ascii="Arial" w:hAnsi="Arial" w:cs="Arial"/>
                <w:szCs w:val="21"/>
                <w:highlight w:val="none"/>
              </w:rPr>
            </w:pPr>
            <w:r>
              <w:rPr>
                <w:rFonts w:hint="default" w:ascii="Arial" w:hAnsi="Arial" w:cs="Arial"/>
                <w:szCs w:val="21"/>
                <w:highlight w:val="none"/>
              </w:rPr>
              <w:t>20.1</w:t>
            </w:r>
          </w:p>
        </w:tc>
        <w:tc>
          <w:tcPr>
            <w:tcW w:w="2213" w:type="dxa"/>
            <w:vAlign w:val="center"/>
          </w:tcPr>
          <w:p w14:paraId="5B5AD722">
            <w:pPr>
              <w:spacing w:line="320" w:lineRule="exact"/>
              <w:jc w:val="center"/>
              <w:rPr>
                <w:rFonts w:hint="default" w:ascii="Arial" w:hAnsi="Arial" w:cs="Arial"/>
                <w:szCs w:val="21"/>
                <w:highlight w:val="none"/>
              </w:rPr>
            </w:pPr>
            <w:r>
              <w:rPr>
                <w:rFonts w:hint="default" w:ascii="Arial" w:hAnsi="Arial" w:cs="Arial"/>
                <w:szCs w:val="21"/>
                <w:highlight w:val="none"/>
              </w:rPr>
              <w:t>投标文件递交</w:t>
            </w:r>
          </w:p>
        </w:tc>
        <w:tc>
          <w:tcPr>
            <w:tcW w:w="6387" w:type="dxa"/>
            <w:vAlign w:val="center"/>
          </w:tcPr>
          <w:p w14:paraId="00F2A884">
            <w:pPr>
              <w:spacing w:line="300" w:lineRule="exact"/>
              <w:rPr>
                <w:rFonts w:hint="default" w:ascii="Arial" w:hAnsi="Arial" w:cs="Arial"/>
                <w:szCs w:val="21"/>
                <w:highlight w:val="none"/>
              </w:rPr>
            </w:pPr>
            <w:r>
              <w:rPr>
                <w:rFonts w:hint="default" w:ascii="Arial" w:hAnsi="Arial" w:cs="Arial"/>
                <w:szCs w:val="21"/>
                <w:highlight w:val="none"/>
              </w:rPr>
              <w:t>20.1投标文件递交截止时间：于</w:t>
            </w:r>
            <w:r>
              <w:rPr>
                <w:rFonts w:hint="default" w:ascii="Arial" w:hAnsi="Arial" w:cs="Arial"/>
                <w:szCs w:val="21"/>
                <w:highlight w:val="none"/>
                <w:u w:val="single"/>
                <w:lang w:eastAsia="zh-CN"/>
              </w:rPr>
              <w:t>2026年</w:t>
            </w:r>
            <w:r>
              <w:rPr>
                <w:rFonts w:hint="default" w:ascii="Arial" w:hAnsi="Arial" w:cs="Arial"/>
                <w:szCs w:val="21"/>
                <w:highlight w:val="none"/>
                <w:u w:val="single"/>
                <w:lang w:val="en-US" w:eastAsia="zh-CN"/>
              </w:rPr>
              <w:t>9</w:t>
            </w:r>
            <w:r>
              <w:rPr>
                <w:rFonts w:hint="default" w:ascii="Arial" w:hAnsi="Arial" w:cs="Arial"/>
                <w:szCs w:val="21"/>
                <w:highlight w:val="none"/>
                <w:u w:val="single"/>
                <w:lang w:eastAsia="zh-CN"/>
              </w:rPr>
              <w:t>月</w:t>
            </w:r>
            <w:r>
              <w:rPr>
                <w:rFonts w:hint="default" w:ascii="Arial" w:hAnsi="Arial" w:cs="Arial"/>
                <w:szCs w:val="21"/>
                <w:highlight w:val="none"/>
                <w:u w:val="single"/>
                <w:lang w:val="en-US" w:eastAsia="zh-CN"/>
              </w:rPr>
              <w:t>16</w:t>
            </w:r>
            <w:r>
              <w:rPr>
                <w:rFonts w:hint="default" w:ascii="Arial" w:hAnsi="Arial" w:cs="Arial"/>
                <w:szCs w:val="21"/>
                <w:highlight w:val="none"/>
                <w:u w:val="single"/>
                <w:lang w:eastAsia="zh-CN"/>
              </w:rPr>
              <w:t>日</w:t>
            </w:r>
            <w:r>
              <w:rPr>
                <w:rFonts w:hint="default" w:ascii="Arial" w:hAnsi="Arial" w:cs="Arial"/>
                <w:szCs w:val="21"/>
                <w:highlight w:val="none"/>
                <w:u w:val="single"/>
              </w:rPr>
              <w:t>上午9时30分</w:t>
            </w:r>
            <w:r>
              <w:rPr>
                <w:rFonts w:hint="default" w:ascii="Arial" w:hAnsi="Arial" w:cs="Arial"/>
                <w:szCs w:val="21"/>
                <w:highlight w:val="none"/>
              </w:rPr>
              <w:t>之前将电子投标文件上传到</w:t>
            </w:r>
            <w:r>
              <w:rPr>
                <w:rFonts w:hint="default" w:ascii="Arial" w:hAnsi="Arial" w:cs="Arial"/>
                <w:color w:val="auto"/>
                <w:szCs w:val="21"/>
                <w:highlight w:val="none"/>
              </w:rPr>
              <w:t>广西政府采购云平台</w:t>
            </w:r>
            <w:r>
              <w:rPr>
                <w:rFonts w:hint="default" w:ascii="Arial" w:hAnsi="Arial" w:cs="Arial"/>
                <w:szCs w:val="21"/>
                <w:highlight w:val="none"/>
              </w:rPr>
              <w:t>。应按照本项目招标文件和</w:t>
            </w:r>
            <w:r>
              <w:rPr>
                <w:rFonts w:hint="default" w:ascii="Arial" w:hAnsi="Arial" w:cs="Arial"/>
                <w:color w:val="auto"/>
                <w:szCs w:val="21"/>
                <w:highlight w:val="none"/>
              </w:rPr>
              <w:t>广西政府采购云平台</w:t>
            </w:r>
            <w:r>
              <w:rPr>
                <w:rFonts w:hint="default" w:ascii="Arial" w:hAnsi="Arial" w:cs="Arial"/>
                <w:szCs w:val="21"/>
                <w:highlight w:val="none"/>
              </w:rPr>
              <w:t>的要求编制、加密传输投标文件。供应商在使用系统进行投标的过程中遇到涉及平台使用的任何问题，可致电</w:t>
            </w:r>
            <w:r>
              <w:rPr>
                <w:rFonts w:hint="default" w:ascii="Arial" w:hAnsi="Arial" w:cs="Arial"/>
                <w:color w:val="auto"/>
                <w:szCs w:val="21"/>
                <w:highlight w:val="none"/>
              </w:rPr>
              <w:t>广西政府采购云平台</w:t>
            </w:r>
            <w:r>
              <w:rPr>
                <w:rFonts w:hint="default" w:ascii="Arial" w:hAnsi="Arial" w:cs="Arial"/>
                <w:szCs w:val="21"/>
                <w:highlight w:val="none"/>
              </w:rPr>
              <w:t>技术支持热线咨询，联系方式：95763。</w:t>
            </w:r>
          </w:p>
        </w:tc>
      </w:tr>
      <w:tr w14:paraId="53B0E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825" w:type="dxa"/>
            <w:vAlign w:val="center"/>
          </w:tcPr>
          <w:p w14:paraId="20BBDAC7">
            <w:pPr>
              <w:spacing w:line="340" w:lineRule="exact"/>
              <w:jc w:val="center"/>
              <w:rPr>
                <w:rFonts w:hint="default" w:ascii="Arial" w:hAnsi="Arial" w:cs="Arial"/>
                <w:szCs w:val="21"/>
                <w:highlight w:val="none"/>
              </w:rPr>
            </w:pPr>
            <w:r>
              <w:rPr>
                <w:rFonts w:hint="default" w:ascii="Arial" w:hAnsi="Arial" w:cs="Arial"/>
                <w:szCs w:val="21"/>
                <w:highlight w:val="none"/>
              </w:rPr>
              <w:t>11</w:t>
            </w:r>
          </w:p>
        </w:tc>
        <w:tc>
          <w:tcPr>
            <w:tcW w:w="852" w:type="dxa"/>
            <w:vAlign w:val="center"/>
          </w:tcPr>
          <w:p w14:paraId="00025CD3">
            <w:pPr>
              <w:spacing w:line="340" w:lineRule="exact"/>
              <w:jc w:val="center"/>
              <w:rPr>
                <w:rFonts w:hint="default" w:ascii="Arial" w:hAnsi="Arial" w:cs="Arial"/>
                <w:szCs w:val="21"/>
                <w:highlight w:val="none"/>
              </w:rPr>
            </w:pPr>
            <w:r>
              <w:rPr>
                <w:rFonts w:hint="default" w:ascii="Arial" w:hAnsi="Arial" w:cs="Arial"/>
                <w:szCs w:val="21"/>
                <w:highlight w:val="none"/>
              </w:rPr>
              <w:t>20.2</w:t>
            </w:r>
          </w:p>
        </w:tc>
        <w:tc>
          <w:tcPr>
            <w:tcW w:w="2213" w:type="dxa"/>
            <w:vAlign w:val="center"/>
          </w:tcPr>
          <w:p w14:paraId="5D8A15BC">
            <w:pPr>
              <w:spacing w:line="320" w:lineRule="exact"/>
              <w:jc w:val="center"/>
              <w:rPr>
                <w:rFonts w:hint="default" w:ascii="Arial" w:hAnsi="Arial" w:cs="Arial"/>
                <w:szCs w:val="21"/>
                <w:highlight w:val="none"/>
              </w:rPr>
            </w:pPr>
            <w:r>
              <w:rPr>
                <w:rFonts w:hint="default" w:ascii="Arial" w:hAnsi="Arial" w:cs="Arial"/>
                <w:szCs w:val="21"/>
                <w:highlight w:val="none"/>
              </w:rPr>
              <w:t>投标文件解密</w:t>
            </w:r>
          </w:p>
        </w:tc>
        <w:tc>
          <w:tcPr>
            <w:tcW w:w="6387" w:type="dxa"/>
            <w:vAlign w:val="center"/>
          </w:tcPr>
          <w:p w14:paraId="38BA66CE">
            <w:pPr>
              <w:spacing w:line="300" w:lineRule="exact"/>
              <w:rPr>
                <w:rFonts w:hint="default" w:ascii="Arial" w:hAnsi="Arial" w:cs="Arial"/>
                <w:szCs w:val="21"/>
                <w:highlight w:val="none"/>
              </w:rPr>
            </w:pPr>
            <w:r>
              <w:rPr>
                <w:rFonts w:hint="default" w:ascii="Arial" w:hAnsi="Arial" w:cs="Arial"/>
                <w:szCs w:val="21"/>
                <w:highlight w:val="none"/>
              </w:rPr>
              <w:t>20.2</w:t>
            </w:r>
            <w:r>
              <w:rPr>
                <w:rFonts w:hint="default" w:ascii="Arial" w:hAnsi="Arial" w:cs="Arial"/>
                <w:highlight w:val="none"/>
              </w:rPr>
              <w:t>投标文件解密时间：截标时间后</w:t>
            </w:r>
            <w:r>
              <w:rPr>
                <w:rFonts w:hint="default" w:ascii="Arial" w:hAnsi="Arial" w:cs="Arial"/>
                <w:highlight w:val="none"/>
                <w:u w:val="single"/>
              </w:rPr>
              <w:t>30</w:t>
            </w:r>
            <w:r>
              <w:rPr>
                <w:rFonts w:hint="default" w:ascii="Arial" w:hAnsi="Arial" w:cs="Arial"/>
                <w:highlight w:val="none"/>
              </w:rPr>
              <w:t>分钟内（</w:t>
            </w:r>
            <w:r>
              <w:rPr>
                <w:rFonts w:hint="default" w:ascii="Arial" w:hAnsi="Arial" w:cs="Arial"/>
                <w:highlight w:val="none"/>
                <w:u w:val="single"/>
                <w:lang w:eastAsia="zh-CN"/>
              </w:rPr>
              <w:t>2026年</w:t>
            </w:r>
            <w:r>
              <w:rPr>
                <w:rFonts w:hint="default" w:ascii="Arial" w:hAnsi="Arial" w:cs="Arial"/>
                <w:highlight w:val="none"/>
                <w:u w:val="single"/>
                <w:lang w:val="en-US" w:eastAsia="zh-CN"/>
              </w:rPr>
              <w:t>9</w:t>
            </w:r>
            <w:r>
              <w:rPr>
                <w:rFonts w:hint="default" w:ascii="Arial" w:hAnsi="Arial" w:cs="Arial"/>
                <w:highlight w:val="none"/>
                <w:u w:val="single"/>
                <w:lang w:eastAsia="zh-CN"/>
              </w:rPr>
              <w:t>月</w:t>
            </w:r>
            <w:r>
              <w:rPr>
                <w:rFonts w:hint="default" w:ascii="Arial" w:hAnsi="Arial" w:cs="Arial"/>
                <w:highlight w:val="none"/>
                <w:u w:val="single"/>
                <w:lang w:val="en-US" w:eastAsia="zh-CN"/>
              </w:rPr>
              <w:t>16</w:t>
            </w:r>
            <w:r>
              <w:rPr>
                <w:rFonts w:hint="default" w:ascii="Arial" w:hAnsi="Arial" w:cs="Arial"/>
                <w:highlight w:val="none"/>
                <w:u w:val="single"/>
                <w:lang w:eastAsia="zh-CN"/>
              </w:rPr>
              <w:t>日</w:t>
            </w:r>
            <w:r>
              <w:rPr>
                <w:rFonts w:hint="default" w:ascii="Arial" w:hAnsi="Arial" w:cs="Arial"/>
                <w:highlight w:val="none"/>
                <w:u w:val="single"/>
              </w:rPr>
              <w:t>上午9时30分至10时00分</w:t>
            </w:r>
            <w:r>
              <w:rPr>
                <w:rFonts w:hint="default" w:ascii="Arial" w:hAnsi="Arial" w:cs="Arial"/>
                <w:highlight w:val="none"/>
              </w:rPr>
              <w:t>)投标人可以登录</w:t>
            </w:r>
            <w:r>
              <w:rPr>
                <w:rFonts w:hint="default" w:ascii="Arial" w:hAnsi="Arial" w:cs="Arial"/>
                <w:color w:val="auto"/>
                <w:szCs w:val="21"/>
                <w:highlight w:val="none"/>
              </w:rPr>
              <w:t>广西政府采购云平台</w:t>
            </w:r>
            <w:r>
              <w:rPr>
                <w:rFonts w:hint="default" w:ascii="Arial" w:hAnsi="Arial" w:cs="Arial"/>
                <w:highlight w:val="none"/>
              </w:rPr>
              <w:t>，用“项目采购-开标评标”功能进行解密投标文件。若投标人在规定时间内无法解密或解密失败，可以以电子备份投标文件作为依据</w:t>
            </w:r>
            <w:r>
              <w:rPr>
                <w:rFonts w:hint="default" w:ascii="Arial" w:hAnsi="Arial" w:cs="Arial"/>
                <w:b/>
                <w:bCs/>
                <w:highlight w:val="none"/>
              </w:rPr>
              <w:t>【在接到无法解密或解密失败的通知后，投标人可根据自身实际情况按通知时要求的时间到桂林市公共资源交易中心开标室现场提交或以电子邮件的形式（以系统通知时所告知的电子邮箱地址为准）提交电子备份投标文件】</w:t>
            </w:r>
            <w:r>
              <w:rPr>
                <w:rFonts w:hint="default" w:ascii="Arial" w:hAnsi="Arial" w:cs="Arial"/>
                <w:highlight w:val="none"/>
              </w:rPr>
              <w:t>，若投标人在规定时间内无法解密或解密失败且未提供电子备份投标文件的(包含提供的电子备份文件无效或无法解密的情况)，视为投标无效。</w:t>
            </w:r>
          </w:p>
        </w:tc>
      </w:tr>
      <w:tr w14:paraId="183E6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825" w:type="dxa"/>
            <w:vAlign w:val="center"/>
          </w:tcPr>
          <w:p w14:paraId="54C50B33">
            <w:pPr>
              <w:spacing w:line="340" w:lineRule="exact"/>
              <w:jc w:val="center"/>
              <w:rPr>
                <w:rFonts w:hint="default" w:ascii="Arial" w:hAnsi="Arial" w:cs="Arial"/>
                <w:szCs w:val="21"/>
                <w:highlight w:val="none"/>
              </w:rPr>
            </w:pPr>
            <w:r>
              <w:rPr>
                <w:rFonts w:hint="default" w:ascii="Arial" w:hAnsi="Arial" w:cs="Arial"/>
                <w:szCs w:val="21"/>
                <w:highlight w:val="none"/>
              </w:rPr>
              <w:t>12</w:t>
            </w:r>
          </w:p>
        </w:tc>
        <w:tc>
          <w:tcPr>
            <w:tcW w:w="852" w:type="dxa"/>
            <w:vAlign w:val="center"/>
          </w:tcPr>
          <w:p w14:paraId="4A129CB2">
            <w:pPr>
              <w:spacing w:line="340" w:lineRule="exact"/>
              <w:jc w:val="center"/>
              <w:rPr>
                <w:rFonts w:hint="default" w:ascii="Arial" w:hAnsi="Arial" w:cs="Arial"/>
                <w:szCs w:val="21"/>
                <w:highlight w:val="none"/>
              </w:rPr>
            </w:pPr>
            <w:r>
              <w:rPr>
                <w:rFonts w:hint="default" w:ascii="Arial" w:hAnsi="Arial" w:cs="Arial"/>
                <w:szCs w:val="21"/>
                <w:highlight w:val="none"/>
              </w:rPr>
              <w:t>21.1</w:t>
            </w:r>
          </w:p>
        </w:tc>
        <w:tc>
          <w:tcPr>
            <w:tcW w:w="2213" w:type="dxa"/>
            <w:vAlign w:val="center"/>
          </w:tcPr>
          <w:p w14:paraId="7F5C62FA">
            <w:pPr>
              <w:spacing w:line="320" w:lineRule="exact"/>
              <w:jc w:val="center"/>
              <w:rPr>
                <w:rFonts w:hint="default" w:ascii="Arial" w:hAnsi="Arial" w:cs="Arial"/>
                <w:szCs w:val="21"/>
                <w:highlight w:val="none"/>
              </w:rPr>
            </w:pPr>
            <w:r>
              <w:rPr>
                <w:rFonts w:hint="default" w:ascii="Arial" w:hAnsi="Arial" w:cs="Arial"/>
                <w:szCs w:val="21"/>
                <w:highlight w:val="none"/>
              </w:rPr>
              <w:t>开标时间及地点</w:t>
            </w:r>
          </w:p>
        </w:tc>
        <w:tc>
          <w:tcPr>
            <w:tcW w:w="6387" w:type="dxa"/>
          </w:tcPr>
          <w:p w14:paraId="67531874">
            <w:pPr>
              <w:spacing w:line="300" w:lineRule="exact"/>
              <w:rPr>
                <w:rFonts w:hint="default" w:ascii="Arial" w:hAnsi="Arial" w:cs="Arial"/>
                <w:szCs w:val="21"/>
                <w:highlight w:val="none"/>
              </w:rPr>
            </w:pPr>
            <w:r>
              <w:rPr>
                <w:rFonts w:hint="default" w:ascii="Arial" w:hAnsi="Arial" w:cs="Arial"/>
                <w:szCs w:val="21"/>
                <w:highlight w:val="none"/>
              </w:rPr>
              <w:t>开标时间：</w:t>
            </w:r>
            <w:r>
              <w:rPr>
                <w:rFonts w:hint="default" w:ascii="Arial" w:hAnsi="Arial" w:cs="Arial"/>
                <w:szCs w:val="21"/>
                <w:highlight w:val="none"/>
                <w:lang w:eastAsia="zh-CN"/>
              </w:rPr>
              <w:t>2026年</w:t>
            </w:r>
            <w:r>
              <w:rPr>
                <w:rFonts w:hint="default" w:ascii="Arial" w:hAnsi="Arial" w:cs="Arial"/>
                <w:szCs w:val="21"/>
                <w:highlight w:val="none"/>
                <w:lang w:val="en-US" w:eastAsia="zh-CN"/>
              </w:rPr>
              <w:t>9</w:t>
            </w:r>
            <w:r>
              <w:rPr>
                <w:rFonts w:hint="default" w:ascii="Arial" w:hAnsi="Arial" w:cs="Arial"/>
                <w:szCs w:val="21"/>
                <w:highlight w:val="none"/>
                <w:lang w:eastAsia="zh-CN"/>
              </w:rPr>
              <w:t>月</w:t>
            </w:r>
            <w:r>
              <w:rPr>
                <w:rFonts w:hint="default" w:ascii="Arial" w:hAnsi="Arial" w:cs="Arial"/>
                <w:szCs w:val="21"/>
                <w:highlight w:val="none"/>
                <w:lang w:val="en-US" w:eastAsia="zh-CN"/>
              </w:rPr>
              <w:t>16</w:t>
            </w:r>
            <w:r>
              <w:rPr>
                <w:rFonts w:hint="default" w:ascii="Arial" w:hAnsi="Arial" w:cs="Arial"/>
                <w:szCs w:val="21"/>
                <w:highlight w:val="none"/>
                <w:lang w:eastAsia="zh-CN"/>
              </w:rPr>
              <w:t>日</w:t>
            </w:r>
            <w:r>
              <w:rPr>
                <w:rFonts w:hint="default" w:ascii="Arial" w:hAnsi="Arial" w:cs="Arial"/>
                <w:szCs w:val="21"/>
                <w:highlight w:val="none"/>
              </w:rPr>
              <w:t>9时30分（北京时间）截标后。地点：通过</w:t>
            </w:r>
            <w:r>
              <w:rPr>
                <w:rFonts w:hint="default" w:ascii="Arial" w:hAnsi="Arial" w:cs="Arial"/>
                <w:color w:val="auto"/>
                <w:szCs w:val="21"/>
                <w:highlight w:val="none"/>
              </w:rPr>
              <w:t>广西政府采购云平台</w:t>
            </w:r>
            <w:r>
              <w:rPr>
                <w:rFonts w:hint="default" w:ascii="Arial" w:hAnsi="Arial" w:cs="Arial"/>
                <w:szCs w:val="21"/>
                <w:highlight w:val="none"/>
              </w:rPr>
              <w:t>实行在线解密开启。提交电子备份投标文件方式：</w:t>
            </w:r>
            <w:r>
              <w:rPr>
                <w:rFonts w:hint="default" w:ascii="Arial" w:hAnsi="Arial" w:cs="Arial"/>
                <w:b/>
                <w:bCs/>
                <w:highlight w:val="none"/>
              </w:rPr>
              <w:t>在接到无法解密或解密失败的通知后，投标人可根据自身实际情况按通知时要求的时间到桂林市公共资源交易中心开标室现场提交或以电子邮件的形式（以通知时所告知的电子邮箱地址为准）提交电子备份投标文件</w:t>
            </w:r>
            <w:r>
              <w:rPr>
                <w:rFonts w:hint="default" w:ascii="Arial" w:hAnsi="Arial" w:cs="Arial"/>
                <w:szCs w:val="21"/>
                <w:highlight w:val="none"/>
              </w:rPr>
              <w:t>。</w:t>
            </w:r>
            <w:r>
              <w:rPr>
                <w:rFonts w:hint="default" w:ascii="Arial" w:hAnsi="Arial" w:cs="Arial"/>
                <w:highlight w:val="none"/>
              </w:rPr>
              <w:t>投标人可以由法定代表人、负责人、自然人或其委托代理人出席开标会议。</w:t>
            </w:r>
          </w:p>
        </w:tc>
      </w:tr>
      <w:tr w14:paraId="5D10D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825" w:type="dxa"/>
            <w:vAlign w:val="center"/>
          </w:tcPr>
          <w:p w14:paraId="54E77305">
            <w:pPr>
              <w:spacing w:line="340" w:lineRule="exact"/>
              <w:jc w:val="center"/>
              <w:rPr>
                <w:rFonts w:hint="default" w:ascii="Arial" w:hAnsi="Arial" w:cs="Arial"/>
                <w:color w:val="auto"/>
                <w:szCs w:val="21"/>
                <w:highlight w:val="none"/>
              </w:rPr>
            </w:pPr>
            <w:r>
              <w:rPr>
                <w:rFonts w:hint="default" w:ascii="Arial" w:hAnsi="Arial" w:cs="Arial"/>
                <w:color w:val="auto"/>
                <w:szCs w:val="21"/>
                <w:highlight w:val="none"/>
              </w:rPr>
              <w:t>13</w:t>
            </w:r>
          </w:p>
        </w:tc>
        <w:tc>
          <w:tcPr>
            <w:tcW w:w="852" w:type="dxa"/>
            <w:vAlign w:val="center"/>
          </w:tcPr>
          <w:p w14:paraId="11A8957E">
            <w:pPr>
              <w:spacing w:line="340" w:lineRule="exact"/>
              <w:jc w:val="center"/>
              <w:rPr>
                <w:rFonts w:hint="default" w:ascii="Arial" w:hAnsi="Arial" w:cs="Arial"/>
                <w:color w:val="auto"/>
                <w:szCs w:val="21"/>
                <w:highlight w:val="none"/>
              </w:rPr>
            </w:pPr>
            <w:r>
              <w:rPr>
                <w:rFonts w:hint="default" w:ascii="Arial" w:hAnsi="Arial" w:cs="Arial"/>
                <w:color w:val="auto"/>
                <w:szCs w:val="21"/>
                <w:highlight w:val="none"/>
              </w:rPr>
              <w:t>24</w:t>
            </w:r>
          </w:p>
        </w:tc>
        <w:tc>
          <w:tcPr>
            <w:tcW w:w="2213" w:type="dxa"/>
            <w:vAlign w:val="center"/>
          </w:tcPr>
          <w:p w14:paraId="0E6753C5">
            <w:pPr>
              <w:spacing w:line="320" w:lineRule="exact"/>
              <w:jc w:val="center"/>
              <w:rPr>
                <w:rFonts w:hint="default" w:ascii="Arial" w:hAnsi="Arial" w:cs="Arial"/>
                <w:color w:val="auto"/>
                <w:szCs w:val="21"/>
                <w:highlight w:val="none"/>
              </w:rPr>
            </w:pPr>
            <w:r>
              <w:rPr>
                <w:rFonts w:hint="default" w:ascii="Arial" w:hAnsi="Arial" w:cs="Arial"/>
                <w:color w:val="auto"/>
                <w:szCs w:val="21"/>
                <w:highlight w:val="none"/>
              </w:rPr>
              <w:t>评标委员会组成</w:t>
            </w:r>
          </w:p>
        </w:tc>
        <w:tc>
          <w:tcPr>
            <w:tcW w:w="6387" w:type="dxa"/>
            <w:vAlign w:val="center"/>
          </w:tcPr>
          <w:p w14:paraId="216AE611">
            <w:pPr>
              <w:spacing w:line="300" w:lineRule="exact"/>
              <w:rPr>
                <w:rFonts w:hint="default" w:ascii="Arial" w:hAnsi="Arial" w:cs="Arial"/>
                <w:color w:val="auto"/>
                <w:szCs w:val="21"/>
                <w:highlight w:val="none"/>
              </w:rPr>
            </w:pPr>
            <w:r>
              <w:rPr>
                <w:rFonts w:hint="default" w:ascii="Arial" w:hAnsi="Arial" w:cs="Arial"/>
                <w:color w:val="auto"/>
                <w:szCs w:val="21"/>
                <w:highlight w:val="none"/>
              </w:rPr>
              <w:t>评标委员会由采购人代表和有关技术、经济等方面的专家组成，成员人数共5人，其中采购人代表1人，技术、经济等专家 4人。</w:t>
            </w:r>
          </w:p>
        </w:tc>
      </w:tr>
      <w:tr w14:paraId="1AD43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825" w:type="dxa"/>
            <w:vAlign w:val="center"/>
          </w:tcPr>
          <w:p w14:paraId="6FCB17DE">
            <w:pPr>
              <w:spacing w:line="340" w:lineRule="exact"/>
              <w:jc w:val="center"/>
              <w:rPr>
                <w:rFonts w:hint="default" w:ascii="Arial" w:hAnsi="Arial" w:cs="Arial"/>
                <w:szCs w:val="21"/>
                <w:highlight w:val="none"/>
              </w:rPr>
            </w:pPr>
            <w:r>
              <w:rPr>
                <w:rFonts w:hint="default" w:ascii="Arial" w:hAnsi="Arial" w:cs="Arial"/>
                <w:szCs w:val="21"/>
                <w:highlight w:val="none"/>
              </w:rPr>
              <w:t>14</w:t>
            </w:r>
          </w:p>
        </w:tc>
        <w:tc>
          <w:tcPr>
            <w:tcW w:w="852" w:type="dxa"/>
            <w:vAlign w:val="center"/>
          </w:tcPr>
          <w:p w14:paraId="3437E5E4">
            <w:pPr>
              <w:spacing w:line="340" w:lineRule="exact"/>
              <w:jc w:val="center"/>
              <w:rPr>
                <w:rFonts w:hint="default" w:ascii="Arial" w:hAnsi="Arial" w:cs="Arial"/>
                <w:szCs w:val="21"/>
                <w:highlight w:val="none"/>
              </w:rPr>
            </w:pPr>
            <w:r>
              <w:rPr>
                <w:rFonts w:hint="default" w:ascii="Arial" w:hAnsi="Arial" w:cs="Arial"/>
                <w:szCs w:val="21"/>
                <w:highlight w:val="none"/>
              </w:rPr>
              <w:t>25.1</w:t>
            </w:r>
          </w:p>
        </w:tc>
        <w:tc>
          <w:tcPr>
            <w:tcW w:w="2213" w:type="dxa"/>
            <w:vAlign w:val="center"/>
          </w:tcPr>
          <w:p w14:paraId="1761355D">
            <w:pPr>
              <w:tabs>
                <w:tab w:val="left" w:pos="1140"/>
              </w:tabs>
              <w:spacing w:line="306" w:lineRule="exact"/>
              <w:jc w:val="center"/>
              <w:rPr>
                <w:rFonts w:hint="default" w:ascii="Arial" w:hAnsi="Arial" w:cs="Arial"/>
                <w:szCs w:val="21"/>
                <w:highlight w:val="none"/>
              </w:rPr>
            </w:pPr>
            <w:r>
              <w:rPr>
                <w:rFonts w:hint="default" w:ascii="Arial" w:hAnsi="Arial" w:cs="Arial"/>
                <w:szCs w:val="21"/>
                <w:highlight w:val="none"/>
              </w:rPr>
              <w:t>评标办法</w:t>
            </w:r>
          </w:p>
        </w:tc>
        <w:tc>
          <w:tcPr>
            <w:tcW w:w="6387" w:type="dxa"/>
            <w:vAlign w:val="center"/>
          </w:tcPr>
          <w:p w14:paraId="32ADE71B">
            <w:pPr>
              <w:pStyle w:val="246"/>
              <w:spacing w:line="300" w:lineRule="exact"/>
              <w:rPr>
                <w:rFonts w:hint="default" w:ascii="Arial" w:hAnsi="Arial" w:cs="Arial"/>
                <w:szCs w:val="21"/>
                <w:highlight w:val="none"/>
              </w:rPr>
            </w:pPr>
            <w:r>
              <w:rPr>
                <w:rFonts w:hint="default" w:ascii="Arial" w:hAnsi="Arial" w:cs="Arial"/>
                <w:szCs w:val="21"/>
                <w:highlight w:val="none"/>
              </w:rPr>
              <w:t>综合评分法，具体评标内容及标准详见第四章。</w:t>
            </w:r>
          </w:p>
        </w:tc>
      </w:tr>
      <w:tr w14:paraId="6A52F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825" w:type="dxa"/>
            <w:vAlign w:val="center"/>
          </w:tcPr>
          <w:p w14:paraId="322DFE6D">
            <w:pPr>
              <w:spacing w:line="340" w:lineRule="exact"/>
              <w:jc w:val="center"/>
              <w:rPr>
                <w:rFonts w:hint="default" w:ascii="Arial" w:hAnsi="Arial" w:cs="Arial"/>
                <w:szCs w:val="21"/>
                <w:highlight w:val="none"/>
              </w:rPr>
            </w:pPr>
            <w:r>
              <w:rPr>
                <w:rFonts w:hint="default" w:ascii="Arial" w:hAnsi="Arial" w:cs="Arial"/>
                <w:szCs w:val="21"/>
                <w:highlight w:val="none"/>
              </w:rPr>
              <w:t>15</w:t>
            </w:r>
          </w:p>
        </w:tc>
        <w:tc>
          <w:tcPr>
            <w:tcW w:w="852" w:type="dxa"/>
            <w:vAlign w:val="center"/>
          </w:tcPr>
          <w:p w14:paraId="6B8CE669">
            <w:pPr>
              <w:spacing w:line="340" w:lineRule="exact"/>
              <w:jc w:val="center"/>
              <w:rPr>
                <w:rFonts w:hint="default" w:ascii="Arial" w:hAnsi="Arial" w:cs="Arial"/>
                <w:szCs w:val="21"/>
                <w:highlight w:val="none"/>
              </w:rPr>
            </w:pPr>
            <w:r>
              <w:rPr>
                <w:rFonts w:hint="default" w:ascii="Arial" w:hAnsi="Arial" w:cs="Arial"/>
                <w:szCs w:val="21"/>
                <w:highlight w:val="none"/>
              </w:rPr>
              <w:t>32</w:t>
            </w:r>
          </w:p>
        </w:tc>
        <w:tc>
          <w:tcPr>
            <w:tcW w:w="2213" w:type="dxa"/>
            <w:vAlign w:val="center"/>
          </w:tcPr>
          <w:p w14:paraId="053AF53A">
            <w:pPr>
              <w:spacing w:line="320" w:lineRule="exact"/>
              <w:jc w:val="center"/>
              <w:rPr>
                <w:rFonts w:hint="default" w:ascii="Arial" w:hAnsi="Arial" w:cs="Arial"/>
                <w:szCs w:val="21"/>
                <w:highlight w:val="none"/>
              </w:rPr>
            </w:pPr>
            <w:r>
              <w:rPr>
                <w:rFonts w:hint="default" w:ascii="Arial" w:hAnsi="Arial" w:cs="Arial"/>
                <w:szCs w:val="21"/>
                <w:highlight w:val="none"/>
              </w:rPr>
              <w:t>信用查询</w:t>
            </w:r>
          </w:p>
        </w:tc>
        <w:tc>
          <w:tcPr>
            <w:tcW w:w="6387" w:type="dxa"/>
            <w:vAlign w:val="center"/>
          </w:tcPr>
          <w:p w14:paraId="5F9E88F5">
            <w:pPr>
              <w:autoSpaceDE w:val="0"/>
              <w:autoSpaceDN w:val="0"/>
              <w:snapToGrid w:val="0"/>
              <w:spacing w:line="340" w:lineRule="exact"/>
              <w:textAlignment w:val="bottom"/>
              <w:rPr>
                <w:rFonts w:hint="default" w:ascii="Arial" w:hAnsi="Arial" w:cs="Arial"/>
                <w:szCs w:val="21"/>
                <w:highlight w:val="none"/>
              </w:rPr>
            </w:pPr>
            <w:r>
              <w:rPr>
                <w:rFonts w:hint="default" w:ascii="Arial" w:hAnsi="Arial" w:cs="Arial"/>
                <w:szCs w:val="21"/>
                <w:highlight w:val="none"/>
              </w:rPr>
              <w:t>根据《关于做好政府采购有关信用主体标识码登记及在政府采购活动中查询使用信用记录有关问题的通知》（桂财采〔2016〕37号的通知），由采购代理机构对第一中标候选供应商进行信用查询：</w:t>
            </w:r>
          </w:p>
          <w:p w14:paraId="6E0E7507">
            <w:pPr>
              <w:autoSpaceDE w:val="0"/>
              <w:autoSpaceDN w:val="0"/>
              <w:snapToGrid w:val="0"/>
              <w:spacing w:line="340" w:lineRule="exact"/>
              <w:textAlignment w:val="bottom"/>
              <w:rPr>
                <w:rFonts w:hint="default" w:ascii="Arial" w:hAnsi="Arial" w:cs="Arial"/>
                <w:szCs w:val="21"/>
                <w:highlight w:val="none"/>
              </w:rPr>
            </w:pPr>
            <w:r>
              <w:rPr>
                <w:rFonts w:hint="default" w:ascii="Arial" w:hAnsi="Arial" w:cs="Arial"/>
                <w:szCs w:val="21"/>
                <w:highlight w:val="none"/>
              </w:rPr>
              <w:t>⑴查询渠道：“信用中国”网站(www.creditchina.gov.cn)、中国政府采购网(www.ccgp.gov.cn)等；</w:t>
            </w:r>
          </w:p>
          <w:p w14:paraId="04B74501">
            <w:pPr>
              <w:autoSpaceDE w:val="0"/>
              <w:autoSpaceDN w:val="0"/>
              <w:snapToGrid w:val="0"/>
              <w:spacing w:line="340" w:lineRule="exact"/>
              <w:textAlignment w:val="bottom"/>
              <w:rPr>
                <w:rFonts w:hint="default" w:ascii="Arial" w:hAnsi="Arial" w:cs="Arial"/>
                <w:szCs w:val="21"/>
                <w:highlight w:val="none"/>
              </w:rPr>
            </w:pPr>
            <w:r>
              <w:rPr>
                <w:rFonts w:hint="default" w:ascii="Arial" w:hAnsi="Arial" w:cs="Arial"/>
                <w:szCs w:val="21"/>
                <w:highlight w:val="none"/>
              </w:rPr>
              <w:t>⑵查询时间：中标通知书发出前；</w:t>
            </w:r>
          </w:p>
          <w:p w14:paraId="1E396E38">
            <w:pPr>
              <w:autoSpaceDE w:val="0"/>
              <w:autoSpaceDN w:val="0"/>
              <w:snapToGrid w:val="0"/>
              <w:spacing w:line="340" w:lineRule="exact"/>
              <w:textAlignment w:val="bottom"/>
              <w:rPr>
                <w:rFonts w:hint="default" w:ascii="Arial" w:hAnsi="Arial" w:cs="Arial"/>
                <w:szCs w:val="21"/>
                <w:highlight w:val="none"/>
              </w:rPr>
            </w:pPr>
            <w:r>
              <w:rPr>
                <w:rFonts w:hint="default" w:ascii="Arial" w:hAnsi="Arial" w:cs="Arial"/>
                <w:szCs w:val="21"/>
                <w:highlight w:val="none"/>
              </w:rPr>
              <w:t>⑶信用信息查询记录和证据留存方式：在查询网站中直接打印查询记录，打印材料作为采购活动资料保存；</w:t>
            </w:r>
          </w:p>
          <w:p w14:paraId="7FDD511C">
            <w:pPr>
              <w:spacing w:line="340" w:lineRule="exact"/>
              <w:rPr>
                <w:rFonts w:hint="default" w:ascii="Arial" w:hAnsi="Arial" w:cs="Arial"/>
                <w:szCs w:val="21"/>
                <w:highlight w:val="none"/>
              </w:rPr>
            </w:pPr>
            <w:r>
              <w:rPr>
                <w:rFonts w:hint="default" w:ascii="Arial" w:hAnsi="Arial" w:cs="Arial"/>
                <w:szCs w:val="21"/>
                <w:highlight w:val="none"/>
              </w:rPr>
              <w:t>⑷信用信息使用规则：对在“信用中国”网站(www.creditchina.gov.cn)、中国政府采购网(www.ccgp.gov.cn)等渠道列入失信被执行人、重大税收违法失信主体、政府采购严重违法失信行为记录名单及其他不符合《中华人民共和国政府采购法》第二十二条规定条件的供应商，取消其中标候选供应商资格。</w:t>
            </w:r>
          </w:p>
          <w:p w14:paraId="6085C849">
            <w:pPr>
              <w:spacing w:line="300" w:lineRule="exact"/>
              <w:rPr>
                <w:rFonts w:hint="default" w:ascii="Arial" w:hAnsi="Arial" w:cs="Arial"/>
                <w:szCs w:val="21"/>
                <w:highlight w:val="none"/>
              </w:rPr>
            </w:pPr>
            <w:r>
              <w:rPr>
                <w:rFonts w:hint="default" w:ascii="Arial" w:hAnsi="Arial" w:cs="Arial"/>
                <w:szCs w:val="21"/>
                <w:highlight w:val="none"/>
              </w:rPr>
              <w:t>两个以上的自然人、法人或者其他组织组成一个联合体，以一个供应商的身份共同参加政府采购活动的，对所有联合体成员进行信用记录查询，联合体成员存在不良信用记录的，视同联合体存在不良信用记录。</w:t>
            </w:r>
          </w:p>
        </w:tc>
      </w:tr>
      <w:tr w14:paraId="0A68A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825" w:type="dxa"/>
            <w:vAlign w:val="center"/>
          </w:tcPr>
          <w:p w14:paraId="7BF0AD8E">
            <w:pPr>
              <w:spacing w:line="340" w:lineRule="exact"/>
              <w:jc w:val="center"/>
              <w:rPr>
                <w:rFonts w:hint="default" w:ascii="Arial" w:hAnsi="Arial" w:cs="Arial"/>
                <w:szCs w:val="21"/>
                <w:highlight w:val="none"/>
              </w:rPr>
            </w:pPr>
            <w:r>
              <w:rPr>
                <w:rFonts w:hint="default" w:ascii="Arial" w:hAnsi="Arial" w:cs="Arial"/>
                <w:szCs w:val="21"/>
                <w:highlight w:val="none"/>
              </w:rPr>
              <w:t>16</w:t>
            </w:r>
          </w:p>
        </w:tc>
        <w:tc>
          <w:tcPr>
            <w:tcW w:w="852" w:type="dxa"/>
            <w:vAlign w:val="center"/>
          </w:tcPr>
          <w:p w14:paraId="0BCC3047">
            <w:pPr>
              <w:spacing w:line="340" w:lineRule="exact"/>
              <w:jc w:val="center"/>
              <w:rPr>
                <w:rFonts w:hint="default" w:ascii="Arial" w:hAnsi="Arial" w:cs="Arial"/>
                <w:szCs w:val="21"/>
                <w:highlight w:val="none"/>
              </w:rPr>
            </w:pPr>
            <w:r>
              <w:rPr>
                <w:rFonts w:hint="default" w:ascii="Arial" w:hAnsi="Arial" w:cs="Arial"/>
                <w:szCs w:val="21"/>
                <w:highlight w:val="none"/>
              </w:rPr>
              <w:t>33</w:t>
            </w:r>
          </w:p>
        </w:tc>
        <w:tc>
          <w:tcPr>
            <w:tcW w:w="2213" w:type="dxa"/>
            <w:vAlign w:val="center"/>
          </w:tcPr>
          <w:p w14:paraId="1D3E8DBB">
            <w:pPr>
              <w:spacing w:line="320" w:lineRule="exact"/>
              <w:jc w:val="center"/>
              <w:rPr>
                <w:rFonts w:hint="default" w:ascii="Arial" w:hAnsi="Arial" w:cs="Arial"/>
                <w:szCs w:val="21"/>
                <w:highlight w:val="none"/>
              </w:rPr>
            </w:pPr>
            <w:r>
              <w:rPr>
                <w:rFonts w:hint="default" w:ascii="Arial" w:hAnsi="Arial" w:cs="Arial"/>
                <w:szCs w:val="21"/>
                <w:highlight w:val="none"/>
              </w:rPr>
              <w:t>中标公告及中标通知书</w:t>
            </w:r>
          </w:p>
        </w:tc>
        <w:tc>
          <w:tcPr>
            <w:tcW w:w="6387" w:type="dxa"/>
            <w:vAlign w:val="center"/>
          </w:tcPr>
          <w:p w14:paraId="04D07AF8">
            <w:pPr>
              <w:tabs>
                <w:tab w:val="left" w:pos="455"/>
              </w:tabs>
              <w:spacing w:line="360" w:lineRule="exact"/>
              <w:rPr>
                <w:rFonts w:hint="default" w:ascii="Arial" w:hAnsi="Arial" w:cs="Arial"/>
                <w:szCs w:val="21"/>
                <w:highlight w:val="none"/>
              </w:rPr>
            </w:pPr>
            <w:r>
              <w:rPr>
                <w:rFonts w:hint="default" w:ascii="Arial" w:hAnsi="Arial" w:cs="Arial"/>
                <w:szCs w:val="21"/>
                <w:highlight w:val="none"/>
              </w:rPr>
              <w:t>33.1采购代理机构于评标结束后两个工作日内将评标报告送交采购人，采购人应当自收到评标报告五个工作日内在评标报告推荐的中标候选供应商中按顺序确定中标供应商；采购代理机构在中标供应商确定之日起两个工作日内在指定媒体上公告中标结果，中标公告期限为一个工作日。</w:t>
            </w:r>
          </w:p>
          <w:p w14:paraId="189FD0BB">
            <w:pPr>
              <w:widowControl/>
              <w:jc w:val="left"/>
              <w:rPr>
                <w:rFonts w:hint="default" w:ascii="Arial" w:hAnsi="Arial" w:cs="Arial"/>
                <w:szCs w:val="21"/>
                <w:highlight w:val="none"/>
              </w:rPr>
            </w:pPr>
            <w:r>
              <w:rPr>
                <w:rFonts w:hint="default" w:ascii="Arial" w:hAnsi="Arial" w:cs="Arial"/>
                <w:szCs w:val="21"/>
                <w:highlight w:val="none"/>
              </w:rPr>
              <w:t>33.2中标公告发布的同时，采购代理机构向中标供应商发出中标通知书，中标供应商应自接到通知之日起七个工作日内，办理中标通知书领取手续。</w:t>
            </w:r>
          </w:p>
        </w:tc>
      </w:tr>
      <w:tr w14:paraId="49832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825" w:type="dxa"/>
            <w:vAlign w:val="center"/>
          </w:tcPr>
          <w:p w14:paraId="310846AD">
            <w:pPr>
              <w:spacing w:line="340" w:lineRule="exact"/>
              <w:jc w:val="center"/>
              <w:rPr>
                <w:rFonts w:hint="default" w:ascii="Arial" w:hAnsi="Arial" w:cs="Arial"/>
                <w:szCs w:val="21"/>
                <w:highlight w:val="none"/>
              </w:rPr>
            </w:pPr>
            <w:r>
              <w:rPr>
                <w:rFonts w:hint="default" w:ascii="Arial" w:hAnsi="Arial" w:cs="Arial"/>
                <w:szCs w:val="21"/>
                <w:highlight w:val="none"/>
              </w:rPr>
              <w:t>17</w:t>
            </w:r>
          </w:p>
        </w:tc>
        <w:tc>
          <w:tcPr>
            <w:tcW w:w="852" w:type="dxa"/>
            <w:vAlign w:val="center"/>
          </w:tcPr>
          <w:p w14:paraId="746A5F58">
            <w:pPr>
              <w:spacing w:line="340" w:lineRule="exact"/>
              <w:jc w:val="center"/>
              <w:rPr>
                <w:rFonts w:hint="default" w:ascii="Arial" w:hAnsi="Arial" w:cs="Arial"/>
                <w:szCs w:val="21"/>
                <w:highlight w:val="none"/>
              </w:rPr>
            </w:pPr>
            <w:r>
              <w:rPr>
                <w:rFonts w:hint="default" w:ascii="Arial" w:hAnsi="Arial" w:cs="Arial"/>
                <w:szCs w:val="21"/>
                <w:highlight w:val="none"/>
              </w:rPr>
              <w:t>34</w:t>
            </w:r>
          </w:p>
        </w:tc>
        <w:tc>
          <w:tcPr>
            <w:tcW w:w="2213" w:type="dxa"/>
            <w:vAlign w:val="center"/>
          </w:tcPr>
          <w:p w14:paraId="767183B4">
            <w:pPr>
              <w:spacing w:line="320" w:lineRule="exact"/>
              <w:jc w:val="center"/>
              <w:rPr>
                <w:rFonts w:hint="default" w:ascii="Arial" w:hAnsi="Arial" w:cs="Arial"/>
                <w:szCs w:val="21"/>
                <w:highlight w:val="none"/>
              </w:rPr>
            </w:pPr>
            <w:r>
              <w:rPr>
                <w:rFonts w:hint="default" w:ascii="Arial" w:hAnsi="Arial" w:cs="Arial"/>
                <w:szCs w:val="21"/>
                <w:highlight w:val="none"/>
              </w:rPr>
              <w:t>履约保证金</w:t>
            </w:r>
          </w:p>
        </w:tc>
        <w:tc>
          <w:tcPr>
            <w:tcW w:w="6387" w:type="dxa"/>
            <w:vAlign w:val="center"/>
          </w:tcPr>
          <w:p w14:paraId="4083EB3F">
            <w:pPr>
              <w:spacing w:line="300" w:lineRule="exact"/>
              <w:rPr>
                <w:rFonts w:hint="default" w:ascii="Arial" w:hAnsi="Arial" w:cs="Arial"/>
                <w:szCs w:val="21"/>
                <w:highlight w:val="none"/>
              </w:rPr>
            </w:pPr>
            <w:r>
              <w:rPr>
                <w:rFonts w:hint="default" w:ascii="Arial" w:hAnsi="Arial" w:cs="Arial"/>
                <w:szCs w:val="21"/>
                <w:highlight w:val="none"/>
              </w:rPr>
              <w:t>履约保证金金额按政府采购合同金额的</w:t>
            </w:r>
            <w:r>
              <w:rPr>
                <w:rFonts w:hint="default" w:ascii="Arial" w:hAnsi="Arial" w:cs="Arial"/>
                <w:szCs w:val="21"/>
                <w:highlight w:val="none"/>
                <w:u w:val="single"/>
                <w:lang w:val="en-US" w:eastAsia="zh-CN"/>
              </w:rPr>
              <w:t xml:space="preserve"> / </w:t>
            </w:r>
            <w:r>
              <w:rPr>
                <w:rFonts w:hint="default" w:ascii="Arial" w:hAnsi="Arial" w:cs="Arial"/>
                <w:szCs w:val="21"/>
                <w:highlight w:val="none"/>
              </w:rPr>
              <w:t>%（人民币，四舍五入到元）提交</w:t>
            </w:r>
            <w:r>
              <w:rPr>
                <w:rFonts w:hint="default" w:ascii="Arial" w:hAnsi="Arial" w:cs="Arial"/>
                <w:b/>
                <w:bCs/>
                <w:szCs w:val="21"/>
                <w:highlight w:val="none"/>
              </w:rPr>
              <w:t>【如中标供应商为小微企业的，则免除收取履约保证金，若为中型企业的按政府采购合同金额的2 %】</w:t>
            </w:r>
            <w:r>
              <w:rPr>
                <w:rFonts w:hint="default" w:ascii="Arial" w:hAnsi="Arial" w:cs="Arial"/>
                <w:szCs w:val="21"/>
                <w:highlight w:val="none"/>
              </w:rPr>
              <w:t>。</w:t>
            </w:r>
          </w:p>
        </w:tc>
      </w:tr>
      <w:tr w14:paraId="359AE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825" w:type="dxa"/>
            <w:vAlign w:val="center"/>
          </w:tcPr>
          <w:p w14:paraId="4EFBED07">
            <w:pPr>
              <w:spacing w:line="340" w:lineRule="exact"/>
              <w:jc w:val="center"/>
              <w:rPr>
                <w:rFonts w:hint="default" w:ascii="Arial" w:hAnsi="Arial" w:cs="Arial"/>
                <w:szCs w:val="21"/>
                <w:highlight w:val="none"/>
              </w:rPr>
            </w:pPr>
            <w:r>
              <w:rPr>
                <w:rFonts w:hint="default" w:ascii="Arial" w:hAnsi="Arial" w:cs="Arial"/>
                <w:szCs w:val="21"/>
                <w:highlight w:val="none"/>
              </w:rPr>
              <w:t>18</w:t>
            </w:r>
          </w:p>
        </w:tc>
        <w:tc>
          <w:tcPr>
            <w:tcW w:w="852" w:type="dxa"/>
            <w:vAlign w:val="center"/>
          </w:tcPr>
          <w:p w14:paraId="59F400DA">
            <w:pPr>
              <w:spacing w:line="340" w:lineRule="exact"/>
              <w:jc w:val="center"/>
              <w:rPr>
                <w:rFonts w:hint="default" w:ascii="Arial" w:hAnsi="Arial" w:cs="Arial"/>
                <w:szCs w:val="21"/>
                <w:highlight w:val="none"/>
              </w:rPr>
            </w:pPr>
            <w:r>
              <w:rPr>
                <w:rFonts w:hint="default" w:ascii="Arial" w:hAnsi="Arial" w:cs="Arial"/>
                <w:szCs w:val="21"/>
                <w:highlight w:val="none"/>
              </w:rPr>
              <w:t>35.1</w:t>
            </w:r>
          </w:p>
        </w:tc>
        <w:tc>
          <w:tcPr>
            <w:tcW w:w="2213" w:type="dxa"/>
            <w:vAlign w:val="center"/>
          </w:tcPr>
          <w:p w14:paraId="5A1B0356">
            <w:pPr>
              <w:spacing w:line="320" w:lineRule="exact"/>
              <w:jc w:val="center"/>
              <w:rPr>
                <w:rFonts w:hint="default" w:ascii="Arial" w:hAnsi="Arial" w:cs="Arial"/>
                <w:szCs w:val="21"/>
                <w:highlight w:val="none"/>
              </w:rPr>
            </w:pPr>
            <w:r>
              <w:rPr>
                <w:rFonts w:hint="default" w:ascii="Arial" w:hAnsi="Arial" w:cs="Arial"/>
                <w:szCs w:val="21"/>
                <w:highlight w:val="none"/>
              </w:rPr>
              <w:t>签订合同时间</w:t>
            </w:r>
          </w:p>
        </w:tc>
        <w:tc>
          <w:tcPr>
            <w:tcW w:w="6387" w:type="dxa"/>
            <w:vAlign w:val="center"/>
          </w:tcPr>
          <w:p w14:paraId="6DECBDBC">
            <w:pPr>
              <w:spacing w:line="300" w:lineRule="exact"/>
              <w:rPr>
                <w:rFonts w:hint="default" w:ascii="Arial" w:hAnsi="Arial" w:cs="Arial"/>
                <w:szCs w:val="21"/>
                <w:highlight w:val="none"/>
              </w:rPr>
            </w:pPr>
            <w:r>
              <w:rPr>
                <w:rFonts w:hint="default" w:ascii="Arial" w:hAnsi="Arial" w:cs="Arial"/>
                <w:szCs w:val="21"/>
                <w:highlight w:val="none"/>
              </w:rPr>
              <w:t>中标通知书发出之日起八个工作日内。中标供应商领取中标通知书后，应按规定与采购人签订合同。</w:t>
            </w:r>
          </w:p>
        </w:tc>
      </w:tr>
      <w:tr w14:paraId="336BA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825" w:type="dxa"/>
            <w:vAlign w:val="center"/>
          </w:tcPr>
          <w:p w14:paraId="1F28D3A6">
            <w:pPr>
              <w:spacing w:line="340" w:lineRule="exact"/>
              <w:jc w:val="center"/>
              <w:rPr>
                <w:rFonts w:hint="default" w:ascii="Arial" w:hAnsi="Arial" w:cs="Arial"/>
                <w:szCs w:val="21"/>
                <w:highlight w:val="none"/>
              </w:rPr>
            </w:pPr>
            <w:r>
              <w:rPr>
                <w:rFonts w:hint="default" w:ascii="Arial" w:hAnsi="Arial" w:cs="Arial"/>
                <w:szCs w:val="21"/>
                <w:highlight w:val="none"/>
              </w:rPr>
              <w:t>19</w:t>
            </w:r>
          </w:p>
        </w:tc>
        <w:tc>
          <w:tcPr>
            <w:tcW w:w="852" w:type="dxa"/>
            <w:vAlign w:val="center"/>
          </w:tcPr>
          <w:p w14:paraId="161F464C">
            <w:pPr>
              <w:spacing w:line="340" w:lineRule="exact"/>
              <w:jc w:val="center"/>
              <w:rPr>
                <w:rFonts w:hint="default" w:ascii="Arial" w:hAnsi="Arial" w:cs="Arial"/>
                <w:szCs w:val="21"/>
                <w:highlight w:val="none"/>
              </w:rPr>
            </w:pPr>
            <w:r>
              <w:rPr>
                <w:rFonts w:hint="default" w:ascii="Arial" w:hAnsi="Arial" w:cs="Arial"/>
                <w:szCs w:val="21"/>
                <w:highlight w:val="none"/>
              </w:rPr>
              <w:t>35.3</w:t>
            </w:r>
          </w:p>
        </w:tc>
        <w:tc>
          <w:tcPr>
            <w:tcW w:w="2213" w:type="dxa"/>
            <w:vAlign w:val="center"/>
          </w:tcPr>
          <w:p w14:paraId="5120B84F">
            <w:pPr>
              <w:spacing w:line="320" w:lineRule="exact"/>
              <w:jc w:val="center"/>
              <w:rPr>
                <w:rFonts w:hint="default" w:ascii="Arial" w:hAnsi="Arial" w:cs="Arial"/>
                <w:szCs w:val="21"/>
                <w:highlight w:val="none"/>
              </w:rPr>
            </w:pPr>
            <w:r>
              <w:rPr>
                <w:rFonts w:hint="default" w:ascii="Arial" w:hAnsi="Arial" w:cs="Arial"/>
                <w:szCs w:val="21"/>
                <w:highlight w:val="none"/>
              </w:rPr>
              <w:t>合同备案存档</w:t>
            </w:r>
          </w:p>
        </w:tc>
        <w:tc>
          <w:tcPr>
            <w:tcW w:w="6387" w:type="dxa"/>
            <w:vAlign w:val="center"/>
          </w:tcPr>
          <w:p w14:paraId="3AB34862">
            <w:pPr>
              <w:spacing w:line="300" w:lineRule="exact"/>
              <w:rPr>
                <w:rFonts w:hint="default" w:ascii="Arial" w:hAnsi="Arial" w:cs="Arial"/>
                <w:highlight w:val="none"/>
              </w:rPr>
            </w:pPr>
            <w:r>
              <w:rPr>
                <w:rFonts w:hint="default" w:ascii="Arial" w:hAnsi="Arial" w:cs="Arial"/>
                <w:szCs w:val="21"/>
                <w:highlight w:val="none"/>
              </w:rPr>
              <w:t>政府采购合同双方自签订之日起1个工作日内将合同原件两份交采购代理机构。采购代理机构将政府采购合同在省级以上人民政府财政部门指定媒体上公告。</w:t>
            </w:r>
          </w:p>
        </w:tc>
      </w:tr>
      <w:tr w14:paraId="1A09D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825" w:type="dxa"/>
            <w:vAlign w:val="center"/>
          </w:tcPr>
          <w:p w14:paraId="01A7CDF2">
            <w:pPr>
              <w:spacing w:line="340" w:lineRule="exact"/>
              <w:jc w:val="center"/>
              <w:rPr>
                <w:rFonts w:hint="default" w:ascii="Arial" w:hAnsi="Arial" w:cs="Arial"/>
                <w:szCs w:val="21"/>
                <w:highlight w:val="none"/>
              </w:rPr>
            </w:pPr>
            <w:bookmarkStart w:id="12" w:name="_Hlk87451375"/>
            <w:r>
              <w:rPr>
                <w:rFonts w:hint="default" w:ascii="Arial" w:hAnsi="Arial" w:cs="Arial"/>
                <w:szCs w:val="21"/>
                <w:highlight w:val="none"/>
              </w:rPr>
              <w:t>20</w:t>
            </w:r>
          </w:p>
        </w:tc>
        <w:tc>
          <w:tcPr>
            <w:tcW w:w="852" w:type="dxa"/>
            <w:vAlign w:val="center"/>
          </w:tcPr>
          <w:p w14:paraId="23A99136">
            <w:pPr>
              <w:spacing w:line="340" w:lineRule="exact"/>
              <w:jc w:val="center"/>
              <w:rPr>
                <w:rFonts w:hint="default" w:ascii="Arial" w:hAnsi="Arial" w:cs="Arial"/>
                <w:szCs w:val="21"/>
                <w:highlight w:val="none"/>
              </w:rPr>
            </w:pPr>
            <w:r>
              <w:rPr>
                <w:rFonts w:hint="default" w:ascii="Arial" w:hAnsi="Arial" w:cs="Arial"/>
                <w:szCs w:val="21"/>
                <w:highlight w:val="none"/>
              </w:rPr>
              <w:t>36.1</w:t>
            </w:r>
          </w:p>
        </w:tc>
        <w:tc>
          <w:tcPr>
            <w:tcW w:w="2213" w:type="dxa"/>
            <w:vAlign w:val="center"/>
          </w:tcPr>
          <w:p w14:paraId="035FFFB7">
            <w:pPr>
              <w:spacing w:line="320" w:lineRule="exact"/>
              <w:jc w:val="center"/>
              <w:rPr>
                <w:rFonts w:hint="default" w:ascii="Arial" w:hAnsi="Arial" w:cs="Arial"/>
                <w:szCs w:val="21"/>
                <w:highlight w:val="none"/>
              </w:rPr>
            </w:pPr>
            <w:r>
              <w:rPr>
                <w:rFonts w:hint="default" w:ascii="Arial" w:hAnsi="Arial" w:cs="Arial"/>
                <w:szCs w:val="21"/>
                <w:highlight w:val="none"/>
              </w:rPr>
              <w:t>招标代理服务费</w:t>
            </w:r>
          </w:p>
        </w:tc>
        <w:tc>
          <w:tcPr>
            <w:tcW w:w="6387" w:type="dxa"/>
            <w:vAlign w:val="center"/>
          </w:tcPr>
          <w:p w14:paraId="26BA5799">
            <w:pPr>
              <w:spacing w:line="300" w:lineRule="exact"/>
              <w:rPr>
                <w:rFonts w:hint="default" w:ascii="Arial" w:hAnsi="Arial" w:eastAsia="宋体" w:cs="Arial"/>
                <w:szCs w:val="21"/>
                <w:highlight w:val="none"/>
                <w:lang w:eastAsia="zh-CN"/>
              </w:rPr>
            </w:pPr>
            <w:r>
              <w:rPr>
                <w:rFonts w:hint="default" w:ascii="Arial" w:hAnsi="Arial" w:cs="Arial"/>
                <w:szCs w:val="21"/>
                <w:highlight w:val="none"/>
                <w:lang w:eastAsia="zh-CN"/>
              </w:rPr>
              <w:t>本项目的采购代理服务收费标准按计价格[2002]1980号《招标代理服务收费管理暂行办法》货物类收费标准</w:t>
            </w:r>
            <w:r>
              <w:rPr>
                <w:rFonts w:hint="default" w:ascii="Arial" w:hAnsi="Arial" w:cs="Arial"/>
                <w:szCs w:val="21"/>
                <w:highlight w:val="none"/>
                <w:lang w:val="en-US" w:eastAsia="zh-CN"/>
              </w:rPr>
              <w:t>各分标</w:t>
            </w:r>
            <w:r>
              <w:rPr>
                <w:rFonts w:hint="default" w:ascii="Arial" w:hAnsi="Arial" w:cs="Arial"/>
                <w:szCs w:val="21"/>
                <w:highlight w:val="none"/>
                <w:lang w:eastAsia="zh-CN"/>
              </w:rPr>
              <w:t>中标供应商收取，由中标人在领取中标通知书前，向采购代理机构一次性支付。（</w:t>
            </w:r>
            <w:r>
              <w:rPr>
                <w:rFonts w:hint="default" w:ascii="Arial" w:hAnsi="Arial" w:cs="Arial"/>
                <w:szCs w:val="21"/>
                <w:highlight w:val="none"/>
                <w:lang w:val="en-US" w:eastAsia="zh-CN"/>
              </w:rPr>
              <w:t>各分标</w:t>
            </w:r>
            <w:r>
              <w:rPr>
                <w:rFonts w:hint="default" w:ascii="Arial" w:hAnsi="Arial" w:cs="Arial"/>
                <w:szCs w:val="21"/>
                <w:highlight w:val="none"/>
                <w:lang w:eastAsia="zh-CN"/>
              </w:rPr>
              <w:t>服务费不足6000 元的按 6000 元收取）</w:t>
            </w:r>
          </w:p>
        </w:tc>
      </w:tr>
      <w:bookmarkEnd w:id="12"/>
      <w:tr w14:paraId="066D8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jc w:val="center"/>
        </w:trPr>
        <w:tc>
          <w:tcPr>
            <w:tcW w:w="825" w:type="dxa"/>
            <w:vAlign w:val="center"/>
          </w:tcPr>
          <w:p w14:paraId="462E0784">
            <w:pPr>
              <w:spacing w:line="340" w:lineRule="exact"/>
              <w:jc w:val="center"/>
              <w:rPr>
                <w:rFonts w:hint="default" w:ascii="Arial" w:hAnsi="Arial" w:cs="Arial"/>
                <w:szCs w:val="21"/>
                <w:highlight w:val="none"/>
              </w:rPr>
            </w:pPr>
            <w:r>
              <w:rPr>
                <w:rFonts w:hint="default" w:ascii="Arial" w:hAnsi="Arial" w:cs="Arial"/>
                <w:szCs w:val="21"/>
                <w:highlight w:val="none"/>
              </w:rPr>
              <w:t>21</w:t>
            </w:r>
          </w:p>
        </w:tc>
        <w:tc>
          <w:tcPr>
            <w:tcW w:w="852" w:type="dxa"/>
            <w:vAlign w:val="center"/>
          </w:tcPr>
          <w:p w14:paraId="048B3A2C">
            <w:pPr>
              <w:spacing w:line="340" w:lineRule="exact"/>
              <w:jc w:val="center"/>
              <w:rPr>
                <w:rFonts w:hint="default" w:ascii="Arial" w:hAnsi="Arial" w:cs="Arial"/>
                <w:szCs w:val="21"/>
                <w:highlight w:val="none"/>
              </w:rPr>
            </w:pPr>
            <w:r>
              <w:rPr>
                <w:rFonts w:hint="default" w:ascii="Arial" w:hAnsi="Arial" w:cs="Arial"/>
                <w:szCs w:val="21"/>
                <w:highlight w:val="none"/>
              </w:rPr>
              <w:t>38</w:t>
            </w:r>
          </w:p>
        </w:tc>
        <w:tc>
          <w:tcPr>
            <w:tcW w:w="2213" w:type="dxa"/>
            <w:vAlign w:val="center"/>
          </w:tcPr>
          <w:p w14:paraId="68C20CF7">
            <w:pPr>
              <w:spacing w:line="320" w:lineRule="exact"/>
              <w:jc w:val="center"/>
              <w:rPr>
                <w:rFonts w:hint="default" w:ascii="Arial" w:hAnsi="Arial" w:cs="Arial"/>
                <w:szCs w:val="21"/>
                <w:highlight w:val="none"/>
              </w:rPr>
            </w:pPr>
            <w:r>
              <w:rPr>
                <w:rFonts w:hint="default" w:ascii="Arial" w:hAnsi="Arial" w:cs="Arial"/>
                <w:szCs w:val="21"/>
                <w:highlight w:val="none"/>
              </w:rPr>
              <w:t>解释权</w:t>
            </w:r>
          </w:p>
        </w:tc>
        <w:tc>
          <w:tcPr>
            <w:tcW w:w="6387" w:type="dxa"/>
            <w:vAlign w:val="center"/>
          </w:tcPr>
          <w:p w14:paraId="268A3856">
            <w:pPr>
              <w:spacing w:line="300" w:lineRule="exact"/>
              <w:rPr>
                <w:rFonts w:hint="default" w:ascii="Arial" w:hAnsi="Arial" w:cs="Arial"/>
                <w:szCs w:val="21"/>
                <w:highlight w:val="none"/>
              </w:rPr>
            </w:pPr>
            <w:r>
              <w:rPr>
                <w:rFonts w:hint="default" w:ascii="Arial" w:hAnsi="Arial" w:cs="Arial"/>
                <w:highlight w:val="none"/>
              </w:rPr>
              <w:t>本招标文件是根据《中华人民共和国政府采购法》、《中华人民共和国政府采购法实施条例》及</w:t>
            </w:r>
            <w:r>
              <w:rPr>
                <w:rFonts w:hint="default" w:ascii="Arial" w:hAnsi="Arial" w:cs="Arial"/>
                <w:bCs/>
                <w:highlight w:val="none"/>
              </w:rPr>
              <w:t>财政部令第87号</w:t>
            </w:r>
            <w:r>
              <w:rPr>
                <w:rFonts w:hint="default" w:ascii="Arial" w:hAnsi="Arial" w:cs="Arial"/>
                <w:highlight w:val="none"/>
              </w:rPr>
              <w:t>《政府采购货物和服务招标投标管理办法》和政府采购管理有关规定编制，</w:t>
            </w:r>
            <w:r>
              <w:rPr>
                <w:rFonts w:hint="default" w:ascii="Arial" w:hAnsi="Arial" w:cs="Arial"/>
                <w:szCs w:val="21"/>
                <w:highlight w:val="none"/>
              </w:rPr>
              <w:t>本招标文件的解释权属于采购代理机构。</w:t>
            </w:r>
          </w:p>
        </w:tc>
      </w:tr>
      <w:tr w14:paraId="4AB69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825" w:type="dxa"/>
            <w:vAlign w:val="center"/>
          </w:tcPr>
          <w:p w14:paraId="44EF113F">
            <w:pPr>
              <w:spacing w:line="340" w:lineRule="exact"/>
              <w:jc w:val="center"/>
              <w:rPr>
                <w:rFonts w:hint="default" w:ascii="Arial" w:hAnsi="Arial" w:cs="Arial"/>
                <w:szCs w:val="21"/>
                <w:highlight w:val="none"/>
              </w:rPr>
            </w:pPr>
            <w:r>
              <w:rPr>
                <w:rFonts w:hint="default" w:ascii="Arial" w:hAnsi="Arial" w:cs="Arial"/>
                <w:szCs w:val="21"/>
                <w:highlight w:val="none"/>
              </w:rPr>
              <w:t>22</w:t>
            </w:r>
          </w:p>
        </w:tc>
        <w:tc>
          <w:tcPr>
            <w:tcW w:w="852" w:type="dxa"/>
            <w:vAlign w:val="center"/>
          </w:tcPr>
          <w:p w14:paraId="79FDBF78">
            <w:pPr>
              <w:spacing w:line="340" w:lineRule="exact"/>
              <w:jc w:val="center"/>
              <w:rPr>
                <w:rFonts w:hint="default" w:ascii="Arial" w:hAnsi="Arial" w:cs="Arial"/>
                <w:szCs w:val="21"/>
                <w:highlight w:val="none"/>
              </w:rPr>
            </w:pPr>
            <w:r>
              <w:rPr>
                <w:rFonts w:hint="default" w:ascii="Arial" w:hAnsi="Arial" w:cs="Arial"/>
                <w:szCs w:val="21"/>
                <w:highlight w:val="none"/>
              </w:rPr>
              <w:t>39</w:t>
            </w:r>
          </w:p>
        </w:tc>
        <w:tc>
          <w:tcPr>
            <w:tcW w:w="2213" w:type="dxa"/>
            <w:vAlign w:val="center"/>
          </w:tcPr>
          <w:p w14:paraId="2D30187A">
            <w:pPr>
              <w:spacing w:line="320" w:lineRule="exact"/>
              <w:jc w:val="center"/>
              <w:rPr>
                <w:rFonts w:hint="default" w:ascii="Arial" w:hAnsi="Arial" w:cs="Arial"/>
                <w:position w:val="10"/>
                <w:szCs w:val="21"/>
                <w:highlight w:val="none"/>
              </w:rPr>
            </w:pPr>
            <w:r>
              <w:rPr>
                <w:rFonts w:hint="default" w:ascii="Arial" w:hAnsi="Arial" w:cs="Arial"/>
                <w:szCs w:val="21"/>
                <w:highlight w:val="none"/>
              </w:rPr>
              <w:t>监督管理机构</w:t>
            </w:r>
          </w:p>
        </w:tc>
        <w:tc>
          <w:tcPr>
            <w:tcW w:w="6387" w:type="dxa"/>
            <w:vAlign w:val="center"/>
          </w:tcPr>
          <w:p w14:paraId="2EC9ACBB">
            <w:pPr>
              <w:spacing w:line="300" w:lineRule="exact"/>
              <w:rPr>
                <w:rFonts w:hint="default" w:ascii="Arial" w:hAnsi="Arial" w:cs="Arial"/>
                <w:szCs w:val="21"/>
                <w:highlight w:val="none"/>
              </w:rPr>
            </w:pPr>
            <w:r>
              <w:rPr>
                <w:rFonts w:hint="eastAsia" w:ascii="Arial" w:hAnsi="Arial" w:cs="Arial"/>
                <w:szCs w:val="21"/>
                <w:highlight w:val="none"/>
                <w:lang w:eastAsia="zh-CN"/>
              </w:rPr>
              <w:t>桂林市政府采购监督管理科</w:t>
            </w:r>
            <w:r>
              <w:rPr>
                <w:rFonts w:hint="default" w:ascii="Arial" w:hAnsi="Arial" w:cs="Arial"/>
                <w:szCs w:val="21"/>
                <w:highlight w:val="none"/>
              </w:rPr>
              <w:t xml:space="preserve">    电话：</w:t>
            </w:r>
            <w:r>
              <w:rPr>
                <w:rFonts w:ascii="Arial" w:hAnsi="Arial" w:cs="Arial"/>
                <w:szCs w:val="21"/>
                <w:highlight w:val="none"/>
              </w:rPr>
              <w:t>0773-2862142</w:t>
            </w:r>
          </w:p>
        </w:tc>
      </w:tr>
    </w:tbl>
    <w:p w14:paraId="45B82A94">
      <w:pPr>
        <w:spacing w:line="370" w:lineRule="exact"/>
        <w:ind w:firstLine="548" w:firstLineChars="196"/>
        <w:jc w:val="center"/>
        <w:rPr>
          <w:rFonts w:hint="default" w:ascii="Arial" w:hAnsi="Arial" w:cs="Arial"/>
          <w:b/>
          <w:sz w:val="28"/>
          <w:szCs w:val="28"/>
          <w:highlight w:val="none"/>
        </w:rPr>
      </w:pPr>
      <w:r>
        <w:rPr>
          <w:rFonts w:hint="default" w:ascii="Arial" w:hAnsi="Arial" w:cs="Arial"/>
          <w:b/>
          <w:sz w:val="28"/>
          <w:szCs w:val="28"/>
          <w:highlight w:val="none"/>
        </w:rPr>
        <w:br w:type="page"/>
      </w:r>
      <w:r>
        <w:rPr>
          <w:rFonts w:hint="default" w:ascii="Arial" w:hAnsi="Arial" w:cs="Arial"/>
          <w:b/>
          <w:sz w:val="28"/>
          <w:szCs w:val="28"/>
          <w:highlight w:val="none"/>
        </w:rPr>
        <w:t>一、总则</w:t>
      </w:r>
    </w:p>
    <w:p w14:paraId="606F0374">
      <w:pPr>
        <w:spacing w:line="370" w:lineRule="exact"/>
        <w:ind w:firstLine="411" w:firstLineChars="196"/>
        <w:rPr>
          <w:rFonts w:hint="default" w:ascii="Arial" w:hAnsi="Arial" w:cs="Arial"/>
          <w:b/>
          <w:szCs w:val="21"/>
          <w:highlight w:val="none"/>
        </w:rPr>
      </w:pPr>
      <w:r>
        <w:rPr>
          <w:rFonts w:hint="default" w:ascii="Arial" w:hAnsi="Arial" w:cs="Arial"/>
          <w:b/>
          <w:szCs w:val="21"/>
          <w:highlight w:val="none"/>
        </w:rPr>
        <w:t>1. 项目名称及项目编号</w:t>
      </w:r>
    </w:p>
    <w:p w14:paraId="46039336">
      <w:pPr>
        <w:spacing w:line="370" w:lineRule="exact"/>
        <w:ind w:firstLine="435"/>
        <w:rPr>
          <w:rFonts w:hint="default" w:ascii="Arial" w:hAnsi="Arial" w:eastAsia="宋体" w:cs="Arial"/>
          <w:szCs w:val="21"/>
          <w:highlight w:val="none"/>
          <w:lang w:eastAsia="zh-CN"/>
        </w:rPr>
      </w:pPr>
      <w:r>
        <w:rPr>
          <w:rFonts w:hint="default" w:ascii="Arial" w:hAnsi="Arial" w:cs="Arial"/>
          <w:szCs w:val="21"/>
          <w:highlight w:val="none"/>
        </w:rPr>
        <w:t>项目名称：</w:t>
      </w:r>
      <w:r>
        <w:rPr>
          <w:rFonts w:hint="eastAsia" w:ascii="Arial" w:hAnsi="Arial" w:cs="Arial"/>
          <w:szCs w:val="21"/>
          <w:highlight w:val="none"/>
          <w:lang w:eastAsia="zh-CN"/>
        </w:rPr>
        <w:t>桂林市第二技工学校2025年市级高技能人才培训基地建设项目</w:t>
      </w:r>
    </w:p>
    <w:p w14:paraId="3EBAD5A8">
      <w:pPr>
        <w:spacing w:line="370" w:lineRule="exact"/>
        <w:ind w:firstLine="435"/>
        <w:rPr>
          <w:rFonts w:hint="default" w:ascii="Arial" w:hAnsi="Arial" w:eastAsia="宋体" w:cs="Arial"/>
          <w:szCs w:val="21"/>
          <w:highlight w:val="none"/>
          <w:lang w:eastAsia="zh-CN"/>
        </w:rPr>
      </w:pPr>
      <w:r>
        <w:rPr>
          <w:rFonts w:hint="default" w:ascii="Arial" w:hAnsi="Arial" w:cs="Arial"/>
          <w:szCs w:val="21"/>
          <w:highlight w:val="none"/>
        </w:rPr>
        <w:t>项目编号：</w:t>
      </w:r>
      <w:r>
        <w:rPr>
          <w:rFonts w:hint="eastAsia" w:ascii="Arial" w:hAnsi="Arial" w:cs="Arial"/>
          <w:szCs w:val="21"/>
          <w:highlight w:val="none"/>
          <w:lang w:eastAsia="zh-CN"/>
        </w:rPr>
        <w:t>GLZC2026-G1-990364-JDZB</w:t>
      </w:r>
    </w:p>
    <w:p w14:paraId="20DE20BB">
      <w:pPr>
        <w:spacing w:line="370" w:lineRule="exact"/>
        <w:ind w:firstLine="411" w:firstLineChars="196"/>
        <w:rPr>
          <w:rFonts w:hint="default" w:ascii="Arial" w:hAnsi="Arial" w:cs="Arial"/>
          <w:b/>
          <w:szCs w:val="21"/>
          <w:highlight w:val="none"/>
        </w:rPr>
      </w:pPr>
      <w:r>
        <w:rPr>
          <w:rFonts w:hint="default" w:ascii="Arial" w:hAnsi="Arial" w:cs="Arial"/>
          <w:b/>
          <w:szCs w:val="21"/>
          <w:highlight w:val="none"/>
        </w:rPr>
        <w:t>2. 适应范围</w:t>
      </w:r>
    </w:p>
    <w:p w14:paraId="35DE7FED">
      <w:pPr>
        <w:spacing w:line="370" w:lineRule="exact"/>
        <w:ind w:firstLine="420" w:firstLineChars="200"/>
        <w:rPr>
          <w:rFonts w:hint="default" w:ascii="Arial" w:hAnsi="Arial" w:cs="Arial"/>
          <w:szCs w:val="21"/>
          <w:highlight w:val="none"/>
        </w:rPr>
      </w:pPr>
      <w:r>
        <w:rPr>
          <w:rFonts w:hint="default" w:ascii="Arial" w:hAnsi="Arial" w:cs="Arial"/>
          <w:szCs w:val="21"/>
          <w:highlight w:val="none"/>
        </w:rPr>
        <w:t>本招标文件适用本招标采购项目的招标、投标、评标、合同履约、验收、付款等行为（法律、法规另有规定的，从其规定）。</w:t>
      </w:r>
    </w:p>
    <w:p w14:paraId="3D2B1B6E">
      <w:pPr>
        <w:spacing w:line="370" w:lineRule="exact"/>
        <w:ind w:firstLine="435"/>
        <w:rPr>
          <w:rFonts w:hint="default" w:ascii="Arial" w:hAnsi="Arial" w:cs="Arial"/>
          <w:b/>
          <w:szCs w:val="21"/>
          <w:highlight w:val="none"/>
        </w:rPr>
      </w:pPr>
      <w:r>
        <w:rPr>
          <w:rFonts w:hint="default" w:ascii="Arial" w:hAnsi="Arial" w:cs="Arial"/>
          <w:b/>
          <w:szCs w:val="21"/>
          <w:highlight w:val="none"/>
        </w:rPr>
        <w:t>3. 定义</w:t>
      </w:r>
    </w:p>
    <w:p w14:paraId="701A74FF">
      <w:pPr>
        <w:spacing w:line="370" w:lineRule="exact"/>
        <w:ind w:firstLine="435"/>
        <w:rPr>
          <w:rFonts w:hint="default" w:ascii="Arial" w:hAnsi="Arial" w:cs="Arial"/>
          <w:szCs w:val="21"/>
          <w:highlight w:val="none"/>
        </w:rPr>
      </w:pPr>
      <w:r>
        <w:rPr>
          <w:rFonts w:hint="default" w:ascii="Arial" w:hAnsi="Arial" w:cs="Arial"/>
          <w:szCs w:val="21"/>
          <w:highlight w:val="none"/>
        </w:rPr>
        <w:t>3.1“投标人”是指响应招标、参加投标竞争的法人、其他组织或者自然人。</w:t>
      </w:r>
    </w:p>
    <w:p w14:paraId="0C15FE7F">
      <w:pPr>
        <w:spacing w:line="370" w:lineRule="exact"/>
        <w:ind w:firstLine="435"/>
        <w:rPr>
          <w:rFonts w:hint="default" w:ascii="Arial" w:hAnsi="Arial" w:cs="Arial"/>
          <w:szCs w:val="21"/>
          <w:highlight w:val="none"/>
        </w:rPr>
      </w:pPr>
      <w:r>
        <w:rPr>
          <w:rFonts w:hint="default" w:ascii="Arial" w:hAnsi="Arial" w:cs="Arial"/>
          <w:szCs w:val="21"/>
          <w:highlight w:val="none"/>
        </w:rPr>
        <w:t>3.2“货物”系指按招标文件规定，投标人须向采购人提供的一切设备、保险、税金、备品备件、工具、手册及其它有关技术资料和材料。</w:t>
      </w:r>
    </w:p>
    <w:p w14:paraId="646FD8D5">
      <w:pPr>
        <w:spacing w:line="370" w:lineRule="exact"/>
        <w:ind w:firstLine="435"/>
        <w:rPr>
          <w:rFonts w:hint="default" w:ascii="Arial" w:hAnsi="Arial" w:cs="Arial"/>
          <w:szCs w:val="21"/>
          <w:highlight w:val="none"/>
        </w:rPr>
      </w:pPr>
      <w:r>
        <w:rPr>
          <w:rFonts w:hint="default" w:ascii="Arial" w:hAnsi="Arial" w:cs="Arial"/>
          <w:szCs w:val="21"/>
          <w:highlight w:val="none"/>
        </w:rPr>
        <w:t>3.3“服务”系指按招标文件规定，投标人须承担的安装、调试、技术协助、校准、培训、技术指导以及其他类似的义务。</w:t>
      </w:r>
    </w:p>
    <w:p w14:paraId="36658B76">
      <w:pPr>
        <w:spacing w:line="370" w:lineRule="exact"/>
        <w:ind w:firstLine="435"/>
        <w:rPr>
          <w:rFonts w:hint="default" w:ascii="Arial" w:hAnsi="Arial" w:cs="Arial"/>
          <w:szCs w:val="21"/>
          <w:highlight w:val="none"/>
        </w:rPr>
      </w:pPr>
      <w:r>
        <w:rPr>
          <w:rFonts w:hint="default" w:ascii="Arial" w:hAnsi="Arial" w:cs="Arial"/>
          <w:szCs w:val="21"/>
          <w:highlight w:val="none"/>
        </w:rPr>
        <w:t>3.4“项目”系指投标人按招标文件规定向采购人提供的货物和服务。</w:t>
      </w:r>
    </w:p>
    <w:p w14:paraId="46E65EB0">
      <w:pPr>
        <w:spacing w:line="370" w:lineRule="exact"/>
        <w:ind w:firstLine="435"/>
        <w:rPr>
          <w:rFonts w:hint="default" w:ascii="Arial" w:hAnsi="Arial" w:cs="Arial"/>
          <w:szCs w:val="21"/>
          <w:highlight w:val="none"/>
        </w:rPr>
      </w:pPr>
      <w:r>
        <w:rPr>
          <w:rFonts w:hint="default" w:ascii="Arial" w:hAnsi="Arial" w:cs="Arial"/>
          <w:szCs w:val="21"/>
          <w:highlight w:val="none"/>
        </w:rPr>
        <w:t>3.5“书面形式”包括信函、传真、电报。</w:t>
      </w:r>
    </w:p>
    <w:p w14:paraId="72590287">
      <w:pPr>
        <w:keepNext w:val="0"/>
        <w:keepLines w:val="0"/>
        <w:widowControl w:val="0"/>
        <w:suppressLineNumbers w:val="0"/>
        <w:spacing w:before="0" w:beforeAutospacing="0" w:after="0" w:afterAutospacing="0"/>
        <w:ind w:left="420" w:leftChars="200" w:right="0" w:firstLine="0" w:firstLineChars="0"/>
        <w:jc w:val="both"/>
        <w:rPr>
          <w:rFonts w:hint="default" w:ascii="Arial" w:hAnsi="Arial" w:cs="Arial"/>
          <w:b/>
          <w:sz w:val="24"/>
          <w:highlight w:val="none"/>
        </w:rPr>
      </w:pPr>
      <w:r>
        <w:rPr>
          <w:rFonts w:hint="default" w:ascii="Arial" w:hAnsi="Arial" w:cs="Arial"/>
          <w:b/>
          <w:sz w:val="24"/>
          <w:highlight w:val="none"/>
        </w:rPr>
        <w:t>3.6实质性要求：</w:t>
      </w:r>
    </w:p>
    <w:p w14:paraId="1EA635BB">
      <w:pPr>
        <w:spacing w:line="370" w:lineRule="exact"/>
        <w:ind w:firstLine="435"/>
        <w:rPr>
          <w:rFonts w:hint="default" w:ascii="Arial" w:hAnsi="Arial" w:cs="Arial"/>
          <w:b/>
          <w:bCs/>
          <w:szCs w:val="21"/>
          <w:highlight w:val="none"/>
          <w:lang w:val="en-US" w:eastAsia="zh-CN"/>
        </w:rPr>
      </w:pPr>
      <w:r>
        <w:rPr>
          <w:rFonts w:hint="default" w:ascii="Arial" w:hAnsi="Arial" w:cs="Arial"/>
          <w:b/>
          <w:bCs/>
          <w:szCs w:val="21"/>
          <w:highlight w:val="none"/>
          <w:lang w:eastAsia="zh-CN"/>
        </w:rPr>
        <w:t>“货物采购需求”中的</w:t>
      </w:r>
      <w:r>
        <w:rPr>
          <w:rFonts w:hint="default" w:ascii="Arial" w:hAnsi="Arial" w:cs="Arial"/>
          <w:b/>
          <w:bCs/>
          <w:szCs w:val="21"/>
          <w:highlight w:val="none"/>
          <w:lang w:val="en-US" w:eastAsia="zh-CN"/>
        </w:rPr>
        <w:t>“</w:t>
      </w:r>
      <w:r>
        <w:rPr>
          <w:rFonts w:hint="default" w:ascii="Arial" w:hAnsi="Arial" w:cs="Arial"/>
          <w:szCs w:val="21"/>
          <w:highlight w:val="none"/>
        </w:rPr>
        <w:t>▲</w:t>
      </w:r>
      <w:r>
        <w:rPr>
          <w:rFonts w:hint="default" w:ascii="Arial" w:hAnsi="Arial" w:cs="Arial"/>
          <w:b/>
          <w:bCs/>
          <w:szCs w:val="21"/>
          <w:highlight w:val="none"/>
          <w:lang w:val="en-US" w:eastAsia="zh-CN"/>
        </w:rPr>
        <w:t>”为实质性要求，不得存在负偏离，否则按废标处理。</w:t>
      </w:r>
    </w:p>
    <w:p w14:paraId="6F08B9BC">
      <w:pPr>
        <w:spacing w:line="370" w:lineRule="exact"/>
        <w:ind w:firstLine="435"/>
        <w:rPr>
          <w:rFonts w:hint="default" w:ascii="Arial" w:hAnsi="Arial" w:cs="Arial"/>
          <w:szCs w:val="21"/>
          <w:highlight w:val="none"/>
        </w:rPr>
      </w:pPr>
      <w:r>
        <w:rPr>
          <w:rFonts w:hint="default" w:ascii="Arial" w:hAnsi="Arial" w:cs="Arial"/>
          <w:szCs w:val="21"/>
          <w:highlight w:val="none"/>
        </w:rPr>
        <w:t>4. 招标方式、评分办法</w:t>
      </w:r>
    </w:p>
    <w:p w14:paraId="4BC86A2F">
      <w:pPr>
        <w:spacing w:line="370" w:lineRule="exact"/>
        <w:ind w:firstLine="735" w:firstLineChars="350"/>
        <w:rPr>
          <w:rFonts w:hint="default" w:ascii="Arial" w:hAnsi="Arial" w:cs="Arial"/>
          <w:szCs w:val="21"/>
          <w:highlight w:val="none"/>
        </w:rPr>
      </w:pPr>
      <w:r>
        <w:rPr>
          <w:rFonts w:hint="default" w:ascii="Arial" w:hAnsi="Arial" w:cs="Arial"/>
          <w:szCs w:val="21"/>
          <w:highlight w:val="none"/>
        </w:rPr>
        <w:t>公开招标、综合评分法</w:t>
      </w:r>
    </w:p>
    <w:p w14:paraId="42AB3559">
      <w:pPr>
        <w:spacing w:line="370" w:lineRule="exact"/>
        <w:ind w:firstLine="435"/>
        <w:rPr>
          <w:rFonts w:hint="default" w:ascii="Arial" w:hAnsi="Arial" w:cs="Arial"/>
          <w:b/>
          <w:sz w:val="24"/>
          <w:highlight w:val="none"/>
        </w:rPr>
      </w:pPr>
      <w:r>
        <w:rPr>
          <w:rFonts w:hint="default" w:ascii="Arial" w:hAnsi="Arial" w:cs="Arial"/>
          <w:b/>
          <w:sz w:val="24"/>
          <w:highlight w:val="none"/>
        </w:rPr>
        <w:t>5. 投标人资格</w:t>
      </w:r>
    </w:p>
    <w:p w14:paraId="7B40F10F">
      <w:pPr>
        <w:tabs>
          <w:tab w:val="left" w:pos="1635"/>
        </w:tabs>
        <w:spacing w:line="340" w:lineRule="exact"/>
        <w:ind w:firstLine="435"/>
        <w:rPr>
          <w:rFonts w:hint="default" w:ascii="Arial" w:hAnsi="Arial" w:cs="Arial"/>
          <w:b/>
          <w:szCs w:val="21"/>
          <w:highlight w:val="none"/>
        </w:rPr>
      </w:pPr>
      <w:r>
        <w:rPr>
          <w:rFonts w:hint="default" w:ascii="Arial" w:hAnsi="Arial" w:cs="Arial"/>
          <w:b/>
          <w:szCs w:val="21"/>
          <w:highlight w:val="none"/>
        </w:rPr>
        <w:t>5.1满足《中华人民共和国政府采购法》第二十二条规定；</w:t>
      </w:r>
    </w:p>
    <w:p w14:paraId="646FADF9">
      <w:pPr>
        <w:tabs>
          <w:tab w:val="left" w:pos="1635"/>
        </w:tabs>
        <w:spacing w:line="340" w:lineRule="exact"/>
        <w:ind w:firstLine="435"/>
        <w:rPr>
          <w:rFonts w:hint="default" w:ascii="Arial" w:hAnsi="Arial" w:cs="Arial"/>
          <w:b/>
          <w:szCs w:val="21"/>
          <w:highlight w:val="none"/>
        </w:rPr>
      </w:pPr>
      <w:r>
        <w:rPr>
          <w:rFonts w:hint="default" w:ascii="Arial" w:hAnsi="Arial" w:cs="Arial"/>
          <w:b/>
          <w:szCs w:val="21"/>
          <w:highlight w:val="none"/>
        </w:rPr>
        <w:t>5.2落实政府采购政策需满足的资格要求：</w:t>
      </w:r>
      <w:r>
        <w:rPr>
          <w:rFonts w:hint="eastAsia" w:ascii="Arial" w:hAnsi="Arial" w:cs="Arial"/>
          <w:b/>
          <w:szCs w:val="21"/>
          <w:highlight w:val="none"/>
          <w:lang w:val="en-US" w:eastAsia="zh-CN"/>
        </w:rPr>
        <w:t>无</w:t>
      </w:r>
      <w:r>
        <w:rPr>
          <w:rFonts w:hint="default" w:ascii="Arial" w:hAnsi="Arial" w:cs="Arial"/>
          <w:b/>
          <w:szCs w:val="21"/>
          <w:highlight w:val="none"/>
        </w:rPr>
        <w:t>。</w:t>
      </w:r>
    </w:p>
    <w:p w14:paraId="2D2F3CFB">
      <w:pPr>
        <w:tabs>
          <w:tab w:val="left" w:pos="1635"/>
        </w:tabs>
        <w:spacing w:line="340" w:lineRule="exact"/>
        <w:ind w:firstLine="435"/>
        <w:rPr>
          <w:rFonts w:hint="default" w:ascii="Arial" w:hAnsi="Arial" w:cs="Arial"/>
          <w:b/>
          <w:szCs w:val="21"/>
          <w:highlight w:val="none"/>
        </w:rPr>
      </w:pPr>
      <w:r>
        <w:rPr>
          <w:rFonts w:hint="default" w:ascii="Arial" w:hAnsi="Arial" w:cs="Arial"/>
          <w:b/>
          <w:szCs w:val="21"/>
          <w:highlight w:val="none"/>
        </w:rPr>
        <w:t>5.3本项目的特定资格要求：</w:t>
      </w:r>
    </w:p>
    <w:p w14:paraId="1D4765C8">
      <w:pPr>
        <w:tabs>
          <w:tab w:val="left" w:pos="1635"/>
        </w:tabs>
        <w:spacing w:line="340" w:lineRule="exact"/>
        <w:ind w:firstLine="435"/>
        <w:rPr>
          <w:rFonts w:hint="default" w:ascii="Arial" w:hAnsi="Arial" w:cs="Arial"/>
          <w:bCs/>
          <w:szCs w:val="21"/>
          <w:highlight w:val="none"/>
        </w:rPr>
      </w:pPr>
      <w:r>
        <w:rPr>
          <w:rFonts w:hint="default" w:ascii="Arial" w:hAnsi="Arial" w:cs="Arial"/>
          <w:bCs/>
          <w:szCs w:val="21"/>
          <w:highlight w:val="none"/>
        </w:rPr>
        <w:t>（1）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政府采购活动。</w:t>
      </w:r>
    </w:p>
    <w:p w14:paraId="5DC1CF9C">
      <w:pPr>
        <w:tabs>
          <w:tab w:val="left" w:pos="1635"/>
        </w:tabs>
        <w:spacing w:line="340" w:lineRule="exact"/>
        <w:ind w:firstLine="435"/>
        <w:rPr>
          <w:rFonts w:hint="default" w:ascii="Arial" w:hAnsi="Arial" w:cs="Arial"/>
          <w:bCs/>
          <w:szCs w:val="21"/>
          <w:highlight w:val="none"/>
        </w:rPr>
      </w:pPr>
      <w:r>
        <w:rPr>
          <w:rFonts w:hint="default" w:ascii="Arial" w:hAnsi="Arial" w:cs="Arial"/>
          <w:bCs/>
          <w:szCs w:val="21"/>
          <w:highlight w:val="none"/>
        </w:rPr>
        <w:t>（</w:t>
      </w:r>
      <w:r>
        <w:rPr>
          <w:rFonts w:hint="eastAsia" w:ascii="Arial" w:hAnsi="Arial" w:cs="Arial"/>
          <w:bCs/>
          <w:szCs w:val="21"/>
          <w:highlight w:val="none"/>
          <w:lang w:val="en-US" w:eastAsia="zh-CN"/>
        </w:rPr>
        <w:t>2</w:t>
      </w:r>
      <w:r>
        <w:rPr>
          <w:rFonts w:hint="default" w:ascii="Arial" w:hAnsi="Arial" w:cs="Arial"/>
          <w:bCs/>
          <w:szCs w:val="21"/>
          <w:highlight w:val="none"/>
        </w:rPr>
        <w:t>）单位负责人为同一人或者存在直接控股、管理关系的不同供应商，不得参加同一合同项下的政府采购活动。除单一来源采购项目外，为本采购项目提供整体设计、规范编制或者项目管理、监理、检测等服务的供应商，不得再参加该采购项目的其他采购活动。</w:t>
      </w:r>
    </w:p>
    <w:p w14:paraId="57ED8F02">
      <w:pPr>
        <w:tabs>
          <w:tab w:val="left" w:pos="1635"/>
        </w:tabs>
        <w:spacing w:line="340" w:lineRule="exact"/>
        <w:ind w:firstLine="435"/>
        <w:rPr>
          <w:rFonts w:hint="default" w:ascii="Arial" w:hAnsi="Arial" w:cs="Arial"/>
          <w:b/>
          <w:szCs w:val="21"/>
          <w:highlight w:val="none"/>
        </w:rPr>
      </w:pPr>
      <w:r>
        <w:rPr>
          <w:rFonts w:hint="default" w:ascii="Arial" w:hAnsi="Arial" w:cs="Arial"/>
          <w:b/>
          <w:szCs w:val="21"/>
          <w:highlight w:val="none"/>
        </w:rPr>
        <w:t>6. 参与电子投标的准备工作</w:t>
      </w:r>
    </w:p>
    <w:p w14:paraId="2320D5DA">
      <w:pPr>
        <w:tabs>
          <w:tab w:val="left" w:pos="1635"/>
        </w:tabs>
        <w:spacing w:line="340" w:lineRule="exact"/>
        <w:ind w:firstLine="435"/>
        <w:rPr>
          <w:rFonts w:hint="default" w:ascii="Arial" w:hAnsi="Arial" w:cs="Arial"/>
          <w:kern w:val="0"/>
          <w:szCs w:val="21"/>
          <w:highlight w:val="none"/>
        </w:rPr>
      </w:pPr>
      <w:r>
        <w:rPr>
          <w:rFonts w:hint="default" w:ascii="Arial" w:hAnsi="Arial" w:cs="Arial"/>
          <w:kern w:val="0"/>
          <w:szCs w:val="21"/>
          <w:highlight w:val="none"/>
        </w:rPr>
        <w:t>6.1</w:t>
      </w:r>
      <w:r>
        <w:rPr>
          <w:rFonts w:hint="default" w:ascii="Arial" w:hAnsi="Arial" w:cs="Arial"/>
          <w:bCs/>
          <w:highlight w:val="none"/>
        </w:rPr>
        <w:t>本项目实行全流程电子化采购，投标人通过</w:t>
      </w:r>
      <w:r>
        <w:rPr>
          <w:rFonts w:hint="default" w:ascii="Arial" w:hAnsi="Arial" w:cs="Arial"/>
          <w:color w:val="auto"/>
          <w:szCs w:val="21"/>
          <w:highlight w:val="none"/>
        </w:rPr>
        <w:t>广西政府采购云平台</w:t>
      </w:r>
      <w:r>
        <w:rPr>
          <w:rFonts w:hint="default" w:ascii="Arial" w:hAnsi="Arial" w:cs="Arial"/>
          <w:bCs/>
          <w:highlight w:val="none"/>
        </w:rPr>
        <w:t>参与电子投标，并应做好以下相关准备工作：①在</w:t>
      </w:r>
      <w:r>
        <w:rPr>
          <w:rFonts w:hint="default" w:ascii="Arial" w:hAnsi="Arial" w:cs="Arial"/>
          <w:color w:val="auto"/>
          <w:szCs w:val="21"/>
          <w:highlight w:val="none"/>
        </w:rPr>
        <w:t>广西政府采购云平台</w:t>
      </w:r>
      <w:r>
        <w:rPr>
          <w:rFonts w:hint="default" w:ascii="Arial" w:hAnsi="Arial" w:cs="Arial"/>
          <w:bCs/>
          <w:highlight w:val="none"/>
        </w:rPr>
        <w:t>注册成为正式供应商（操作方法详见广西壮族自治区政府采购网—办事服务—办事指南）；②完成CA证书申领和绑定（费用由投标人自行承担，办理流程详见广西壮族自治区政府采购网—办事服务—下载专区，完成CA证书办理预计一周左右，建议供应商尽快办理）；③下载“广西壮族自治区全流程电子招投标项目管理系统--供应商客户端”（操作方法详见广西壮族自治区政府采购网—办事服务—下载专区，以下称“</w:t>
      </w:r>
      <w:r>
        <w:rPr>
          <w:rFonts w:hint="default" w:ascii="Arial" w:hAnsi="Arial" w:cs="Arial"/>
          <w:b w:val="0"/>
          <w:bCs w:val="0"/>
          <w:kern w:val="2"/>
          <w:sz w:val="21"/>
          <w:szCs w:val="21"/>
          <w:highlight w:val="none"/>
          <w:lang w:val="en-US" w:eastAsia="zh-CN" w:bidi="ar-SA"/>
        </w:rPr>
        <w:t>桂采云电子投标客户端</w:t>
      </w:r>
      <w:r>
        <w:rPr>
          <w:rFonts w:hint="default" w:ascii="Arial" w:hAnsi="Arial" w:cs="Arial"/>
          <w:bCs/>
          <w:highlight w:val="none"/>
        </w:rPr>
        <w:t>”）并安装成功，投标人应当在提交投标文件截止时间前在</w:t>
      </w:r>
      <w:r>
        <w:rPr>
          <w:rFonts w:hint="default" w:ascii="Arial" w:hAnsi="Arial" w:cs="Arial"/>
          <w:color w:val="auto"/>
          <w:szCs w:val="21"/>
          <w:highlight w:val="none"/>
        </w:rPr>
        <w:t>广西政府采购云平台</w:t>
      </w:r>
      <w:r>
        <w:rPr>
          <w:rFonts w:hint="default" w:ascii="Arial" w:hAnsi="Arial" w:cs="Arial"/>
          <w:bCs/>
          <w:highlight w:val="none"/>
        </w:rPr>
        <w:t>完成的身份认证，确保能够对相关数据电文进行加密和使用电子签章；④自备计算机和网络设备并确保能接入互联网（费用由投标人自行承担，设备确保可进行视频通话和读取</w:t>
      </w:r>
      <w:r>
        <w:rPr>
          <w:rFonts w:hint="default" w:ascii="Arial" w:hAnsi="Arial" w:cs="Arial"/>
          <w:color w:val="auto"/>
          <w:szCs w:val="21"/>
          <w:highlight w:val="none"/>
        </w:rPr>
        <w:t>广西政府采购云平台</w:t>
      </w:r>
      <w:r>
        <w:rPr>
          <w:rFonts w:hint="default" w:ascii="Arial" w:hAnsi="Arial" w:cs="Arial"/>
          <w:bCs/>
          <w:highlight w:val="none"/>
        </w:rPr>
        <w:t>CA证书）。因投标人未做好相关准备工作等自身原因导致无法参加本项目电子投标或投标失败的，造成的一切后果，由投标人自行承担</w:t>
      </w:r>
      <w:r>
        <w:rPr>
          <w:rFonts w:hint="default" w:ascii="Arial" w:hAnsi="Arial" w:cs="Arial"/>
          <w:kern w:val="0"/>
          <w:szCs w:val="21"/>
          <w:highlight w:val="none"/>
        </w:rPr>
        <w:t>。</w:t>
      </w:r>
    </w:p>
    <w:p w14:paraId="113133D8">
      <w:pPr>
        <w:tabs>
          <w:tab w:val="left" w:pos="1635"/>
        </w:tabs>
        <w:spacing w:line="340" w:lineRule="exact"/>
        <w:ind w:firstLine="435"/>
        <w:rPr>
          <w:rFonts w:hint="default" w:ascii="Arial" w:hAnsi="Arial" w:cs="Arial"/>
          <w:kern w:val="0"/>
          <w:szCs w:val="21"/>
          <w:highlight w:val="none"/>
        </w:rPr>
      </w:pPr>
      <w:r>
        <w:rPr>
          <w:rFonts w:hint="default" w:ascii="Arial" w:hAnsi="Arial" w:cs="Arial"/>
          <w:kern w:val="0"/>
          <w:szCs w:val="21"/>
          <w:highlight w:val="none"/>
        </w:rPr>
        <w:t>6.2电子投标具体操作流程参考《政府采购项目电子交易管理操作指南-供应商》（详见桂林市政府采购网—采购资讯—重要通知）；如遇平台技术问题详询95763。</w:t>
      </w:r>
    </w:p>
    <w:p w14:paraId="126739A1">
      <w:pPr>
        <w:tabs>
          <w:tab w:val="left" w:pos="1635"/>
        </w:tabs>
        <w:spacing w:line="340" w:lineRule="exact"/>
        <w:ind w:firstLine="435"/>
        <w:rPr>
          <w:rFonts w:hint="default" w:ascii="Arial" w:hAnsi="Arial" w:cs="Arial"/>
          <w:kern w:val="0"/>
          <w:szCs w:val="21"/>
          <w:highlight w:val="none"/>
        </w:rPr>
      </w:pPr>
      <w:r>
        <w:rPr>
          <w:rFonts w:hint="default" w:ascii="Arial" w:hAnsi="Arial" w:cs="Arial"/>
          <w:kern w:val="0"/>
          <w:szCs w:val="21"/>
          <w:highlight w:val="none"/>
        </w:rPr>
        <w:t>6.3不论投标结果如何，投标人均应自行承担所有与投标有关的全部费用。</w:t>
      </w:r>
    </w:p>
    <w:p w14:paraId="6841A663">
      <w:pPr>
        <w:spacing w:line="370" w:lineRule="exact"/>
        <w:ind w:firstLine="435"/>
        <w:rPr>
          <w:rFonts w:hint="default" w:ascii="Arial" w:hAnsi="Arial" w:cs="Arial"/>
          <w:b/>
          <w:szCs w:val="21"/>
          <w:highlight w:val="none"/>
        </w:rPr>
      </w:pPr>
      <w:r>
        <w:rPr>
          <w:rFonts w:hint="default" w:ascii="Arial" w:hAnsi="Arial" w:cs="Arial"/>
          <w:b/>
          <w:szCs w:val="21"/>
          <w:highlight w:val="none"/>
        </w:rPr>
        <w:t>7. 联合体投标要求</w:t>
      </w:r>
    </w:p>
    <w:p w14:paraId="519DFBE4">
      <w:pPr>
        <w:snapToGrid w:val="0"/>
        <w:spacing w:line="370" w:lineRule="exact"/>
        <w:ind w:firstLine="420" w:firstLineChars="200"/>
        <w:jc w:val="left"/>
        <w:rPr>
          <w:rFonts w:hint="default" w:ascii="Arial" w:hAnsi="Arial" w:cs="Arial"/>
          <w:szCs w:val="21"/>
          <w:highlight w:val="none"/>
        </w:rPr>
      </w:pPr>
      <w:r>
        <w:rPr>
          <w:rFonts w:hint="default" w:ascii="Arial" w:hAnsi="Arial" w:cs="Arial"/>
          <w:szCs w:val="21"/>
          <w:highlight w:val="none"/>
        </w:rPr>
        <w:t>本项目不接受联合体投标。</w:t>
      </w:r>
    </w:p>
    <w:p w14:paraId="79C764D8">
      <w:pPr>
        <w:tabs>
          <w:tab w:val="left" w:pos="1635"/>
        </w:tabs>
        <w:spacing w:line="370" w:lineRule="exact"/>
        <w:ind w:firstLine="435"/>
        <w:rPr>
          <w:rFonts w:hint="default" w:ascii="Arial" w:hAnsi="Arial" w:cs="Arial"/>
          <w:b/>
          <w:szCs w:val="21"/>
          <w:highlight w:val="none"/>
        </w:rPr>
      </w:pPr>
      <w:r>
        <w:rPr>
          <w:rFonts w:hint="default" w:ascii="Arial" w:hAnsi="Arial" w:cs="Arial"/>
          <w:b/>
          <w:szCs w:val="21"/>
          <w:highlight w:val="none"/>
        </w:rPr>
        <w:t>8. 转包与分包</w:t>
      </w:r>
    </w:p>
    <w:p w14:paraId="68544AD6">
      <w:pPr>
        <w:tabs>
          <w:tab w:val="left" w:pos="1635"/>
        </w:tabs>
        <w:spacing w:line="370" w:lineRule="exact"/>
        <w:ind w:firstLine="435"/>
        <w:rPr>
          <w:rFonts w:hint="default" w:ascii="Arial" w:hAnsi="Arial" w:cs="Arial"/>
          <w:szCs w:val="21"/>
          <w:highlight w:val="none"/>
        </w:rPr>
      </w:pPr>
      <w:r>
        <w:rPr>
          <w:rFonts w:hint="default" w:ascii="Arial" w:hAnsi="Arial" w:cs="Arial"/>
          <w:szCs w:val="21"/>
          <w:highlight w:val="none"/>
        </w:rPr>
        <w:t>8.1本项目不允许转包。</w:t>
      </w:r>
    </w:p>
    <w:p w14:paraId="11813233">
      <w:pPr>
        <w:tabs>
          <w:tab w:val="left" w:pos="1635"/>
        </w:tabs>
        <w:spacing w:line="370" w:lineRule="exact"/>
        <w:ind w:firstLine="435"/>
        <w:rPr>
          <w:rFonts w:hint="default" w:ascii="Arial" w:hAnsi="Arial" w:cs="Arial"/>
          <w:szCs w:val="21"/>
          <w:highlight w:val="none"/>
        </w:rPr>
      </w:pPr>
      <w:r>
        <w:rPr>
          <w:rFonts w:hint="default" w:ascii="Arial" w:hAnsi="Arial" w:cs="Arial"/>
          <w:szCs w:val="21"/>
          <w:highlight w:val="none"/>
        </w:rPr>
        <w:t>8.2本项目不可以分包。</w:t>
      </w:r>
    </w:p>
    <w:p w14:paraId="46D2D091">
      <w:pPr>
        <w:tabs>
          <w:tab w:val="left" w:pos="1635"/>
        </w:tabs>
        <w:spacing w:line="370" w:lineRule="exact"/>
        <w:ind w:firstLine="435"/>
        <w:rPr>
          <w:rFonts w:hint="default" w:ascii="Arial" w:hAnsi="Arial" w:cs="Arial"/>
          <w:b/>
          <w:szCs w:val="21"/>
          <w:highlight w:val="none"/>
        </w:rPr>
      </w:pPr>
      <w:r>
        <w:rPr>
          <w:rFonts w:hint="default" w:ascii="Arial" w:hAnsi="Arial" w:cs="Arial"/>
          <w:b/>
          <w:szCs w:val="21"/>
          <w:highlight w:val="none"/>
        </w:rPr>
        <w:t>9. 特别说明</w:t>
      </w:r>
    </w:p>
    <w:p w14:paraId="4B602ECD">
      <w:pPr>
        <w:tabs>
          <w:tab w:val="left" w:pos="1635"/>
        </w:tabs>
        <w:spacing w:line="370" w:lineRule="exact"/>
        <w:ind w:firstLine="435"/>
        <w:rPr>
          <w:rFonts w:hint="default" w:ascii="Arial" w:hAnsi="Arial" w:cs="Arial"/>
          <w:b/>
          <w:szCs w:val="21"/>
          <w:highlight w:val="none"/>
        </w:rPr>
      </w:pPr>
      <w:r>
        <w:rPr>
          <w:rFonts w:hint="default" w:ascii="Arial" w:hAnsi="Arial" w:cs="Arial"/>
          <w:b/>
          <w:szCs w:val="21"/>
          <w:highlight w:val="none"/>
        </w:rPr>
        <w:t>9.1使用综合评分法的采购项目，提供相同品牌产品且通过资格审查、符合性审查的不同投标人参加同一合同项下投标的，按一家投标人计算，评审后得分最高的同品牌投标人获得中标人推荐资格；评审得分相同的，评标报价最低的同品牌投标人获得中标人推荐资格，评标报价也相同的，由评标委员会以抽签方式确定中标候选人，其他同品牌投标人不作为中标候选人。</w:t>
      </w:r>
    </w:p>
    <w:p w14:paraId="3DD48801">
      <w:pPr>
        <w:tabs>
          <w:tab w:val="left" w:pos="1635"/>
        </w:tabs>
        <w:spacing w:line="370" w:lineRule="exact"/>
        <w:ind w:firstLine="435"/>
        <w:rPr>
          <w:rFonts w:hint="default" w:ascii="Arial" w:hAnsi="Arial" w:cs="Arial"/>
          <w:b/>
          <w:szCs w:val="21"/>
          <w:highlight w:val="none"/>
        </w:rPr>
      </w:pPr>
      <w:r>
        <w:rPr>
          <w:rFonts w:hint="default" w:ascii="Arial" w:hAnsi="Arial" w:cs="Arial"/>
          <w:b/>
          <w:szCs w:val="21"/>
          <w:highlight w:val="none"/>
        </w:rPr>
        <w:t>多家投标人提供的核心产品品牌相同的，按前款规定处理。</w:t>
      </w:r>
    </w:p>
    <w:p w14:paraId="6CD111EA">
      <w:pPr>
        <w:tabs>
          <w:tab w:val="left" w:pos="1635"/>
        </w:tabs>
        <w:spacing w:line="370" w:lineRule="exact"/>
        <w:ind w:firstLine="435"/>
        <w:rPr>
          <w:rFonts w:hint="default" w:ascii="Arial" w:hAnsi="Arial" w:cs="Arial"/>
          <w:szCs w:val="21"/>
          <w:highlight w:val="none"/>
        </w:rPr>
      </w:pPr>
      <w:r>
        <w:rPr>
          <w:rFonts w:hint="default" w:ascii="Arial" w:hAnsi="Arial" w:cs="Arial"/>
          <w:szCs w:val="21"/>
          <w:highlight w:val="none"/>
        </w:rPr>
        <w:t>9.2关联供应商不得参加同一合同项下政府采购活动，否则投标文件将被视为无效：</w:t>
      </w:r>
    </w:p>
    <w:p w14:paraId="21F64E04">
      <w:pPr>
        <w:tabs>
          <w:tab w:val="left" w:pos="1635"/>
        </w:tabs>
        <w:spacing w:line="370" w:lineRule="exact"/>
        <w:ind w:firstLine="420" w:firstLineChars="200"/>
        <w:rPr>
          <w:rFonts w:hint="default" w:ascii="Arial" w:hAnsi="Arial" w:cs="Arial"/>
          <w:szCs w:val="21"/>
          <w:highlight w:val="none"/>
        </w:rPr>
      </w:pPr>
      <w:r>
        <w:rPr>
          <w:rFonts w:hint="default" w:ascii="Arial" w:hAnsi="Arial" w:cs="Arial"/>
          <w:szCs w:val="21"/>
          <w:highlight w:val="none"/>
        </w:rPr>
        <w:t>（1）单位负责人为同一人或者存在直接控股、管理关系的不同供应商，不得参加同一合同项下的政府采购活动。</w:t>
      </w:r>
    </w:p>
    <w:p w14:paraId="263F4463">
      <w:pPr>
        <w:tabs>
          <w:tab w:val="left" w:pos="1635"/>
        </w:tabs>
        <w:spacing w:line="370" w:lineRule="exact"/>
        <w:ind w:firstLine="435"/>
        <w:rPr>
          <w:rFonts w:hint="default" w:ascii="Arial" w:hAnsi="Arial" w:cs="Arial"/>
          <w:szCs w:val="21"/>
          <w:highlight w:val="none"/>
        </w:rPr>
      </w:pPr>
      <w:r>
        <w:rPr>
          <w:rFonts w:hint="default" w:ascii="Arial" w:hAnsi="Arial" w:cs="Arial"/>
          <w:szCs w:val="21"/>
          <w:highlight w:val="none"/>
        </w:rPr>
        <w:t>（2）为本采购项目提供整体设计、规范编制或者项目管理、监理、检测等服务的供应商，不得再参加本次采购活动。</w:t>
      </w:r>
    </w:p>
    <w:p w14:paraId="33EB4A29">
      <w:pPr>
        <w:tabs>
          <w:tab w:val="left" w:pos="1635"/>
        </w:tabs>
        <w:spacing w:line="370" w:lineRule="exact"/>
        <w:ind w:firstLine="435"/>
        <w:rPr>
          <w:rFonts w:hint="default" w:ascii="Arial" w:hAnsi="Arial" w:cs="Arial"/>
          <w:szCs w:val="21"/>
          <w:highlight w:val="none"/>
        </w:rPr>
      </w:pPr>
      <w:r>
        <w:rPr>
          <w:rFonts w:hint="default" w:ascii="Arial" w:hAnsi="Arial" w:cs="Arial"/>
          <w:szCs w:val="21"/>
          <w:highlight w:val="none"/>
        </w:rPr>
        <w:t>9.3投标人应仔细阅读招标文件的所有内容，按照招标文件的要求提交投标文件，并对所提供的全部资料的真实性承担法律责任。</w:t>
      </w:r>
    </w:p>
    <w:p w14:paraId="2E8AF258">
      <w:pPr>
        <w:tabs>
          <w:tab w:val="left" w:pos="1635"/>
        </w:tabs>
        <w:spacing w:line="370" w:lineRule="exact"/>
        <w:ind w:firstLine="435"/>
        <w:rPr>
          <w:rFonts w:hint="default" w:ascii="Arial" w:hAnsi="Arial" w:cs="Arial"/>
          <w:b/>
          <w:szCs w:val="21"/>
          <w:highlight w:val="none"/>
        </w:rPr>
      </w:pPr>
      <w:r>
        <w:rPr>
          <w:rFonts w:hint="default" w:ascii="Arial" w:hAnsi="Arial" w:cs="Arial"/>
          <w:szCs w:val="21"/>
          <w:highlight w:val="none"/>
        </w:rPr>
        <w:t>9.4投标人在投标活动中提供任何虚假材料，其投标无效，并报监管部门查处；中标后发现的，中标人须依照《中华人民共和国消费者权益保护法》赔偿采购人，且民事赔偿并不免除违法投标人的行政与刑事责任。</w:t>
      </w:r>
    </w:p>
    <w:p w14:paraId="295888D4">
      <w:pPr>
        <w:tabs>
          <w:tab w:val="left" w:pos="2190"/>
        </w:tabs>
        <w:spacing w:line="370" w:lineRule="exact"/>
        <w:ind w:firstLine="411" w:firstLineChars="196"/>
        <w:rPr>
          <w:rFonts w:hint="default" w:ascii="Arial" w:hAnsi="Arial" w:cs="Arial"/>
          <w:b/>
          <w:szCs w:val="21"/>
          <w:highlight w:val="none"/>
        </w:rPr>
      </w:pPr>
      <w:r>
        <w:rPr>
          <w:rFonts w:hint="default" w:ascii="Arial" w:hAnsi="Arial" w:cs="Arial"/>
          <w:b/>
          <w:szCs w:val="21"/>
          <w:highlight w:val="none"/>
        </w:rPr>
        <w:t>10. 质疑和投诉</w:t>
      </w:r>
      <w:r>
        <w:rPr>
          <w:rFonts w:hint="default" w:ascii="Arial" w:hAnsi="Arial" w:cs="Arial"/>
          <w:b/>
          <w:szCs w:val="21"/>
          <w:highlight w:val="none"/>
        </w:rPr>
        <w:tab/>
      </w:r>
    </w:p>
    <w:p w14:paraId="689E8F00">
      <w:pPr>
        <w:tabs>
          <w:tab w:val="left" w:pos="2190"/>
        </w:tabs>
        <w:spacing w:line="360" w:lineRule="exact"/>
        <w:ind w:firstLine="435"/>
        <w:rPr>
          <w:rFonts w:hint="default" w:ascii="Arial" w:hAnsi="Arial" w:cs="Arial"/>
          <w:szCs w:val="21"/>
          <w:highlight w:val="none"/>
        </w:rPr>
      </w:pPr>
      <w:r>
        <w:rPr>
          <w:rFonts w:hint="default" w:ascii="Arial" w:hAnsi="Arial" w:cs="Arial"/>
          <w:szCs w:val="21"/>
          <w:highlight w:val="none"/>
        </w:rPr>
        <w:t>10.1投标人认为招标文件使自己的合法权益受到损害的，</w:t>
      </w:r>
      <w:bookmarkStart w:id="13" w:name="_Hlk44336759"/>
      <w:r>
        <w:rPr>
          <w:rFonts w:hint="default" w:ascii="Arial" w:hAnsi="Arial" w:cs="Arial"/>
          <w:szCs w:val="21"/>
          <w:highlight w:val="none"/>
        </w:rPr>
        <w:t>可以在本项目公告期限截止之日起七个工作日内</w:t>
      </w:r>
      <w:bookmarkEnd w:id="13"/>
      <w:r>
        <w:rPr>
          <w:rFonts w:hint="default" w:ascii="Arial" w:hAnsi="Arial" w:cs="Arial"/>
          <w:szCs w:val="21"/>
          <w:highlight w:val="none"/>
        </w:rPr>
        <w:t>以书面形式向采购代理机构提出质疑；投标人认为招标过程或中标结果使自己的合法权益受到损害的，应当在各采购程序环节结束之日或中标公告期限届满之日起七个工作日内，以书面形式向采购代理机构提出质疑。采购代理机构应认真做好质疑处理工作。投标人在法定质疑期内应一次性提出与项目相关的质疑，投标人在提出与项目相关的质疑前应当做好全面且详细的工作，代理机构不再受理投标人针对同一采购程序环节的再次质疑</w:t>
      </w:r>
      <w:r>
        <w:rPr>
          <w:rFonts w:hint="default" w:ascii="Arial" w:hAnsi="Arial" w:cs="Arial"/>
          <w:b/>
          <w:szCs w:val="21"/>
          <w:highlight w:val="none"/>
        </w:rPr>
        <w:t>（“质疑函”格式见附表1）</w:t>
      </w:r>
      <w:r>
        <w:rPr>
          <w:rFonts w:hint="default" w:ascii="Arial" w:hAnsi="Arial" w:cs="Arial"/>
          <w:szCs w:val="21"/>
          <w:highlight w:val="none"/>
        </w:rPr>
        <w:t>。</w:t>
      </w:r>
    </w:p>
    <w:p w14:paraId="6FE94BEA">
      <w:pPr>
        <w:tabs>
          <w:tab w:val="left" w:pos="2190"/>
        </w:tabs>
        <w:spacing w:line="360" w:lineRule="exact"/>
        <w:ind w:firstLine="435"/>
        <w:rPr>
          <w:rFonts w:hint="default" w:ascii="Arial" w:hAnsi="Arial" w:cs="Arial"/>
          <w:szCs w:val="21"/>
          <w:highlight w:val="none"/>
        </w:rPr>
      </w:pPr>
      <w:r>
        <w:rPr>
          <w:rFonts w:hint="default" w:ascii="Arial" w:hAnsi="Arial" w:cs="Arial"/>
          <w:szCs w:val="21"/>
          <w:highlight w:val="none"/>
        </w:rPr>
        <w:t>10.2投标人对采购代理机构的答复不满意或者采购代理机构未在规定的时间内作出答复的，可以在答复期满后十五个工作日内向桂林市政府采购监督管理机构投诉</w:t>
      </w:r>
      <w:r>
        <w:rPr>
          <w:rFonts w:hint="default" w:ascii="Arial" w:hAnsi="Arial" w:cs="Arial"/>
          <w:b/>
          <w:szCs w:val="21"/>
          <w:highlight w:val="none"/>
        </w:rPr>
        <w:t>（“投诉书”格式见附表2）</w:t>
      </w:r>
      <w:r>
        <w:rPr>
          <w:rFonts w:hint="default" w:ascii="Arial" w:hAnsi="Arial" w:cs="Arial"/>
          <w:szCs w:val="21"/>
          <w:highlight w:val="none"/>
        </w:rPr>
        <w:t>。</w:t>
      </w:r>
    </w:p>
    <w:p w14:paraId="10895DD3">
      <w:pPr>
        <w:tabs>
          <w:tab w:val="left" w:pos="2190"/>
        </w:tabs>
        <w:spacing w:line="360" w:lineRule="exact"/>
        <w:ind w:firstLine="435"/>
        <w:rPr>
          <w:rFonts w:hint="default" w:ascii="Arial" w:hAnsi="Arial" w:cs="Arial"/>
          <w:szCs w:val="21"/>
          <w:highlight w:val="none"/>
        </w:rPr>
      </w:pPr>
      <w:r>
        <w:rPr>
          <w:rFonts w:hint="default" w:ascii="Arial" w:hAnsi="Arial" w:cs="Arial"/>
          <w:szCs w:val="21"/>
          <w:highlight w:val="none"/>
        </w:rPr>
        <w:t>10.3质疑、投诉应当采用书面形式，质疑书、投诉书实行实名制，均应明确阐述招标文件、招标过程或中标结果中使自己合法权益受到损害的实质性内容，并提供必要的证明材料。</w:t>
      </w:r>
    </w:p>
    <w:p w14:paraId="232BED97">
      <w:pPr>
        <w:tabs>
          <w:tab w:val="left" w:pos="2190"/>
        </w:tabs>
        <w:spacing w:line="360" w:lineRule="exact"/>
        <w:ind w:firstLine="435"/>
        <w:rPr>
          <w:rFonts w:hint="default" w:ascii="Arial" w:hAnsi="Arial" w:cs="Arial"/>
          <w:szCs w:val="21"/>
          <w:highlight w:val="none"/>
        </w:rPr>
      </w:pPr>
      <w:r>
        <w:rPr>
          <w:rFonts w:hint="default" w:ascii="Arial" w:hAnsi="Arial" w:cs="Arial"/>
          <w:szCs w:val="21"/>
          <w:highlight w:val="none"/>
        </w:rPr>
        <w:t>投标人提出质疑应当提交质疑函和必要的证明材料，针对同一采购程序环节的质疑必须在法定质疑期内一次性提出。质疑函应当包括下列内容：</w:t>
      </w:r>
    </w:p>
    <w:p w14:paraId="08491971">
      <w:pPr>
        <w:tabs>
          <w:tab w:val="left" w:pos="2190"/>
        </w:tabs>
        <w:spacing w:line="360" w:lineRule="exact"/>
        <w:ind w:firstLine="435"/>
        <w:rPr>
          <w:rFonts w:hint="default" w:ascii="Arial" w:hAnsi="Arial" w:cs="Arial"/>
          <w:szCs w:val="21"/>
          <w:highlight w:val="none"/>
        </w:rPr>
      </w:pPr>
      <w:r>
        <w:rPr>
          <w:rFonts w:hint="default" w:ascii="Arial" w:hAnsi="Arial" w:cs="Arial"/>
          <w:szCs w:val="21"/>
          <w:highlight w:val="none"/>
        </w:rPr>
        <w:t>（1）供应商的姓名或者名称、地址、邮编、联系人及联系电话；</w:t>
      </w:r>
    </w:p>
    <w:p w14:paraId="7CC50EE5">
      <w:pPr>
        <w:tabs>
          <w:tab w:val="left" w:pos="2190"/>
        </w:tabs>
        <w:spacing w:line="360" w:lineRule="exact"/>
        <w:ind w:firstLine="435"/>
        <w:rPr>
          <w:rFonts w:hint="default" w:ascii="Arial" w:hAnsi="Arial" w:cs="Arial"/>
          <w:szCs w:val="21"/>
          <w:highlight w:val="none"/>
        </w:rPr>
      </w:pPr>
      <w:r>
        <w:rPr>
          <w:rFonts w:hint="default" w:ascii="Arial" w:hAnsi="Arial" w:cs="Arial"/>
          <w:szCs w:val="21"/>
          <w:highlight w:val="none"/>
        </w:rPr>
        <w:t>（2）质疑项目的名称、编号；</w:t>
      </w:r>
    </w:p>
    <w:p w14:paraId="34B66FB1">
      <w:pPr>
        <w:tabs>
          <w:tab w:val="left" w:pos="2190"/>
        </w:tabs>
        <w:spacing w:line="360" w:lineRule="exact"/>
        <w:ind w:firstLine="435"/>
        <w:rPr>
          <w:rFonts w:hint="default" w:ascii="Arial" w:hAnsi="Arial" w:cs="Arial"/>
          <w:szCs w:val="21"/>
          <w:highlight w:val="none"/>
        </w:rPr>
      </w:pPr>
      <w:r>
        <w:rPr>
          <w:rFonts w:hint="default" w:ascii="Arial" w:hAnsi="Arial" w:cs="Arial"/>
          <w:szCs w:val="21"/>
          <w:highlight w:val="none"/>
        </w:rPr>
        <w:t>（3）具体、明确的质疑事项和与质疑事项相关的请求；</w:t>
      </w:r>
    </w:p>
    <w:p w14:paraId="5CE485A7">
      <w:pPr>
        <w:tabs>
          <w:tab w:val="left" w:pos="2190"/>
        </w:tabs>
        <w:spacing w:line="360" w:lineRule="exact"/>
        <w:ind w:firstLine="435"/>
        <w:rPr>
          <w:rFonts w:hint="default" w:ascii="Arial" w:hAnsi="Arial" w:cs="Arial"/>
          <w:szCs w:val="21"/>
          <w:highlight w:val="none"/>
        </w:rPr>
      </w:pPr>
      <w:r>
        <w:rPr>
          <w:rFonts w:hint="default" w:ascii="Arial" w:hAnsi="Arial" w:cs="Arial"/>
          <w:szCs w:val="21"/>
          <w:highlight w:val="none"/>
        </w:rPr>
        <w:t>（4）事实依据；</w:t>
      </w:r>
    </w:p>
    <w:p w14:paraId="4C05ED38">
      <w:pPr>
        <w:tabs>
          <w:tab w:val="left" w:pos="2190"/>
        </w:tabs>
        <w:spacing w:line="360" w:lineRule="exact"/>
        <w:ind w:firstLine="435"/>
        <w:rPr>
          <w:rFonts w:hint="default" w:ascii="Arial" w:hAnsi="Arial" w:cs="Arial"/>
          <w:szCs w:val="21"/>
          <w:highlight w:val="none"/>
        </w:rPr>
      </w:pPr>
      <w:r>
        <w:rPr>
          <w:rFonts w:hint="default" w:ascii="Arial" w:hAnsi="Arial" w:cs="Arial"/>
          <w:szCs w:val="21"/>
          <w:highlight w:val="none"/>
        </w:rPr>
        <w:t>（5）必要的法律依据；</w:t>
      </w:r>
    </w:p>
    <w:p w14:paraId="7A37E4B6">
      <w:pPr>
        <w:tabs>
          <w:tab w:val="left" w:pos="2190"/>
        </w:tabs>
        <w:spacing w:line="360" w:lineRule="exact"/>
        <w:ind w:firstLine="435"/>
        <w:rPr>
          <w:rFonts w:hint="default" w:ascii="Arial" w:hAnsi="Arial" w:cs="Arial"/>
          <w:szCs w:val="21"/>
          <w:highlight w:val="none"/>
        </w:rPr>
      </w:pPr>
      <w:r>
        <w:rPr>
          <w:rFonts w:hint="default" w:ascii="Arial" w:hAnsi="Arial" w:cs="Arial"/>
          <w:szCs w:val="21"/>
          <w:highlight w:val="none"/>
        </w:rPr>
        <w:t>（6）提出质疑的日期。</w:t>
      </w:r>
    </w:p>
    <w:p w14:paraId="165B032B">
      <w:pPr>
        <w:tabs>
          <w:tab w:val="left" w:pos="2190"/>
        </w:tabs>
        <w:spacing w:line="360" w:lineRule="exact"/>
        <w:ind w:firstLine="435"/>
        <w:rPr>
          <w:rFonts w:hint="default" w:ascii="Arial" w:hAnsi="Arial" w:cs="Arial"/>
          <w:szCs w:val="21"/>
          <w:highlight w:val="none"/>
        </w:rPr>
      </w:pPr>
      <w:r>
        <w:rPr>
          <w:rFonts w:hint="default" w:ascii="Arial" w:hAnsi="Arial" w:cs="Arial"/>
          <w:szCs w:val="21"/>
          <w:highlight w:val="none"/>
        </w:rPr>
        <w:t>供应商为自然人的，应当由本人签字；供应商为法人或者其他组织的，应当由法定代表人、主要负责人，或者其授权代表签字或者盖章，并加盖公章。</w:t>
      </w:r>
    </w:p>
    <w:p w14:paraId="4EEA7524">
      <w:pPr>
        <w:tabs>
          <w:tab w:val="left" w:pos="2190"/>
        </w:tabs>
        <w:spacing w:line="360" w:lineRule="exact"/>
        <w:ind w:firstLine="435"/>
        <w:rPr>
          <w:rFonts w:hint="default" w:ascii="Arial" w:hAnsi="Arial" w:cs="Arial"/>
          <w:szCs w:val="21"/>
          <w:highlight w:val="none"/>
        </w:rPr>
      </w:pPr>
      <w:r>
        <w:rPr>
          <w:rFonts w:hint="default" w:ascii="Arial" w:hAnsi="Arial" w:cs="Arial"/>
          <w:szCs w:val="21"/>
          <w:highlight w:val="none"/>
        </w:rPr>
        <w:t>接收质疑函方式：以书面形式</w:t>
      </w:r>
    </w:p>
    <w:p w14:paraId="53E6B94E">
      <w:pPr>
        <w:tabs>
          <w:tab w:val="left" w:pos="2190"/>
        </w:tabs>
        <w:spacing w:line="370" w:lineRule="exact"/>
        <w:ind w:firstLine="435"/>
        <w:jc w:val="left"/>
        <w:rPr>
          <w:rFonts w:hint="default" w:ascii="Arial" w:hAnsi="Arial" w:cs="Arial"/>
          <w:b/>
          <w:sz w:val="28"/>
          <w:szCs w:val="28"/>
          <w:highlight w:val="none"/>
        </w:rPr>
      </w:pPr>
      <w:r>
        <w:rPr>
          <w:rFonts w:hint="default" w:ascii="Arial" w:hAnsi="Arial" w:cs="Arial"/>
          <w:szCs w:val="21"/>
          <w:highlight w:val="none"/>
        </w:rPr>
        <w:t>质疑联系部门及联系方式：广西机电设备招标有限公司桂林分公司，联系人：郑雯峪，联系电话：0773-3696789转1。通讯地址：</w:t>
      </w:r>
      <w:r>
        <w:rPr>
          <w:rFonts w:hint="default" w:ascii="Arial" w:hAnsi="Arial" w:cs="Arial"/>
          <w:highlight w:val="none"/>
        </w:rPr>
        <w:t>广西桂林市七星区骖鸾路31号湘商大厦603</w:t>
      </w:r>
      <w:r>
        <w:rPr>
          <w:rFonts w:hint="default" w:ascii="Arial" w:hAnsi="Arial" w:cs="Arial"/>
          <w:szCs w:val="21"/>
          <w:highlight w:val="none"/>
        </w:rPr>
        <w:t>广西机电设备招标有限公司。</w:t>
      </w:r>
    </w:p>
    <w:p w14:paraId="0FC179FB">
      <w:pPr>
        <w:tabs>
          <w:tab w:val="left" w:pos="2190"/>
        </w:tabs>
        <w:spacing w:line="370" w:lineRule="exact"/>
        <w:ind w:firstLine="435"/>
        <w:jc w:val="center"/>
        <w:rPr>
          <w:rFonts w:hint="default" w:ascii="Arial" w:hAnsi="Arial" w:cs="Arial"/>
          <w:b/>
          <w:sz w:val="28"/>
          <w:szCs w:val="28"/>
          <w:highlight w:val="none"/>
        </w:rPr>
      </w:pPr>
    </w:p>
    <w:p w14:paraId="5B5D6228">
      <w:pPr>
        <w:tabs>
          <w:tab w:val="left" w:pos="2190"/>
        </w:tabs>
        <w:spacing w:line="370" w:lineRule="exact"/>
        <w:ind w:firstLine="435"/>
        <w:jc w:val="center"/>
        <w:rPr>
          <w:rFonts w:hint="default" w:ascii="Arial" w:hAnsi="Arial" w:cs="Arial"/>
          <w:b/>
          <w:sz w:val="28"/>
          <w:szCs w:val="28"/>
          <w:highlight w:val="none"/>
        </w:rPr>
      </w:pPr>
      <w:r>
        <w:rPr>
          <w:rFonts w:hint="default" w:ascii="Arial" w:hAnsi="Arial" w:cs="Arial"/>
          <w:b/>
          <w:sz w:val="28"/>
          <w:szCs w:val="28"/>
          <w:highlight w:val="none"/>
        </w:rPr>
        <w:t>二、招标文件</w:t>
      </w:r>
    </w:p>
    <w:p w14:paraId="630D6CF7">
      <w:pPr>
        <w:tabs>
          <w:tab w:val="left" w:pos="2190"/>
        </w:tabs>
        <w:spacing w:line="370" w:lineRule="exact"/>
        <w:ind w:firstLine="437"/>
        <w:rPr>
          <w:rFonts w:hint="default" w:ascii="Arial" w:hAnsi="Arial" w:cs="Arial"/>
          <w:b/>
          <w:szCs w:val="21"/>
          <w:highlight w:val="none"/>
        </w:rPr>
      </w:pPr>
      <w:r>
        <w:rPr>
          <w:rFonts w:hint="default" w:ascii="Arial" w:hAnsi="Arial" w:cs="Arial"/>
          <w:b/>
          <w:szCs w:val="21"/>
          <w:highlight w:val="none"/>
        </w:rPr>
        <w:t>11. 招标文件的构成</w:t>
      </w:r>
    </w:p>
    <w:p w14:paraId="2323707F">
      <w:pPr>
        <w:tabs>
          <w:tab w:val="left" w:pos="2190"/>
        </w:tabs>
        <w:spacing w:line="370" w:lineRule="exact"/>
        <w:ind w:firstLine="437"/>
        <w:rPr>
          <w:rFonts w:hint="default" w:ascii="Arial" w:hAnsi="Arial" w:cs="Arial"/>
          <w:szCs w:val="21"/>
          <w:highlight w:val="none"/>
        </w:rPr>
      </w:pPr>
      <w:r>
        <w:rPr>
          <w:rFonts w:hint="default" w:ascii="Arial" w:hAnsi="Arial" w:cs="Arial"/>
          <w:szCs w:val="21"/>
          <w:highlight w:val="none"/>
        </w:rPr>
        <w:t>（1）招标公告；</w:t>
      </w:r>
    </w:p>
    <w:p w14:paraId="31F61F68">
      <w:pPr>
        <w:tabs>
          <w:tab w:val="left" w:pos="2190"/>
        </w:tabs>
        <w:spacing w:line="370" w:lineRule="exact"/>
        <w:ind w:firstLine="437"/>
        <w:rPr>
          <w:rFonts w:hint="default" w:ascii="Arial" w:hAnsi="Arial" w:cs="Arial"/>
          <w:szCs w:val="21"/>
          <w:highlight w:val="none"/>
        </w:rPr>
      </w:pPr>
      <w:r>
        <w:rPr>
          <w:rFonts w:hint="default" w:ascii="Arial" w:hAnsi="Arial" w:cs="Arial"/>
          <w:szCs w:val="21"/>
          <w:highlight w:val="none"/>
        </w:rPr>
        <w:t>（2）投标人须知；</w:t>
      </w:r>
    </w:p>
    <w:p w14:paraId="3C88BD99">
      <w:pPr>
        <w:tabs>
          <w:tab w:val="left" w:pos="2190"/>
        </w:tabs>
        <w:spacing w:line="370" w:lineRule="exact"/>
        <w:ind w:firstLine="437"/>
        <w:rPr>
          <w:rFonts w:hint="default" w:ascii="Arial" w:hAnsi="Arial" w:cs="Arial"/>
          <w:szCs w:val="21"/>
          <w:highlight w:val="none"/>
        </w:rPr>
      </w:pPr>
      <w:r>
        <w:rPr>
          <w:rFonts w:hint="default" w:ascii="Arial" w:hAnsi="Arial" w:cs="Arial"/>
          <w:szCs w:val="21"/>
          <w:highlight w:val="none"/>
        </w:rPr>
        <w:t>（3）货物采购需求；</w:t>
      </w:r>
    </w:p>
    <w:p w14:paraId="4B924FFD">
      <w:pPr>
        <w:tabs>
          <w:tab w:val="left" w:pos="2190"/>
        </w:tabs>
        <w:spacing w:line="370" w:lineRule="exact"/>
        <w:ind w:firstLine="437"/>
        <w:rPr>
          <w:rFonts w:hint="default" w:ascii="Arial" w:hAnsi="Arial" w:cs="Arial"/>
          <w:szCs w:val="21"/>
          <w:highlight w:val="none"/>
        </w:rPr>
      </w:pPr>
      <w:r>
        <w:rPr>
          <w:rFonts w:hint="default" w:ascii="Arial" w:hAnsi="Arial" w:cs="Arial"/>
          <w:szCs w:val="21"/>
          <w:highlight w:val="none"/>
        </w:rPr>
        <w:t>（4）评标办法；</w:t>
      </w:r>
    </w:p>
    <w:p w14:paraId="15B5EBAC">
      <w:pPr>
        <w:tabs>
          <w:tab w:val="left" w:pos="2190"/>
        </w:tabs>
        <w:spacing w:line="370" w:lineRule="exact"/>
        <w:ind w:firstLine="437"/>
        <w:rPr>
          <w:rFonts w:hint="default" w:ascii="Arial" w:hAnsi="Arial" w:cs="Arial"/>
          <w:szCs w:val="21"/>
          <w:highlight w:val="none"/>
        </w:rPr>
      </w:pPr>
      <w:r>
        <w:rPr>
          <w:rFonts w:hint="default" w:ascii="Arial" w:hAnsi="Arial" w:cs="Arial"/>
          <w:szCs w:val="21"/>
          <w:highlight w:val="none"/>
        </w:rPr>
        <w:t>（5）政府采购合同（合同主要条款及格式）；</w:t>
      </w:r>
    </w:p>
    <w:p w14:paraId="2E30BB47">
      <w:pPr>
        <w:tabs>
          <w:tab w:val="left" w:pos="2190"/>
          <w:tab w:val="right" w:pos="9638"/>
        </w:tabs>
        <w:spacing w:line="370" w:lineRule="exact"/>
        <w:ind w:firstLine="437"/>
        <w:rPr>
          <w:rFonts w:hint="default" w:ascii="Arial" w:hAnsi="Arial" w:cs="Arial"/>
          <w:szCs w:val="21"/>
          <w:highlight w:val="none"/>
        </w:rPr>
      </w:pPr>
      <w:r>
        <w:rPr>
          <w:rFonts w:hint="default" w:ascii="Arial" w:hAnsi="Arial" w:cs="Arial"/>
          <w:szCs w:val="21"/>
          <w:highlight w:val="none"/>
        </w:rPr>
        <w:t>（6）投标文件（格式）。</w:t>
      </w:r>
      <w:r>
        <w:rPr>
          <w:rFonts w:hint="default" w:ascii="Arial" w:hAnsi="Arial" w:cs="Arial"/>
          <w:szCs w:val="21"/>
          <w:highlight w:val="none"/>
        </w:rPr>
        <w:tab/>
      </w:r>
    </w:p>
    <w:p w14:paraId="059FEDE1">
      <w:pPr>
        <w:tabs>
          <w:tab w:val="left" w:pos="2190"/>
        </w:tabs>
        <w:spacing w:line="370" w:lineRule="exact"/>
        <w:ind w:firstLine="437"/>
        <w:rPr>
          <w:rFonts w:hint="default" w:ascii="Arial" w:hAnsi="Arial" w:cs="Arial"/>
          <w:b/>
          <w:szCs w:val="21"/>
          <w:highlight w:val="none"/>
        </w:rPr>
      </w:pPr>
      <w:r>
        <w:rPr>
          <w:rFonts w:hint="default" w:ascii="Arial" w:hAnsi="Arial" w:cs="Arial"/>
          <w:b/>
          <w:szCs w:val="21"/>
          <w:highlight w:val="none"/>
        </w:rPr>
        <w:t>12. 招标文件的澄清与修改</w:t>
      </w:r>
    </w:p>
    <w:p w14:paraId="15B8CD79">
      <w:pPr>
        <w:tabs>
          <w:tab w:val="left" w:pos="2190"/>
        </w:tabs>
        <w:spacing w:line="370" w:lineRule="exact"/>
        <w:ind w:firstLine="437"/>
        <w:rPr>
          <w:rFonts w:hint="default" w:ascii="Arial" w:hAnsi="Arial" w:cs="Arial"/>
          <w:szCs w:val="21"/>
          <w:highlight w:val="none"/>
        </w:rPr>
      </w:pPr>
      <w:r>
        <w:rPr>
          <w:rFonts w:hint="default" w:ascii="Arial" w:hAnsi="Arial" w:cs="Arial"/>
          <w:szCs w:val="21"/>
          <w:highlight w:val="none"/>
        </w:rPr>
        <w:t>12.1投标人应认真阅读招标文件，发现其中有误或有不合理要求的，投标人可以在本项目公告期限截止之日起七个工作日内以书面形式要求采购代理机构澄清。</w:t>
      </w:r>
    </w:p>
    <w:p w14:paraId="63DA245B">
      <w:pPr>
        <w:tabs>
          <w:tab w:val="left" w:pos="2190"/>
        </w:tabs>
        <w:spacing w:line="370" w:lineRule="exact"/>
        <w:ind w:firstLine="437"/>
        <w:rPr>
          <w:rFonts w:hint="default" w:ascii="Arial" w:hAnsi="Arial" w:cs="Arial"/>
          <w:szCs w:val="21"/>
          <w:highlight w:val="none"/>
        </w:rPr>
      </w:pPr>
      <w:r>
        <w:rPr>
          <w:rFonts w:hint="default" w:ascii="Arial" w:hAnsi="Arial" w:cs="Arial"/>
          <w:szCs w:val="21"/>
          <w:highlight w:val="none"/>
        </w:rPr>
        <w:t>12.2采购代理机构可以对已发出的招标文件进行必要的澄清或者修改，但不得改变采购标的和资格条件。澄清或者修改应当在原公告发布媒体上发布澄清公告。澄清或者修改的内容为招标文件的组成部分。澄清或者修改的内容可能影响投标文件编制的，采购代理机构应当在投标截止时间至少15日前在本招标项目招标公告发布的同一媒体上发布更正公告；不足15日的，采购代理机构应当顺延提交投标文件的截止时间。</w:t>
      </w:r>
    </w:p>
    <w:p w14:paraId="2673EC22">
      <w:pPr>
        <w:tabs>
          <w:tab w:val="left" w:pos="2190"/>
        </w:tabs>
        <w:spacing w:line="370" w:lineRule="exact"/>
        <w:ind w:firstLine="437"/>
        <w:rPr>
          <w:rFonts w:hint="default" w:ascii="Arial" w:hAnsi="Arial" w:cs="Arial"/>
          <w:szCs w:val="21"/>
          <w:highlight w:val="none"/>
        </w:rPr>
      </w:pPr>
      <w:r>
        <w:rPr>
          <w:rFonts w:hint="default" w:ascii="Arial" w:hAnsi="Arial" w:cs="Arial"/>
          <w:szCs w:val="21"/>
          <w:highlight w:val="none"/>
        </w:rPr>
        <w:t>12.3必要的澄清、修改的内容为招标文件的组成部分。当澄清、修改通知就同一内容的表述不一致时，以最后发出的书面文件为准。</w:t>
      </w:r>
    </w:p>
    <w:p w14:paraId="7584B718">
      <w:pPr>
        <w:tabs>
          <w:tab w:val="left" w:pos="2190"/>
        </w:tabs>
        <w:spacing w:line="370" w:lineRule="exact"/>
        <w:ind w:firstLine="437"/>
        <w:rPr>
          <w:rFonts w:hint="default" w:ascii="Arial" w:hAnsi="Arial" w:cs="Arial"/>
          <w:szCs w:val="21"/>
          <w:highlight w:val="none"/>
        </w:rPr>
      </w:pPr>
      <w:r>
        <w:rPr>
          <w:rFonts w:hint="default" w:ascii="Arial" w:hAnsi="Arial" w:cs="Arial"/>
          <w:szCs w:val="21"/>
          <w:highlight w:val="none"/>
        </w:rPr>
        <w:t>12.4招标文件的澄清、修改都应该通过采购代理机构以法定形式发布，采购人非通过本机构，不得擅自澄清、修改招标文件。</w:t>
      </w:r>
    </w:p>
    <w:p w14:paraId="0A9AA991">
      <w:pPr>
        <w:tabs>
          <w:tab w:val="left" w:pos="2190"/>
        </w:tabs>
        <w:spacing w:line="370" w:lineRule="exact"/>
        <w:ind w:firstLine="437"/>
        <w:rPr>
          <w:rFonts w:hint="default" w:ascii="Arial" w:hAnsi="Arial" w:cs="Arial"/>
          <w:szCs w:val="21"/>
          <w:highlight w:val="none"/>
        </w:rPr>
      </w:pPr>
      <w:r>
        <w:rPr>
          <w:rFonts w:hint="default" w:ascii="Arial" w:hAnsi="Arial" w:cs="Arial"/>
          <w:szCs w:val="21"/>
          <w:highlight w:val="none"/>
        </w:rPr>
        <w:t xml:space="preserve">12.5采购人或者采购代理机构可以视采购具体情况，延长投标截止时间和开标时间，并在本项目招标公告发布的同一媒体上发布变更公告。 </w:t>
      </w:r>
    </w:p>
    <w:p w14:paraId="2E357168">
      <w:pPr>
        <w:tabs>
          <w:tab w:val="left" w:pos="2190"/>
        </w:tabs>
        <w:spacing w:line="370" w:lineRule="exact"/>
        <w:ind w:firstLine="435"/>
        <w:rPr>
          <w:rFonts w:hint="default" w:ascii="Arial" w:hAnsi="Arial" w:cs="Arial"/>
          <w:szCs w:val="21"/>
          <w:highlight w:val="none"/>
        </w:rPr>
      </w:pPr>
    </w:p>
    <w:p w14:paraId="5C2A5276">
      <w:pPr>
        <w:tabs>
          <w:tab w:val="left" w:pos="2190"/>
        </w:tabs>
        <w:spacing w:line="370" w:lineRule="exact"/>
        <w:ind w:firstLine="435"/>
        <w:jc w:val="center"/>
        <w:rPr>
          <w:rFonts w:hint="default" w:ascii="Arial" w:hAnsi="Arial" w:cs="Arial"/>
          <w:b/>
          <w:sz w:val="28"/>
          <w:szCs w:val="28"/>
          <w:highlight w:val="none"/>
        </w:rPr>
      </w:pPr>
      <w:r>
        <w:rPr>
          <w:rFonts w:hint="default" w:ascii="Arial" w:hAnsi="Arial" w:cs="Arial"/>
          <w:b/>
          <w:sz w:val="28"/>
          <w:szCs w:val="28"/>
          <w:highlight w:val="none"/>
        </w:rPr>
        <w:t>三、投标文件的编制</w:t>
      </w:r>
    </w:p>
    <w:p w14:paraId="5DBE346F">
      <w:pPr>
        <w:tabs>
          <w:tab w:val="left" w:pos="1305"/>
        </w:tabs>
        <w:spacing w:line="370" w:lineRule="exact"/>
        <w:ind w:firstLine="420" w:firstLineChars="200"/>
        <w:rPr>
          <w:rFonts w:hint="default" w:ascii="Arial" w:hAnsi="Arial" w:cs="Arial"/>
          <w:b/>
          <w:szCs w:val="21"/>
          <w:highlight w:val="none"/>
        </w:rPr>
      </w:pPr>
      <w:r>
        <w:rPr>
          <w:rFonts w:hint="default" w:ascii="Arial" w:hAnsi="Arial" w:cs="Arial"/>
          <w:b/>
          <w:szCs w:val="21"/>
          <w:highlight w:val="none"/>
        </w:rPr>
        <w:t>13. 投标文件的组成及要求</w:t>
      </w:r>
    </w:p>
    <w:p w14:paraId="3C8B7210">
      <w:pPr>
        <w:tabs>
          <w:tab w:val="left" w:pos="2190"/>
        </w:tabs>
        <w:spacing w:line="370" w:lineRule="exact"/>
        <w:ind w:firstLine="435"/>
        <w:rPr>
          <w:rFonts w:hint="default" w:ascii="Arial" w:hAnsi="Arial" w:cs="Arial"/>
          <w:b/>
          <w:szCs w:val="21"/>
          <w:highlight w:val="none"/>
        </w:rPr>
      </w:pPr>
      <w:r>
        <w:rPr>
          <w:rFonts w:hint="default" w:ascii="Arial" w:hAnsi="Arial" w:cs="Arial"/>
          <w:b/>
          <w:szCs w:val="21"/>
          <w:highlight w:val="none"/>
        </w:rPr>
        <w:t>13.1本项目实行电子投标，供应商应准备电子投标文件。</w:t>
      </w:r>
    </w:p>
    <w:p w14:paraId="55FABE47">
      <w:pPr>
        <w:tabs>
          <w:tab w:val="left" w:pos="2190"/>
        </w:tabs>
        <w:spacing w:line="370" w:lineRule="exact"/>
        <w:ind w:firstLine="435"/>
        <w:rPr>
          <w:rFonts w:hint="default" w:ascii="Arial" w:hAnsi="Arial" w:cs="Arial"/>
          <w:b/>
          <w:szCs w:val="21"/>
          <w:highlight w:val="none"/>
        </w:rPr>
      </w:pPr>
      <w:r>
        <w:rPr>
          <w:rFonts w:hint="default" w:ascii="Arial" w:hAnsi="Arial" w:cs="Arial"/>
          <w:b/>
          <w:szCs w:val="21"/>
          <w:highlight w:val="none"/>
        </w:rPr>
        <w:t>13.1.1 电子投标文件按广西政府采购云平台要求及本招标文件要求制作、加密并递交。具体操作流程可参考《政府采购项目电子交易管理操作指南-供应商》，指南可在 “http</w:t>
      </w:r>
      <w:r>
        <w:rPr>
          <w:rFonts w:hint="default" w:ascii="Arial" w:hAnsi="Arial" w:cs="Arial"/>
          <w:b/>
          <w:szCs w:val="21"/>
          <w:highlight w:val="none"/>
          <w:lang w:eastAsia="zh-CN"/>
        </w:rPr>
        <w:t>：</w:t>
      </w:r>
      <w:r>
        <w:rPr>
          <w:rFonts w:hint="default" w:ascii="Arial" w:hAnsi="Arial" w:cs="Arial"/>
          <w:b/>
          <w:szCs w:val="21"/>
          <w:highlight w:val="none"/>
        </w:rPr>
        <w:t>//www.ccgp-guangxi.gov.cn/PurchaseAdvisory/ImportantNotice/2866753.html”下载。</w:t>
      </w:r>
    </w:p>
    <w:p w14:paraId="21CD6D7A">
      <w:pPr>
        <w:tabs>
          <w:tab w:val="left" w:pos="2190"/>
        </w:tabs>
        <w:spacing w:line="370" w:lineRule="exact"/>
        <w:ind w:firstLine="435"/>
        <w:rPr>
          <w:rFonts w:hint="default" w:ascii="Arial" w:hAnsi="Arial" w:cs="Arial"/>
          <w:b/>
          <w:szCs w:val="21"/>
          <w:highlight w:val="none"/>
        </w:rPr>
      </w:pPr>
      <w:r>
        <w:rPr>
          <w:rFonts w:hint="default" w:ascii="Arial" w:hAnsi="Arial" w:cs="Arial"/>
          <w:b/>
          <w:bCs/>
          <w:szCs w:val="21"/>
          <w:highlight w:val="none"/>
        </w:rPr>
        <w:t>13.2投标</w:t>
      </w:r>
      <w:r>
        <w:rPr>
          <w:rFonts w:hint="default" w:ascii="Arial" w:hAnsi="Arial" w:cs="Arial"/>
          <w:b/>
          <w:szCs w:val="21"/>
          <w:highlight w:val="none"/>
        </w:rPr>
        <w:t>文件组成【格式见第六章“投标文件（格式）”】</w:t>
      </w:r>
    </w:p>
    <w:p w14:paraId="30353B76">
      <w:pPr>
        <w:snapToGrid w:val="0"/>
        <w:spacing w:line="370" w:lineRule="exact"/>
        <w:ind w:firstLine="420" w:firstLineChars="200"/>
        <w:outlineLvl w:val="4"/>
        <w:rPr>
          <w:rFonts w:hint="default" w:ascii="Arial" w:hAnsi="Arial" w:cs="Arial"/>
          <w:szCs w:val="21"/>
          <w:highlight w:val="none"/>
        </w:rPr>
      </w:pPr>
      <w:r>
        <w:rPr>
          <w:rFonts w:hint="default" w:ascii="Arial" w:hAnsi="Arial" w:cs="Arial"/>
          <w:szCs w:val="21"/>
          <w:highlight w:val="none"/>
        </w:rPr>
        <w:t>13.2.1</w:t>
      </w:r>
      <w:bookmarkStart w:id="14" w:name="_Hlk35097745"/>
      <w:r>
        <w:rPr>
          <w:rFonts w:hint="default" w:ascii="Arial" w:hAnsi="Arial" w:cs="Arial"/>
          <w:szCs w:val="21"/>
          <w:highlight w:val="none"/>
        </w:rPr>
        <w:t>投标报价表</w:t>
      </w:r>
      <w:bookmarkEnd w:id="14"/>
      <w:r>
        <w:rPr>
          <w:rFonts w:hint="default" w:ascii="Arial" w:hAnsi="Arial" w:cs="Arial"/>
          <w:b/>
          <w:bCs/>
          <w:szCs w:val="21"/>
          <w:highlight w:val="none"/>
        </w:rPr>
        <w:t>（格式见附件）（必须提供）</w:t>
      </w:r>
      <w:r>
        <w:rPr>
          <w:rFonts w:hint="default" w:ascii="Arial" w:hAnsi="Arial" w:cs="Arial"/>
          <w:szCs w:val="21"/>
          <w:highlight w:val="none"/>
        </w:rPr>
        <w:t>；</w:t>
      </w:r>
    </w:p>
    <w:p w14:paraId="09091546">
      <w:pPr>
        <w:snapToGrid w:val="0"/>
        <w:spacing w:line="370" w:lineRule="exact"/>
        <w:ind w:firstLine="420" w:firstLineChars="200"/>
        <w:outlineLvl w:val="4"/>
        <w:rPr>
          <w:rFonts w:hint="default" w:ascii="Arial" w:hAnsi="Arial" w:cs="Arial"/>
          <w:szCs w:val="21"/>
          <w:highlight w:val="none"/>
        </w:rPr>
      </w:pPr>
      <w:r>
        <w:rPr>
          <w:rFonts w:hint="default" w:ascii="Arial" w:hAnsi="Arial" w:cs="Arial"/>
          <w:szCs w:val="21"/>
          <w:highlight w:val="none"/>
        </w:rPr>
        <w:t>13.2.2资格性响应证明材料：</w:t>
      </w:r>
    </w:p>
    <w:p w14:paraId="65F8E826">
      <w:pPr>
        <w:tabs>
          <w:tab w:val="left" w:pos="1305"/>
        </w:tabs>
        <w:spacing w:line="384" w:lineRule="exact"/>
        <w:ind w:firstLine="420" w:firstLineChars="200"/>
        <w:rPr>
          <w:rFonts w:hint="default" w:ascii="Arial" w:hAnsi="Arial" w:cs="Arial"/>
          <w:szCs w:val="21"/>
          <w:highlight w:val="none"/>
        </w:rPr>
      </w:pPr>
      <w:r>
        <w:rPr>
          <w:rFonts w:hint="default" w:ascii="Arial" w:hAnsi="Arial" w:cs="Arial"/>
          <w:szCs w:val="21"/>
          <w:highlight w:val="none"/>
        </w:rPr>
        <w:t>（1）</w:t>
      </w:r>
      <w:r>
        <w:rPr>
          <w:rFonts w:hint="eastAsia" w:ascii="Arial" w:hAnsi="Arial" w:cs="Arial"/>
          <w:szCs w:val="21"/>
          <w:highlight w:val="none"/>
          <w:lang w:eastAsia="zh-CN"/>
        </w:rPr>
        <w:t>符合《政府采购法》的声明函</w:t>
      </w:r>
      <w:r>
        <w:rPr>
          <w:rFonts w:hint="default" w:ascii="Arial" w:hAnsi="Arial" w:cs="Arial"/>
          <w:b/>
          <w:bCs/>
          <w:szCs w:val="21"/>
          <w:highlight w:val="none"/>
        </w:rPr>
        <w:t>（必须提供）；</w:t>
      </w:r>
    </w:p>
    <w:p w14:paraId="140F55D7">
      <w:pPr>
        <w:tabs>
          <w:tab w:val="left" w:pos="1305"/>
        </w:tabs>
        <w:spacing w:line="384" w:lineRule="exact"/>
        <w:ind w:firstLine="420" w:firstLineChars="200"/>
        <w:rPr>
          <w:rFonts w:hint="default" w:ascii="Arial" w:hAnsi="Arial" w:cs="Arial"/>
          <w:szCs w:val="21"/>
          <w:highlight w:val="none"/>
        </w:rPr>
      </w:pPr>
      <w:r>
        <w:rPr>
          <w:rFonts w:hint="default" w:ascii="Arial" w:hAnsi="Arial" w:cs="Arial"/>
          <w:szCs w:val="21"/>
          <w:highlight w:val="none"/>
        </w:rPr>
        <w:t>（2）投标人相应的法定代表人、负责人、自然人身份证正反面复印件</w:t>
      </w:r>
      <w:r>
        <w:rPr>
          <w:rFonts w:hint="default" w:ascii="Arial" w:hAnsi="Arial" w:cs="Arial"/>
          <w:b/>
          <w:bCs/>
          <w:szCs w:val="21"/>
          <w:highlight w:val="none"/>
        </w:rPr>
        <w:t>（必须提供）；</w:t>
      </w:r>
    </w:p>
    <w:p w14:paraId="1512F1DA">
      <w:pPr>
        <w:tabs>
          <w:tab w:val="left" w:pos="1305"/>
        </w:tabs>
        <w:spacing w:line="384" w:lineRule="exact"/>
        <w:ind w:firstLine="420" w:firstLineChars="200"/>
        <w:rPr>
          <w:rFonts w:hint="default" w:ascii="Arial" w:hAnsi="Arial" w:cs="Arial"/>
          <w:szCs w:val="21"/>
          <w:highlight w:val="none"/>
        </w:rPr>
      </w:pPr>
      <w:r>
        <w:rPr>
          <w:rFonts w:hint="default" w:ascii="Arial" w:hAnsi="Arial" w:cs="Arial"/>
          <w:szCs w:val="21"/>
          <w:highlight w:val="none"/>
        </w:rPr>
        <w:t>（3）投标人的法人授权委托书原件（格式见附件）、委托代理人有效的身份证正反两面复印件以及由县级以上（含县级）社会养老保险经办机构出具的投标人为委托代理人交纳的</w:t>
      </w:r>
      <w:r>
        <w:rPr>
          <w:rFonts w:hint="default" w:ascii="Arial" w:hAnsi="Arial" w:cs="Arial"/>
          <w:szCs w:val="21"/>
          <w:highlight w:val="none"/>
          <w:lang w:eastAsia="zh-CN"/>
        </w:rPr>
        <w:t>近6个月中任意一个月的社保证明复印件</w:t>
      </w:r>
      <w:r>
        <w:rPr>
          <w:rFonts w:hint="default" w:ascii="Arial" w:hAnsi="Arial" w:cs="Arial"/>
          <w:b/>
          <w:szCs w:val="21"/>
          <w:highlight w:val="none"/>
        </w:rPr>
        <w:t>（委托代理时必须提供）</w:t>
      </w:r>
      <w:r>
        <w:rPr>
          <w:rFonts w:hint="default" w:ascii="Arial" w:hAnsi="Arial" w:cs="Arial"/>
          <w:szCs w:val="21"/>
          <w:highlight w:val="none"/>
        </w:rPr>
        <w:t>；</w:t>
      </w:r>
    </w:p>
    <w:p w14:paraId="6AD042FF">
      <w:pPr>
        <w:tabs>
          <w:tab w:val="left" w:pos="1305"/>
        </w:tabs>
        <w:spacing w:line="384" w:lineRule="exact"/>
        <w:ind w:firstLine="420" w:firstLineChars="200"/>
        <w:rPr>
          <w:rFonts w:hint="default" w:ascii="Arial" w:hAnsi="Arial" w:cs="Arial"/>
          <w:szCs w:val="21"/>
          <w:highlight w:val="none"/>
        </w:rPr>
      </w:pPr>
      <w:r>
        <w:rPr>
          <w:rFonts w:hint="default" w:ascii="Arial" w:hAnsi="Arial" w:cs="Arial"/>
          <w:b/>
          <w:szCs w:val="21"/>
          <w:highlight w:val="none"/>
        </w:rPr>
        <w:t>注：投标人</w:t>
      </w:r>
      <w:r>
        <w:rPr>
          <w:rFonts w:hint="default" w:ascii="Arial" w:hAnsi="Arial" w:cs="Arial"/>
          <w:b/>
          <w:bCs/>
          <w:szCs w:val="21"/>
          <w:highlight w:val="none"/>
        </w:rPr>
        <w:t>成立不足1个月的，无须提供社保缴费证明加盖投标人公章</w:t>
      </w:r>
    </w:p>
    <w:p w14:paraId="34F5A574">
      <w:pPr>
        <w:tabs>
          <w:tab w:val="left" w:pos="1305"/>
        </w:tabs>
        <w:spacing w:line="384" w:lineRule="exact"/>
        <w:ind w:firstLine="420" w:firstLineChars="200"/>
        <w:rPr>
          <w:rFonts w:hint="default" w:ascii="Arial" w:hAnsi="Arial" w:cs="Arial"/>
          <w:szCs w:val="21"/>
          <w:highlight w:val="none"/>
        </w:rPr>
      </w:pPr>
      <w:r>
        <w:rPr>
          <w:rFonts w:hint="default" w:ascii="Arial" w:hAnsi="Arial" w:cs="Arial"/>
          <w:szCs w:val="21"/>
          <w:highlight w:val="none"/>
        </w:rPr>
        <w:t>（4）投标人参加采购活动前三年内在经营活动中没有重大违法记录的书面声明</w:t>
      </w:r>
      <w:r>
        <w:rPr>
          <w:rFonts w:hint="default" w:ascii="Arial" w:hAnsi="Arial" w:cs="Arial"/>
          <w:b/>
          <w:szCs w:val="21"/>
          <w:highlight w:val="none"/>
        </w:rPr>
        <w:t>（必须提供）；</w:t>
      </w:r>
    </w:p>
    <w:p w14:paraId="6D567772">
      <w:pPr>
        <w:tabs>
          <w:tab w:val="left" w:pos="1305"/>
        </w:tabs>
        <w:spacing w:line="384" w:lineRule="exact"/>
        <w:ind w:firstLine="420" w:firstLineChars="200"/>
        <w:rPr>
          <w:rFonts w:hint="default" w:ascii="Arial" w:hAnsi="Arial" w:cs="Arial"/>
          <w:szCs w:val="21"/>
          <w:highlight w:val="none"/>
        </w:rPr>
      </w:pPr>
      <w:r>
        <w:rPr>
          <w:rFonts w:hint="default" w:ascii="Arial" w:hAnsi="Arial" w:cs="Arial"/>
          <w:szCs w:val="21"/>
          <w:highlight w:val="none"/>
        </w:rPr>
        <w:t>（</w:t>
      </w:r>
      <w:r>
        <w:rPr>
          <w:rFonts w:hint="eastAsia" w:ascii="Arial" w:hAnsi="Arial" w:cs="Arial"/>
          <w:szCs w:val="21"/>
          <w:highlight w:val="none"/>
          <w:lang w:val="en-US" w:eastAsia="zh-CN"/>
        </w:rPr>
        <w:t>5</w:t>
      </w:r>
      <w:r>
        <w:rPr>
          <w:rFonts w:hint="default" w:ascii="Arial" w:hAnsi="Arial" w:cs="Arial"/>
          <w:szCs w:val="21"/>
          <w:highlight w:val="none"/>
        </w:rPr>
        <w:t>）</w:t>
      </w:r>
      <w:bookmarkStart w:id="15" w:name="_Hlk35098422"/>
      <w:r>
        <w:rPr>
          <w:rFonts w:hint="default" w:ascii="Arial" w:hAnsi="Arial" w:cs="Arial"/>
          <w:szCs w:val="21"/>
          <w:highlight w:val="none"/>
        </w:rPr>
        <w:t>投标人的法人或者其他组织营业执照等证明文件复印件</w:t>
      </w:r>
      <w:r>
        <w:rPr>
          <w:rFonts w:hint="default" w:ascii="Arial" w:hAnsi="Arial" w:cs="Arial"/>
          <w:b/>
          <w:szCs w:val="21"/>
          <w:highlight w:val="none"/>
        </w:rPr>
        <w:t>（必须提供，自然人除外）</w:t>
      </w:r>
      <w:r>
        <w:rPr>
          <w:rFonts w:hint="default" w:ascii="Arial" w:hAnsi="Arial" w:cs="Arial"/>
          <w:szCs w:val="21"/>
          <w:highlight w:val="none"/>
        </w:rPr>
        <w:t>；</w:t>
      </w:r>
      <w:bookmarkEnd w:id="15"/>
    </w:p>
    <w:p w14:paraId="7DC1415D">
      <w:pPr>
        <w:numPr>
          <w:ilvl w:val="0"/>
          <w:numId w:val="0"/>
        </w:numPr>
        <w:tabs>
          <w:tab w:val="left" w:pos="1305"/>
        </w:tabs>
        <w:spacing w:line="380" w:lineRule="exact"/>
        <w:ind w:firstLine="420" w:firstLineChars="200"/>
        <w:rPr>
          <w:rFonts w:hint="default" w:ascii="Arial" w:hAnsi="Arial" w:cs="Arial"/>
          <w:b/>
          <w:bCs/>
          <w:szCs w:val="21"/>
          <w:highlight w:val="none"/>
        </w:rPr>
      </w:pPr>
      <w:r>
        <w:rPr>
          <w:rFonts w:hint="default" w:ascii="Arial" w:hAnsi="Arial" w:cs="Arial"/>
          <w:b/>
          <w:bCs/>
          <w:szCs w:val="21"/>
          <w:highlight w:val="none"/>
        </w:rPr>
        <w:t>注：①法人包括企业法人、机关法人、事业单位法人和社会团体法人；其他组织主要包括合伙企业、非企业专业服务机构、个体工商户、农村承包经营户。②如供应商为企业（包括合伙企业），应提供工商部门注册的有效“企业法人营业执照”或“营业执照”；供应商为事业单位，应提供有效的“事业单位法人证书”；供应商为非企业专业服务机构的，应提供执业许可证等证明文件；供应商为个体工商户，应提供有效的“个体工商户营业执照”。</w:t>
      </w:r>
    </w:p>
    <w:p w14:paraId="0A68D93B">
      <w:pPr>
        <w:numPr>
          <w:ilvl w:val="0"/>
          <w:numId w:val="0"/>
        </w:numPr>
        <w:tabs>
          <w:tab w:val="left" w:pos="1305"/>
        </w:tabs>
        <w:spacing w:line="380" w:lineRule="exact"/>
        <w:ind w:firstLine="420" w:firstLineChars="200"/>
        <w:rPr>
          <w:rFonts w:hint="default" w:ascii="Arial" w:hAnsi="Arial" w:cs="Arial"/>
          <w:b/>
          <w:color w:val="auto"/>
          <w:szCs w:val="21"/>
          <w:highlight w:val="none"/>
        </w:rPr>
      </w:pPr>
      <w:r>
        <w:rPr>
          <w:rFonts w:hint="default" w:ascii="Arial" w:hAnsi="Arial" w:cs="Arial"/>
          <w:b w:val="0"/>
          <w:bCs w:val="0"/>
          <w:color w:val="auto"/>
          <w:highlight w:val="none"/>
          <w:lang w:val="en-US" w:eastAsia="zh-CN"/>
        </w:rPr>
        <w:t>（</w:t>
      </w:r>
      <w:r>
        <w:rPr>
          <w:rFonts w:hint="eastAsia" w:ascii="Arial" w:hAnsi="Arial" w:cs="Arial"/>
          <w:b w:val="0"/>
          <w:bCs w:val="0"/>
          <w:color w:val="auto"/>
          <w:highlight w:val="none"/>
          <w:lang w:val="en-US" w:eastAsia="zh-CN"/>
        </w:rPr>
        <w:t>6</w:t>
      </w:r>
      <w:r>
        <w:rPr>
          <w:rFonts w:hint="default" w:ascii="Arial" w:hAnsi="Arial" w:cs="Arial"/>
          <w:b w:val="0"/>
          <w:bCs w:val="0"/>
          <w:color w:val="auto"/>
          <w:highlight w:val="none"/>
          <w:lang w:val="en-US" w:eastAsia="zh-CN"/>
        </w:rPr>
        <w:t>）</w:t>
      </w:r>
      <w:r>
        <w:rPr>
          <w:rFonts w:hint="default" w:ascii="Arial" w:hAnsi="Arial" w:cs="Arial"/>
          <w:bCs/>
          <w:color w:val="auto"/>
          <w:highlight w:val="none"/>
        </w:rPr>
        <w:t>供</w:t>
      </w:r>
      <w:r>
        <w:rPr>
          <w:rFonts w:hint="default" w:ascii="Arial" w:hAnsi="Arial" w:cs="Arial"/>
          <w:color w:val="auto"/>
          <w:highlight w:val="none"/>
        </w:rPr>
        <w:t>应商有依法缴纳税收和社会保障金的良好记录</w:t>
      </w:r>
      <w:r>
        <w:rPr>
          <w:rFonts w:hint="default" w:ascii="Arial" w:hAnsi="Arial" w:cs="Arial"/>
          <w:b/>
          <w:color w:val="auto"/>
          <w:szCs w:val="21"/>
          <w:highlight w:val="none"/>
        </w:rPr>
        <w:t>（必须提供）</w:t>
      </w:r>
    </w:p>
    <w:p w14:paraId="4B6CD664">
      <w:pPr>
        <w:tabs>
          <w:tab w:val="left" w:pos="1305"/>
        </w:tabs>
        <w:spacing w:line="380" w:lineRule="exact"/>
        <w:ind w:firstLine="420" w:firstLineChars="200"/>
        <w:rPr>
          <w:rFonts w:hint="default" w:ascii="Arial" w:hAnsi="Arial" w:cs="Arial"/>
          <w:b/>
          <w:bCs/>
          <w:szCs w:val="21"/>
          <w:highlight w:val="none"/>
        </w:rPr>
      </w:pPr>
      <w:r>
        <w:rPr>
          <w:rFonts w:hint="eastAsia" w:ascii="Arial" w:hAnsi="Arial" w:cs="Arial"/>
          <w:b w:val="0"/>
          <w:bCs/>
          <w:color w:val="auto"/>
          <w:szCs w:val="21"/>
          <w:highlight w:val="none"/>
          <w:lang w:eastAsia="zh-CN"/>
        </w:rPr>
        <w:t>（</w:t>
      </w:r>
      <w:r>
        <w:rPr>
          <w:rFonts w:hint="eastAsia" w:ascii="Arial" w:hAnsi="Arial" w:cs="Arial"/>
          <w:b w:val="0"/>
          <w:bCs/>
          <w:color w:val="auto"/>
          <w:szCs w:val="21"/>
          <w:highlight w:val="none"/>
          <w:lang w:val="en-US" w:eastAsia="zh-CN"/>
        </w:rPr>
        <w:t>7</w:t>
      </w:r>
      <w:r>
        <w:rPr>
          <w:rFonts w:hint="eastAsia" w:ascii="Arial" w:hAnsi="Arial" w:cs="Arial"/>
          <w:b w:val="0"/>
          <w:bCs/>
          <w:color w:val="auto"/>
          <w:szCs w:val="21"/>
          <w:highlight w:val="none"/>
          <w:lang w:eastAsia="zh-CN"/>
        </w:rPr>
        <w:t>）</w:t>
      </w:r>
      <w:r>
        <w:rPr>
          <w:rFonts w:hint="eastAsia" w:ascii="Arial" w:hAnsi="Arial" w:cs="Arial"/>
          <w:b w:val="0"/>
          <w:bCs/>
          <w:color w:val="auto"/>
          <w:szCs w:val="21"/>
          <w:highlight w:val="none"/>
          <w:lang w:val="en-US" w:eastAsia="zh-CN"/>
        </w:rPr>
        <w:t>符合特定资质证明材料</w:t>
      </w:r>
      <w:r>
        <w:rPr>
          <w:rFonts w:hint="default" w:ascii="Arial" w:hAnsi="Arial" w:cs="Arial"/>
          <w:b/>
          <w:bCs/>
          <w:szCs w:val="21"/>
          <w:highlight w:val="none"/>
        </w:rPr>
        <w:t>（必须提供）</w:t>
      </w:r>
    </w:p>
    <w:p w14:paraId="72BE1C97">
      <w:pPr>
        <w:snapToGrid w:val="0"/>
        <w:spacing w:line="370" w:lineRule="exact"/>
        <w:ind w:firstLine="420" w:firstLineChars="200"/>
        <w:outlineLvl w:val="4"/>
        <w:rPr>
          <w:rFonts w:hint="default" w:ascii="Arial" w:hAnsi="Arial" w:cs="Arial"/>
          <w:szCs w:val="21"/>
          <w:highlight w:val="none"/>
        </w:rPr>
      </w:pPr>
      <w:r>
        <w:rPr>
          <w:rFonts w:hint="default" w:ascii="Arial" w:hAnsi="Arial" w:cs="Arial"/>
          <w:szCs w:val="21"/>
          <w:highlight w:val="none"/>
        </w:rPr>
        <w:t>13.2.</w:t>
      </w:r>
      <w:bookmarkStart w:id="16" w:name="_Hlk524014759"/>
      <w:r>
        <w:rPr>
          <w:rFonts w:hint="default" w:ascii="Arial" w:hAnsi="Arial" w:cs="Arial"/>
          <w:szCs w:val="21"/>
          <w:highlight w:val="none"/>
        </w:rPr>
        <w:t>3商务、技术性响应证明材料</w:t>
      </w:r>
      <w:bookmarkEnd w:id="16"/>
      <w:r>
        <w:rPr>
          <w:rFonts w:hint="default" w:ascii="Arial" w:hAnsi="Arial" w:cs="Arial"/>
          <w:szCs w:val="21"/>
          <w:highlight w:val="none"/>
        </w:rPr>
        <w:t>：</w:t>
      </w:r>
    </w:p>
    <w:p w14:paraId="411299B7">
      <w:pPr>
        <w:tabs>
          <w:tab w:val="left" w:pos="1305"/>
        </w:tabs>
        <w:spacing w:line="384" w:lineRule="exact"/>
        <w:ind w:firstLine="420" w:firstLineChars="200"/>
        <w:rPr>
          <w:rFonts w:hint="default" w:ascii="Arial" w:hAnsi="Arial" w:cs="Arial"/>
          <w:szCs w:val="21"/>
          <w:highlight w:val="none"/>
        </w:rPr>
      </w:pPr>
      <w:r>
        <w:rPr>
          <w:rFonts w:hint="default" w:ascii="Arial" w:hAnsi="Arial" w:cs="Arial"/>
          <w:szCs w:val="21"/>
          <w:highlight w:val="none"/>
        </w:rPr>
        <w:t>（1）技术规格、商务要求偏离表（格式见附件）</w:t>
      </w:r>
      <w:r>
        <w:rPr>
          <w:rFonts w:hint="default" w:ascii="Arial" w:hAnsi="Arial" w:cs="Arial"/>
          <w:b/>
          <w:szCs w:val="21"/>
          <w:highlight w:val="none"/>
        </w:rPr>
        <w:t>（必须提供）</w:t>
      </w:r>
      <w:r>
        <w:rPr>
          <w:rFonts w:hint="default" w:ascii="Arial" w:hAnsi="Arial" w:cs="Arial"/>
          <w:szCs w:val="21"/>
          <w:highlight w:val="none"/>
        </w:rPr>
        <w:t>；</w:t>
      </w:r>
    </w:p>
    <w:p w14:paraId="56AAFDAB">
      <w:pPr>
        <w:tabs>
          <w:tab w:val="left" w:pos="1305"/>
        </w:tabs>
        <w:spacing w:line="384" w:lineRule="exact"/>
        <w:ind w:firstLine="420" w:firstLineChars="200"/>
        <w:rPr>
          <w:rFonts w:hint="default" w:ascii="Arial" w:hAnsi="Arial" w:cs="Arial"/>
          <w:szCs w:val="21"/>
          <w:highlight w:val="none"/>
        </w:rPr>
      </w:pPr>
      <w:r>
        <w:rPr>
          <w:rFonts w:hint="default" w:ascii="Arial" w:hAnsi="Arial" w:cs="Arial"/>
          <w:szCs w:val="21"/>
          <w:highlight w:val="none"/>
        </w:rPr>
        <w:t>（2）投标人的售后服务承诺书</w:t>
      </w:r>
      <w:r>
        <w:rPr>
          <w:rFonts w:hint="default" w:ascii="Arial" w:hAnsi="Arial" w:cs="Arial"/>
          <w:b/>
          <w:szCs w:val="21"/>
          <w:highlight w:val="none"/>
        </w:rPr>
        <w:t>（必须提供）；</w:t>
      </w:r>
    </w:p>
    <w:p w14:paraId="3D62E782">
      <w:pPr>
        <w:tabs>
          <w:tab w:val="left" w:pos="1305"/>
        </w:tabs>
        <w:spacing w:line="400" w:lineRule="exact"/>
        <w:ind w:firstLine="420" w:firstLineChars="200"/>
        <w:rPr>
          <w:rFonts w:hint="default" w:ascii="Arial" w:hAnsi="Arial" w:cs="Arial"/>
          <w:b/>
          <w:szCs w:val="21"/>
          <w:highlight w:val="none"/>
        </w:rPr>
      </w:pPr>
      <w:r>
        <w:rPr>
          <w:rFonts w:hint="default" w:ascii="Arial" w:hAnsi="Arial" w:cs="Arial"/>
          <w:szCs w:val="21"/>
          <w:highlight w:val="none"/>
        </w:rPr>
        <w:t>（3）</w:t>
      </w:r>
      <w:r>
        <w:rPr>
          <w:rFonts w:hint="eastAsia" w:ascii="Arial" w:hAnsi="Arial" w:cs="Arial"/>
          <w:szCs w:val="21"/>
          <w:highlight w:val="none"/>
          <w:lang w:eastAsia="zh-CN"/>
        </w:rPr>
        <w:t>无串通投标行为的承诺函</w:t>
      </w:r>
      <w:r>
        <w:rPr>
          <w:rFonts w:hint="default" w:ascii="Arial" w:hAnsi="Arial" w:cs="Arial"/>
          <w:b/>
          <w:szCs w:val="21"/>
          <w:highlight w:val="none"/>
        </w:rPr>
        <w:t>（必须提供）；</w:t>
      </w:r>
    </w:p>
    <w:p w14:paraId="1EC910BD">
      <w:pPr>
        <w:spacing w:line="400" w:lineRule="exact"/>
        <w:ind w:firstLine="420" w:firstLineChars="200"/>
        <w:rPr>
          <w:rFonts w:hint="default" w:ascii="Arial" w:hAnsi="Arial" w:cs="Arial"/>
          <w:szCs w:val="21"/>
          <w:highlight w:val="none"/>
        </w:rPr>
      </w:pPr>
      <w:r>
        <w:rPr>
          <w:rFonts w:hint="default" w:ascii="Arial" w:hAnsi="Arial" w:cs="Arial"/>
          <w:szCs w:val="21"/>
          <w:highlight w:val="none"/>
        </w:rPr>
        <w:t>（4）投标人</w:t>
      </w:r>
      <w:r>
        <w:rPr>
          <w:rFonts w:hint="default" w:ascii="Arial" w:hAnsi="Arial" w:cs="Arial"/>
          <w:szCs w:val="21"/>
          <w:highlight w:val="none"/>
          <w:lang w:eastAsia="zh-CN"/>
        </w:rPr>
        <w:t>2025年度</w:t>
      </w:r>
      <w:r>
        <w:rPr>
          <w:rFonts w:hint="default" w:ascii="Arial" w:hAnsi="Arial" w:cs="Arial"/>
          <w:szCs w:val="21"/>
          <w:highlight w:val="none"/>
        </w:rPr>
        <w:t>通过中介审计的有效财务审计报告复印件（如有，请提供）；</w:t>
      </w:r>
    </w:p>
    <w:p w14:paraId="295D5F9B">
      <w:pPr>
        <w:spacing w:line="400" w:lineRule="exact"/>
        <w:ind w:firstLine="420" w:firstLineChars="200"/>
        <w:rPr>
          <w:rFonts w:hint="default" w:ascii="Arial" w:hAnsi="Arial" w:cs="Arial"/>
          <w:b/>
          <w:bCs/>
          <w:szCs w:val="21"/>
          <w:highlight w:val="none"/>
        </w:rPr>
      </w:pPr>
      <w:r>
        <w:rPr>
          <w:rFonts w:hint="default" w:ascii="Arial" w:hAnsi="Arial" w:cs="Arial"/>
          <w:b/>
          <w:bCs/>
          <w:szCs w:val="21"/>
          <w:highlight w:val="none"/>
        </w:rPr>
        <w:t>注：对于从取得营业执照时间起到</w:t>
      </w:r>
      <w:r>
        <w:rPr>
          <w:rFonts w:hint="eastAsia" w:ascii="Arial" w:hAnsi="Arial" w:cs="Arial"/>
          <w:b/>
          <w:bCs/>
          <w:szCs w:val="21"/>
          <w:highlight w:val="none"/>
          <w:lang w:eastAsia="zh-CN"/>
        </w:rPr>
        <w:t>投标文件</w:t>
      </w:r>
      <w:r>
        <w:rPr>
          <w:rFonts w:hint="default" w:ascii="Arial" w:hAnsi="Arial" w:cs="Arial"/>
          <w:b/>
          <w:bCs/>
          <w:szCs w:val="21"/>
          <w:highlight w:val="none"/>
        </w:rPr>
        <w:t>递交截止时间为止不足1年的供应商，只需提交</w:t>
      </w:r>
      <w:r>
        <w:rPr>
          <w:rFonts w:hint="eastAsia" w:ascii="Arial" w:hAnsi="Arial" w:cs="Arial"/>
          <w:b/>
          <w:bCs/>
          <w:szCs w:val="21"/>
          <w:highlight w:val="none"/>
          <w:lang w:eastAsia="zh-CN"/>
        </w:rPr>
        <w:t>投标文件</w:t>
      </w:r>
      <w:r>
        <w:rPr>
          <w:rFonts w:hint="default" w:ascii="Arial" w:hAnsi="Arial" w:cs="Arial"/>
          <w:b/>
          <w:bCs/>
          <w:szCs w:val="21"/>
          <w:highlight w:val="none"/>
        </w:rPr>
        <w:t>递交截止时间前一个月的财务状况报告（表）复印件。</w:t>
      </w:r>
    </w:p>
    <w:p w14:paraId="4865DE31">
      <w:pPr>
        <w:spacing w:line="400" w:lineRule="exact"/>
        <w:ind w:firstLine="420" w:firstLineChars="200"/>
        <w:rPr>
          <w:rFonts w:hint="default" w:ascii="Arial" w:hAnsi="Arial" w:cs="Arial"/>
          <w:b/>
          <w:szCs w:val="21"/>
          <w:highlight w:val="none"/>
        </w:rPr>
      </w:pPr>
      <w:r>
        <w:rPr>
          <w:rFonts w:hint="default" w:ascii="Arial" w:hAnsi="Arial" w:cs="Arial"/>
          <w:bCs/>
          <w:szCs w:val="21"/>
          <w:highlight w:val="none"/>
        </w:rPr>
        <w:t>（5）</w:t>
      </w:r>
      <w:r>
        <w:rPr>
          <w:rFonts w:hint="default" w:ascii="Arial" w:hAnsi="Arial" w:cs="Arial"/>
          <w:szCs w:val="21"/>
          <w:highlight w:val="none"/>
        </w:rPr>
        <w:t>投标人同类产品销售业绩的相关证明材料(无不良记录，以中标（成交）通知书及相应的销售合同或验收单为准</w:t>
      </w:r>
      <w:r>
        <w:rPr>
          <w:rFonts w:hint="default" w:ascii="Arial" w:hAnsi="Arial" w:cs="Arial"/>
          <w:szCs w:val="21"/>
          <w:highlight w:val="none"/>
          <w:lang w:eastAsia="zh-CN"/>
        </w:rPr>
        <w:t>，</w:t>
      </w:r>
      <w:r>
        <w:rPr>
          <w:rFonts w:hint="default" w:ascii="Arial" w:hAnsi="Arial" w:cs="Arial"/>
          <w:szCs w:val="21"/>
          <w:highlight w:val="none"/>
        </w:rPr>
        <w:t>能清晰反映该项目的项目名称、种类)（如有，请提供）；</w:t>
      </w:r>
    </w:p>
    <w:p w14:paraId="42878624">
      <w:pPr>
        <w:spacing w:line="400" w:lineRule="exact"/>
        <w:ind w:firstLine="420" w:firstLineChars="200"/>
        <w:rPr>
          <w:rFonts w:hint="default" w:ascii="Arial" w:hAnsi="Arial" w:cs="Arial"/>
          <w:szCs w:val="21"/>
          <w:highlight w:val="none"/>
        </w:rPr>
      </w:pPr>
      <w:r>
        <w:rPr>
          <w:rFonts w:hint="default" w:ascii="Arial" w:hAnsi="Arial" w:cs="Arial"/>
          <w:szCs w:val="21"/>
          <w:highlight w:val="none"/>
        </w:rPr>
        <w:t>（6）节能方面的资质证书复印件（如有，请提供）；</w:t>
      </w:r>
    </w:p>
    <w:p w14:paraId="3D27219A">
      <w:pPr>
        <w:spacing w:line="400" w:lineRule="exact"/>
        <w:ind w:firstLine="420" w:firstLineChars="200"/>
        <w:rPr>
          <w:rFonts w:hint="default" w:ascii="Arial" w:hAnsi="Arial" w:cs="Arial"/>
          <w:szCs w:val="21"/>
          <w:highlight w:val="none"/>
        </w:rPr>
      </w:pPr>
      <w:r>
        <w:rPr>
          <w:rFonts w:hint="default" w:ascii="Arial" w:hAnsi="Arial" w:cs="Arial"/>
          <w:szCs w:val="21"/>
          <w:highlight w:val="none"/>
        </w:rPr>
        <w:t>（7）环保方面的资质证书复印件（如有，请提供）；</w:t>
      </w:r>
    </w:p>
    <w:p w14:paraId="5D8B1428">
      <w:pPr>
        <w:spacing w:line="400" w:lineRule="exact"/>
        <w:ind w:firstLine="420" w:firstLineChars="200"/>
        <w:rPr>
          <w:rFonts w:hint="default" w:ascii="Arial" w:hAnsi="Arial" w:cs="Arial"/>
          <w:szCs w:val="21"/>
          <w:highlight w:val="none"/>
        </w:rPr>
      </w:pPr>
      <w:r>
        <w:rPr>
          <w:rFonts w:hint="default" w:ascii="Arial" w:hAnsi="Arial" w:cs="Arial"/>
          <w:szCs w:val="21"/>
          <w:highlight w:val="none"/>
        </w:rPr>
        <w:t>（8）投标人相关获奖证书、认证证书等复印件；（如有，请提供）；</w:t>
      </w:r>
    </w:p>
    <w:p w14:paraId="4F06CE1B">
      <w:pPr>
        <w:spacing w:line="400" w:lineRule="exact"/>
        <w:ind w:left="420" w:leftChars="200"/>
        <w:rPr>
          <w:rFonts w:hint="default" w:ascii="Arial" w:hAnsi="Arial" w:cs="Arial"/>
          <w:szCs w:val="21"/>
          <w:highlight w:val="none"/>
        </w:rPr>
      </w:pPr>
      <w:r>
        <w:rPr>
          <w:rFonts w:hint="default" w:ascii="Arial" w:hAnsi="Arial" w:cs="Arial"/>
          <w:szCs w:val="21"/>
          <w:highlight w:val="none"/>
        </w:rPr>
        <w:t>（9）“货物采购需求”需提供的有效证明文件；</w:t>
      </w:r>
    </w:p>
    <w:p w14:paraId="434E5468">
      <w:pPr>
        <w:pStyle w:val="27"/>
        <w:spacing w:line="400" w:lineRule="exact"/>
        <w:ind w:firstLine="420" w:firstLineChars="200"/>
        <w:rPr>
          <w:rFonts w:hint="default" w:ascii="Arial" w:hAnsi="Arial" w:cs="Arial"/>
          <w:szCs w:val="21"/>
          <w:highlight w:val="none"/>
        </w:rPr>
      </w:pPr>
      <w:r>
        <w:rPr>
          <w:rFonts w:hint="default" w:ascii="Arial" w:hAnsi="Arial" w:cs="Arial"/>
          <w:szCs w:val="21"/>
          <w:highlight w:val="none"/>
        </w:rPr>
        <w:t>（10）</w:t>
      </w:r>
      <w:r>
        <w:rPr>
          <w:rFonts w:hint="default" w:ascii="Arial" w:hAnsi="Arial" w:cs="Arial"/>
          <w:highlight w:val="none"/>
        </w:rPr>
        <w:t>中小企业声明函（见附件）【如投标人所提供的产品为小、微型企业的产品，中标结果将同时公告企业《中小企业声明函》】（如有，请提供）；</w:t>
      </w:r>
    </w:p>
    <w:p w14:paraId="69A3C078">
      <w:pPr>
        <w:tabs>
          <w:tab w:val="left" w:pos="1305"/>
        </w:tabs>
        <w:spacing w:line="440" w:lineRule="exact"/>
        <w:ind w:firstLine="420" w:firstLineChars="200"/>
        <w:rPr>
          <w:rFonts w:hint="default" w:ascii="Arial" w:hAnsi="Arial" w:cs="Arial"/>
          <w:szCs w:val="21"/>
          <w:highlight w:val="none"/>
        </w:rPr>
      </w:pPr>
      <w:r>
        <w:rPr>
          <w:rFonts w:hint="default" w:ascii="Arial" w:hAnsi="Arial" w:cs="Arial"/>
          <w:szCs w:val="21"/>
          <w:highlight w:val="none"/>
        </w:rPr>
        <w:t>（11）</w:t>
      </w:r>
      <w:r>
        <w:rPr>
          <w:rFonts w:hint="default" w:ascii="Arial" w:hAnsi="Arial" w:cs="Arial"/>
          <w:bCs/>
          <w:highlight w:val="none"/>
        </w:rPr>
        <w:t>监狱企业由省级以上监狱管理局、戒毒管理局（含新疆生产建设兵团）出具的属于监狱企业的证明文件</w:t>
      </w:r>
      <w:r>
        <w:rPr>
          <w:rFonts w:hint="default" w:ascii="Arial" w:hAnsi="Arial" w:cs="Arial"/>
          <w:b/>
          <w:highlight w:val="none"/>
        </w:rPr>
        <w:t>（如有，请提供）</w:t>
      </w:r>
      <w:r>
        <w:rPr>
          <w:rFonts w:hint="default" w:ascii="Arial" w:hAnsi="Arial" w:cs="Arial"/>
          <w:highlight w:val="none"/>
        </w:rPr>
        <w:t>；</w:t>
      </w:r>
    </w:p>
    <w:p w14:paraId="1271DEB1">
      <w:pPr>
        <w:tabs>
          <w:tab w:val="left" w:pos="1305"/>
        </w:tabs>
        <w:spacing w:line="370" w:lineRule="exact"/>
        <w:ind w:firstLine="420" w:firstLineChars="200"/>
        <w:rPr>
          <w:rFonts w:hint="default" w:ascii="Arial" w:hAnsi="Arial" w:cs="Arial"/>
          <w:szCs w:val="21"/>
          <w:highlight w:val="none"/>
        </w:rPr>
      </w:pPr>
      <w:r>
        <w:rPr>
          <w:rFonts w:hint="default" w:ascii="Arial" w:hAnsi="Arial" w:cs="Arial"/>
          <w:szCs w:val="21"/>
          <w:highlight w:val="none"/>
        </w:rPr>
        <w:t>（12）</w:t>
      </w:r>
      <w:r>
        <w:rPr>
          <w:rFonts w:hint="default" w:ascii="Arial" w:hAnsi="Arial" w:cs="Arial"/>
          <w:highlight w:val="none"/>
        </w:rPr>
        <w:t>符合条件的残疾人福利性单位在参加政府采购活动时，应当提供《残疾人福利性单位声明函》（见附件），并对声明的真实性负责。</w:t>
      </w:r>
    </w:p>
    <w:p w14:paraId="2FF07909">
      <w:pPr>
        <w:tabs>
          <w:tab w:val="left" w:pos="1305"/>
        </w:tabs>
        <w:spacing w:line="370" w:lineRule="exact"/>
        <w:ind w:firstLine="420" w:firstLineChars="200"/>
        <w:rPr>
          <w:rFonts w:hint="default" w:ascii="Arial" w:hAnsi="Arial" w:cs="Arial"/>
          <w:szCs w:val="21"/>
          <w:highlight w:val="none"/>
          <w:lang w:val="en-US" w:eastAsia="zh-CN"/>
        </w:rPr>
      </w:pPr>
      <w:r>
        <w:rPr>
          <w:rFonts w:hint="eastAsia" w:ascii="Arial" w:hAnsi="Arial" w:cs="Arial"/>
          <w:szCs w:val="21"/>
          <w:highlight w:val="none"/>
          <w:lang w:eastAsia="zh-CN"/>
        </w:rPr>
        <w:t>（</w:t>
      </w:r>
      <w:r>
        <w:rPr>
          <w:rFonts w:hint="eastAsia" w:ascii="Arial" w:hAnsi="Arial" w:cs="Arial"/>
          <w:szCs w:val="21"/>
          <w:highlight w:val="none"/>
          <w:lang w:val="en-US" w:eastAsia="zh-CN"/>
        </w:rPr>
        <w:t>13</w:t>
      </w:r>
      <w:r>
        <w:rPr>
          <w:rFonts w:hint="eastAsia" w:ascii="Arial" w:hAnsi="Arial" w:cs="Arial"/>
          <w:szCs w:val="21"/>
          <w:highlight w:val="none"/>
          <w:lang w:eastAsia="zh-CN"/>
        </w:rPr>
        <w:t>）</w:t>
      </w:r>
      <w:r>
        <w:rPr>
          <w:rFonts w:hint="default" w:ascii="Arial" w:hAnsi="Arial" w:cs="Arial"/>
          <w:szCs w:val="21"/>
          <w:highlight w:val="none"/>
          <w:lang w:val="en-US" w:eastAsia="zh-CN"/>
        </w:rPr>
        <w:t>符合本国产品标准的声明函（如有，请提供）</w:t>
      </w:r>
    </w:p>
    <w:p w14:paraId="07C9846E">
      <w:pPr>
        <w:tabs>
          <w:tab w:val="left" w:pos="1305"/>
        </w:tabs>
        <w:spacing w:line="370" w:lineRule="exact"/>
        <w:ind w:firstLine="420" w:firstLineChars="200"/>
        <w:rPr>
          <w:rFonts w:hint="default" w:ascii="Arial" w:hAnsi="Arial" w:cs="Arial"/>
          <w:szCs w:val="21"/>
          <w:highlight w:val="none"/>
        </w:rPr>
      </w:pPr>
      <w:r>
        <w:rPr>
          <w:rFonts w:hint="default" w:ascii="Arial" w:hAnsi="Arial" w:cs="Arial"/>
          <w:szCs w:val="21"/>
          <w:highlight w:val="none"/>
        </w:rPr>
        <w:t>（1</w:t>
      </w:r>
      <w:r>
        <w:rPr>
          <w:rFonts w:hint="eastAsia" w:ascii="Arial" w:hAnsi="Arial" w:cs="Arial"/>
          <w:szCs w:val="21"/>
          <w:highlight w:val="none"/>
          <w:lang w:val="en-US" w:eastAsia="zh-CN"/>
        </w:rPr>
        <w:t>4</w:t>
      </w:r>
      <w:r>
        <w:rPr>
          <w:rFonts w:hint="default" w:ascii="Arial" w:hAnsi="Arial" w:cs="Arial"/>
          <w:szCs w:val="21"/>
          <w:highlight w:val="none"/>
        </w:rPr>
        <w:t>）投标人可结合本项目的评标办法视自身情况自行提交相关证明材料</w:t>
      </w:r>
      <w:r>
        <w:rPr>
          <w:rFonts w:hint="default" w:ascii="Arial" w:hAnsi="Arial" w:cs="Arial"/>
          <w:b/>
          <w:bCs/>
          <w:szCs w:val="21"/>
          <w:highlight w:val="none"/>
        </w:rPr>
        <w:t>（如有，请提供）</w:t>
      </w:r>
      <w:r>
        <w:rPr>
          <w:rFonts w:hint="default" w:ascii="Arial" w:hAnsi="Arial" w:cs="Arial"/>
          <w:szCs w:val="21"/>
          <w:highlight w:val="none"/>
        </w:rPr>
        <w:t>。</w:t>
      </w:r>
    </w:p>
    <w:p w14:paraId="5D9EB579">
      <w:pPr>
        <w:pStyle w:val="27"/>
        <w:spacing w:line="370" w:lineRule="exact"/>
        <w:ind w:firstLine="420"/>
        <w:rPr>
          <w:rFonts w:hint="default" w:ascii="Arial" w:hAnsi="Arial" w:cs="Arial"/>
          <w:b/>
          <w:sz w:val="24"/>
          <w:szCs w:val="24"/>
          <w:highlight w:val="none"/>
        </w:rPr>
      </w:pPr>
      <w:r>
        <w:rPr>
          <w:rFonts w:hint="default" w:ascii="Arial" w:hAnsi="Arial" w:cs="Arial"/>
          <w:b/>
          <w:sz w:val="24"/>
          <w:szCs w:val="24"/>
          <w:highlight w:val="none"/>
        </w:rPr>
        <w:t>投标人提供的以上相关证明材料属于“必须提供”的文件应加盖投标人公章（CA签章）/自然人签字或加盖个人CA签章，否则投标无效。</w:t>
      </w:r>
    </w:p>
    <w:p w14:paraId="16018460">
      <w:pPr>
        <w:pStyle w:val="27"/>
        <w:spacing w:line="370" w:lineRule="exact"/>
        <w:ind w:firstLine="420"/>
        <w:rPr>
          <w:rFonts w:hint="default" w:ascii="Arial" w:hAnsi="Arial" w:cs="Arial"/>
          <w:highlight w:val="none"/>
        </w:rPr>
      </w:pPr>
      <w:r>
        <w:rPr>
          <w:rFonts w:hint="default" w:ascii="Arial" w:hAnsi="Arial" w:cs="Arial"/>
          <w:szCs w:val="21"/>
          <w:highlight w:val="none"/>
        </w:rPr>
        <w:t>13.3</w:t>
      </w:r>
      <w:r>
        <w:rPr>
          <w:rFonts w:hint="default" w:ascii="Arial" w:hAnsi="Arial" w:cs="Arial"/>
          <w:highlight w:val="none"/>
        </w:rPr>
        <w:t>投标人应按招标文件第六章“投标文件（格式）”编制投标文件。</w:t>
      </w:r>
    </w:p>
    <w:p w14:paraId="1D3E7129">
      <w:pPr>
        <w:pStyle w:val="27"/>
        <w:spacing w:line="370" w:lineRule="exact"/>
        <w:ind w:firstLine="420"/>
        <w:rPr>
          <w:rFonts w:hint="default" w:ascii="Arial" w:hAnsi="Arial" w:cs="Arial"/>
          <w:highlight w:val="none"/>
        </w:rPr>
      </w:pPr>
      <w:r>
        <w:rPr>
          <w:rFonts w:hint="default" w:ascii="Arial" w:hAnsi="Arial" w:cs="Arial"/>
          <w:highlight w:val="none"/>
        </w:rPr>
        <w:t>13.4投标文件应当对招标文件提出的要求和条件作出明确响应。</w:t>
      </w:r>
    </w:p>
    <w:p w14:paraId="4E63CAEE">
      <w:pPr>
        <w:pStyle w:val="27"/>
        <w:spacing w:line="370" w:lineRule="exact"/>
        <w:ind w:firstLine="420"/>
        <w:rPr>
          <w:rFonts w:hint="default" w:ascii="Arial" w:hAnsi="Arial" w:cs="Arial"/>
          <w:b/>
          <w:bCs/>
          <w:highlight w:val="none"/>
        </w:rPr>
      </w:pPr>
      <w:r>
        <w:rPr>
          <w:rFonts w:hint="default" w:ascii="Arial" w:hAnsi="Arial" w:cs="Arial"/>
          <w:b/>
          <w:bCs/>
          <w:highlight w:val="none"/>
        </w:rPr>
        <w:t>特别说明：</w:t>
      </w:r>
    </w:p>
    <w:p w14:paraId="76173284">
      <w:pPr>
        <w:pStyle w:val="27"/>
        <w:spacing w:line="370" w:lineRule="exact"/>
        <w:ind w:firstLine="420"/>
        <w:rPr>
          <w:rFonts w:hint="default" w:ascii="Arial" w:hAnsi="Arial" w:cs="Arial"/>
          <w:b/>
          <w:bCs/>
          <w:highlight w:val="none"/>
        </w:rPr>
      </w:pPr>
      <w:r>
        <w:rPr>
          <w:rFonts w:hint="default" w:ascii="Arial" w:hAnsi="Arial" w:cs="Arial"/>
          <w:b/>
          <w:bCs/>
          <w:highlight w:val="none"/>
        </w:rPr>
        <w:t>（1）投标文件（电子</w:t>
      </w:r>
      <w:r>
        <w:rPr>
          <w:rFonts w:hint="eastAsia" w:ascii="Arial" w:hAnsi="Arial" w:cs="Arial"/>
          <w:b/>
          <w:bCs/>
          <w:highlight w:val="none"/>
          <w:lang w:eastAsia="zh-CN"/>
        </w:rPr>
        <w:t>投标文件</w:t>
      </w:r>
      <w:r>
        <w:rPr>
          <w:rFonts w:hint="default" w:ascii="Arial" w:hAnsi="Arial" w:cs="Arial"/>
          <w:b/>
          <w:bCs/>
          <w:highlight w:val="none"/>
        </w:rPr>
        <w:t>），其中电子投标文件中所须加盖公章部分均采用CA签章。若招标文件中有专门标注的某关联点，并要求投标人在电子投标系统中作出响应的，如投标人未对关联点进行响应或者在投标文件其它内容进行描述，造成电子评审不能查询的责任由投标人自行承担。</w:t>
      </w:r>
    </w:p>
    <w:p w14:paraId="4D439E04">
      <w:pPr>
        <w:pStyle w:val="27"/>
        <w:spacing w:line="370" w:lineRule="exact"/>
        <w:ind w:firstLine="420"/>
        <w:rPr>
          <w:rFonts w:hint="default" w:ascii="Arial" w:hAnsi="Arial" w:cs="Arial"/>
          <w:b/>
          <w:bCs/>
          <w:highlight w:val="none"/>
        </w:rPr>
      </w:pPr>
      <w:r>
        <w:rPr>
          <w:rFonts w:hint="default" w:ascii="Arial" w:hAnsi="Arial" w:cs="Arial"/>
          <w:b/>
          <w:bCs/>
          <w:highlight w:val="none"/>
        </w:rPr>
        <w:t>（2）招标文件要求法定代表人（负责人）或委托代理人签字的部分必须签字然后扫描或者拍照做成 pdf 格式上传（或加盖个人CA签章），无签字的视为投标无效。</w:t>
      </w:r>
    </w:p>
    <w:p w14:paraId="2481BB03">
      <w:pPr>
        <w:tabs>
          <w:tab w:val="left" w:pos="1305"/>
        </w:tabs>
        <w:spacing w:line="370" w:lineRule="exact"/>
        <w:ind w:firstLine="420" w:firstLineChars="200"/>
        <w:rPr>
          <w:rFonts w:hint="default" w:ascii="Arial" w:hAnsi="Arial" w:cs="Arial"/>
          <w:b/>
          <w:szCs w:val="21"/>
          <w:highlight w:val="none"/>
        </w:rPr>
      </w:pPr>
      <w:r>
        <w:rPr>
          <w:rFonts w:hint="default" w:ascii="Arial" w:hAnsi="Arial" w:cs="Arial"/>
          <w:b/>
          <w:szCs w:val="21"/>
          <w:highlight w:val="none"/>
        </w:rPr>
        <w:t>14. 投标文件的语言及计量</w:t>
      </w:r>
    </w:p>
    <w:p w14:paraId="367105B2">
      <w:pPr>
        <w:tabs>
          <w:tab w:val="left" w:pos="1305"/>
        </w:tabs>
        <w:spacing w:line="370" w:lineRule="exact"/>
        <w:ind w:firstLine="420" w:firstLineChars="200"/>
        <w:rPr>
          <w:rFonts w:hint="default" w:ascii="Arial" w:hAnsi="Arial" w:cs="Arial"/>
          <w:szCs w:val="21"/>
          <w:highlight w:val="none"/>
        </w:rPr>
      </w:pPr>
      <w:r>
        <w:rPr>
          <w:rFonts w:hint="default" w:ascii="Arial" w:hAnsi="Arial" w:cs="Arial"/>
          <w:szCs w:val="21"/>
          <w:highlight w:val="none"/>
        </w:rPr>
        <w:t>14.1投标文件以及投标人与采购人或者采购代理机构就有关投标事宜的所有来往函电，均应以中文汉语书写。投标人提交的支持文件和印刷的文献可以使用别的语言，但其相应内容必须附有中文翻译文本，在解释投标文件时以中文翻译文本为主。</w:t>
      </w:r>
    </w:p>
    <w:p w14:paraId="18DEE822">
      <w:pPr>
        <w:tabs>
          <w:tab w:val="left" w:pos="1305"/>
        </w:tabs>
        <w:spacing w:line="370" w:lineRule="exact"/>
        <w:ind w:firstLine="420" w:firstLineChars="200"/>
        <w:rPr>
          <w:rFonts w:hint="default" w:ascii="Arial" w:hAnsi="Arial" w:cs="Arial"/>
          <w:szCs w:val="21"/>
          <w:highlight w:val="none"/>
        </w:rPr>
      </w:pPr>
      <w:r>
        <w:rPr>
          <w:rFonts w:hint="default" w:ascii="Arial" w:hAnsi="Arial" w:cs="Arial"/>
          <w:szCs w:val="21"/>
          <w:highlight w:val="none"/>
        </w:rPr>
        <w:t>14.2投标计量单位，招标文件已有明确规定的，使用招标文件规定的计量单位；招标文件没有规定的，应采用中华人民共和国法定计量单位（货币单位：元人民币），否则视同未响应。</w:t>
      </w:r>
    </w:p>
    <w:p w14:paraId="7112F458">
      <w:pPr>
        <w:tabs>
          <w:tab w:val="left" w:pos="1305"/>
        </w:tabs>
        <w:spacing w:line="370" w:lineRule="exact"/>
        <w:ind w:firstLine="420" w:firstLineChars="200"/>
        <w:rPr>
          <w:rFonts w:hint="default" w:ascii="Arial" w:hAnsi="Arial" w:cs="Arial"/>
          <w:b/>
          <w:szCs w:val="21"/>
          <w:highlight w:val="none"/>
        </w:rPr>
      </w:pPr>
      <w:r>
        <w:rPr>
          <w:rFonts w:hint="default" w:ascii="Arial" w:hAnsi="Arial" w:cs="Arial"/>
          <w:b/>
          <w:szCs w:val="21"/>
          <w:highlight w:val="none"/>
        </w:rPr>
        <w:t>15.投标报价</w:t>
      </w:r>
    </w:p>
    <w:p w14:paraId="23EDEDF3">
      <w:pPr>
        <w:spacing w:line="370" w:lineRule="exact"/>
        <w:ind w:firstLine="420" w:firstLineChars="200"/>
        <w:rPr>
          <w:rFonts w:hint="default" w:ascii="Arial" w:hAnsi="Arial" w:cs="Arial"/>
          <w:highlight w:val="none"/>
        </w:rPr>
      </w:pPr>
      <w:r>
        <w:rPr>
          <w:rFonts w:hint="default" w:ascii="Arial" w:hAnsi="Arial" w:cs="Arial"/>
          <w:szCs w:val="21"/>
          <w:highlight w:val="none"/>
        </w:rPr>
        <w:t>15.1</w:t>
      </w:r>
      <w:r>
        <w:rPr>
          <w:rFonts w:hint="default" w:ascii="Arial" w:hAnsi="Arial" w:cs="Arial"/>
          <w:b/>
          <w:sz w:val="24"/>
          <w:highlight w:val="none"/>
        </w:rPr>
        <w:t>投标报价应按招标文件中第六章“投标文件（格式）”填写，所投报价超采购预算总金额的，投标文件作无效处理。</w:t>
      </w:r>
    </w:p>
    <w:p w14:paraId="043DC095">
      <w:pPr>
        <w:spacing w:line="370" w:lineRule="exact"/>
        <w:ind w:firstLine="420" w:firstLineChars="200"/>
        <w:rPr>
          <w:rFonts w:hint="default" w:ascii="Arial" w:hAnsi="Arial" w:cs="Arial"/>
          <w:b/>
          <w:sz w:val="24"/>
          <w:highlight w:val="none"/>
        </w:rPr>
      </w:pPr>
      <w:r>
        <w:rPr>
          <w:rFonts w:hint="default" w:ascii="Arial" w:hAnsi="Arial" w:cs="Arial"/>
          <w:szCs w:val="21"/>
          <w:highlight w:val="none"/>
        </w:rPr>
        <w:t>15.2</w:t>
      </w:r>
      <w:r>
        <w:rPr>
          <w:rFonts w:hint="default" w:ascii="Arial" w:hAnsi="Arial" w:cs="Arial"/>
          <w:b/>
          <w:sz w:val="24"/>
          <w:highlight w:val="none"/>
        </w:rPr>
        <w:t>投标人必须就“货物采购需求”中所投的所有内容作完整唯一报价，否则，其投标将被拒绝；投标文件只允许有一个报价，有选择的或有条件的报价将不予接受。</w:t>
      </w:r>
    </w:p>
    <w:p w14:paraId="4C7E3F6A">
      <w:pPr>
        <w:spacing w:line="370" w:lineRule="exact"/>
        <w:ind w:firstLine="420" w:firstLineChars="200"/>
        <w:rPr>
          <w:rFonts w:hint="default" w:ascii="Arial" w:hAnsi="Arial" w:cs="Arial"/>
          <w:kern w:val="0"/>
          <w:highlight w:val="none"/>
        </w:rPr>
      </w:pPr>
      <w:r>
        <w:rPr>
          <w:rFonts w:hint="default" w:ascii="Arial" w:hAnsi="Arial" w:cs="Arial"/>
          <w:szCs w:val="21"/>
          <w:highlight w:val="none"/>
        </w:rPr>
        <w:t>15.3</w:t>
      </w:r>
      <w:r>
        <w:rPr>
          <w:rFonts w:hint="default" w:ascii="Arial" w:hAnsi="Arial" w:cs="Arial"/>
          <w:highlight w:val="none"/>
        </w:rPr>
        <w:t>投标人的投标报价</w:t>
      </w:r>
      <w:r>
        <w:rPr>
          <w:rFonts w:hint="default" w:ascii="Arial" w:hAnsi="Arial" w:cs="Arial"/>
          <w:szCs w:val="21"/>
          <w:highlight w:val="none"/>
        </w:rPr>
        <w:t>包括本次采购范围内货物价款、货物随配标准附件、包装、运输、装卸、保险、税金、货到位以及安装、调试、检验、售后服务、培训、保修以及</w:t>
      </w:r>
      <w:r>
        <w:rPr>
          <w:rFonts w:hint="default" w:ascii="Arial" w:hAnsi="Arial" w:cs="Arial"/>
          <w:kern w:val="0"/>
          <w:highlight w:val="none"/>
        </w:rPr>
        <w:t>对于本文件中未列明，而投标人认为完成项目所必须的费用等</w:t>
      </w:r>
      <w:r>
        <w:rPr>
          <w:rFonts w:hint="default" w:ascii="Arial" w:hAnsi="Arial" w:cs="Arial"/>
          <w:szCs w:val="21"/>
          <w:highlight w:val="none"/>
        </w:rPr>
        <w:t>其他所有成本费用的总和；</w:t>
      </w:r>
      <w:r>
        <w:rPr>
          <w:rFonts w:hint="default" w:ascii="Arial" w:hAnsi="Arial" w:cs="Arial"/>
          <w:highlight w:val="none"/>
        </w:rPr>
        <w:t>投标人综合考虑在报价中</w:t>
      </w:r>
      <w:r>
        <w:rPr>
          <w:rFonts w:hint="default" w:ascii="Arial" w:hAnsi="Arial" w:cs="Arial"/>
          <w:kern w:val="0"/>
          <w:highlight w:val="none"/>
        </w:rPr>
        <w:t>。</w:t>
      </w:r>
    </w:p>
    <w:p w14:paraId="722B2BC9">
      <w:pPr>
        <w:keepNext w:val="0"/>
        <w:keepLines w:val="0"/>
        <w:pageBreakBefore w:val="0"/>
        <w:kinsoku/>
        <w:wordWrap/>
        <w:overflowPunct/>
        <w:topLinePunct w:val="0"/>
        <w:autoSpaceDE/>
        <w:autoSpaceDN/>
        <w:bidi w:val="0"/>
        <w:adjustRightInd/>
        <w:spacing w:line="264" w:lineRule="auto"/>
        <w:ind w:firstLine="420" w:firstLineChars="200"/>
        <w:textAlignment w:val="auto"/>
        <w:rPr>
          <w:rFonts w:hint="default" w:ascii="Arial" w:hAnsi="Arial" w:cs="Arial"/>
          <w:b/>
          <w:bCs/>
          <w:szCs w:val="21"/>
          <w:highlight w:val="none"/>
          <w:lang w:val="en-US" w:eastAsia="zh-CN"/>
        </w:rPr>
      </w:pPr>
      <w:r>
        <w:rPr>
          <w:rFonts w:hint="default" w:ascii="Arial" w:hAnsi="Arial" w:cs="Arial"/>
          <w:b/>
          <w:bCs/>
          <w:szCs w:val="21"/>
          <w:highlight w:val="none"/>
          <w:lang w:val="en-US" w:eastAsia="zh-CN"/>
        </w:rPr>
        <w:t>15.4评审中出现下列情形之一的，评审委员会应当启动异常低价响应审查程序：</w:t>
      </w:r>
    </w:p>
    <w:p w14:paraId="4F7025D9">
      <w:pPr>
        <w:keepNext w:val="0"/>
        <w:keepLines w:val="0"/>
        <w:pageBreakBefore w:val="0"/>
        <w:kinsoku/>
        <w:wordWrap/>
        <w:overflowPunct/>
        <w:topLinePunct w:val="0"/>
        <w:autoSpaceDE/>
        <w:autoSpaceDN/>
        <w:bidi w:val="0"/>
        <w:adjustRightInd/>
        <w:spacing w:line="264" w:lineRule="auto"/>
        <w:ind w:firstLine="420" w:firstLineChars="200"/>
        <w:textAlignment w:val="auto"/>
        <w:rPr>
          <w:rFonts w:hint="default" w:ascii="Arial" w:hAnsi="Arial" w:cs="Arial"/>
          <w:b/>
          <w:bCs/>
          <w:szCs w:val="21"/>
          <w:highlight w:val="none"/>
          <w:lang w:val="en-US" w:eastAsia="zh-CN"/>
        </w:rPr>
      </w:pPr>
      <w:r>
        <w:rPr>
          <w:rFonts w:hint="default" w:ascii="Arial" w:hAnsi="Arial" w:cs="Arial"/>
          <w:b/>
          <w:bCs/>
          <w:szCs w:val="21"/>
          <w:highlight w:val="none"/>
          <w:lang w:val="en-US" w:eastAsia="zh-CN"/>
        </w:rPr>
        <w:t>（1）投标（响应）报价低于全部通过符合性审查供应商投标（响应）报价平均值</w:t>
      </w:r>
      <w:r>
        <w:rPr>
          <w:rFonts w:hint="eastAsia" w:ascii="Arial" w:hAnsi="Arial" w:cs="Arial"/>
          <w:b/>
          <w:bCs/>
          <w:szCs w:val="21"/>
          <w:highlight w:val="none"/>
          <w:lang w:val="en-US" w:eastAsia="zh-CN"/>
        </w:rPr>
        <w:t>65</w:t>
      </w:r>
      <w:r>
        <w:rPr>
          <w:rFonts w:hint="default" w:ascii="Arial" w:hAnsi="Arial" w:cs="Arial"/>
          <w:b/>
          <w:bCs/>
          <w:szCs w:val="21"/>
          <w:highlight w:val="none"/>
          <w:lang w:val="en-US" w:eastAsia="zh-CN"/>
        </w:rPr>
        <w:t>%的，即投标（响应）报价&lt;全部通过符合性审查供应商投标（响应）报价平均值×</w:t>
      </w:r>
      <w:r>
        <w:rPr>
          <w:rFonts w:hint="eastAsia" w:ascii="Arial" w:hAnsi="Arial" w:cs="Arial"/>
          <w:b/>
          <w:bCs/>
          <w:szCs w:val="21"/>
          <w:highlight w:val="none"/>
          <w:lang w:val="en-US" w:eastAsia="zh-CN"/>
        </w:rPr>
        <w:t>65</w:t>
      </w:r>
      <w:r>
        <w:rPr>
          <w:rFonts w:hint="default" w:ascii="Arial" w:hAnsi="Arial" w:cs="Arial"/>
          <w:b/>
          <w:bCs/>
          <w:szCs w:val="21"/>
          <w:highlight w:val="none"/>
          <w:lang w:val="en-US" w:eastAsia="zh-CN"/>
        </w:rPr>
        <w:t>%；</w:t>
      </w:r>
    </w:p>
    <w:p w14:paraId="5748E660">
      <w:pPr>
        <w:keepNext w:val="0"/>
        <w:keepLines w:val="0"/>
        <w:pageBreakBefore w:val="0"/>
        <w:kinsoku/>
        <w:wordWrap/>
        <w:overflowPunct/>
        <w:topLinePunct w:val="0"/>
        <w:autoSpaceDE/>
        <w:autoSpaceDN/>
        <w:bidi w:val="0"/>
        <w:adjustRightInd/>
        <w:spacing w:line="264" w:lineRule="auto"/>
        <w:ind w:firstLine="420" w:firstLineChars="200"/>
        <w:textAlignment w:val="auto"/>
        <w:rPr>
          <w:rFonts w:hint="default" w:ascii="Arial" w:hAnsi="Arial" w:cs="Arial"/>
          <w:b/>
          <w:bCs/>
          <w:szCs w:val="21"/>
          <w:highlight w:val="none"/>
          <w:lang w:val="en-US" w:eastAsia="zh-CN"/>
        </w:rPr>
      </w:pPr>
      <w:r>
        <w:rPr>
          <w:rFonts w:hint="default" w:ascii="Arial" w:hAnsi="Arial" w:cs="Arial"/>
          <w:b/>
          <w:bCs/>
          <w:szCs w:val="21"/>
          <w:highlight w:val="none"/>
          <w:lang w:val="en-US" w:eastAsia="zh-CN"/>
        </w:rPr>
        <w:t>（2）投标（响应）报价低于通过符合性审查的次低报价供应商投标（响应）报价</w:t>
      </w:r>
      <w:r>
        <w:rPr>
          <w:rFonts w:hint="eastAsia" w:ascii="Arial" w:hAnsi="Arial" w:cs="Arial"/>
          <w:b/>
          <w:bCs/>
          <w:szCs w:val="21"/>
          <w:highlight w:val="none"/>
          <w:lang w:val="en-US" w:eastAsia="zh-CN"/>
        </w:rPr>
        <w:t>65</w:t>
      </w:r>
      <w:r>
        <w:rPr>
          <w:rFonts w:hint="default" w:ascii="Arial" w:hAnsi="Arial" w:cs="Arial"/>
          <w:b/>
          <w:bCs/>
          <w:szCs w:val="21"/>
          <w:highlight w:val="none"/>
          <w:lang w:val="en-US" w:eastAsia="zh-CN"/>
        </w:rPr>
        <w:t>%的，即投标（响应）报价&lt;通过符合性审查的次低报价供应商投标（响应）报价×</w:t>
      </w:r>
      <w:r>
        <w:rPr>
          <w:rFonts w:hint="eastAsia" w:ascii="Arial" w:hAnsi="Arial" w:cs="Arial"/>
          <w:b/>
          <w:bCs/>
          <w:szCs w:val="21"/>
          <w:highlight w:val="none"/>
          <w:lang w:val="en-US" w:eastAsia="zh-CN"/>
        </w:rPr>
        <w:t>65</w:t>
      </w:r>
      <w:r>
        <w:rPr>
          <w:rFonts w:hint="default" w:ascii="Arial" w:hAnsi="Arial" w:cs="Arial"/>
          <w:b/>
          <w:bCs/>
          <w:szCs w:val="21"/>
          <w:highlight w:val="none"/>
          <w:lang w:val="en-US" w:eastAsia="zh-CN"/>
        </w:rPr>
        <w:t>%；</w:t>
      </w:r>
    </w:p>
    <w:p w14:paraId="5345A236">
      <w:pPr>
        <w:keepNext w:val="0"/>
        <w:keepLines w:val="0"/>
        <w:pageBreakBefore w:val="0"/>
        <w:kinsoku/>
        <w:wordWrap/>
        <w:overflowPunct/>
        <w:topLinePunct w:val="0"/>
        <w:autoSpaceDE/>
        <w:autoSpaceDN/>
        <w:bidi w:val="0"/>
        <w:adjustRightInd/>
        <w:spacing w:line="264" w:lineRule="auto"/>
        <w:ind w:firstLine="420" w:firstLineChars="200"/>
        <w:textAlignment w:val="auto"/>
        <w:rPr>
          <w:rFonts w:hint="default" w:ascii="Arial" w:hAnsi="Arial" w:cs="Arial"/>
          <w:b/>
          <w:bCs/>
          <w:szCs w:val="21"/>
          <w:highlight w:val="none"/>
          <w:lang w:val="en-US" w:eastAsia="zh-CN"/>
        </w:rPr>
      </w:pPr>
      <w:r>
        <w:rPr>
          <w:rFonts w:hint="default" w:ascii="Arial" w:hAnsi="Arial" w:cs="Arial"/>
          <w:b/>
          <w:bCs/>
          <w:szCs w:val="21"/>
          <w:highlight w:val="none"/>
          <w:lang w:val="en-US" w:eastAsia="zh-CN"/>
        </w:rPr>
        <w:t>（3）投标（响应）报价低于采购项目最高限价</w:t>
      </w:r>
      <w:r>
        <w:rPr>
          <w:rFonts w:hint="eastAsia" w:ascii="Arial" w:hAnsi="Arial" w:cs="Arial"/>
          <w:b/>
          <w:bCs/>
          <w:szCs w:val="21"/>
          <w:highlight w:val="none"/>
          <w:lang w:val="en-US" w:eastAsia="zh-CN"/>
        </w:rPr>
        <w:t>65</w:t>
      </w:r>
      <w:r>
        <w:rPr>
          <w:rFonts w:hint="default" w:ascii="Arial" w:hAnsi="Arial" w:cs="Arial"/>
          <w:b/>
          <w:bCs/>
          <w:szCs w:val="21"/>
          <w:highlight w:val="none"/>
          <w:lang w:val="en-US" w:eastAsia="zh-CN"/>
        </w:rPr>
        <w:t>%的，即投标（响应）报价&lt;采购项目最高限价×</w:t>
      </w:r>
      <w:r>
        <w:rPr>
          <w:rFonts w:hint="eastAsia" w:ascii="Arial" w:hAnsi="Arial" w:cs="Arial"/>
          <w:b/>
          <w:bCs/>
          <w:szCs w:val="21"/>
          <w:highlight w:val="none"/>
          <w:lang w:val="en-US" w:eastAsia="zh-CN"/>
        </w:rPr>
        <w:t>65</w:t>
      </w:r>
      <w:r>
        <w:rPr>
          <w:rFonts w:hint="default" w:ascii="Arial" w:hAnsi="Arial" w:cs="Arial"/>
          <w:b/>
          <w:bCs/>
          <w:szCs w:val="21"/>
          <w:highlight w:val="none"/>
          <w:lang w:val="en-US" w:eastAsia="zh-CN"/>
        </w:rPr>
        <w:t>%；</w:t>
      </w:r>
    </w:p>
    <w:p w14:paraId="18004BC6">
      <w:pPr>
        <w:keepNext w:val="0"/>
        <w:keepLines w:val="0"/>
        <w:pageBreakBefore w:val="0"/>
        <w:kinsoku/>
        <w:wordWrap/>
        <w:overflowPunct/>
        <w:topLinePunct w:val="0"/>
        <w:autoSpaceDE/>
        <w:autoSpaceDN/>
        <w:bidi w:val="0"/>
        <w:adjustRightInd/>
        <w:spacing w:line="264" w:lineRule="auto"/>
        <w:ind w:firstLine="420" w:firstLineChars="200"/>
        <w:textAlignment w:val="auto"/>
        <w:rPr>
          <w:rFonts w:hint="default" w:ascii="Arial" w:hAnsi="Arial" w:cs="Arial"/>
          <w:szCs w:val="21"/>
          <w:highlight w:val="none"/>
        </w:rPr>
      </w:pPr>
      <w:r>
        <w:rPr>
          <w:rFonts w:hint="default" w:ascii="Arial" w:hAnsi="Arial" w:cs="Arial"/>
          <w:b/>
          <w:bCs/>
          <w:szCs w:val="21"/>
          <w:highlight w:val="none"/>
          <w:lang w:val="en-US" w:eastAsia="zh-CN"/>
        </w:rPr>
        <w:t>（4）评审委员会基于专业判断，认为供应商报价过低，有可能影响产品质量或者不能诚信履约的其他情形。</w:t>
      </w:r>
    </w:p>
    <w:p w14:paraId="19A224A8">
      <w:pPr>
        <w:spacing w:line="370" w:lineRule="exact"/>
        <w:ind w:left="420" w:hanging="420"/>
        <w:rPr>
          <w:rFonts w:hint="default" w:ascii="Arial" w:hAnsi="Arial" w:cs="Arial"/>
          <w:b/>
          <w:szCs w:val="21"/>
          <w:highlight w:val="none"/>
        </w:rPr>
      </w:pPr>
      <w:r>
        <w:rPr>
          <w:rFonts w:hint="default" w:ascii="Arial" w:hAnsi="Arial" w:cs="Arial"/>
          <w:b/>
          <w:szCs w:val="21"/>
          <w:highlight w:val="none"/>
        </w:rPr>
        <w:t>16. 投标有效期</w:t>
      </w:r>
    </w:p>
    <w:p w14:paraId="21B30180">
      <w:pPr>
        <w:tabs>
          <w:tab w:val="left" w:pos="1305"/>
        </w:tabs>
        <w:spacing w:line="370" w:lineRule="exact"/>
        <w:ind w:firstLine="420" w:firstLineChars="200"/>
        <w:rPr>
          <w:rFonts w:hint="default" w:ascii="Arial" w:hAnsi="Arial" w:cs="Arial"/>
          <w:szCs w:val="21"/>
          <w:highlight w:val="none"/>
        </w:rPr>
      </w:pPr>
      <w:r>
        <w:rPr>
          <w:rFonts w:hint="default" w:ascii="Arial" w:hAnsi="Arial" w:cs="Arial"/>
          <w:szCs w:val="21"/>
          <w:highlight w:val="none"/>
        </w:rPr>
        <w:t>16.1</w:t>
      </w:r>
      <w:r>
        <w:rPr>
          <w:rFonts w:hint="default" w:ascii="Arial" w:hAnsi="Arial" w:cs="Arial"/>
          <w:b/>
          <w:sz w:val="24"/>
          <w:highlight w:val="none"/>
        </w:rPr>
        <w:t>投标有效期：投标截止时间之日起90天。</w:t>
      </w:r>
    </w:p>
    <w:p w14:paraId="2FFB07CA">
      <w:pPr>
        <w:tabs>
          <w:tab w:val="left" w:pos="1305"/>
        </w:tabs>
        <w:spacing w:line="370" w:lineRule="exact"/>
        <w:ind w:firstLine="420" w:firstLineChars="200"/>
        <w:rPr>
          <w:rFonts w:hint="default" w:ascii="Arial" w:hAnsi="Arial" w:cs="Arial"/>
          <w:szCs w:val="21"/>
          <w:highlight w:val="none"/>
        </w:rPr>
      </w:pPr>
      <w:r>
        <w:rPr>
          <w:rFonts w:hint="default" w:ascii="Arial" w:hAnsi="Arial" w:cs="Arial"/>
          <w:szCs w:val="21"/>
          <w:highlight w:val="none"/>
        </w:rPr>
        <w:t>16.2出现特殊情况下，需要延长投标有效期的，采购代理机构以书面形式通知投标人延长投标有效期。投标人同意延长，但不能修改投标文件。投标人拒绝延长的，其投标无效。</w:t>
      </w:r>
    </w:p>
    <w:p w14:paraId="2EE3E4A8">
      <w:pPr>
        <w:tabs>
          <w:tab w:val="left" w:pos="1305"/>
        </w:tabs>
        <w:spacing w:line="370" w:lineRule="exact"/>
        <w:ind w:firstLine="420" w:firstLineChars="200"/>
        <w:rPr>
          <w:rFonts w:hint="default" w:ascii="Arial" w:hAnsi="Arial" w:cs="Arial"/>
          <w:szCs w:val="21"/>
          <w:highlight w:val="none"/>
        </w:rPr>
      </w:pPr>
      <w:r>
        <w:rPr>
          <w:rFonts w:hint="default" w:ascii="Arial" w:hAnsi="Arial" w:cs="Arial"/>
          <w:b/>
          <w:bCs/>
          <w:szCs w:val="21"/>
          <w:highlight w:val="none"/>
        </w:rPr>
        <w:t>17.投标保证金</w:t>
      </w:r>
      <w:r>
        <w:rPr>
          <w:rFonts w:hint="default" w:ascii="Arial" w:hAnsi="Arial" w:cs="Arial"/>
          <w:b/>
          <w:szCs w:val="21"/>
          <w:highlight w:val="none"/>
        </w:rPr>
        <w:t>：无投标保证金</w:t>
      </w:r>
    </w:p>
    <w:p w14:paraId="5869A4DB">
      <w:pPr>
        <w:tabs>
          <w:tab w:val="left" w:pos="1305"/>
        </w:tabs>
        <w:spacing w:line="370" w:lineRule="exact"/>
        <w:ind w:firstLine="420" w:firstLineChars="200"/>
        <w:jc w:val="left"/>
        <w:rPr>
          <w:rFonts w:hint="default" w:ascii="Arial" w:hAnsi="Arial" w:cs="Arial"/>
          <w:b/>
          <w:szCs w:val="21"/>
          <w:highlight w:val="none"/>
        </w:rPr>
      </w:pPr>
      <w:r>
        <w:rPr>
          <w:rFonts w:hint="default" w:ascii="Arial" w:hAnsi="Arial" w:cs="Arial"/>
          <w:b/>
          <w:szCs w:val="21"/>
          <w:highlight w:val="none"/>
        </w:rPr>
        <w:t>18.投标文件的制作</w:t>
      </w:r>
    </w:p>
    <w:p w14:paraId="1DC2B939">
      <w:pPr>
        <w:tabs>
          <w:tab w:val="left" w:pos="1305"/>
        </w:tabs>
        <w:spacing w:line="340" w:lineRule="exact"/>
        <w:ind w:firstLine="420" w:firstLineChars="200"/>
        <w:rPr>
          <w:rFonts w:hint="default" w:ascii="Arial" w:hAnsi="Arial" w:cs="Arial"/>
          <w:b/>
          <w:szCs w:val="21"/>
          <w:highlight w:val="none"/>
        </w:rPr>
      </w:pPr>
      <w:r>
        <w:rPr>
          <w:rFonts w:hint="default" w:ascii="Arial" w:hAnsi="Arial" w:cs="Arial"/>
          <w:b/>
          <w:szCs w:val="21"/>
          <w:highlight w:val="none"/>
        </w:rPr>
        <w:t>18.1电子投标文件的制作、加密</w:t>
      </w:r>
    </w:p>
    <w:p w14:paraId="036FBC4E">
      <w:pPr>
        <w:tabs>
          <w:tab w:val="left" w:pos="1305"/>
        </w:tabs>
        <w:spacing w:line="340" w:lineRule="exact"/>
        <w:ind w:firstLine="420" w:firstLineChars="200"/>
        <w:rPr>
          <w:rFonts w:hint="default" w:ascii="Arial" w:hAnsi="Arial" w:cs="Arial"/>
          <w:szCs w:val="21"/>
          <w:highlight w:val="none"/>
        </w:rPr>
      </w:pPr>
      <w:r>
        <w:rPr>
          <w:rFonts w:hint="default" w:ascii="Arial" w:hAnsi="Arial" w:cs="Arial"/>
          <w:szCs w:val="21"/>
          <w:highlight w:val="none"/>
        </w:rPr>
        <w:t>18.1.1投标人制作电子投标文件前，必须登录</w:t>
      </w:r>
      <w:r>
        <w:rPr>
          <w:rFonts w:hint="default" w:ascii="Arial" w:hAnsi="Arial" w:cs="Arial"/>
          <w:color w:val="auto"/>
          <w:szCs w:val="21"/>
          <w:highlight w:val="none"/>
        </w:rPr>
        <w:t>广西政府采购云平台</w:t>
      </w:r>
      <w:r>
        <w:rPr>
          <w:rFonts w:hint="default" w:ascii="Arial" w:hAnsi="Arial" w:cs="Arial"/>
          <w:szCs w:val="21"/>
          <w:highlight w:val="none"/>
        </w:rPr>
        <w:t>进行招标文件的获取操作。</w:t>
      </w:r>
    </w:p>
    <w:p w14:paraId="2EB6AEC9">
      <w:pPr>
        <w:tabs>
          <w:tab w:val="left" w:pos="1305"/>
        </w:tabs>
        <w:spacing w:line="340" w:lineRule="exact"/>
        <w:ind w:firstLine="420" w:firstLineChars="200"/>
        <w:rPr>
          <w:rFonts w:hint="default" w:ascii="Arial" w:hAnsi="Arial" w:cs="Arial"/>
          <w:szCs w:val="21"/>
          <w:highlight w:val="none"/>
        </w:rPr>
      </w:pPr>
      <w:r>
        <w:rPr>
          <w:rFonts w:hint="default" w:ascii="Arial" w:hAnsi="Arial" w:cs="Arial"/>
          <w:szCs w:val="21"/>
          <w:highlight w:val="none"/>
        </w:rPr>
        <w:t>18.1.2投标人下载或获取招标文件后，登录“</w:t>
      </w:r>
      <w:r>
        <w:rPr>
          <w:rFonts w:hint="default" w:ascii="Arial" w:hAnsi="Arial" w:cs="Arial"/>
          <w:color w:val="auto"/>
          <w:szCs w:val="21"/>
          <w:highlight w:val="none"/>
        </w:rPr>
        <w:t>广西政府采购云平台</w:t>
      </w:r>
      <w:r>
        <w:rPr>
          <w:rFonts w:hint="default" w:ascii="Arial" w:hAnsi="Arial" w:cs="Arial"/>
          <w:szCs w:val="21"/>
          <w:highlight w:val="none"/>
        </w:rPr>
        <w:t>电子投标客户端”，按照本招标文件规定的投标文件格式、顺序以及</w:t>
      </w:r>
      <w:r>
        <w:rPr>
          <w:rFonts w:hint="default" w:ascii="Arial" w:hAnsi="Arial" w:cs="Arial"/>
          <w:color w:val="auto"/>
          <w:szCs w:val="21"/>
          <w:highlight w:val="none"/>
        </w:rPr>
        <w:t>广西政府采购云平台</w:t>
      </w:r>
      <w:r>
        <w:rPr>
          <w:rFonts w:hint="default" w:ascii="Arial" w:hAnsi="Arial" w:cs="Arial"/>
          <w:szCs w:val="21"/>
          <w:highlight w:val="none"/>
        </w:rPr>
        <w:t>的要求，通过“</w:t>
      </w:r>
      <w:r>
        <w:rPr>
          <w:rFonts w:hint="default" w:ascii="Arial" w:hAnsi="Arial" w:cs="Arial"/>
          <w:color w:val="auto"/>
          <w:szCs w:val="21"/>
          <w:highlight w:val="none"/>
        </w:rPr>
        <w:t>广西政府采购云平台</w:t>
      </w:r>
      <w:r>
        <w:rPr>
          <w:rFonts w:hint="default" w:ascii="Arial" w:hAnsi="Arial" w:cs="Arial"/>
          <w:szCs w:val="21"/>
          <w:highlight w:val="none"/>
        </w:rPr>
        <w:t>电子投标客户端”编制电子投标文件。</w:t>
      </w:r>
    </w:p>
    <w:p w14:paraId="0D613A10">
      <w:pPr>
        <w:tabs>
          <w:tab w:val="left" w:pos="1305"/>
        </w:tabs>
        <w:spacing w:line="340" w:lineRule="exact"/>
        <w:ind w:firstLine="420" w:firstLineChars="200"/>
        <w:rPr>
          <w:rFonts w:hint="default" w:ascii="Arial" w:hAnsi="Arial" w:cs="Arial"/>
          <w:szCs w:val="21"/>
          <w:highlight w:val="none"/>
        </w:rPr>
      </w:pPr>
      <w:r>
        <w:rPr>
          <w:rFonts w:hint="default" w:ascii="Arial" w:hAnsi="Arial" w:cs="Arial"/>
          <w:szCs w:val="21"/>
          <w:highlight w:val="none"/>
        </w:rPr>
        <w:t>18.1.3投标人应按“</w:t>
      </w:r>
      <w:r>
        <w:rPr>
          <w:rFonts w:hint="default" w:ascii="Arial" w:hAnsi="Arial" w:cs="Arial"/>
          <w:color w:val="auto"/>
          <w:szCs w:val="21"/>
          <w:highlight w:val="none"/>
        </w:rPr>
        <w:t>广西政府采购云平台</w:t>
      </w:r>
      <w:r>
        <w:rPr>
          <w:rFonts w:hint="default" w:ascii="Arial" w:hAnsi="Arial" w:cs="Arial"/>
          <w:szCs w:val="21"/>
          <w:highlight w:val="none"/>
        </w:rPr>
        <w:t>电子投标客户端”载明的“标书关联”功能进行电子投标文件相应内容的关联定位，以便评标委员会在评审时点击相应评审项可直接定位到该评审内容；如投标人的电子投标文件未能关联定位相应内容，或者关联定位的内容与该评审项不符，导致评标委员会无法查询并做出对投标人不利的评审，相关后果由投标人自行承担。</w:t>
      </w:r>
    </w:p>
    <w:p w14:paraId="3E0ABB31">
      <w:pPr>
        <w:tabs>
          <w:tab w:val="left" w:pos="1305"/>
        </w:tabs>
        <w:spacing w:line="340" w:lineRule="exact"/>
        <w:ind w:firstLine="420" w:firstLineChars="200"/>
        <w:rPr>
          <w:rFonts w:hint="default" w:ascii="Arial" w:hAnsi="Arial" w:cs="Arial"/>
          <w:szCs w:val="21"/>
          <w:highlight w:val="none"/>
        </w:rPr>
      </w:pPr>
      <w:r>
        <w:rPr>
          <w:rFonts w:hint="default" w:ascii="Arial" w:hAnsi="Arial" w:cs="Arial"/>
          <w:szCs w:val="21"/>
          <w:highlight w:val="none"/>
        </w:rPr>
        <w:t>18.1.4电子投标文件不得涂改，若有修改错漏处，须由法定代表人（负责人）或授权委托代理人通过“</w:t>
      </w:r>
      <w:r>
        <w:rPr>
          <w:rFonts w:hint="default" w:ascii="Arial" w:hAnsi="Arial" w:cs="Arial"/>
          <w:color w:val="auto"/>
          <w:szCs w:val="21"/>
          <w:highlight w:val="none"/>
        </w:rPr>
        <w:t>广西政府采购云平台</w:t>
      </w:r>
      <w:r>
        <w:rPr>
          <w:rFonts w:hint="default" w:ascii="Arial" w:hAnsi="Arial" w:cs="Arial"/>
          <w:szCs w:val="21"/>
          <w:highlight w:val="none"/>
        </w:rPr>
        <w:t>电子投标客户端”采用</w:t>
      </w:r>
      <w:r>
        <w:rPr>
          <w:rFonts w:hint="default" w:ascii="Arial" w:hAnsi="Arial" w:cs="Arial"/>
          <w:color w:val="auto"/>
          <w:szCs w:val="21"/>
          <w:highlight w:val="none"/>
        </w:rPr>
        <w:t>广西政府采购云平台</w:t>
      </w:r>
      <w:r>
        <w:rPr>
          <w:rFonts w:hint="default" w:ascii="Arial" w:hAnsi="Arial" w:cs="Arial"/>
          <w:szCs w:val="21"/>
          <w:highlight w:val="none"/>
        </w:rPr>
        <w:t>个人CA证书签章，没有办理</w:t>
      </w:r>
      <w:r>
        <w:rPr>
          <w:rFonts w:hint="default" w:ascii="Arial" w:hAnsi="Arial" w:cs="Arial"/>
          <w:color w:val="auto"/>
          <w:szCs w:val="21"/>
          <w:highlight w:val="none"/>
        </w:rPr>
        <w:t>广西政府采购云平台</w:t>
      </w:r>
      <w:r>
        <w:rPr>
          <w:rFonts w:hint="default" w:ascii="Arial" w:hAnsi="Arial" w:cs="Arial"/>
          <w:szCs w:val="21"/>
          <w:highlight w:val="none"/>
        </w:rPr>
        <w:t>个人CA证书签章的，在投标文件中响应位置手写签字后扫描或者拍照做成 PDF 的格式上传。因投标文件字迹潦草、表达不清、内容不完整、编排混乱导致投标文件被误读、漏读，或者在按招标文件规定的部位查找不到相关内容的，其不利后果由供应商自行承担。</w:t>
      </w:r>
    </w:p>
    <w:p w14:paraId="5FE920D4">
      <w:pPr>
        <w:tabs>
          <w:tab w:val="left" w:pos="1305"/>
        </w:tabs>
        <w:spacing w:line="340" w:lineRule="exact"/>
        <w:ind w:firstLine="420" w:firstLineChars="200"/>
        <w:rPr>
          <w:rFonts w:hint="default" w:ascii="Arial" w:hAnsi="Arial" w:cs="Arial"/>
          <w:szCs w:val="21"/>
          <w:highlight w:val="none"/>
        </w:rPr>
      </w:pPr>
      <w:r>
        <w:rPr>
          <w:rFonts w:hint="default" w:ascii="Arial" w:hAnsi="Arial" w:cs="Arial"/>
          <w:szCs w:val="21"/>
          <w:highlight w:val="none"/>
        </w:rPr>
        <w:t>18.1.5投标人编制、生成电子投标文件后应当加密投标文件。投标人未按规定编制并加密的投标文件，</w:t>
      </w:r>
      <w:r>
        <w:rPr>
          <w:rFonts w:hint="default" w:ascii="Arial" w:hAnsi="Arial" w:cs="Arial"/>
          <w:color w:val="auto"/>
          <w:szCs w:val="21"/>
          <w:highlight w:val="none"/>
        </w:rPr>
        <w:t>广西政府采购云平台</w:t>
      </w:r>
      <w:r>
        <w:rPr>
          <w:rFonts w:hint="default" w:ascii="Arial" w:hAnsi="Arial" w:cs="Arial"/>
          <w:szCs w:val="21"/>
          <w:highlight w:val="none"/>
        </w:rPr>
        <w:t>将予以拒收。</w:t>
      </w:r>
    </w:p>
    <w:p w14:paraId="050B79DC">
      <w:pPr>
        <w:tabs>
          <w:tab w:val="left" w:pos="1305"/>
        </w:tabs>
        <w:spacing w:line="340" w:lineRule="exact"/>
        <w:ind w:firstLine="420" w:firstLineChars="200"/>
        <w:rPr>
          <w:rFonts w:hint="default" w:ascii="Arial" w:hAnsi="Arial" w:cs="Arial"/>
          <w:b/>
          <w:szCs w:val="21"/>
          <w:highlight w:val="none"/>
        </w:rPr>
      </w:pPr>
      <w:r>
        <w:rPr>
          <w:rFonts w:hint="default" w:ascii="Arial" w:hAnsi="Arial" w:cs="Arial"/>
          <w:b/>
          <w:szCs w:val="21"/>
          <w:highlight w:val="none"/>
        </w:rPr>
        <w:t>18.2投标人公章及签字</w:t>
      </w:r>
    </w:p>
    <w:p w14:paraId="1888EF8D">
      <w:pPr>
        <w:tabs>
          <w:tab w:val="left" w:pos="1305"/>
        </w:tabs>
        <w:spacing w:line="340" w:lineRule="exact"/>
        <w:ind w:firstLine="420" w:firstLineChars="200"/>
        <w:rPr>
          <w:rFonts w:hint="default" w:ascii="Arial" w:hAnsi="Arial" w:cs="Arial"/>
          <w:szCs w:val="21"/>
          <w:highlight w:val="none"/>
        </w:rPr>
      </w:pPr>
      <w:r>
        <w:rPr>
          <w:rFonts w:hint="default" w:ascii="Arial" w:hAnsi="Arial" w:cs="Arial"/>
          <w:szCs w:val="21"/>
          <w:highlight w:val="none"/>
        </w:rPr>
        <w:t>18.2.1本招标文件中描述投标人的“公章”是指投标人通过指定电子化政府采购平台办理数字证书（CA认证证书）获得的以法定主体行为名称制作的电子印章。</w:t>
      </w:r>
    </w:p>
    <w:p w14:paraId="11E4C54F">
      <w:pPr>
        <w:tabs>
          <w:tab w:val="left" w:pos="1305"/>
        </w:tabs>
        <w:spacing w:line="340" w:lineRule="exact"/>
        <w:ind w:firstLine="420" w:firstLineChars="200"/>
        <w:rPr>
          <w:rFonts w:hint="default" w:ascii="Arial" w:hAnsi="Arial" w:cs="Arial"/>
          <w:szCs w:val="21"/>
          <w:highlight w:val="none"/>
        </w:rPr>
      </w:pPr>
      <w:r>
        <w:rPr>
          <w:rFonts w:hint="default" w:ascii="Arial" w:hAnsi="Arial" w:cs="Arial"/>
          <w:szCs w:val="21"/>
          <w:highlight w:val="none"/>
        </w:rPr>
        <w:t>18.2.2本招标文件中要求投标人对其电子投标文件的相关内容加盖公章的，均指采用CA证书签章。</w:t>
      </w:r>
    </w:p>
    <w:p w14:paraId="19003345">
      <w:pPr>
        <w:tabs>
          <w:tab w:val="left" w:pos="1305"/>
        </w:tabs>
        <w:spacing w:line="340" w:lineRule="exact"/>
        <w:ind w:firstLine="420" w:firstLineChars="200"/>
        <w:rPr>
          <w:rFonts w:hint="default" w:ascii="Arial" w:hAnsi="Arial" w:cs="Arial"/>
          <w:szCs w:val="21"/>
          <w:highlight w:val="none"/>
        </w:rPr>
      </w:pPr>
      <w:r>
        <w:rPr>
          <w:rFonts w:hint="default" w:ascii="Arial" w:hAnsi="Arial" w:cs="Arial"/>
          <w:szCs w:val="21"/>
          <w:highlight w:val="none"/>
        </w:rPr>
        <w:t>18.2.3本招标文件中描述投标人的“签字”是指投标人通过指定电子化政府采购平台办理数字证书（CA认证证书）获得的以投标人法定代表人（负责人）或者委托代理人姓名制作的个人电子印章或手写签字。没有办理个人CA证书的，可以为手写签字的形式。</w:t>
      </w:r>
    </w:p>
    <w:p w14:paraId="557DE317">
      <w:pPr>
        <w:tabs>
          <w:tab w:val="left" w:pos="1305"/>
        </w:tabs>
        <w:spacing w:line="370" w:lineRule="exact"/>
        <w:ind w:firstLine="420" w:firstLineChars="200"/>
        <w:jc w:val="left"/>
        <w:rPr>
          <w:rFonts w:hint="default" w:ascii="Arial" w:hAnsi="Arial" w:cs="Arial"/>
          <w:b/>
          <w:szCs w:val="21"/>
          <w:highlight w:val="none"/>
        </w:rPr>
      </w:pPr>
      <w:r>
        <w:rPr>
          <w:rFonts w:hint="default" w:ascii="Arial" w:hAnsi="Arial" w:cs="Arial"/>
          <w:b/>
          <w:szCs w:val="21"/>
          <w:highlight w:val="none"/>
        </w:rPr>
        <w:t>19. 投标文件的补充、修改和撤回</w:t>
      </w:r>
    </w:p>
    <w:p w14:paraId="72414D69">
      <w:pPr>
        <w:tabs>
          <w:tab w:val="left" w:pos="1305"/>
        </w:tabs>
        <w:spacing w:line="370" w:lineRule="exact"/>
        <w:ind w:firstLine="420" w:firstLineChars="200"/>
        <w:jc w:val="left"/>
        <w:rPr>
          <w:rFonts w:hint="default" w:ascii="Arial" w:hAnsi="Arial" w:cs="Arial"/>
          <w:bCs/>
          <w:szCs w:val="21"/>
          <w:highlight w:val="none"/>
        </w:rPr>
      </w:pPr>
      <w:r>
        <w:rPr>
          <w:rFonts w:hint="default" w:ascii="Arial" w:hAnsi="Arial" w:cs="Arial"/>
          <w:bCs/>
          <w:szCs w:val="21"/>
          <w:highlight w:val="none"/>
        </w:rPr>
        <w:t>19.1 投标文件递交截止时间前可以撤回电子投标文件。补充或者修改电子投标文件的，应当先行撤回原文件，补充、修改后重新传输递交，投标文件递交截止时间前未完成传输的，视为撤回投标文件。</w:t>
      </w:r>
    </w:p>
    <w:p w14:paraId="7647F9CC">
      <w:pPr>
        <w:tabs>
          <w:tab w:val="left" w:pos="1305"/>
        </w:tabs>
        <w:spacing w:line="370" w:lineRule="exact"/>
        <w:ind w:firstLine="420" w:firstLineChars="200"/>
        <w:jc w:val="left"/>
        <w:rPr>
          <w:rFonts w:hint="default" w:ascii="Arial" w:hAnsi="Arial" w:cs="Arial"/>
          <w:bCs/>
          <w:szCs w:val="21"/>
          <w:highlight w:val="none"/>
        </w:rPr>
      </w:pPr>
      <w:r>
        <w:rPr>
          <w:rFonts w:hint="default" w:ascii="Arial" w:hAnsi="Arial" w:cs="Arial"/>
          <w:bCs/>
          <w:szCs w:val="21"/>
          <w:highlight w:val="none"/>
        </w:rPr>
        <w:t>19.2 在投标文件递交截止时间后的投标文件有效期内，供应商不得撤回其投标文件。</w:t>
      </w:r>
    </w:p>
    <w:p w14:paraId="08C21E6C">
      <w:pPr>
        <w:tabs>
          <w:tab w:val="left" w:pos="1305"/>
        </w:tabs>
        <w:spacing w:line="370" w:lineRule="exact"/>
        <w:ind w:firstLine="420" w:firstLineChars="200"/>
        <w:jc w:val="left"/>
        <w:rPr>
          <w:rFonts w:hint="default" w:ascii="Arial" w:hAnsi="Arial" w:cs="Arial"/>
          <w:b/>
          <w:szCs w:val="21"/>
          <w:highlight w:val="none"/>
        </w:rPr>
      </w:pPr>
      <w:r>
        <w:rPr>
          <w:rFonts w:hint="default" w:ascii="Arial" w:hAnsi="Arial" w:cs="Arial"/>
          <w:b/>
          <w:szCs w:val="21"/>
          <w:highlight w:val="none"/>
        </w:rPr>
        <w:t>20. 投标文件的递交和解密</w:t>
      </w:r>
    </w:p>
    <w:p w14:paraId="14384504">
      <w:pPr>
        <w:tabs>
          <w:tab w:val="left" w:pos="1305"/>
        </w:tabs>
        <w:spacing w:line="370" w:lineRule="exact"/>
        <w:ind w:firstLine="420" w:firstLineChars="200"/>
        <w:jc w:val="left"/>
        <w:rPr>
          <w:rFonts w:hint="default" w:ascii="Arial" w:hAnsi="Arial" w:cs="Arial"/>
          <w:bCs/>
          <w:szCs w:val="21"/>
          <w:highlight w:val="none"/>
        </w:rPr>
      </w:pPr>
      <w:r>
        <w:rPr>
          <w:rFonts w:hint="default" w:ascii="Arial" w:hAnsi="Arial" w:cs="Arial"/>
          <w:bCs/>
          <w:szCs w:val="21"/>
          <w:highlight w:val="none"/>
        </w:rPr>
        <w:t>20.1投标文件递交截止时间：于</w:t>
      </w:r>
      <w:r>
        <w:rPr>
          <w:rFonts w:hint="default" w:ascii="Arial" w:hAnsi="Arial" w:cs="Arial"/>
          <w:bCs/>
          <w:szCs w:val="21"/>
          <w:highlight w:val="none"/>
          <w:lang w:eastAsia="zh-CN"/>
        </w:rPr>
        <w:t>2026年</w:t>
      </w:r>
      <w:r>
        <w:rPr>
          <w:rFonts w:hint="default" w:ascii="Arial" w:hAnsi="Arial" w:cs="Arial"/>
          <w:bCs/>
          <w:szCs w:val="21"/>
          <w:highlight w:val="none"/>
          <w:lang w:val="en-US" w:eastAsia="zh-CN"/>
        </w:rPr>
        <w:t>9</w:t>
      </w:r>
      <w:r>
        <w:rPr>
          <w:rFonts w:hint="default" w:ascii="Arial" w:hAnsi="Arial" w:cs="Arial"/>
          <w:bCs/>
          <w:szCs w:val="21"/>
          <w:highlight w:val="none"/>
          <w:lang w:eastAsia="zh-CN"/>
        </w:rPr>
        <w:t>月</w:t>
      </w:r>
      <w:r>
        <w:rPr>
          <w:rFonts w:hint="default" w:ascii="Arial" w:hAnsi="Arial" w:cs="Arial"/>
          <w:bCs/>
          <w:szCs w:val="21"/>
          <w:highlight w:val="none"/>
          <w:lang w:val="en-US" w:eastAsia="zh-CN"/>
        </w:rPr>
        <w:t>16</w:t>
      </w:r>
      <w:r>
        <w:rPr>
          <w:rFonts w:hint="default" w:ascii="Arial" w:hAnsi="Arial" w:cs="Arial"/>
          <w:bCs/>
          <w:szCs w:val="21"/>
          <w:highlight w:val="none"/>
          <w:lang w:eastAsia="zh-CN"/>
        </w:rPr>
        <w:t>日</w:t>
      </w:r>
      <w:r>
        <w:rPr>
          <w:rFonts w:hint="default" w:ascii="Arial" w:hAnsi="Arial" w:cs="Arial"/>
          <w:bCs/>
          <w:szCs w:val="21"/>
          <w:highlight w:val="none"/>
        </w:rPr>
        <w:t>上午9时30分之前将电子投标文件上传到</w:t>
      </w:r>
      <w:r>
        <w:rPr>
          <w:rFonts w:hint="default" w:ascii="Arial" w:hAnsi="Arial" w:cs="Arial"/>
          <w:color w:val="auto"/>
          <w:szCs w:val="21"/>
          <w:highlight w:val="none"/>
        </w:rPr>
        <w:t>广西政府采购云平台</w:t>
      </w:r>
      <w:r>
        <w:rPr>
          <w:rFonts w:hint="default" w:ascii="Arial" w:hAnsi="Arial" w:cs="Arial"/>
          <w:bCs/>
          <w:szCs w:val="21"/>
          <w:highlight w:val="none"/>
        </w:rPr>
        <w:t>。应按照本项目招标文件和</w:t>
      </w:r>
      <w:r>
        <w:rPr>
          <w:rFonts w:hint="default" w:ascii="Arial" w:hAnsi="Arial" w:cs="Arial"/>
          <w:color w:val="auto"/>
          <w:szCs w:val="21"/>
          <w:highlight w:val="none"/>
        </w:rPr>
        <w:t>广西政府采购云平台</w:t>
      </w:r>
      <w:r>
        <w:rPr>
          <w:rFonts w:hint="default" w:ascii="Arial" w:hAnsi="Arial" w:cs="Arial"/>
          <w:bCs/>
          <w:szCs w:val="21"/>
          <w:highlight w:val="none"/>
        </w:rPr>
        <w:t>的要求编制、加密传输投标文件。供应商在使用系统进行投标的过程中遇到涉及平台使用的任何问题，可致电</w:t>
      </w:r>
      <w:r>
        <w:rPr>
          <w:rFonts w:hint="default" w:ascii="Arial" w:hAnsi="Arial" w:cs="Arial"/>
          <w:color w:val="auto"/>
          <w:szCs w:val="21"/>
          <w:highlight w:val="none"/>
        </w:rPr>
        <w:t>广西政府采购云平台</w:t>
      </w:r>
      <w:r>
        <w:rPr>
          <w:rFonts w:hint="default" w:ascii="Arial" w:hAnsi="Arial" w:cs="Arial"/>
          <w:bCs/>
          <w:szCs w:val="21"/>
          <w:highlight w:val="none"/>
        </w:rPr>
        <w:t>技术支持热线咨询，联系方式：95763。</w:t>
      </w:r>
    </w:p>
    <w:p w14:paraId="27D72F5C">
      <w:pPr>
        <w:tabs>
          <w:tab w:val="left" w:pos="1305"/>
        </w:tabs>
        <w:spacing w:line="370" w:lineRule="exact"/>
        <w:ind w:firstLine="420" w:firstLineChars="200"/>
        <w:jc w:val="left"/>
        <w:rPr>
          <w:rFonts w:hint="default" w:ascii="Arial" w:hAnsi="Arial" w:cs="Arial"/>
          <w:bCs/>
          <w:szCs w:val="21"/>
          <w:highlight w:val="none"/>
        </w:rPr>
      </w:pPr>
      <w:r>
        <w:rPr>
          <w:rFonts w:hint="default" w:ascii="Arial" w:hAnsi="Arial" w:cs="Arial"/>
          <w:bCs/>
          <w:szCs w:val="21"/>
          <w:highlight w:val="none"/>
        </w:rPr>
        <w:t>20.2投标文件解密时间：截标时间后30分钟内（</w:t>
      </w:r>
      <w:r>
        <w:rPr>
          <w:rFonts w:hint="default" w:ascii="Arial" w:hAnsi="Arial" w:cs="Arial"/>
          <w:bCs/>
          <w:szCs w:val="21"/>
          <w:highlight w:val="none"/>
          <w:lang w:eastAsia="zh-CN"/>
        </w:rPr>
        <w:t>2026年</w:t>
      </w:r>
      <w:r>
        <w:rPr>
          <w:rFonts w:hint="default" w:ascii="Arial" w:hAnsi="Arial" w:cs="Arial"/>
          <w:bCs/>
          <w:szCs w:val="21"/>
          <w:highlight w:val="none"/>
          <w:lang w:val="en-US" w:eastAsia="zh-CN"/>
        </w:rPr>
        <w:t>9</w:t>
      </w:r>
      <w:r>
        <w:rPr>
          <w:rFonts w:hint="default" w:ascii="Arial" w:hAnsi="Arial" w:cs="Arial"/>
          <w:bCs/>
          <w:szCs w:val="21"/>
          <w:highlight w:val="none"/>
          <w:lang w:eastAsia="zh-CN"/>
        </w:rPr>
        <w:t>月</w:t>
      </w:r>
      <w:r>
        <w:rPr>
          <w:rFonts w:hint="default" w:ascii="Arial" w:hAnsi="Arial" w:cs="Arial"/>
          <w:bCs/>
          <w:szCs w:val="21"/>
          <w:highlight w:val="none"/>
          <w:lang w:val="en-US" w:eastAsia="zh-CN"/>
        </w:rPr>
        <w:t>16</w:t>
      </w:r>
      <w:r>
        <w:rPr>
          <w:rFonts w:hint="default" w:ascii="Arial" w:hAnsi="Arial" w:cs="Arial"/>
          <w:bCs/>
          <w:szCs w:val="21"/>
          <w:highlight w:val="none"/>
          <w:lang w:eastAsia="zh-CN"/>
        </w:rPr>
        <w:t>日</w:t>
      </w:r>
      <w:r>
        <w:rPr>
          <w:rFonts w:hint="default" w:ascii="Arial" w:hAnsi="Arial" w:cs="Arial"/>
          <w:bCs/>
          <w:szCs w:val="21"/>
          <w:highlight w:val="none"/>
        </w:rPr>
        <w:t>上午9时30分至10时00分)投标人可以登录</w:t>
      </w:r>
      <w:r>
        <w:rPr>
          <w:rFonts w:hint="default" w:ascii="Arial" w:hAnsi="Arial" w:cs="Arial"/>
          <w:color w:val="auto"/>
          <w:szCs w:val="21"/>
          <w:highlight w:val="none"/>
        </w:rPr>
        <w:t>广西政府采购云平台</w:t>
      </w:r>
      <w:r>
        <w:rPr>
          <w:rFonts w:hint="default" w:ascii="Arial" w:hAnsi="Arial" w:cs="Arial"/>
          <w:bCs/>
          <w:szCs w:val="21"/>
          <w:highlight w:val="none"/>
        </w:rPr>
        <w:t>，用“项目采购-开标评标”功能进行解密投标文件。若投标人在规定时间内无法解密或解密失败，可以以电子备份投标文件作为依据【在接到无法解密或解密失败的通知后，投标人可根据自身实际情况按通知时要求的时间到桂林市公共资源交易中心开标室现场提交或以电子邮件的形式（以通知时所告知的电子邮箱地址为准）提交电子备份投标文件】，若电子备份投标文件与</w:t>
      </w:r>
      <w:r>
        <w:rPr>
          <w:rFonts w:hint="default" w:ascii="Arial" w:hAnsi="Arial" w:cs="Arial"/>
          <w:color w:val="auto"/>
          <w:szCs w:val="21"/>
          <w:highlight w:val="none"/>
        </w:rPr>
        <w:t>广西政府采购云平台</w:t>
      </w:r>
      <w:r>
        <w:rPr>
          <w:rFonts w:hint="default" w:ascii="Arial" w:hAnsi="Arial" w:cs="Arial"/>
          <w:bCs/>
          <w:szCs w:val="21"/>
          <w:highlight w:val="none"/>
        </w:rPr>
        <w:t>上传的电子投标文件被识别为不一致的，以电子备份投标文件作为评审依据；投标人按时在线解密投标文件的，以在线解密的投标文件作为评审依据。若投标人在规定时间内无法解密或解密失败且未提供电子备份投标文件的(包含提供的电子备份文件无效或无法解密的情况)，视为投标无效。</w:t>
      </w:r>
    </w:p>
    <w:p w14:paraId="2E1B2989">
      <w:pPr>
        <w:tabs>
          <w:tab w:val="left" w:pos="1305"/>
        </w:tabs>
        <w:spacing w:line="370" w:lineRule="exact"/>
        <w:ind w:firstLine="420" w:firstLineChars="200"/>
        <w:jc w:val="left"/>
        <w:rPr>
          <w:rFonts w:hint="default" w:ascii="Arial" w:hAnsi="Arial" w:cs="Arial"/>
          <w:bCs/>
          <w:szCs w:val="21"/>
          <w:highlight w:val="none"/>
        </w:rPr>
      </w:pPr>
      <w:r>
        <w:rPr>
          <w:rFonts w:hint="default" w:ascii="Arial" w:hAnsi="Arial" w:cs="Arial"/>
          <w:bCs/>
          <w:szCs w:val="21"/>
          <w:highlight w:val="none"/>
        </w:rPr>
        <w:t>20.3 除招标文件另有规定外，供应商所递交的投标文件不予退还。</w:t>
      </w:r>
    </w:p>
    <w:p w14:paraId="2ABE0636">
      <w:pPr>
        <w:tabs>
          <w:tab w:val="left" w:pos="1305"/>
        </w:tabs>
        <w:spacing w:line="370" w:lineRule="exact"/>
        <w:ind w:firstLine="420" w:firstLineChars="200"/>
        <w:jc w:val="left"/>
        <w:rPr>
          <w:rFonts w:hint="default" w:ascii="Arial" w:hAnsi="Arial" w:cs="Arial"/>
          <w:bCs/>
          <w:szCs w:val="21"/>
          <w:highlight w:val="none"/>
        </w:rPr>
      </w:pPr>
      <w:r>
        <w:rPr>
          <w:rFonts w:hint="default" w:ascii="Arial" w:hAnsi="Arial" w:cs="Arial"/>
          <w:bCs/>
          <w:szCs w:val="21"/>
          <w:highlight w:val="none"/>
        </w:rPr>
        <w:t>20.4 电子投标文件的相关说明</w:t>
      </w:r>
    </w:p>
    <w:p w14:paraId="6AF97C23">
      <w:pPr>
        <w:tabs>
          <w:tab w:val="left" w:pos="1305"/>
        </w:tabs>
        <w:spacing w:line="370" w:lineRule="exact"/>
        <w:ind w:firstLine="420" w:firstLineChars="200"/>
        <w:jc w:val="left"/>
        <w:rPr>
          <w:rFonts w:hint="default" w:ascii="Arial" w:hAnsi="Arial" w:cs="Arial"/>
          <w:bCs/>
          <w:szCs w:val="21"/>
          <w:highlight w:val="none"/>
        </w:rPr>
      </w:pPr>
      <w:r>
        <w:rPr>
          <w:rFonts w:hint="default" w:ascii="Arial" w:hAnsi="Arial" w:cs="Arial"/>
          <w:bCs/>
          <w:szCs w:val="21"/>
          <w:highlight w:val="none"/>
        </w:rPr>
        <w:t xml:space="preserve">（1）供应商进行电子投标应安装客户端软件，并按照采购文件和电子交易平台的要求编制并加密投标文件。供应商未按规定加密的投标文件，电子交易平台将拒收。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电子交易平台将拒收。 </w:t>
      </w:r>
    </w:p>
    <w:p w14:paraId="2F21BF38">
      <w:pPr>
        <w:tabs>
          <w:tab w:val="left" w:pos="1305"/>
        </w:tabs>
        <w:spacing w:line="370" w:lineRule="exact"/>
        <w:ind w:firstLine="420" w:firstLineChars="200"/>
        <w:jc w:val="left"/>
        <w:rPr>
          <w:rFonts w:hint="default" w:ascii="Arial" w:hAnsi="Arial" w:cs="Arial"/>
          <w:bCs/>
          <w:sz w:val="28"/>
          <w:szCs w:val="28"/>
          <w:highlight w:val="none"/>
        </w:rPr>
      </w:pPr>
      <w:r>
        <w:rPr>
          <w:rFonts w:hint="default" w:ascii="Arial" w:hAnsi="Arial" w:cs="Arial"/>
          <w:bCs/>
          <w:szCs w:val="21"/>
          <w:highlight w:val="none"/>
        </w:rPr>
        <w:t>（2）如有特殊情况，采购代理机构延长截止时间和开标时间，采购代理机构和供应商的权利和义务将受到新的截止时间和开标时间的约束。</w:t>
      </w:r>
    </w:p>
    <w:p w14:paraId="36D46690">
      <w:pPr>
        <w:tabs>
          <w:tab w:val="left" w:pos="1305"/>
        </w:tabs>
        <w:spacing w:line="370" w:lineRule="exact"/>
        <w:ind w:firstLine="560" w:firstLineChars="200"/>
        <w:jc w:val="center"/>
        <w:rPr>
          <w:rFonts w:hint="default" w:ascii="Arial" w:hAnsi="Arial" w:cs="Arial"/>
          <w:b/>
          <w:sz w:val="28"/>
          <w:szCs w:val="28"/>
          <w:highlight w:val="none"/>
        </w:rPr>
      </w:pPr>
      <w:r>
        <w:rPr>
          <w:rFonts w:hint="default" w:ascii="Arial" w:hAnsi="Arial" w:cs="Arial"/>
          <w:b/>
          <w:sz w:val="28"/>
          <w:szCs w:val="28"/>
          <w:highlight w:val="none"/>
        </w:rPr>
        <w:t>四、开标</w:t>
      </w:r>
    </w:p>
    <w:p w14:paraId="1CB32577">
      <w:pPr>
        <w:tabs>
          <w:tab w:val="left" w:pos="1305"/>
        </w:tabs>
        <w:spacing w:line="370" w:lineRule="exact"/>
        <w:ind w:firstLine="420" w:firstLineChars="200"/>
        <w:rPr>
          <w:rFonts w:hint="default" w:ascii="Arial" w:hAnsi="Arial" w:cs="Arial"/>
          <w:b/>
          <w:szCs w:val="21"/>
          <w:highlight w:val="none"/>
        </w:rPr>
      </w:pPr>
      <w:r>
        <w:rPr>
          <w:rFonts w:hint="default" w:ascii="Arial" w:hAnsi="Arial" w:cs="Arial"/>
          <w:b/>
          <w:szCs w:val="21"/>
          <w:highlight w:val="none"/>
        </w:rPr>
        <w:t>21. 开标时间及地点</w:t>
      </w:r>
    </w:p>
    <w:p w14:paraId="2911B788">
      <w:pPr>
        <w:tabs>
          <w:tab w:val="left" w:pos="1305"/>
        </w:tabs>
        <w:spacing w:line="370" w:lineRule="exact"/>
        <w:ind w:firstLine="420" w:firstLineChars="200"/>
        <w:rPr>
          <w:rFonts w:hint="default" w:ascii="Arial" w:hAnsi="Arial" w:cs="Arial"/>
          <w:b/>
          <w:szCs w:val="21"/>
          <w:highlight w:val="none"/>
        </w:rPr>
      </w:pPr>
      <w:r>
        <w:rPr>
          <w:rFonts w:hint="default" w:ascii="Arial" w:hAnsi="Arial" w:cs="Arial"/>
          <w:b/>
          <w:szCs w:val="21"/>
          <w:highlight w:val="none"/>
        </w:rPr>
        <w:t>21.1开标时间及地点：</w:t>
      </w:r>
    </w:p>
    <w:p w14:paraId="0F0436AA">
      <w:pPr>
        <w:tabs>
          <w:tab w:val="left" w:pos="1305"/>
        </w:tabs>
        <w:spacing w:line="370" w:lineRule="exact"/>
        <w:ind w:firstLine="420" w:firstLineChars="200"/>
        <w:rPr>
          <w:rFonts w:hint="default" w:ascii="Arial" w:hAnsi="Arial" w:cs="Arial"/>
          <w:bCs/>
          <w:szCs w:val="21"/>
          <w:highlight w:val="none"/>
        </w:rPr>
      </w:pPr>
      <w:r>
        <w:rPr>
          <w:rFonts w:hint="default" w:ascii="Arial" w:hAnsi="Arial" w:cs="Arial"/>
          <w:bCs/>
          <w:szCs w:val="21"/>
          <w:highlight w:val="none"/>
        </w:rPr>
        <w:t>开标时间：</w:t>
      </w:r>
      <w:r>
        <w:rPr>
          <w:rFonts w:hint="default" w:ascii="Arial" w:hAnsi="Arial" w:cs="Arial"/>
          <w:bCs/>
          <w:szCs w:val="21"/>
          <w:highlight w:val="none"/>
          <w:lang w:eastAsia="zh-CN"/>
        </w:rPr>
        <w:t>2026年</w:t>
      </w:r>
      <w:r>
        <w:rPr>
          <w:rFonts w:hint="default" w:ascii="Arial" w:hAnsi="Arial" w:cs="Arial"/>
          <w:bCs/>
          <w:szCs w:val="21"/>
          <w:highlight w:val="none"/>
          <w:lang w:val="en-US" w:eastAsia="zh-CN"/>
        </w:rPr>
        <w:t>9</w:t>
      </w:r>
      <w:r>
        <w:rPr>
          <w:rFonts w:hint="default" w:ascii="Arial" w:hAnsi="Arial" w:cs="Arial"/>
          <w:bCs/>
          <w:szCs w:val="21"/>
          <w:highlight w:val="none"/>
          <w:lang w:eastAsia="zh-CN"/>
        </w:rPr>
        <w:t>月</w:t>
      </w:r>
      <w:r>
        <w:rPr>
          <w:rFonts w:hint="default" w:ascii="Arial" w:hAnsi="Arial" w:cs="Arial"/>
          <w:bCs/>
          <w:szCs w:val="21"/>
          <w:highlight w:val="none"/>
          <w:lang w:val="en-US" w:eastAsia="zh-CN"/>
        </w:rPr>
        <w:t>16</w:t>
      </w:r>
      <w:r>
        <w:rPr>
          <w:rFonts w:hint="default" w:ascii="Arial" w:hAnsi="Arial" w:cs="Arial"/>
          <w:bCs/>
          <w:szCs w:val="21"/>
          <w:highlight w:val="none"/>
          <w:lang w:eastAsia="zh-CN"/>
        </w:rPr>
        <w:t>日</w:t>
      </w:r>
      <w:r>
        <w:rPr>
          <w:rFonts w:hint="default" w:ascii="Arial" w:hAnsi="Arial" w:cs="Arial"/>
          <w:bCs/>
          <w:szCs w:val="21"/>
          <w:highlight w:val="none"/>
        </w:rPr>
        <w:t>9时30分（北京时间）截标后。</w:t>
      </w:r>
    </w:p>
    <w:p w14:paraId="038563E6">
      <w:pPr>
        <w:tabs>
          <w:tab w:val="left" w:pos="1305"/>
        </w:tabs>
        <w:spacing w:line="370" w:lineRule="exact"/>
        <w:ind w:firstLine="420" w:firstLineChars="200"/>
        <w:rPr>
          <w:rFonts w:hint="default" w:ascii="Arial" w:hAnsi="Arial" w:cs="Arial"/>
          <w:bCs/>
          <w:szCs w:val="21"/>
          <w:highlight w:val="none"/>
        </w:rPr>
      </w:pPr>
      <w:r>
        <w:rPr>
          <w:rFonts w:hint="default" w:ascii="Arial" w:hAnsi="Arial" w:cs="Arial"/>
          <w:bCs/>
          <w:szCs w:val="21"/>
          <w:highlight w:val="none"/>
        </w:rPr>
        <w:t>地    点：通过</w:t>
      </w:r>
      <w:r>
        <w:rPr>
          <w:rFonts w:hint="default" w:ascii="Arial" w:hAnsi="Arial" w:cs="Arial"/>
          <w:color w:val="auto"/>
          <w:szCs w:val="21"/>
          <w:highlight w:val="none"/>
        </w:rPr>
        <w:t>广西政府采购云平台</w:t>
      </w:r>
      <w:r>
        <w:rPr>
          <w:rFonts w:hint="default" w:ascii="Arial" w:hAnsi="Arial" w:cs="Arial"/>
          <w:bCs/>
          <w:szCs w:val="21"/>
          <w:highlight w:val="none"/>
        </w:rPr>
        <w:t>实行在线解密开启。</w:t>
      </w:r>
    </w:p>
    <w:p w14:paraId="3FF41DBF">
      <w:pPr>
        <w:tabs>
          <w:tab w:val="left" w:pos="1305"/>
        </w:tabs>
        <w:spacing w:line="370" w:lineRule="exact"/>
        <w:ind w:firstLine="420" w:firstLineChars="200"/>
        <w:rPr>
          <w:rFonts w:hint="default" w:ascii="Arial" w:hAnsi="Arial" w:cs="Arial"/>
          <w:bCs/>
          <w:szCs w:val="21"/>
          <w:highlight w:val="none"/>
        </w:rPr>
      </w:pPr>
      <w:r>
        <w:rPr>
          <w:rFonts w:hint="default" w:ascii="Arial" w:hAnsi="Arial" w:cs="Arial"/>
          <w:bCs/>
          <w:szCs w:val="21"/>
          <w:highlight w:val="none"/>
        </w:rPr>
        <w:t>提交电子备份投标文件方式：在接到无法解密或解密失败的通知后，投标人可根据自身实际情况按通知时要求的时间到桂林市公共资源交易中心开标室现场提交或以电子邮件的形式（以通知时所告知的电子邮箱地址为准）提交电子备份投标文件。投标人可以由法定代表人、负责人、自然人或其委托代理人出席开标会议。</w:t>
      </w:r>
    </w:p>
    <w:p w14:paraId="6874B396">
      <w:pPr>
        <w:tabs>
          <w:tab w:val="left" w:pos="1305"/>
        </w:tabs>
        <w:spacing w:line="370" w:lineRule="exact"/>
        <w:ind w:firstLine="420" w:firstLineChars="200"/>
        <w:rPr>
          <w:rFonts w:hint="default" w:ascii="Arial" w:hAnsi="Arial" w:cs="Arial"/>
          <w:bCs/>
          <w:szCs w:val="21"/>
          <w:highlight w:val="none"/>
        </w:rPr>
      </w:pPr>
      <w:r>
        <w:rPr>
          <w:rFonts w:hint="default" w:ascii="Arial" w:hAnsi="Arial" w:cs="Arial"/>
          <w:bCs/>
          <w:szCs w:val="21"/>
          <w:highlight w:val="none"/>
        </w:rPr>
        <w:t>21.2投标人不足3家的，不得开标，采购人或者采购代理机构应当重新组织采购。</w:t>
      </w:r>
    </w:p>
    <w:p w14:paraId="3A974A3A">
      <w:pPr>
        <w:tabs>
          <w:tab w:val="left" w:pos="1305"/>
        </w:tabs>
        <w:spacing w:line="370" w:lineRule="exact"/>
        <w:ind w:firstLine="420" w:firstLineChars="200"/>
        <w:rPr>
          <w:rFonts w:hint="default" w:ascii="Arial" w:hAnsi="Arial" w:cs="Arial"/>
          <w:b/>
          <w:szCs w:val="21"/>
          <w:highlight w:val="none"/>
        </w:rPr>
      </w:pPr>
      <w:r>
        <w:rPr>
          <w:rFonts w:hint="default" w:ascii="Arial" w:hAnsi="Arial" w:cs="Arial"/>
          <w:b/>
          <w:szCs w:val="21"/>
          <w:highlight w:val="none"/>
        </w:rPr>
        <w:t>22. 开标程序</w:t>
      </w:r>
    </w:p>
    <w:p w14:paraId="328771F3">
      <w:pPr>
        <w:tabs>
          <w:tab w:val="left" w:pos="1305"/>
        </w:tabs>
        <w:spacing w:line="370" w:lineRule="exact"/>
        <w:ind w:firstLine="420" w:firstLineChars="200"/>
        <w:rPr>
          <w:rFonts w:hint="default" w:ascii="Arial" w:hAnsi="Arial" w:cs="Arial"/>
          <w:bCs/>
          <w:szCs w:val="21"/>
          <w:highlight w:val="none"/>
        </w:rPr>
      </w:pPr>
      <w:r>
        <w:rPr>
          <w:rFonts w:hint="default" w:ascii="Arial" w:hAnsi="Arial" w:cs="Arial"/>
          <w:bCs/>
          <w:szCs w:val="21"/>
          <w:highlight w:val="none"/>
        </w:rPr>
        <w:t>22.1开标准备</w:t>
      </w:r>
    </w:p>
    <w:p w14:paraId="282D9DDB">
      <w:pPr>
        <w:tabs>
          <w:tab w:val="left" w:pos="1305"/>
        </w:tabs>
        <w:spacing w:line="370" w:lineRule="exact"/>
        <w:ind w:firstLine="420" w:firstLineChars="200"/>
        <w:rPr>
          <w:rFonts w:hint="default" w:ascii="Arial" w:hAnsi="Arial" w:cs="Arial"/>
          <w:szCs w:val="21"/>
          <w:highlight w:val="none"/>
        </w:rPr>
      </w:pPr>
      <w:r>
        <w:rPr>
          <w:rFonts w:hint="default" w:ascii="Arial" w:hAnsi="Arial" w:cs="Arial"/>
          <w:szCs w:val="21"/>
          <w:highlight w:val="none"/>
        </w:rPr>
        <w:t>22.1.1.开标的准备工作由本公司负责落实；</w:t>
      </w:r>
    </w:p>
    <w:p w14:paraId="53142E04">
      <w:pPr>
        <w:tabs>
          <w:tab w:val="left" w:pos="1305"/>
        </w:tabs>
        <w:spacing w:line="370" w:lineRule="exact"/>
        <w:ind w:firstLine="420" w:firstLineChars="200"/>
        <w:rPr>
          <w:rFonts w:hint="default" w:ascii="Arial" w:hAnsi="Arial" w:cs="Arial"/>
          <w:szCs w:val="21"/>
          <w:highlight w:val="none"/>
        </w:rPr>
      </w:pPr>
      <w:r>
        <w:rPr>
          <w:rFonts w:hint="default" w:ascii="Arial" w:hAnsi="Arial" w:cs="Arial"/>
          <w:szCs w:val="21"/>
          <w:highlight w:val="none"/>
        </w:rPr>
        <w:t>22.1.2.本公司将按照招标文件规定的时间通过“政府采购云平台”组织开标、开启投标文件，所有供应商均应当准时在线参加。投标供应商如不参加开标会的，视同认可开标结果，事后不得对采购相关人员、开标过程和开标结果提出异议，同时投标供应商因未在线参加开标而导致投标文件无法按时解密等一切后果由供应商自己承担。</w:t>
      </w:r>
    </w:p>
    <w:p w14:paraId="37C0844B">
      <w:pPr>
        <w:tabs>
          <w:tab w:val="left" w:pos="1305"/>
        </w:tabs>
        <w:spacing w:line="370" w:lineRule="exact"/>
        <w:ind w:firstLine="420" w:firstLineChars="200"/>
        <w:rPr>
          <w:rFonts w:hint="default" w:ascii="Arial" w:hAnsi="Arial" w:cs="Arial"/>
          <w:szCs w:val="21"/>
          <w:highlight w:val="none"/>
        </w:rPr>
      </w:pPr>
      <w:r>
        <w:rPr>
          <w:rFonts w:hint="default" w:ascii="Arial" w:hAnsi="Arial" w:cs="Arial"/>
          <w:szCs w:val="21"/>
          <w:highlight w:val="none"/>
        </w:rPr>
        <w:t>22.2开标程序</w:t>
      </w:r>
    </w:p>
    <w:p w14:paraId="74366A90">
      <w:pPr>
        <w:tabs>
          <w:tab w:val="left" w:pos="1305"/>
        </w:tabs>
        <w:spacing w:line="370" w:lineRule="exact"/>
        <w:ind w:firstLine="420" w:firstLineChars="200"/>
        <w:rPr>
          <w:rFonts w:hint="default" w:ascii="Arial" w:hAnsi="Arial" w:cs="Arial"/>
          <w:szCs w:val="21"/>
          <w:highlight w:val="none"/>
        </w:rPr>
      </w:pPr>
      <w:r>
        <w:rPr>
          <w:rFonts w:hint="default" w:ascii="Arial" w:hAnsi="Arial" w:cs="Arial"/>
          <w:szCs w:val="21"/>
          <w:highlight w:val="none"/>
        </w:rPr>
        <w:t>22.2.1.向各投标供应商发出电子加密投标文件【开始解密】通知，由供应商按招标文件规定的时间内自行进行投标文件解密。投标供应商在规定的时间内无法完成已递交的“电子加密投标文件”解密的，如已按规定递交了电子备份投标文件的，将由采购组织机构按“政府采购云平台”操作规范将备份投标文件上传至“政府采购云平台”，上传成功后，“电子加密投标文件”自动失效。如未提供备份电子投标文件，将不进行再次解密程序。无法在线解密视为投标人放弃投标。在线解密时间为30分钟。</w:t>
      </w:r>
    </w:p>
    <w:p w14:paraId="2956D980">
      <w:pPr>
        <w:tabs>
          <w:tab w:val="left" w:pos="1305"/>
        </w:tabs>
        <w:spacing w:line="370" w:lineRule="exact"/>
        <w:ind w:firstLine="420" w:firstLineChars="200"/>
        <w:rPr>
          <w:rFonts w:hint="default" w:ascii="Arial" w:hAnsi="Arial" w:cs="Arial"/>
          <w:szCs w:val="21"/>
          <w:highlight w:val="none"/>
        </w:rPr>
      </w:pPr>
      <w:r>
        <w:rPr>
          <w:rFonts w:hint="default" w:ascii="Arial" w:hAnsi="Arial" w:cs="Arial"/>
          <w:szCs w:val="21"/>
          <w:highlight w:val="none"/>
        </w:rPr>
        <w:t>22.2.2.投标文件解密结束后，开标活动组织人员在线开启投标文件。</w:t>
      </w:r>
    </w:p>
    <w:p w14:paraId="4F2878C8">
      <w:pPr>
        <w:tabs>
          <w:tab w:val="left" w:pos="1305"/>
        </w:tabs>
        <w:spacing w:line="370" w:lineRule="exact"/>
        <w:ind w:firstLine="420" w:firstLineChars="200"/>
        <w:rPr>
          <w:rFonts w:hint="default" w:ascii="Arial" w:hAnsi="Arial" w:cs="Arial"/>
          <w:szCs w:val="21"/>
          <w:highlight w:val="none"/>
        </w:rPr>
      </w:pPr>
      <w:r>
        <w:rPr>
          <w:rFonts w:hint="default" w:ascii="Arial" w:hAnsi="Arial" w:cs="Arial"/>
          <w:szCs w:val="21"/>
          <w:highlight w:val="none"/>
        </w:rPr>
        <w:t>22.2.3.开启投标人报价文件，</w:t>
      </w:r>
      <w:r>
        <w:rPr>
          <w:rFonts w:hint="default" w:ascii="Arial" w:hAnsi="Arial" w:cs="Arial"/>
          <w:color w:val="auto"/>
          <w:szCs w:val="21"/>
          <w:highlight w:val="none"/>
        </w:rPr>
        <w:t>广西政府采购云平台</w:t>
      </w:r>
      <w:r>
        <w:rPr>
          <w:rFonts w:hint="default" w:ascii="Arial" w:hAnsi="Arial" w:cs="Arial"/>
          <w:szCs w:val="21"/>
          <w:highlight w:val="none"/>
        </w:rPr>
        <w:t>在线向投标人公开开标（报价）一览表有关内容，投标人代表如果认为开标信息有误，可以当场或在线提出异议。</w:t>
      </w:r>
    </w:p>
    <w:p w14:paraId="009DF361">
      <w:pPr>
        <w:tabs>
          <w:tab w:val="left" w:pos="1305"/>
        </w:tabs>
        <w:spacing w:line="370" w:lineRule="exact"/>
        <w:ind w:firstLine="420" w:firstLineChars="200"/>
        <w:rPr>
          <w:rFonts w:hint="default" w:ascii="Arial" w:hAnsi="Arial" w:cs="Arial"/>
          <w:szCs w:val="21"/>
          <w:highlight w:val="none"/>
        </w:rPr>
      </w:pPr>
      <w:r>
        <w:rPr>
          <w:rFonts w:hint="default" w:ascii="Arial" w:hAnsi="Arial" w:cs="Arial"/>
          <w:szCs w:val="21"/>
          <w:highlight w:val="none"/>
        </w:rPr>
        <w:t>开标结束后，如发现开标结果与报价文件不一致者，由评标委员会根据报价文件内容进行修正。</w:t>
      </w:r>
    </w:p>
    <w:p w14:paraId="76B6ECD4">
      <w:pPr>
        <w:tabs>
          <w:tab w:val="left" w:pos="1305"/>
        </w:tabs>
        <w:spacing w:line="370" w:lineRule="exact"/>
        <w:ind w:firstLine="420" w:firstLineChars="200"/>
        <w:rPr>
          <w:rFonts w:hint="default" w:ascii="Arial" w:hAnsi="Arial" w:cs="Arial"/>
          <w:szCs w:val="21"/>
          <w:highlight w:val="none"/>
        </w:rPr>
      </w:pPr>
      <w:r>
        <w:rPr>
          <w:rFonts w:hint="default" w:ascii="Arial" w:hAnsi="Arial" w:cs="Arial"/>
          <w:szCs w:val="21"/>
          <w:highlight w:val="none"/>
        </w:rPr>
        <w:t>特别说明：如遇</w:t>
      </w:r>
      <w:r>
        <w:rPr>
          <w:rFonts w:hint="default" w:ascii="Arial" w:hAnsi="Arial" w:cs="Arial"/>
          <w:color w:val="auto"/>
          <w:szCs w:val="21"/>
          <w:highlight w:val="none"/>
        </w:rPr>
        <w:t>广西政府采购云平台</w:t>
      </w:r>
      <w:r>
        <w:rPr>
          <w:rFonts w:hint="default" w:ascii="Arial" w:hAnsi="Arial" w:cs="Arial"/>
          <w:szCs w:val="21"/>
          <w:highlight w:val="none"/>
        </w:rPr>
        <w:t>电子化开标或评审程序调整的，按调整后程序执行。</w:t>
      </w:r>
    </w:p>
    <w:p w14:paraId="329B62E6">
      <w:pPr>
        <w:tabs>
          <w:tab w:val="left" w:pos="1305"/>
        </w:tabs>
        <w:spacing w:line="370" w:lineRule="exact"/>
        <w:ind w:firstLine="560" w:firstLineChars="200"/>
        <w:jc w:val="center"/>
        <w:rPr>
          <w:rFonts w:hint="default" w:ascii="Arial" w:hAnsi="Arial" w:cs="Arial"/>
          <w:b/>
          <w:sz w:val="28"/>
          <w:szCs w:val="28"/>
          <w:highlight w:val="none"/>
        </w:rPr>
      </w:pPr>
      <w:r>
        <w:rPr>
          <w:rFonts w:hint="default" w:ascii="Arial" w:hAnsi="Arial" w:cs="Arial"/>
          <w:b/>
          <w:sz w:val="28"/>
          <w:szCs w:val="28"/>
          <w:highlight w:val="none"/>
        </w:rPr>
        <w:t>五、资格性审查</w:t>
      </w:r>
    </w:p>
    <w:p w14:paraId="4E4BC9D0">
      <w:pPr>
        <w:tabs>
          <w:tab w:val="left" w:pos="1305"/>
        </w:tabs>
        <w:spacing w:line="370" w:lineRule="exact"/>
        <w:ind w:firstLine="420" w:firstLineChars="200"/>
        <w:rPr>
          <w:rFonts w:hint="default" w:ascii="Arial" w:hAnsi="Arial" w:cs="Arial"/>
          <w:b/>
          <w:szCs w:val="21"/>
          <w:highlight w:val="none"/>
        </w:rPr>
      </w:pPr>
      <w:r>
        <w:rPr>
          <w:rFonts w:hint="default" w:ascii="Arial" w:hAnsi="Arial" w:cs="Arial"/>
          <w:b/>
          <w:szCs w:val="21"/>
          <w:highlight w:val="none"/>
        </w:rPr>
        <w:t>23. 资格性审查</w:t>
      </w:r>
    </w:p>
    <w:p w14:paraId="619A7EFD">
      <w:pPr>
        <w:tabs>
          <w:tab w:val="left" w:pos="1305"/>
        </w:tabs>
        <w:spacing w:line="370" w:lineRule="exact"/>
        <w:ind w:firstLine="420" w:firstLineChars="200"/>
        <w:rPr>
          <w:rFonts w:hint="default" w:ascii="Arial" w:hAnsi="Arial" w:cs="Arial"/>
          <w:szCs w:val="21"/>
          <w:highlight w:val="none"/>
        </w:rPr>
      </w:pPr>
      <w:r>
        <w:rPr>
          <w:rFonts w:hint="default" w:ascii="Arial" w:hAnsi="Arial" w:cs="Arial"/>
          <w:szCs w:val="21"/>
          <w:highlight w:val="none"/>
        </w:rPr>
        <w:t>23.1公开招标采购项目开标结束后，采购人或者采购代理机构应当依法对投标人的资格进行审查。合格投标人不足3家的，不得评标。</w:t>
      </w:r>
    </w:p>
    <w:p w14:paraId="154E79F6">
      <w:pPr>
        <w:spacing w:line="370" w:lineRule="exact"/>
        <w:ind w:firstLine="420" w:firstLineChars="200"/>
        <w:rPr>
          <w:rFonts w:hint="default" w:ascii="Arial" w:hAnsi="Arial" w:cs="Arial"/>
          <w:b/>
          <w:szCs w:val="21"/>
          <w:highlight w:val="none"/>
        </w:rPr>
      </w:pPr>
      <w:r>
        <w:rPr>
          <w:rFonts w:hint="default" w:ascii="Arial" w:hAnsi="Arial" w:cs="Arial"/>
          <w:b/>
          <w:szCs w:val="21"/>
          <w:highlight w:val="none"/>
        </w:rPr>
        <w:t>23.2</w:t>
      </w:r>
      <w:r>
        <w:rPr>
          <w:rFonts w:hint="default" w:ascii="Arial" w:hAnsi="Arial" w:cs="Arial"/>
          <w:b/>
          <w:sz w:val="24"/>
          <w:highlight w:val="none"/>
        </w:rPr>
        <w:t>采购人或者采购代理机构在对投标人进行资格性审查时，将对投标人企业股东及出资等信息进行查询。根据《中华人民共和国政府采购法实施条例》第十八条第一款规定，审查中如发现投标人存在单位负责人为同一人或者存在直接控股、管理关系的不同供应商参加同一合同项下的政府采购活动的，按资格审查不通过处理。</w:t>
      </w:r>
    </w:p>
    <w:p w14:paraId="7E463F40">
      <w:pPr>
        <w:spacing w:line="370" w:lineRule="exact"/>
        <w:ind w:firstLine="420" w:firstLineChars="200"/>
        <w:rPr>
          <w:rFonts w:hint="default" w:ascii="Arial" w:hAnsi="Arial" w:cs="Arial"/>
          <w:szCs w:val="21"/>
          <w:highlight w:val="none"/>
        </w:rPr>
      </w:pPr>
      <w:r>
        <w:rPr>
          <w:rFonts w:hint="default" w:ascii="Arial" w:hAnsi="Arial" w:cs="Arial"/>
          <w:szCs w:val="21"/>
          <w:highlight w:val="none"/>
        </w:rPr>
        <w:t>查询渠道：《国家企业信用信息公示系统》（网址：</w:t>
      </w:r>
      <w:r>
        <w:rPr>
          <w:rFonts w:hint="default" w:ascii="Arial" w:hAnsi="Arial" w:cs="Arial"/>
          <w:highlight w:val="none"/>
        </w:rPr>
        <w:fldChar w:fldCharType="begin"/>
      </w:r>
      <w:r>
        <w:rPr>
          <w:rFonts w:hint="default" w:ascii="Arial" w:hAnsi="Arial" w:cs="Arial"/>
          <w:highlight w:val="none"/>
        </w:rPr>
        <w:instrText xml:space="preserve"> HYPERLINK "http://www.gsxt.gov.cn/index.html" </w:instrText>
      </w:r>
      <w:r>
        <w:rPr>
          <w:rFonts w:hint="default" w:ascii="Arial" w:hAnsi="Arial" w:cs="Arial"/>
          <w:highlight w:val="none"/>
        </w:rPr>
        <w:fldChar w:fldCharType="separate"/>
      </w:r>
      <w:r>
        <w:rPr>
          <w:rFonts w:hint="default" w:ascii="Arial" w:hAnsi="Arial" w:cs="Arial"/>
          <w:szCs w:val="21"/>
          <w:highlight w:val="none"/>
        </w:rPr>
        <w:t>http：//www.gsxt.gov.cn/index.html</w:t>
      </w:r>
      <w:r>
        <w:rPr>
          <w:rFonts w:hint="default" w:ascii="Arial" w:hAnsi="Arial" w:cs="Arial"/>
          <w:szCs w:val="21"/>
          <w:highlight w:val="none"/>
        </w:rPr>
        <w:fldChar w:fldCharType="end"/>
      </w:r>
      <w:r>
        <w:rPr>
          <w:rFonts w:hint="default" w:ascii="Arial" w:hAnsi="Arial" w:cs="Arial"/>
          <w:szCs w:val="21"/>
          <w:highlight w:val="none"/>
        </w:rPr>
        <w:t>）</w:t>
      </w:r>
    </w:p>
    <w:p w14:paraId="063E3057">
      <w:pPr>
        <w:spacing w:line="370" w:lineRule="exact"/>
        <w:ind w:firstLine="420" w:firstLineChars="200"/>
        <w:rPr>
          <w:rFonts w:hint="default" w:ascii="Arial" w:hAnsi="Arial" w:cs="Arial"/>
          <w:szCs w:val="21"/>
          <w:highlight w:val="none"/>
        </w:rPr>
      </w:pPr>
      <w:r>
        <w:rPr>
          <w:rFonts w:hint="default" w:ascii="Arial" w:hAnsi="Arial" w:cs="Arial"/>
          <w:szCs w:val="21"/>
          <w:highlight w:val="none"/>
        </w:rPr>
        <w:t>审查流程：</w:t>
      </w:r>
    </w:p>
    <w:p w14:paraId="7457CAD0">
      <w:pPr>
        <w:spacing w:line="370" w:lineRule="exact"/>
        <w:ind w:firstLine="420" w:firstLineChars="200"/>
        <w:rPr>
          <w:rFonts w:hint="default" w:ascii="Arial" w:hAnsi="Arial" w:cs="Arial"/>
          <w:szCs w:val="21"/>
          <w:highlight w:val="none"/>
        </w:rPr>
      </w:pPr>
      <w:r>
        <w:rPr>
          <w:rFonts w:hint="default" w:ascii="Arial" w:hAnsi="Arial" w:cs="Arial"/>
          <w:szCs w:val="21"/>
          <w:highlight w:val="none"/>
        </w:rPr>
        <w:t>（1）进入《国家企业信用信息公示系统》（网址：http：//www.gsxt.gov.cn/index.html），输入企业名称，进入企业信息主页面；</w:t>
      </w:r>
    </w:p>
    <w:p w14:paraId="093D9701">
      <w:pPr>
        <w:spacing w:line="370" w:lineRule="exact"/>
        <w:ind w:firstLine="420" w:firstLineChars="200"/>
        <w:rPr>
          <w:rFonts w:hint="default" w:ascii="Arial" w:hAnsi="Arial" w:cs="Arial"/>
          <w:szCs w:val="21"/>
          <w:highlight w:val="none"/>
        </w:rPr>
      </w:pPr>
      <w:r>
        <w:rPr>
          <w:rFonts w:hint="default" w:ascii="Arial" w:hAnsi="Arial" w:cs="Arial"/>
          <w:szCs w:val="21"/>
          <w:highlight w:val="none"/>
        </w:rPr>
        <w:t>（2）查看主页“股东及出资信息”栏，或年报中的“股东及出资信息”栏信息；</w:t>
      </w:r>
    </w:p>
    <w:p w14:paraId="61586696">
      <w:pPr>
        <w:spacing w:line="370" w:lineRule="exact"/>
        <w:ind w:firstLine="420" w:firstLineChars="200"/>
        <w:rPr>
          <w:rFonts w:hint="default" w:ascii="Arial" w:hAnsi="Arial" w:cs="Arial"/>
          <w:szCs w:val="21"/>
          <w:highlight w:val="none"/>
        </w:rPr>
      </w:pPr>
      <w:r>
        <w:rPr>
          <w:rFonts w:hint="default" w:ascii="Arial" w:hAnsi="Arial" w:cs="Arial"/>
          <w:szCs w:val="21"/>
          <w:highlight w:val="none"/>
        </w:rPr>
        <w:t>（3）将各投标人的股东及出资信息进行比对，得出审查结论；</w:t>
      </w:r>
    </w:p>
    <w:p w14:paraId="66129FF4">
      <w:pPr>
        <w:snapToGrid w:val="0"/>
        <w:spacing w:line="370" w:lineRule="exact"/>
        <w:ind w:firstLine="420" w:firstLineChars="200"/>
        <w:rPr>
          <w:rFonts w:hint="default" w:ascii="Arial" w:hAnsi="Arial" w:cs="Arial"/>
          <w:szCs w:val="21"/>
          <w:highlight w:val="none"/>
        </w:rPr>
      </w:pPr>
      <w:r>
        <w:rPr>
          <w:rFonts w:hint="default" w:ascii="Arial" w:hAnsi="Arial" w:cs="Arial"/>
          <w:szCs w:val="21"/>
          <w:highlight w:val="none"/>
        </w:rPr>
        <w:t>（4）将相关资料作为评审资料打印存档。</w:t>
      </w:r>
    </w:p>
    <w:p w14:paraId="5FC31EB3">
      <w:pPr>
        <w:tabs>
          <w:tab w:val="left" w:pos="1305"/>
        </w:tabs>
        <w:spacing w:line="370" w:lineRule="exact"/>
        <w:rPr>
          <w:rFonts w:hint="default" w:ascii="Arial" w:hAnsi="Arial" w:cs="Arial"/>
          <w:szCs w:val="21"/>
          <w:highlight w:val="none"/>
        </w:rPr>
      </w:pPr>
      <w:r>
        <w:rPr>
          <w:rFonts w:hint="default" w:ascii="Arial" w:hAnsi="Arial" w:cs="Arial"/>
          <w:b/>
          <w:sz w:val="24"/>
          <w:highlight w:val="none"/>
        </w:rPr>
        <w:t>注：以上审查过程中，如出现查询企业网页主页面无法显示股东及出资信息的或仅以主页面信息内容无法认定投标人之间存在单位负责人为同一人或者存在直接控股、管理关系的，当时审查程序可继续进行，待评审结束后将对以上投标人作进一步核实确认，如确认投标人之间存在有上述关联供应商情形的，关联供应商均按投标无效处理。</w:t>
      </w:r>
    </w:p>
    <w:p w14:paraId="6B35C840">
      <w:pPr>
        <w:tabs>
          <w:tab w:val="center" w:pos="4411"/>
          <w:tab w:val="left" w:pos="5475"/>
        </w:tabs>
        <w:spacing w:line="370" w:lineRule="exact"/>
        <w:jc w:val="center"/>
        <w:rPr>
          <w:rFonts w:hint="default" w:ascii="Arial" w:hAnsi="Arial" w:cs="Arial"/>
          <w:b/>
          <w:sz w:val="28"/>
          <w:szCs w:val="28"/>
          <w:highlight w:val="none"/>
        </w:rPr>
      </w:pPr>
    </w:p>
    <w:p w14:paraId="5B7DE272">
      <w:pPr>
        <w:tabs>
          <w:tab w:val="center" w:pos="4411"/>
          <w:tab w:val="left" w:pos="5475"/>
        </w:tabs>
        <w:spacing w:line="370" w:lineRule="exact"/>
        <w:jc w:val="center"/>
        <w:rPr>
          <w:rFonts w:hint="default" w:ascii="Arial" w:hAnsi="Arial" w:cs="Arial"/>
          <w:b/>
          <w:sz w:val="28"/>
          <w:szCs w:val="28"/>
          <w:highlight w:val="none"/>
        </w:rPr>
      </w:pPr>
      <w:r>
        <w:rPr>
          <w:rFonts w:hint="default" w:ascii="Arial" w:hAnsi="Arial" w:cs="Arial"/>
          <w:b/>
          <w:sz w:val="28"/>
          <w:szCs w:val="28"/>
          <w:highlight w:val="none"/>
        </w:rPr>
        <w:t>六、评标</w:t>
      </w:r>
    </w:p>
    <w:p w14:paraId="4F766BD1">
      <w:pPr>
        <w:tabs>
          <w:tab w:val="center" w:pos="4411"/>
          <w:tab w:val="left" w:pos="5475"/>
        </w:tabs>
        <w:spacing w:line="370" w:lineRule="exact"/>
        <w:ind w:firstLine="420" w:firstLineChars="200"/>
        <w:jc w:val="left"/>
        <w:rPr>
          <w:rFonts w:hint="default" w:ascii="Arial" w:hAnsi="Arial" w:cs="Arial"/>
          <w:b/>
          <w:szCs w:val="21"/>
          <w:highlight w:val="none"/>
        </w:rPr>
      </w:pPr>
      <w:r>
        <w:rPr>
          <w:rFonts w:hint="default" w:ascii="Arial" w:hAnsi="Arial" w:cs="Arial"/>
          <w:b/>
          <w:szCs w:val="21"/>
          <w:highlight w:val="none"/>
        </w:rPr>
        <w:t>24. 评标委员会组成</w:t>
      </w:r>
    </w:p>
    <w:p w14:paraId="6CB8D409">
      <w:pPr>
        <w:spacing w:line="360" w:lineRule="exact"/>
        <w:ind w:firstLine="420" w:firstLineChars="200"/>
        <w:rPr>
          <w:rFonts w:hint="default" w:ascii="Arial" w:hAnsi="Arial" w:cs="Arial"/>
          <w:szCs w:val="21"/>
          <w:highlight w:val="none"/>
        </w:rPr>
      </w:pPr>
      <w:r>
        <w:rPr>
          <w:rFonts w:hint="default" w:ascii="Arial" w:hAnsi="Arial" w:cs="Arial"/>
          <w:szCs w:val="21"/>
          <w:highlight w:val="none"/>
        </w:rPr>
        <w:t>评标委员会由采购人代表和有关技术、经济等方面的专家组成，成员人数共5人，其中采购人代表1人，技术、经济等专家4人。</w:t>
      </w:r>
    </w:p>
    <w:p w14:paraId="505DF194">
      <w:pPr>
        <w:tabs>
          <w:tab w:val="left" w:pos="1140"/>
        </w:tabs>
        <w:spacing w:line="370" w:lineRule="exact"/>
        <w:ind w:left="419" w:leftChars="172" w:hanging="58" w:hangingChars="28"/>
        <w:rPr>
          <w:rFonts w:hint="default" w:ascii="Arial" w:hAnsi="Arial" w:cs="Arial"/>
          <w:b/>
          <w:szCs w:val="21"/>
          <w:highlight w:val="none"/>
        </w:rPr>
      </w:pPr>
      <w:r>
        <w:rPr>
          <w:rFonts w:hint="default" w:ascii="Arial" w:hAnsi="Arial" w:cs="Arial"/>
          <w:b/>
          <w:szCs w:val="21"/>
          <w:highlight w:val="none"/>
        </w:rPr>
        <w:t>25. 评标办法</w:t>
      </w:r>
    </w:p>
    <w:p w14:paraId="50A966E5">
      <w:pPr>
        <w:tabs>
          <w:tab w:val="left" w:pos="1140"/>
        </w:tabs>
        <w:spacing w:line="370" w:lineRule="exact"/>
        <w:ind w:firstLine="420" w:firstLineChars="200"/>
        <w:rPr>
          <w:rFonts w:hint="default" w:ascii="Arial" w:hAnsi="Arial" w:cs="Arial"/>
          <w:szCs w:val="21"/>
          <w:highlight w:val="none"/>
        </w:rPr>
      </w:pPr>
      <w:r>
        <w:rPr>
          <w:rFonts w:hint="default" w:ascii="Arial" w:hAnsi="Arial" w:cs="Arial"/>
          <w:szCs w:val="21"/>
          <w:highlight w:val="none"/>
        </w:rPr>
        <w:t>25.1评标办法：综合评分法，具体评标内容及标准详见第四章。</w:t>
      </w:r>
    </w:p>
    <w:p w14:paraId="61C0C76A">
      <w:pPr>
        <w:tabs>
          <w:tab w:val="left" w:pos="1140"/>
        </w:tabs>
        <w:spacing w:line="370" w:lineRule="exact"/>
        <w:ind w:firstLine="420" w:firstLineChars="200"/>
        <w:rPr>
          <w:rFonts w:hint="default" w:ascii="Arial" w:hAnsi="Arial" w:cs="Arial"/>
          <w:highlight w:val="none"/>
        </w:rPr>
      </w:pPr>
      <w:r>
        <w:rPr>
          <w:rFonts w:hint="default" w:ascii="Arial" w:hAnsi="Arial" w:cs="Arial"/>
          <w:szCs w:val="21"/>
          <w:highlight w:val="none"/>
        </w:rPr>
        <w:t>25.2评标委员会应按招标文件进行评标，不得擅自更改评标办法。</w:t>
      </w:r>
    </w:p>
    <w:p w14:paraId="387F3EBF">
      <w:pPr>
        <w:tabs>
          <w:tab w:val="left" w:pos="1140"/>
        </w:tabs>
        <w:spacing w:line="370" w:lineRule="exact"/>
        <w:ind w:firstLine="420" w:firstLineChars="200"/>
        <w:rPr>
          <w:rFonts w:hint="default" w:ascii="Arial" w:hAnsi="Arial" w:cs="Arial"/>
          <w:b/>
          <w:szCs w:val="21"/>
          <w:highlight w:val="none"/>
        </w:rPr>
      </w:pPr>
      <w:r>
        <w:rPr>
          <w:rFonts w:hint="default" w:ascii="Arial" w:hAnsi="Arial" w:cs="Arial"/>
          <w:b/>
          <w:szCs w:val="21"/>
          <w:highlight w:val="none"/>
        </w:rPr>
        <w:t>26. 评标</w:t>
      </w:r>
    </w:p>
    <w:p w14:paraId="72696E3A">
      <w:pPr>
        <w:spacing w:line="370" w:lineRule="exact"/>
        <w:ind w:firstLine="420" w:firstLineChars="200"/>
        <w:rPr>
          <w:rFonts w:hint="default" w:ascii="Arial" w:hAnsi="Arial" w:cs="Arial"/>
          <w:szCs w:val="21"/>
          <w:highlight w:val="none"/>
        </w:rPr>
      </w:pPr>
      <w:r>
        <w:rPr>
          <w:rFonts w:hint="default" w:ascii="Arial" w:hAnsi="Arial" w:cs="Arial"/>
          <w:szCs w:val="21"/>
          <w:highlight w:val="none"/>
        </w:rPr>
        <w:t>26.1采购代理机构负责组织评标工作；宣布评标工作纪律，公布投标人名单，告知评审专家应当回避的情形，组织评标委员会推选评标组长，采购人代表不得担任组长；在评标期间采取必要的通讯管理措施，保证评标活动不受外界干扰；根据评标委员会的要求介绍政府采购相关政策法规、招标文件；维护评标秩序，监督评标委员会依照招标文件规定的评标程序、方法和标准进行独立评审，及时制止和纠正采购人代表、评审专家的倾向性言论或者违法违规行为；核对评标结果，有投标无效情形的，要求评标委员会复核或者书面说明理由，评标委员会拒绝的，应予记录并向本级财政部门报告；评审工作完成后，按照规定向评审专家支付劳务报酬和异地评审差旅费，不得向评审专家以外的其他人员支付评审劳务报酬；</w:t>
      </w:r>
    </w:p>
    <w:p w14:paraId="4AA82A63">
      <w:pPr>
        <w:pStyle w:val="42"/>
        <w:shd w:val="clear" w:color="auto" w:fill="FFFFFF"/>
        <w:spacing w:before="0" w:beforeAutospacing="0" w:after="0" w:afterAutospacing="0" w:line="370" w:lineRule="exact"/>
        <w:ind w:firstLine="420" w:firstLineChars="200"/>
        <w:rPr>
          <w:rFonts w:hint="default" w:ascii="Arial" w:hAnsi="Arial" w:cs="Arial"/>
          <w:kern w:val="2"/>
          <w:sz w:val="21"/>
          <w:szCs w:val="21"/>
          <w:highlight w:val="none"/>
        </w:rPr>
      </w:pPr>
      <w:r>
        <w:rPr>
          <w:rFonts w:hint="default" w:ascii="Arial" w:hAnsi="Arial" w:cs="Arial"/>
          <w:kern w:val="2"/>
          <w:sz w:val="21"/>
          <w:szCs w:val="21"/>
          <w:highlight w:val="none"/>
        </w:rPr>
        <w:t>26.2评标委员会负责具体评标事务；审查、评价投标文件是否符合招标文件的商务、技术等实质性要求；要求投标人对投标文件有关事项作出澄清或者说明；对投标文件进行比较和评价；确定中标候选人名单，以及根据采购人委托直接确定中标人；向采购人、采购代理机构或者有关部门报告评标中发现的违法行为。</w:t>
      </w:r>
    </w:p>
    <w:p w14:paraId="33CA0F95">
      <w:pPr>
        <w:pStyle w:val="42"/>
        <w:shd w:val="clear" w:color="auto" w:fill="FFFFFF"/>
        <w:spacing w:before="0" w:beforeAutospacing="0" w:after="0" w:afterAutospacing="0" w:line="370" w:lineRule="exact"/>
        <w:ind w:firstLine="420" w:firstLineChars="200"/>
        <w:rPr>
          <w:rFonts w:hint="default" w:ascii="Arial" w:hAnsi="Arial" w:cs="Arial"/>
          <w:kern w:val="2"/>
          <w:sz w:val="21"/>
          <w:szCs w:val="21"/>
          <w:highlight w:val="none"/>
        </w:rPr>
      </w:pPr>
      <w:r>
        <w:rPr>
          <w:rFonts w:hint="default" w:ascii="Arial" w:hAnsi="Arial" w:cs="Arial"/>
          <w:kern w:val="2"/>
          <w:sz w:val="21"/>
          <w:szCs w:val="21"/>
          <w:highlight w:val="none"/>
        </w:rPr>
        <w:t>26.3在评标过程中，评标委员会任何人不得对某个投标人发表任何倾向性意见，不得向其他专家评委明示或者暗示自己的评审意见。</w:t>
      </w:r>
    </w:p>
    <w:p w14:paraId="3E856185">
      <w:pPr>
        <w:tabs>
          <w:tab w:val="left" w:pos="1140"/>
        </w:tabs>
        <w:spacing w:line="370" w:lineRule="exact"/>
        <w:ind w:firstLine="420" w:firstLineChars="200"/>
        <w:rPr>
          <w:rFonts w:hint="default" w:ascii="Arial" w:hAnsi="Arial" w:cs="Arial"/>
          <w:szCs w:val="21"/>
          <w:highlight w:val="none"/>
        </w:rPr>
      </w:pPr>
      <w:r>
        <w:rPr>
          <w:rFonts w:hint="default" w:ascii="Arial" w:hAnsi="Arial" w:cs="Arial"/>
          <w:szCs w:val="21"/>
          <w:highlight w:val="none"/>
        </w:rPr>
        <w:t>26.4评标委员会应当对符合资格的投标人的投标文件进行符合性审查，以确定其是否满足招标文件的实质性要求。</w:t>
      </w:r>
    </w:p>
    <w:p w14:paraId="5110A22E">
      <w:pPr>
        <w:tabs>
          <w:tab w:val="left" w:pos="1140"/>
        </w:tabs>
        <w:spacing w:line="370" w:lineRule="exact"/>
        <w:ind w:firstLine="420" w:firstLineChars="200"/>
        <w:rPr>
          <w:rFonts w:hint="default" w:ascii="Arial" w:hAnsi="Arial" w:cs="Arial"/>
          <w:szCs w:val="21"/>
          <w:highlight w:val="none"/>
        </w:rPr>
      </w:pPr>
      <w:r>
        <w:rPr>
          <w:rFonts w:hint="default" w:ascii="Arial" w:hAnsi="Arial" w:cs="Arial"/>
          <w:szCs w:val="21"/>
          <w:highlight w:val="none"/>
        </w:rPr>
        <w:t>26.5对于投标文件中含义不明确、同类问题表述不一致或者有明显文字和计算错误的内容，评标委员会应当以书面形式要求投标人作出必要的澄清、说明或者补正。</w:t>
      </w:r>
    </w:p>
    <w:p w14:paraId="6D8989AC">
      <w:pPr>
        <w:tabs>
          <w:tab w:val="left" w:pos="1140"/>
        </w:tabs>
        <w:spacing w:line="370" w:lineRule="exact"/>
        <w:ind w:firstLine="420" w:firstLineChars="200"/>
        <w:rPr>
          <w:rFonts w:hint="default" w:ascii="Arial" w:hAnsi="Arial" w:cs="Arial"/>
          <w:szCs w:val="21"/>
          <w:highlight w:val="none"/>
        </w:rPr>
      </w:pPr>
      <w:r>
        <w:rPr>
          <w:rFonts w:hint="default" w:ascii="Arial" w:hAnsi="Arial" w:cs="Arial"/>
          <w:szCs w:val="21"/>
          <w:highlight w:val="none"/>
        </w:rPr>
        <w:t>投标人的澄清、说明或者补正应当采用书面形式，并加盖公章，或者由法定代表人或其授权的代表签字。投标人的澄清、说明或者补正不得超出投标文件的范围或者改变投标文件的实质性内容。</w:t>
      </w:r>
    </w:p>
    <w:p w14:paraId="12C935D8">
      <w:pPr>
        <w:pStyle w:val="27"/>
        <w:spacing w:line="370" w:lineRule="exact"/>
        <w:ind w:firstLine="411" w:firstLineChars="196"/>
        <w:rPr>
          <w:rFonts w:hint="default" w:ascii="Arial" w:hAnsi="Arial" w:cs="Arial"/>
          <w:szCs w:val="21"/>
          <w:highlight w:val="none"/>
        </w:rPr>
      </w:pPr>
      <w:r>
        <w:rPr>
          <w:rFonts w:hint="default" w:ascii="Arial" w:hAnsi="Arial" w:cs="Arial"/>
          <w:szCs w:val="21"/>
          <w:highlight w:val="none"/>
        </w:rPr>
        <w:t>26.6评标委员会应当按照招标文件中规定的评标方法和标准，对符合性审查合格的投标文件进行商务和技术评估，综合比较与评价。</w:t>
      </w:r>
    </w:p>
    <w:p w14:paraId="5240533E">
      <w:pPr>
        <w:pStyle w:val="42"/>
        <w:shd w:val="clear" w:color="auto" w:fill="FFFFFF"/>
        <w:spacing w:before="0" w:beforeAutospacing="0" w:after="0" w:afterAutospacing="0" w:line="370" w:lineRule="exact"/>
        <w:ind w:firstLine="480" w:firstLineChars="200"/>
        <w:rPr>
          <w:rFonts w:hint="default" w:ascii="Arial" w:hAnsi="Arial" w:cs="Arial"/>
          <w:b/>
          <w:kern w:val="2"/>
          <w:highlight w:val="none"/>
        </w:rPr>
      </w:pPr>
      <w:r>
        <w:rPr>
          <w:rFonts w:hint="default" w:ascii="Arial" w:hAnsi="Arial" w:cs="Arial"/>
          <w:b/>
          <w:kern w:val="2"/>
          <w:highlight w:val="none"/>
        </w:rPr>
        <w:t>26.7投标文件报价出现前后不一致的，除招标文件另有规定外，按照下列规定修正：</w:t>
      </w:r>
    </w:p>
    <w:p w14:paraId="7B5CE656">
      <w:pPr>
        <w:pStyle w:val="42"/>
        <w:shd w:val="clear" w:color="auto" w:fill="FFFFFF"/>
        <w:spacing w:before="0" w:beforeAutospacing="0" w:after="0" w:afterAutospacing="0" w:line="370" w:lineRule="exact"/>
        <w:rPr>
          <w:rFonts w:hint="default" w:ascii="Arial" w:hAnsi="Arial" w:cs="Arial"/>
          <w:b/>
          <w:kern w:val="2"/>
          <w:highlight w:val="none"/>
        </w:rPr>
      </w:pPr>
      <w:r>
        <w:rPr>
          <w:rFonts w:hint="default" w:ascii="Arial" w:hAnsi="Arial" w:cs="Arial"/>
          <w:b/>
          <w:kern w:val="2"/>
          <w:highlight w:val="none"/>
        </w:rPr>
        <w:t>　　（1）投标文件中投标报价表内容与投标文件中相应内容不一致的，以投标报价表为准；</w:t>
      </w:r>
    </w:p>
    <w:p w14:paraId="0502AC1A">
      <w:pPr>
        <w:pStyle w:val="42"/>
        <w:shd w:val="clear" w:color="auto" w:fill="FFFFFF"/>
        <w:spacing w:before="0" w:beforeAutospacing="0" w:after="0" w:afterAutospacing="0" w:line="370" w:lineRule="exact"/>
        <w:rPr>
          <w:rFonts w:hint="default" w:ascii="Arial" w:hAnsi="Arial" w:cs="Arial"/>
          <w:b/>
          <w:kern w:val="2"/>
          <w:highlight w:val="none"/>
        </w:rPr>
      </w:pPr>
      <w:r>
        <w:rPr>
          <w:rFonts w:hint="default" w:ascii="Arial" w:hAnsi="Arial" w:cs="Arial"/>
          <w:b/>
          <w:kern w:val="2"/>
          <w:highlight w:val="none"/>
        </w:rPr>
        <w:t>　　（2）大写金额和小写金额不一致的，以大写金额为准；</w:t>
      </w:r>
    </w:p>
    <w:p w14:paraId="39450672">
      <w:pPr>
        <w:pStyle w:val="42"/>
        <w:shd w:val="clear" w:color="auto" w:fill="FFFFFF"/>
        <w:spacing w:before="0" w:beforeAutospacing="0" w:after="0" w:afterAutospacing="0" w:line="370" w:lineRule="exact"/>
        <w:rPr>
          <w:rFonts w:hint="default" w:ascii="Arial" w:hAnsi="Arial" w:cs="Arial"/>
          <w:b/>
          <w:kern w:val="2"/>
          <w:highlight w:val="none"/>
        </w:rPr>
      </w:pPr>
      <w:r>
        <w:rPr>
          <w:rFonts w:hint="default" w:ascii="Arial" w:hAnsi="Arial" w:cs="Arial"/>
          <w:b/>
          <w:kern w:val="2"/>
          <w:highlight w:val="none"/>
        </w:rPr>
        <w:t>　　（3）单价金额小数点或者百分比有明显错位的，以投标报价表的总价为准，并修改单价；</w:t>
      </w:r>
    </w:p>
    <w:p w14:paraId="09A2BA64">
      <w:pPr>
        <w:pStyle w:val="42"/>
        <w:shd w:val="clear" w:color="auto" w:fill="FFFFFF"/>
        <w:spacing w:before="0" w:beforeAutospacing="0" w:after="0" w:afterAutospacing="0" w:line="370" w:lineRule="exact"/>
        <w:rPr>
          <w:rFonts w:hint="default" w:ascii="Arial" w:hAnsi="Arial" w:cs="Arial"/>
          <w:b/>
          <w:kern w:val="2"/>
          <w:highlight w:val="none"/>
        </w:rPr>
      </w:pPr>
      <w:r>
        <w:rPr>
          <w:rFonts w:hint="default" w:ascii="Arial" w:hAnsi="Arial" w:cs="Arial"/>
          <w:b/>
          <w:kern w:val="2"/>
          <w:highlight w:val="none"/>
        </w:rPr>
        <w:t>　　（4）总价金额与按单价汇总金额不一致的，以单价金额计算结果为准。</w:t>
      </w:r>
    </w:p>
    <w:p w14:paraId="4BA40E2E">
      <w:pPr>
        <w:pStyle w:val="42"/>
        <w:shd w:val="clear" w:color="auto" w:fill="FFFFFF"/>
        <w:spacing w:before="0" w:beforeAutospacing="0" w:after="0" w:afterAutospacing="0" w:line="370" w:lineRule="exact"/>
        <w:rPr>
          <w:rFonts w:hint="default" w:ascii="Arial" w:hAnsi="Arial" w:cs="Arial"/>
          <w:b/>
          <w:kern w:val="2"/>
          <w:highlight w:val="none"/>
        </w:rPr>
      </w:pPr>
      <w:r>
        <w:rPr>
          <w:rFonts w:hint="default" w:ascii="Arial" w:hAnsi="Arial" w:cs="Arial"/>
          <w:b/>
          <w:kern w:val="2"/>
          <w:highlight w:val="none"/>
        </w:rPr>
        <w:t>　　同时出现两种以上不一致的，按照前款规定的顺序修正。修正后的报价（不得超出投标文件的范围或者改变投标文件的实质性内容）经投标人确认后产生约束力，投标人不确认的，其投标无效。</w:t>
      </w:r>
    </w:p>
    <w:p w14:paraId="0C0D0DDC">
      <w:pPr>
        <w:pStyle w:val="27"/>
        <w:spacing w:line="370" w:lineRule="exact"/>
        <w:ind w:firstLine="470" w:firstLineChars="196"/>
        <w:rPr>
          <w:rFonts w:hint="default" w:ascii="Arial" w:hAnsi="Arial" w:cs="Arial"/>
          <w:sz w:val="24"/>
          <w:szCs w:val="24"/>
          <w:highlight w:val="none"/>
        </w:rPr>
      </w:pPr>
      <w:r>
        <w:rPr>
          <w:rFonts w:hint="default" w:ascii="Arial" w:hAnsi="Arial" w:cs="Arial"/>
          <w:b/>
          <w:sz w:val="24"/>
          <w:szCs w:val="24"/>
          <w:highlight w:val="none"/>
        </w:rPr>
        <w:t>26.8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20AC46C6">
      <w:pPr>
        <w:pStyle w:val="27"/>
        <w:spacing w:line="370" w:lineRule="exact"/>
        <w:ind w:firstLine="411" w:firstLineChars="196"/>
        <w:rPr>
          <w:rFonts w:hint="default" w:ascii="Arial" w:hAnsi="Arial" w:cs="Arial"/>
          <w:szCs w:val="21"/>
          <w:highlight w:val="none"/>
        </w:rPr>
      </w:pPr>
      <w:r>
        <w:rPr>
          <w:rFonts w:hint="default" w:ascii="Arial" w:hAnsi="Arial" w:cs="Arial"/>
          <w:szCs w:val="21"/>
          <w:highlight w:val="none"/>
        </w:rPr>
        <w:t>26.9评标委员会成员对需要共同认定的事项存在争议的，应当按照少数服从多数的原则作出结论。持不同意见的评标委员会成员应当在评标报告上签署不同意见及理由，否则视为同意评标报告。</w:t>
      </w:r>
    </w:p>
    <w:p w14:paraId="50059133">
      <w:pPr>
        <w:pStyle w:val="27"/>
        <w:spacing w:line="370" w:lineRule="exact"/>
        <w:ind w:firstLine="411" w:firstLineChars="196"/>
        <w:rPr>
          <w:rFonts w:hint="default" w:ascii="Arial" w:hAnsi="Arial" w:cs="Arial"/>
          <w:szCs w:val="21"/>
          <w:highlight w:val="none"/>
        </w:rPr>
      </w:pPr>
      <w:r>
        <w:rPr>
          <w:rFonts w:hint="default" w:ascii="Arial" w:hAnsi="Arial" w:cs="Arial"/>
          <w:b/>
          <w:bCs/>
          <w:szCs w:val="21"/>
          <w:highlight w:val="none"/>
          <w:shd w:val="clear" w:color="auto" w:fill="FFFFFF"/>
        </w:rPr>
        <w:t>26.10根据财库〔2019〕38号《关于促进政府采购公平竞争优化营商环境的通知》以及桂财采〔2019〕41号《广西壮族自治区财政厅转发财政部关于促进政府采购公平竞争优化营商环境的通知》规定，评标委员会认定投标有效性时不得因装订、纸张、文件排序等非实质性的格式、形式问题否决投标，从而限制和影响供应商投标（响应）。</w:t>
      </w:r>
    </w:p>
    <w:p w14:paraId="5D5CB745">
      <w:pPr>
        <w:snapToGrid w:val="0"/>
        <w:spacing w:line="370" w:lineRule="exact"/>
        <w:ind w:firstLine="420" w:firstLineChars="200"/>
        <w:rPr>
          <w:rFonts w:hint="default" w:ascii="Arial" w:hAnsi="Arial" w:cs="Arial"/>
          <w:szCs w:val="21"/>
          <w:highlight w:val="none"/>
        </w:rPr>
      </w:pPr>
      <w:r>
        <w:rPr>
          <w:rFonts w:hint="default" w:ascii="Arial" w:hAnsi="Arial" w:cs="Arial"/>
          <w:szCs w:val="21"/>
          <w:highlight w:val="none"/>
        </w:rPr>
        <w:t>26.11评标结果汇总完成后，除下列情形外，任何人不得修改评标结果：</w:t>
      </w:r>
    </w:p>
    <w:p w14:paraId="4F21D854">
      <w:pPr>
        <w:snapToGrid w:val="0"/>
        <w:spacing w:line="370" w:lineRule="exact"/>
        <w:ind w:firstLine="420" w:firstLineChars="200"/>
        <w:rPr>
          <w:rFonts w:hint="default" w:ascii="Arial" w:hAnsi="Arial" w:cs="Arial"/>
          <w:szCs w:val="21"/>
          <w:highlight w:val="none"/>
        </w:rPr>
      </w:pPr>
      <w:r>
        <w:rPr>
          <w:rFonts w:hint="default" w:ascii="Arial" w:hAnsi="Arial" w:cs="Arial"/>
          <w:szCs w:val="21"/>
          <w:highlight w:val="none"/>
        </w:rPr>
        <w:t>（一）分值汇总计算错误的；</w:t>
      </w:r>
    </w:p>
    <w:p w14:paraId="12ACC7D9">
      <w:pPr>
        <w:snapToGrid w:val="0"/>
        <w:spacing w:line="370" w:lineRule="exact"/>
        <w:ind w:firstLine="420" w:firstLineChars="200"/>
        <w:rPr>
          <w:rFonts w:hint="default" w:ascii="Arial" w:hAnsi="Arial" w:cs="Arial"/>
          <w:szCs w:val="21"/>
          <w:highlight w:val="none"/>
        </w:rPr>
      </w:pPr>
      <w:r>
        <w:rPr>
          <w:rFonts w:hint="default" w:ascii="Arial" w:hAnsi="Arial" w:cs="Arial"/>
          <w:szCs w:val="21"/>
          <w:highlight w:val="none"/>
        </w:rPr>
        <w:t>（二）分项评分超出评分标准范围的；</w:t>
      </w:r>
    </w:p>
    <w:p w14:paraId="548CF7D1">
      <w:pPr>
        <w:snapToGrid w:val="0"/>
        <w:spacing w:line="370" w:lineRule="exact"/>
        <w:ind w:firstLine="420" w:firstLineChars="200"/>
        <w:rPr>
          <w:rFonts w:hint="default" w:ascii="Arial" w:hAnsi="Arial" w:cs="Arial"/>
          <w:szCs w:val="21"/>
          <w:highlight w:val="none"/>
        </w:rPr>
      </w:pPr>
      <w:r>
        <w:rPr>
          <w:rFonts w:hint="default" w:ascii="Arial" w:hAnsi="Arial" w:cs="Arial"/>
          <w:szCs w:val="21"/>
          <w:highlight w:val="none"/>
        </w:rPr>
        <w:t>（三）评标委员会成员对客观评审因素评分不一致的；</w:t>
      </w:r>
    </w:p>
    <w:p w14:paraId="4FE35048">
      <w:pPr>
        <w:snapToGrid w:val="0"/>
        <w:spacing w:line="370" w:lineRule="exact"/>
        <w:ind w:firstLine="420" w:firstLineChars="200"/>
        <w:rPr>
          <w:rFonts w:hint="default" w:ascii="Arial" w:hAnsi="Arial" w:cs="Arial"/>
          <w:szCs w:val="21"/>
          <w:highlight w:val="none"/>
        </w:rPr>
      </w:pPr>
      <w:r>
        <w:rPr>
          <w:rFonts w:hint="default" w:ascii="Arial" w:hAnsi="Arial" w:cs="Arial"/>
          <w:szCs w:val="21"/>
          <w:highlight w:val="none"/>
        </w:rPr>
        <w:t>（四）经评标委员会认定评分畸高、畸低的。</w:t>
      </w:r>
    </w:p>
    <w:p w14:paraId="58734BDD">
      <w:pPr>
        <w:snapToGrid w:val="0"/>
        <w:spacing w:line="370" w:lineRule="exact"/>
        <w:ind w:firstLine="420" w:firstLineChars="200"/>
        <w:rPr>
          <w:rFonts w:hint="default" w:ascii="Arial" w:hAnsi="Arial" w:cs="Arial"/>
          <w:szCs w:val="21"/>
          <w:highlight w:val="none"/>
        </w:rPr>
      </w:pPr>
      <w:r>
        <w:rPr>
          <w:rFonts w:hint="default" w:ascii="Arial" w:hAnsi="Arial" w:cs="Arial"/>
          <w:szCs w:val="21"/>
          <w:highlight w:val="none"/>
        </w:rPr>
        <w:t>评标报告签署前，经复核发现存在以上情形之一的，评标委员会应当当场修改评标结果，并在评标</w:t>
      </w:r>
    </w:p>
    <w:p w14:paraId="35FCD075">
      <w:pPr>
        <w:snapToGrid w:val="0"/>
        <w:spacing w:line="370" w:lineRule="exact"/>
        <w:rPr>
          <w:rFonts w:hint="default" w:ascii="Arial" w:hAnsi="Arial" w:cs="Arial"/>
          <w:szCs w:val="21"/>
          <w:highlight w:val="none"/>
        </w:rPr>
      </w:pPr>
      <w:r>
        <w:rPr>
          <w:rFonts w:hint="default" w:ascii="Arial" w:hAnsi="Arial" w:cs="Arial"/>
          <w:szCs w:val="21"/>
          <w:highlight w:val="none"/>
        </w:rPr>
        <w:t>报告中记载；评标报告签署后，采购人或者采购代理机构发现存在以上情形之一的，应当组织原评标委员会进行重新评审，重新评审改变评标结果的，书面报告本级财政部门。</w:t>
      </w:r>
    </w:p>
    <w:p w14:paraId="603259A3">
      <w:pPr>
        <w:snapToGrid w:val="0"/>
        <w:spacing w:line="370" w:lineRule="exact"/>
        <w:ind w:firstLine="420" w:firstLineChars="200"/>
        <w:rPr>
          <w:rFonts w:hint="default" w:ascii="Arial" w:hAnsi="Arial" w:cs="Arial"/>
          <w:szCs w:val="21"/>
          <w:highlight w:val="none"/>
        </w:rPr>
      </w:pPr>
      <w:r>
        <w:rPr>
          <w:rFonts w:hint="default" w:ascii="Arial" w:hAnsi="Arial" w:cs="Arial"/>
          <w:szCs w:val="21"/>
          <w:highlight w:val="none"/>
        </w:rPr>
        <w:t>投标人对本条第一款情形提出质疑的，采购人或者采购代理机构可以组织原评标委员会进行重新评审，重新评审改变评标结果的，应当书面报告本级财政部门。</w:t>
      </w:r>
    </w:p>
    <w:p w14:paraId="75358548">
      <w:pPr>
        <w:pStyle w:val="27"/>
        <w:spacing w:line="370" w:lineRule="exact"/>
        <w:ind w:firstLine="411" w:firstLineChars="196"/>
        <w:rPr>
          <w:rFonts w:hint="default" w:ascii="Arial" w:hAnsi="Arial" w:cs="Arial"/>
          <w:szCs w:val="21"/>
          <w:highlight w:val="none"/>
        </w:rPr>
      </w:pPr>
      <w:r>
        <w:rPr>
          <w:rFonts w:hint="default" w:ascii="Arial" w:hAnsi="Arial" w:cs="Arial"/>
          <w:szCs w:val="21"/>
          <w:highlight w:val="none"/>
        </w:rPr>
        <w:t>26.12采购代理机构发现评标委员会有明显的违规倾向或歧视现象，或不按评标办法进行，或其他不正常行为的，应当及时制止。如制止无效，应及时向桂林市政府采购监督管理机构报告。</w:t>
      </w:r>
    </w:p>
    <w:p w14:paraId="400EE1AB">
      <w:pPr>
        <w:pStyle w:val="27"/>
        <w:tabs>
          <w:tab w:val="left" w:pos="4214"/>
        </w:tabs>
        <w:spacing w:line="370" w:lineRule="exact"/>
        <w:ind w:firstLine="420" w:firstLineChars="200"/>
        <w:rPr>
          <w:rFonts w:hint="default" w:ascii="Arial" w:hAnsi="Arial" w:cs="Arial"/>
          <w:b/>
          <w:highlight w:val="none"/>
        </w:rPr>
      </w:pPr>
      <w:r>
        <w:rPr>
          <w:rFonts w:hint="default" w:ascii="Arial" w:hAnsi="Arial" w:cs="Arial"/>
          <w:b/>
          <w:highlight w:val="none"/>
        </w:rPr>
        <w:t>27</w:t>
      </w:r>
      <w:r>
        <w:rPr>
          <w:rFonts w:hint="default" w:ascii="Arial" w:hAnsi="Arial" w:cs="Arial"/>
          <w:highlight w:val="none"/>
        </w:rPr>
        <w:t xml:space="preserve">. </w:t>
      </w:r>
      <w:r>
        <w:rPr>
          <w:rFonts w:hint="default" w:ascii="Arial" w:hAnsi="Arial" w:cs="Arial"/>
          <w:b/>
          <w:highlight w:val="none"/>
        </w:rPr>
        <w:t>推荐及确定中标候选供应商原则</w:t>
      </w:r>
    </w:p>
    <w:p w14:paraId="2E6B67DE">
      <w:pPr>
        <w:pStyle w:val="27"/>
        <w:tabs>
          <w:tab w:val="left" w:pos="4214"/>
        </w:tabs>
        <w:spacing w:line="370" w:lineRule="exact"/>
        <w:ind w:firstLine="420" w:firstLineChars="200"/>
        <w:rPr>
          <w:rFonts w:hint="default" w:ascii="Arial" w:hAnsi="Arial" w:cs="Arial"/>
          <w:sz w:val="22"/>
          <w:szCs w:val="22"/>
          <w:highlight w:val="none"/>
        </w:rPr>
      </w:pPr>
      <w:r>
        <w:rPr>
          <w:rFonts w:hint="default" w:ascii="Arial" w:hAnsi="Arial" w:cs="Arial"/>
          <w:szCs w:val="21"/>
          <w:highlight w:val="none"/>
        </w:rPr>
        <w:t>（1）评标委员会根据综合得分由高到低排列次序，若得分相同时，按投标报价由低到高顺序排列；得分相同且投标报价也相同的由评标委员会按照抽签的方式决定排列次序</w:t>
      </w:r>
      <w:r>
        <w:rPr>
          <w:rFonts w:hint="default" w:ascii="Arial" w:hAnsi="Arial" w:cs="Arial"/>
          <w:sz w:val="22"/>
          <w:szCs w:val="22"/>
          <w:highlight w:val="none"/>
        </w:rPr>
        <w:t>。</w:t>
      </w:r>
    </w:p>
    <w:p w14:paraId="2046D3E8">
      <w:pPr>
        <w:pStyle w:val="27"/>
        <w:tabs>
          <w:tab w:val="left" w:pos="4214"/>
        </w:tabs>
        <w:spacing w:line="370" w:lineRule="exact"/>
        <w:ind w:firstLine="420" w:firstLineChars="200"/>
        <w:rPr>
          <w:rFonts w:hint="default" w:ascii="Arial" w:hAnsi="Arial" w:cs="Arial"/>
          <w:szCs w:val="21"/>
          <w:highlight w:val="none"/>
        </w:rPr>
      </w:pPr>
      <w:r>
        <w:rPr>
          <w:rFonts w:hint="default" w:ascii="Arial" w:hAnsi="Arial" w:cs="Arial"/>
          <w:szCs w:val="21"/>
          <w:highlight w:val="none"/>
        </w:rPr>
        <w:t>（2）评标委员会可推荐前三名为中标候选人，采购人应当确定评标委员会推荐排名第一的中标候选人为中标人。</w:t>
      </w:r>
    </w:p>
    <w:p w14:paraId="65BC4A87">
      <w:pPr>
        <w:pStyle w:val="27"/>
        <w:tabs>
          <w:tab w:val="left" w:pos="4214"/>
        </w:tabs>
        <w:spacing w:line="370" w:lineRule="exact"/>
        <w:ind w:firstLine="420" w:firstLineChars="200"/>
        <w:rPr>
          <w:rFonts w:hint="default" w:ascii="Arial" w:hAnsi="Arial" w:cs="Arial"/>
          <w:szCs w:val="21"/>
          <w:highlight w:val="none"/>
        </w:rPr>
      </w:pPr>
      <w:r>
        <w:rPr>
          <w:rFonts w:hint="default" w:ascii="Arial" w:hAnsi="Arial" w:cs="Arial"/>
          <w:szCs w:val="21"/>
          <w:highlight w:val="none"/>
        </w:rPr>
        <w:t>（3）排名第一的中标候选人放弃中标、因不可抗力提出不能履行合同，或者招标文件规定应当提交履约保证金而在规定的期限内未能提交的，或因失信行为被取消中标候选人资格的，采购人可以确定排名第二的中标候选人为中标人，并依此类推。</w:t>
      </w:r>
    </w:p>
    <w:p w14:paraId="44C5F418">
      <w:pPr>
        <w:pStyle w:val="27"/>
        <w:tabs>
          <w:tab w:val="left" w:pos="4214"/>
        </w:tabs>
        <w:spacing w:line="370" w:lineRule="exact"/>
        <w:ind w:firstLine="420" w:firstLineChars="200"/>
        <w:rPr>
          <w:rFonts w:hint="default" w:ascii="Arial" w:hAnsi="Arial" w:cs="Arial"/>
          <w:b/>
          <w:szCs w:val="21"/>
          <w:highlight w:val="none"/>
        </w:rPr>
      </w:pPr>
      <w:r>
        <w:rPr>
          <w:rFonts w:hint="default" w:ascii="Arial" w:hAnsi="Arial" w:cs="Arial"/>
          <w:b/>
          <w:szCs w:val="21"/>
          <w:highlight w:val="none"/>
        </w:rPr>
        <w:t>28.属于下列情况之一者，投标无效：</w:t>
      </w:r>
    </w:p>
    <w:p w14:paraId="4E60F261">
      <w:pPr>
        <w:pStyle w:val="27"/>
        <w:tabs>
          <w:tab w:val="left" w:pos="4214"/>
        </w:tabs>
        <w:spacing w:line="370" w:lineRule="exact"/>
        <w:ind w:firstLine="420" w:firstLineChars="200"/>
        <w:rPr>
          <w:rFonts w:hint="default" w:ascii="Arial" w:hAnsi="Arial" w:cs="Arial"/>
          <w:b/>
          <w:szCs w:val="21"/>
          <w:highlight w:val="none"/>
        </w:rPr>
      </w:pPr>
      <w:r>
        <w:rPr>
          <w:rFonts w:hint="default" w:ascii="Arial" w:hAnsi="Arial" w:cs="Arial"/>
          <w:b/>
          <w:szCs w:val="21"/>
          <w:highlight w:val="none"/>
        </w:rPr>
        <w:t>（1）未按照招标文件规定完整线上提交</w:t>
      </w:r>
      <w:r>
        <w:rPr>
          <w:rFonts w:hint="eastAsia" w:ascii="Arial" w:hAnsi="Arial" w:cs="Arial"/>
          <w:b/>
          <w:szCs w:val="21"/>
          <w:highlight w:val="none"/>
          <w:lang w:eastAsia="zh-CN"/>
        </w:rPr>
        <w:t>投标文件</w:t>
      </w:r>
      <w:r>
        <w:rPr>
          <w:rFonts w:hint="default" w:ascii="Arial" w:hAnsi="Arial" w:cs="Arial"/>
          <w:b/>
          <w:szCs w:val="21"/>
          <w:highlight w:val="none"/>
        </w:rPr>
        <w:t>或未按规定要求线上签字、签章的；</w:t>
      </w:r>
    </w:p>
    <w:p w14:paraId="07F93FF0">
      <w:pPr>
        <w:pStyle w:val="27"/>
        <w:tabs>
          <w:tab w:val="left" w:pos="4214"/>
        </w:tabs>
        <w:spacing w:line="370" w:lineRule="exact"/>
        <w:ind w:firstLine="420" w:firstLineChars="200"/>
        <w:rPr>
          <w:rFonts w:hint="default" w:ascii="Arial" w:hAnsi="Arial" w:cs="Arial"/>
          <w:b/>
          <w:szCs w:val="21"/>
          <w:highlight w:val="none"/>
        </w:rPr>
      </w:pPr>
      <w:r>
        <w:rPr>
          <w:rFonts w:hint="default" w:ascii="Arial" w:hAnsi="Arial" w:cs="Arial"/>
          <w:b/>
          <w:szCs w:val="21"/>
          <w:highlight w:val="none"/>
        </w:rPr>
        <w:t>（2）投标报价超过招标文件中规定的预算金额的；</w:t>
      </w:r>
    </w:p>
    <w:p w14:paraId="05178EDE">
      <w:pPr>
        <w:pStyle w:val="27"/>
        <w:tabs>
          <w:tab w:val="left" w:pos="4214"/>
        </w:tabs>
        <w:spacing w:line="370" w:lineRule="exact"/>
        <w:ind w:firstLine="420" w:firstLineChars="200"/>
        <w:rPr>
          <w:rFonts w:hint="default" w:ascii="Arial" w:hAnsi="Arial" w:cs="Arial"/>
          <w:b/>
          <w:szCs w:val="21"/>
          <w:highlight w:val="none"/>
        </w:rPr>
      </w:pPr>
      <w:r>
        <w:rPr>
          <w:rFonts w:hint="default" w:ascii="Arial" w:hAnsi="Arial" w:cs="Arial"/>
          <w:b/>
          <w:szCs w:val="21"/>
          <w:highlight w:val="none"/>
        </w:rPr>
        <w:t>（3）不具备招标文件中规定的资格要求的；</w:t>
      </w:r>
    </w:p>
    <w:p w14:paraId="4533AE8E">
      <w:pPr>
        <w:pStyle w:val="27"/>
        <w:tabs>
          <w:tab w:val="left" w:pos="4214"/>
        </w:tabs>
        <w:spacing w:line="370" w:lineRule="exact"/>
        <w:ind w:firstLine="420" w:firstLineChars="200"/>
        <w:rPr>
          <w:rFonts w:hint="default" w:ascii="Arial" w:hAnsi="Arial" w:cs="Arial"/>
          <w:b/>
          <w:szCs w:val="21"/>
          <w:highlight w:val="none"/>
        </w:rPr>
      </w:pPr>
      <w:r>
        <w:rPr>
          <w:rFonts w:hint="default" w:ascii="Arial" w:hAnsi="Arial" w:cs="Arial"/>
          <w:b/>
          <w:szCs w:val="21"/>
          <w:highlight w:val="none"/>
        </w:rPr>
        <w:t>（4）投标文件含有采购人不能接受的附加条件的；</w:t>
      </w:r>
    </w:p>
    <w:p w14:paraId="3E27F119">
      <w:pPr>
        <w:pStyle w:val="27"/>
        <w:tabs>
          <w:tab w:val="left" w:pos="4214"/>
        </w:tabs>
        <w:spacing w:line="370" w:lineRule="exact"/>
        <w:ind w:firstLine="420" w:firstLineChars="200"/>
        <w:rPr>
          <w:rFonts w:hint="default" w:ascii="Arial" w:hAnsi="Arial" w:cs="Arial"/>
          <w:b/>
          <w:szCs w:val="21"/>
          <w:highlight w:val="none"/>
        </w:rPr>
      </w:pPr>
      <w:r>
        <w:rPr>
          <w:rFonts w:hint="default" w:ascii="Arial" w:hAnsi="Arial" w:cs="Arial"/>
          <w:b/>
          <w:szCs w:val="21"/>
          <w:highlight w:val="none"/>
        </w:rPr>
        <w:t>（5）投标文件未按招标文件的内容和要求编制，或提供虚假或无效材料的；</w:t>
      </w:r>
    </w:p>
    <w:p w14:paraId="413057C9">
      <w:pPr>
        <w:pStyle w:val="27"/>
        <w:tabs>
          <w:tab w:val="left" w:pos="4214"/>
        </w:tabs>
        <w:spacing w:line="370" w:lineRule="exact"/>
        <w:ind w:firstLine="420" w:firstLineChars="200"/>
        <w:rPr>
          <w:rFonts w:hint="default" w:ascii="Arial" w:hAnsi="Arial" w:cs="Arial"/>
          <w:b/>
          <w:szCs w:val="21"/>
          <w:highlight w:val="none"/>
        </w:rPr>
      </w:pPr>
      <w:r>
        <w:rPr>
          <w:rFonts w:hint="default" w:ascii="Arial" w:hAnsi="Arial" w:cs="Arial"/>
          <w:b/>
          <w:szCs w:val="21"/>
          <w:highlight w:val="none"/>
        </w:rPr>
        <w:t>（6）投标人未就“货物采购需求”中的所有内容作完整唯一报价的；</w:t>
      </w:r>
    </w:p>
    <w:p w14:paraId="22CD166C">
      <w:pPr>
        <w:pStyle w:val="27"/>
        <w:tabs>
          <w:tab w:val="left" w:pos="4214"/>
        </w:tabs>
        <w:spacing w:line="370" w:lineRule="exact"/>
        <w:ind w:firstLine="420" w:firstLineChars="200"/>
        <w:rPr>
          <w:rFonts w:hint="default" w:ascii="Arial" w:hAnsi="Arial" w:cs="Arial"/>
          <w:b/>
          <w:szCs w:val="21"/>
          <w:highlight w:val="none"/>
        </w:rPr>
      </w:pPr>
      <w:r>
        <w:rPr>
          <w:rFonts w:hint="default" w:ascii="Arial" w:hAnsi="Arial" w:cs="Arial"/>
          <w:b/>
          <w:szCs w:val="21"/>
          <w:highlight w:val="none"/>
        </w:rPr>
        <w:t>（7）未完全响应招标文件实质性要求的；</w:t>
      </w:r>
    </w:p>
    <w:p w14:paraId="01D28724">
      <w:pPr>
        <w:pStyle w:val="27"/>
        <w:tabs>
          <w:tab w:val="left" w:pos="4214"/>
        </w:tabs>
        <w:spacing w:line="370" w:lineRule="exact"/>
        <w:ind w:firstLine="420" w:firstLineChars="200"/>
        <w:rPr>
          <w:rFonts w:hint="default" w:ascii="Arial" w:hAnsi="Arial" w:cs="Arial"/>
          <w:b/>
          <w:szCs w:val="21"/>
          <w:highlight w:val="none"/>
        </w:rPr>
      </w:pPr>
      <w:r>
        <w:rPr>
          <w:rFonts w:hint="default" w:ascii="Arial" w:hAnsi="Arial" w:cs="Arial"/>
          <w:b/>
          <w:szCs w:val="21"/>
          <w:highlight w:val="none"/>
        </w:rPr>
        <w:t>（8）单位负责人为同一人或者存在直接控股、管理关系的不同投标人参加同一合同项下分标或未划分分标的同一合同项下的政府采购活动；</w:t>
      </w:r>
    </w:p>
    <w:p w14:paraId="63CCD166">
      <w:pPr>
        <w:pStyle w:val="27"/>
        <w:tabs>
          <w:tab w:val="left" w:pos="4214"/>
        </w:tabs>
        <w:spacing w:line="370" w:lineRule="exact"/>
        <w:ind w:firstLine="420" w:firstLineChars="200"/>
        <w:rPr>
          <w:rFonts w:hint="default" w:ascii="Arial" w:hAnsi="Arial" w:cs="Arial"/>
          <w:b/>
          <w:szCs w:val="21"/>
          <w:highlight w:val="none"/>
        </w:rPr>
      </w:pPr>
      <w:r>
        <w:rPr>
          <w:rFonts w:hint="default" w:ascii="Arial" w:hAnsi="Arial" w:cs="Arial"/>
          <w:b/>
          <w:szCs w:val="21"/>
          <w:highlight w:val="none"/>
        </w:rPr>
        <w:t>（9）法律、法规和招标文件规定的其他无效情形。</w:t>
      </w:r>
    </w:p>
    <w:p w14:paraId="5391144E">
      <w:pPr>
        <w:pStyle w:val="27"/>
        <w:tabs>
          <w:tab w:val="left" w:pos="4214"/>
        </w:tabs>
        <w:spacing w:line="370" w:lineRule="exact"/>
        <w:ind w:firstLine="420" w:firstLineChars="200"/>
        <w:rPr>
          <w:rFonts w:hint="default" w:ascii="Arial" w:hAnsi="Arial" w:cs="Arial"/>
          <w:b/>
          <w:szCs w:val="21"/>
          <w:highlight w:val="none"/>
        </w:rPr>
      </w:pPr>
      <w:r>
        <w:rPr>
          <w:rFonts w:hint="default" w:ascii="Arial" w:hAnsi="Arial" w:cs="Arial"/>
          <w:b/>
          <w:szCs w:val="21"/>
          <w:highlight w:val="none"/>
        </w:rPr>
        <w:t>29.投标人有下列情形之一的，视为串通投标，投标文件将被视为无效：</w:t>
      </w:r>
    </w:p>
    <w:p w14:paraId="3F1CEC61">
      <w:pPr>
        <w:pStyle w:val="27"/>
        <w:tabs>
          <w:tab w:val="left" w:pos="4214"/>
        </w:tabs>
        <w:spacing w:line="370" w:lineRule="exact"/>
        <w:ind w:firstLine="420" w:firstLineChars="200"/>
        <w:rPr>
          <w:rFonts w:hint="default" w:ascii="Arial" w:hAnsi="Arial" w:cs="Arial"/>
          <w:b/>
          <w:szCs w:val="21"/>
          <w:highlight w:val="none"/>
        </w:rPr>
      </w:pPr>
      <w:r>
        <w:rPr>
          <w:rFonts w:hint="default" w:ascii="Arial" w:hAnsi="Arial" w:cs="Arial"/>
          <w:b/>
          <w:szCs w:val="21"/>
          <w:highlight w:val="none"/>
        </w:rPr>
        <w:t>（1）不同投标人的投标文件由同一单位或者个人编制；</w:t>
      </w:r>
    </w:p>
    <w:p w14:paraId="0016CE59">
      <w:pPr>
        <w:pStyle w:val="27"/>
        <w:tabs>
          <w:tab w:val="left" w:pos="4214"/>
        </w:tabs>
        <w:spacing w:line="370" w:lineRule="exact"/>
        <w:ind w:firstLine="420" w:firstLineChars="200"/>
        <w:rPr>
          <w:rFonts w:hint="default" w:ascii="Arial" w:hAnsi="Arial" w:cs="Arial"/>
          <w:b/>
          <w:szCs w:val="21"/>
          <w:highlight w:val="none"/>
        </w:rPr>
      </w:pPr>
      <w:r>
        <w:rPr>
          <w:rFonts w:hint="default" w:ascii="Arial" w:hAnsi="Arial" w:cs="Arial"/>
          <w:b/>
          <w:szCs w:val="21"/>
          <w:highlight w:val="none"/>
        </w:rPr>
        <w:t>（2）不同投标人委托同一单位或者个人办理投标事宜；</w:t>
      </w:r>
    </w:p>
    <w:p w14:paraId="6F1AE181">
      <w:pPr>
        <w:pStyle w:val="27"/>
        <w:tabs>
          <w:tab w:val="left" w:pos="4214"/>
        </w:tabs>
        <w:spacing w:line="370" w:lineRule="exact"/>
        <w:ind w:firstLine="420" w:firstLineChars="200"/>
        <w:rPr>
          <w:rFonts w:hint="default" w:ascii="Arial" w:hAnsi="Arial" w:cs="Arial"/>
          <w:b/>
          <w:szCs w:val="21"/>
          <w:highlight w:val="none"/>
        </w:rPr>
      </w:pPr>
      <w:r>
        <w:rPr>
          <w:rFonts w:hint="default" w:ascii="Arial" w:hAnsi="Arial" w:cs="Arial"/>
          <w:b/>
          <w:szCs w:val="21"/>
          <w:highlight w:val="none"/>
        </w:rPr>
        <w:t>（3）不同的投标人的投标文件载明的项目管理员为同一个人；</w:t>
      </w:r>
    </w:p>
    <w:p w14:paraId="072E7A30">
      <w:pPr>
        <w:pStyle w:val="27"/>
        <w:tabs>
          <w:tab w:val="left" w:pos="4214"/>
        </w:tabs>
        <w:spacing w:line="370" w:lineRule="exact"/>
        <w:ind w:firstLine="420" w:firstLineChars="200"/>
        <w:rPr>
          <w:rFonts w:hint="default" w:ascii="Arial" w:hAnsi="Arial" w:cs="Arial"/>
          <w:b/>
          <w:szCs w:val="21"/>
          <w:highlight w:val="none"/>
        </w:rPr>
      </w:pPr>
      <w:r>
        <w:rPr>
          <w:rFonts w:hint="default" w:ascii="Arial" w:hAnsi="Arial" w:cs="Arial"/>
          <w:b/>
          <w:szCs w:val="21"/>
          <w:highlight w:val="none"/>
        </w:rPr>
        <w:t xml:space="preserve">（4）不同投标人的投标文件异常一致或投标报价呈规律性差异； </w:t>
      </w:r>
    </w:p>
    <w:p w14:paraId="72D97300">
      <w:pPr>
        <w:pStyle w:val="27"/>
        <w:tabs>
          <w:tab w:val="left" w:pos="4214"/>
        </w:tabs>
        <w:spacing w:line="370" w:lineRule="exact"/>
        <w:ind w:firstLine="420" w:firstLineChars="200"/>
        <w:rPr>
          <w:rFonts w:hint="default" w:ascii="Arial" w:hAnsi="Arial" w:cs="Arial"/>
          <w:b/>
          <w:szCs w:val="21"/>
          <w:highlight w:val="none"/>
        </w:rPr>
      </w:pPr>
      <w:r>
        <w:rPr>
          <w:rFonts w:hint="default" w:ascii="Arial" w:hAnsi="Arial" w:cs="Arial"/>
          <w:b/>
          <w:szCs w:val="21"/>
          <w:highlight w:val="none"/>
        </w:rPr>
        <w:t>（5）不同投标人的投标文件相互混装。</w:t>
      </w:r>
    </w:p>
    <w:p w14:paraId="56559370">
      <w:pPr>
        <w:pStyle w:val="27"/>
        <w:tabs>
          <w:tab w:val="left" w:pos="4214"/>
        </w:tabs>
        <w:spacing w:line="370" w:lineRule="exact"/>
        <w:ind w:firstLine="420" w:firstLineChars="200"/>
        <w:rPr>
          <w:rFonts w:hint="default" w:ascii="Arial" w:hAnsi="Arial" w:cs="Arial"/>
          <w:b/>
          <w:szCs w:val="21"/>
          <w:highlight w:val="none"/>
        </w:rPr>
      </w:pPr>
      <w:r>
        <w:rPr>
          <w:rFonts w:hint="default" w:ascii="Arial" w:hAnsi="Arial" w:cs="Arial"/>
          <w:b/>
          <w:szCs w:val="21"/>
          <w:highlight w:val="none"/>
        </w:rPr>
        <w:t>30. 属于下列情形之一的，应予废标：</w:t>
      </w:r>
    </w:p>
    <w:p w14:paraId="48C030D2">
      <w:pPr>
        <w:pStyle w:val="27"/>
        <w:tabs>
          <w:tab w:val="left" w:pos="4214"/>
        </w:tabs>
        <w:spacing w:line="370" w:lineRule="exact"/>
        <w:ind w:firstLine="420" w:firstLineChars="200"/>
        <w:rPr>
          <w:rFonts w:hint="default" w:ascii="Arial" w:hAnsi="Arial" w:cs="Arial"/>
          <w:b/>
          <w:szCs w:val="21"/>
          <w:highlight w:val="none"/>
        </w:rPr>
      </w:pPr>
      <w:r>
        <w:rPr>
          <w:rFonts w:hint="default" w:ascii="Arial" w:hAnsi="Arial" w:cs="Arial"/>
          <w:b/>
          <w:szCs w:val="21"/>
          <w:highlight w:val="none"/>
        </w:rPr>
        <w:t>（1）符合专业条件的供应商或者对招标文件作实质响应的供应商不足3家的；</w:t>
      </w:r>
    </w:p>
    <w:p w14:paraId="068BCD79">
      <w:pPr>
        <w:pStyle w:val="27"/>
        <w:tabs>
          <w:tab w:val="left" w:pos="4214"/>
        </w:tabs>
        <w:spacing w:line="370" w:lineRule="exact"/>
        <w:ind w:firstLine="420" w:firstLineChars="200"/>
        <w:rPr>
          <w:rFonts w:hint="default" w:ascii="Arial" w:hAnsi="Arial" w:cs="Arial"/>
          <w:b/>
          <w:szCs w:val="21"/>
          <w:highlight w:val="none"/>
        </w:rPr>
      </w:pPr>
      <w:r>
        <w:rPr>
          <w:rFonts w:hint="default" w:ascii="Arial" w:hAnsi="Arial" w:cs="Arial"/>
          <w:b/>
          <w:szCs w:val="21"/>
          <w:highlight w:val="none"/>
        </w:rPr>
        <w:t>（2）出现影响采购公正的违法、违规行为的；</w:t>
      </w:r>
    </w:p>
    <w:p w14:paraId="488A715B">
      <w:pPr>
        <w:pStyle w:val="27"/>
        <w:tabs>
          <w:tab w:val="left" w:pos="4214"/>
        </w:tabs>
        <w:spacing w:line="370" w:lineRule="exact"/>
        <w:ind w:firstLine="420" w:firstLineChars="200"/>
        <w:rPr>
          <w:rFonts w:hint="default" w:ascii="Arial" w:hAnsi="Arial" w:cs="Arial"/>
          <w:b/>
          <w:szCs w:val="21"/>
          <w:highlight w:val="none"/>
        </w:rPr>
      </w:pPr>
      <w:r>
        <w:rPr>
          <w:rFonts w:hint="default" w:ascii="Arial" w:hAnsi="Arial" w:cs="Arial"/>
          <w:b/>
          <w:szCs w:val="21"/>
          <w:highlight w:val="none"/>
        </w:rPr>
        <w:t>（3）采购文件内容违反国家有关强制性规定的；</w:t>
      </w:r>
    </w:p>
    <w:p w14:paraId="46BDF2E2">
      <w:pPr>
        <w:pStyle w:val="27"/>
        <w:tabs>
          <w:tab w:val="left" w:pos="4214"/>
        </w:tabs>
        <w:spacing w:line="370" w:lineRule="exact"/>
        <w:ind w:firstLine="420" w:firstLineChars="200"/>
        <w:rPr>
          <w:rFonts w:hint="default" w:ascii="Arial" w:hAnsi="Arial" w:cs="Arial"/>
          <w:b/>
          <w:szCs w:val="21"/>
          <w:highlight w:val="none"/>
        </w:rPr>
      </w:pPr>
      <w:r>
        <w:rPr>
          <w:rFonts w:hint="default" w:ascii="Arial" w:hAnsi="Arial" w:cs="Arial"/>
          <w:b/>
          <w:szCs w:val="21"/>
          <w:highlight w:val="none"/>
        </w:rPr>
        <w:t>（4）因重大变故，采购任务取消的。</w:t>
      </w:r>
    </w:p>
    <w:p w14:paraId="2D566FCE">
      <w:pPr>
        <w:pStyle w:val="27"/>
        <w:spacing w:line="370" w:lineRule="exact"/>
        <w:ind w:firstLine="411" w:firstLineChars="196"/>
        <w:rPr>
          <w:rFonts w:hint="default" w:ascii="Arial" w:hAnsi="Arial" w:cs="Arial"/>
          <w:b/>
          <w:highlight w:val="none"/>
        </w:rPr>
      </w:pPr>
      <w:r>
        <w:rPr>
          <w:rFonts w:hint="default" w:ascii="Arial" w:hAnsi="Arial" w:cs="Arial"/>
          <w:b/>
          <w:highlight w:val="none"/>
        </w:rPr>
        <w:t>31.开标、评标过程的监控</w:t>
      </w:r>
    </w:p>
    <w:p w14:paraId="3D3A14F8">
      <w:pPr>
        <w:pStyle w:val="27"/>
        <w:spacing w:line="370" w:lineRule="exact"/>
        <w:ind w:firstLine="411" w:firstLineChars="196"/>
        <w:rPr>
          <w:rFonts w:hint="default" w:ascii="Arial" w:hAnsi="Arial" w:cs="Arial"/>
          <w:highlight w:val="none"/>
        </w:rPr>
      </w:pPr>
      <w:r>
        <w:rPr>
          <w:rFonts w:hint="default" w:ascii="Arial" w:hAnsi="Arial" w:cs="Arial"/>
          <w:highlight w:val="none"/>
        </w:rPr>
        <w:t>本项目开标、评标过程实行全程录音、录像监控，投标人在评标过程中所进行的试图影响评标结果的不公正活动，可能导致其投标被拒绝。</w:t>
      </w:r>
    </w:p>
    <w:p w14:paraId="6CDD4B4D">
      <w:pPr>
        <w:pStyle w:val="27"/>
        <w:spacing w:line="370" w:lineRule="exact"/>
        <w:ind w:firstLine="411" w:firstLineChars="196"/>
        <w:rPr>
          <w:rFonts w:hint="default" w:ascii="Arial" w:hAnsi="Arial" w:cs="Arial"/>
          <w:b/>
          <w:highlight w:val="none"/>
        </w:rPr>
      </w:pPr>
      <w:r>
        <w:rPr>
          <w:rFonts w:hint="default" w:ascii="Arial" w:hAnsi="Arial" w:cs="Arial"/>
          <w:b/>
          <w:highlight w:val="none"/>
        </w:rPr>
        <w:t>32.信用查询</w:t>
      </w:r>
    </w:p>
    <w:p w14:paraId="0EDF9C16">
      <w:pPr>
        <w:pStyle w:val="27"/>
        <w:spacing w:line="370" w:lineRule="exact"/>
        <w:ind w:firstLine="411" w:firstLineChars="196"/>
        <w:rPr>
          <w:rFonts w:hint="default" w:ascii="Arial" w:hAnsi="Arial" w:cs="Arial"/>
          <w:highlight w:val="none"/>
        </w:rPr>
      </w:pPr>
      <w:r>
        <w:rPr>
          <w:rFonts w:hint="default" w:ascii="Arial" w:hAnsi="Arial" w:cs="Arial"/>
          <w:highlight w:val="none"/>
        </w:rPr>
        <w:t>根据《关于做好政府采购有关信用主体标识码登记及在政府采购活动中查询使用信用记录有关问题的通知》桂财采〔2016〕37号的通知，中标通知书发出前，由采购代理机构对第一中标候选供应商进行信用查询：</w:t>
      </w:r>
    </w:p>
    <w:p w14:paraId="74027857">
      <w:pPr>
        <w:pStyle w:val="27"/>
        <w:spacing w:line="370" w:lineRule="exact"/>
        <w:ind w:firstLine="411" w:firstLineChars="196"/>
        <w:rPr>
          <w:rFonts w:hint="default" w:ascii="Arial" w:hAnsi="Arial" w:cs="Arial"/>
          <w:highlight w:val="none"/>
        </w:rPr>
      </w:pPr>
      <w:r>
        <w:rPr>
          <w:rFonts w:hint="default" w:ascii="Arial" w:hAnsi="Arial" w:cs="Arial"/>
          <w:highlight w:val="none"/>
        </w:rPr>
        <w:t>⑴查询渠道：“信用中国”网站（www.creditchina.gov.cn）、中国政府采购网（www.ccgp.gov.cn）等；</w:t>
      </w:r>
    </w:p>
    <w:p w14:paraId="0B0EA94E">
      <w:pPr>
        <w:pStyle w:val="27"/>
        <w:spacing w:line="370" w:lineRule="exact"/>
        <w:ind w:firstLine="411" w:firstLineChars="196"/>
        <w:rPr>
          <w:rFonts w:hint="default" w:ascii="Arial" w:hAnsi="Arial" w:cs="Arial"/>
          <w:highlight w:val="none"/>
        </w:rPr>
      </w:pPr>
      <w:r>
        <w:rPr>
          <w:rFonts w:hint="default" w:ascii="Arial" w:hAnsi="Arial" w:cs="Arial"/>
          <w:highlight w:val="none"/>
        </w:rPr>
        <w:t>⑵查询截止时间：中标通知书发出前；</w:t>
      </w:r>
    </w:p>
    <w:p w14:paraId="39A69C9E">
      <w:pPr>
        <w:pStyle w:val="27"/>
        <w:spacing w:line="370" w:lineRule="exact"/>
        <w:ind w:firstLine="411" w:firstLineChars="196"/>
        <w:rPr>
          <w:rFonts w:hint="default" w:ascii="Arial" w:hAnsi="Arial" w:cs="Arial"/>
          <w:highlight w:val="none"/>
        </w:rPr>
      </w:pPr>
      <w:r>
        <w:rPr>
          <w:rFonts w:hint="default" w:ascii="Arial" w:hAnsi="Arial" w:cs="Arial"/>
          <w:highlight w:val="none"/>
        </w:rPr>
        <w:t>⑶信用信息查询记录和证据留存方式：在查询网站中直接打印查询记录，打印材料作为采购活动资料保存；</w:t>
      </w:r>
    </w:p>
    <w:p w14:paraId="2170A010">
      <w:pPr>
        <w:pStyle w:val="27"/>
        <w:spacing w:line="370" w:lineRule="exact"/>
        <w:ind w:firstLine="411" w:firstLineChars="196"/>
        <w:rPr>
          <w:rFonts w:hint="default" w:ascii="Arial" w:hAnsi="Arial" w:cs="Arial"/>
          <w:highlight w:val="none"/>
        </w:rPr>
      </w:pPr>
      <w:r>
        <w:rPr>
          <w:rFonts w:hint="default" w:ascii="Arial" w:hAnsi="Arial" w:cs="Arial"/>
          <w:highlight w:val="none"/>
        </w:rPr>
        <w:t>⑷信用信息使用规则：对在“信用中国”网站（www.creditchina.gov.cn）、中国政府采购网（www.ccgp.gov.cn）等渠道列入失信被执行人、重大税收违法失信主体、政府采购严重违法失信行为记录名单及其他不符合《中华人民共和国政府采购法》第二十二条规定条件的供应商，取消其中标候选供应商资格。</w:t>
      </w:r>
    </w:p>
    <w:p w14:paraId="58F0B913">
      <w:pPr>
        <w:pStyle w:val="27"/>
        <w:spacing w:line="370" w:lineRule="exact"/>
        <w:ind w:firstLine="411" w:firstLineChars="196"/>
        <w:rPr>
          <w:rFonts w:hint="default" w:ascii="Arial" w:hAnsi="Arial" w:cs="Arial"/>
          <w:b/>
          <w:highlight w:val="none"/>
        </w:rPr>
      </w:pPr>
      <w:r>
        <w:rPr>
          <w:rFonts w:hint="default" w:ascii="Arial" w:hAnsi="Arial" w:cs="Arial"/>
          <w:b/>
          <w:highlight w:val="none"/>
        </w:rPr>
        <w:t>33. 中标公告及中标通知书</w:t>
      </w:r>
    </w:p>
    <w:p w14:paraId="2110639E">
      <w:pPr>
        <w:pStyle w:val="27"/>
        <w:tabs>
          <w:tab w:val="left" w:pos="455"/>
        </w:tabs>
        <w:spacing w:line="370" w:lineRule="exact"/>
        <w:ind w:firstLine="420" w:firstLineChars="200"/>
        <w:rPr>
          <w:rFonts w:hint="default" w:ascii="Arial" w:hAnsi="Arial" w:cs="Arial"/>
          <w:highlight w:val="none"/>
        </w:rPr>
      </w:pPr>
      <w:r>
        <w:rPr>
          <w:rFonts w:hint="default" w:ascii="Arial" w:hAnsi="Arial" w:cs="Arial"/>
          <w:szCs w:val="21"/>
          <w:highlight w:val="none"/>
        </w:rPr>
        <w:t>33.1采购代理机构于评标结束后两个工作日内将评标报告送交采购人，采购人应当自收到评标报告五个工作日内在评标报告推荐的中标候选供应商中按顺序确定中标供应商；采购人在收到评标报告五个工作日内未按评标报告推荐的中标候选人顺序确定中标人，又不能说明合法理由的，视同按评标报告推荐的顺序确定排名第一的中标候选人为中标人。采购代理机构在中标供应商确定之日起两个工作日内在指定媒体上公告中标结果，中标公告期限为1个工作日。</w:t>
      </w:r>
    </w:p>
    <w:p w14:paraId="0CFDA7CA">
      <w:pPr>
        <w:pStyle w:val="27"/>
        <w:spacing w:line="370" w:lineRule="exact"/>
        <w:ind w:firstLine="420" w:firstLineChars="200"/>
        <w:rPr>
          <w:rFonts w:hint="default" w:ascii="Arial" w:hAnsi="Arial" w:cs="Arial"/>
          <w:highlight w:val="none"/>
        </w:rPr>
      </w:pPr>
      <w:r>
        <w:rPr>
          <w:rFonts w:hint="default" w:ascii="Arial" w:hAnsi="Arial" w:cs="Arial"/>
          <w:szCs w:val="21"/>
          <w:highlight w:val="none"/>
        </w:rPr>
        <w:t>33.2中标公告发布同时，采购代理机构向中标供应商发出中标通知书，中标供应商应自接到通知之日起七个工作日内，办理中标通知书领取手续。</w:t>
      </w:r>
    </w:p>
    <w:p w14:paraId="60A6B743">
      <w:pPr>
        <w:tabs>
          <w:tab w:val="left" w:pos="1140"/>
        </w:tabs>
        <w:spacing w:line="370" w:lineRule="exact"/>
        <w:ind w:left="420" w:leftChars="200"/>
        <w:rPr>
          <w:rFonts w:hint="default" w:ascii="Arial" w:hAnsi="Arial" w:cs="Arial"/>
          <w:b/>
          <w:sz w:val="28"/>
          <w:szCs w:val="28"/>
          <w:highlight w:val="none"/>
        </w:rPr>
      </w:pPr>
    </w:p>
    <w:p w14:paraId="1509EAF0">
      <w:pPr>
        <w:tabs>
          <w:tab w:val="left" w:pos="1140"/>
        </w:tabs>
        <w:spacing w:line="370" w:lineRule="exact"/>
        <w:ind w:left="420" w:leftChars="200"/>
        <w:jc w:val="center"/>
        <w:rPr>
          <w:rFonts w:hint="default" w:ascii="Arial" w:hAnsi="Arial" w:cs="Arial"/>
          <w:b/>
          <w:sz w:val="28"/>
          <w:szCs w:val="28"/>
          <w:highlight w:val="none"/>
        </w:rPr>
      </w:pPr>
      <w:r>
        <w:rPr>
          <w:rFonts w:hint="default" w:ascii="Arial" w:hAnsi="Arial" w:cs="Arial"/>
          <w:b/>
          <w:sz w:val="28"/>
          <w:szCs w:val="28"/>
          <w:highlight w:val="none"/>
        </w:rPr>
        <w:t>七、履约保证金及签订合同</w:t>
      </w:r>
    </w:p>
    <w:p w14:paraId="0707B61C">
      <w:pPr>
        <w:tabs>
          <w:tab w:val="left" w:pos="1305"/>
        </w:tabs>
        <w:spacing w:line="370" w:lineRule="exact"/>
        <w:ind w:firstLine="315" w:firstLineChars="150"/>
        <w:rPr>
          <w:rFonts w:hint="default" w:ascii="Arial" w:hAnsi="Arial" w:cs="Arial"/>
          <w:szCs w:val="21"/>
          <w:highlight w:val="none"/>
        </w:rPr>
      </w:pPr>
      <w:r>
        <w:rPr>
          <w:rFonts w:hint="default" w:ascii="Arial" w:hAnsi="Arial" w:cs="Arial"/>
          <w:b/>
          <w:highlight w:val="none"/>
        </w:rPr>
        <w:t>34</w:t>
      </w:r>
      <w:r>
        <w:rPr>
          <w:rFonts w:hint="default" w:ascii="Arial" w:hAnsi="Arial" w:cs="Arial"/>
          <w:b/>
          <w:szCs w:val="21"/>
          <w:highlight w:val="none"/>
        </w:rPr>
        <w:t>. 履约保证金</w:t>
      </w:r>
    </w:p>
    <w:p w14:paraId="5790DC98">
      <w:pPr>
        <w:pStyle w:val="27"/>
        <w:spacing w:line="370" w:lineRule="exact"/>
        <w:ind w:left="6" w:leftChars="3" w:firstLine="420" w:firstLineChars="200"/>
        <w:rPr>
          <w:rFonts w:hint="default" w:ascii="Arial" w:hAnsi="Arial" w:cs="Arial"/>
          <w:highlight w:val="none"/>
        </w:rPr>
      </w:pPr>
      <w:r>
        <w:rPr>
          <w:rFonts w:hint="default" w:ascii="Arial" w:hAnsi="Arial" w:cs="Arial"/>
          <w:szCs w:val="21"/>
          <w:highlight w:val="none"/>
        </w:rPr>
        <w:t>34.1履约保证金：履约保证金金额按政府采购合同金额的</w:t>
      </w:r>
      <w:r>
        <w:rPr>
          <w:rFonts w:hint="default" w:ascii="Arial" w:hAnsi="Arial" w:cs="Arial"/>
          <w:szCs w:val="21"/>
          <w:highlight w:val="none"/>
          <w:u w:val="single"/>
          <w:lang w:val="en-US" w:eastAsia="zh-CN"/>
        </w:rPr>
        <w:t xml:space="preserve"> / </w:t>
      </w:r>
      <w:r>
        <w:rPr>
          <w:rFonts w:hint="default" w:ascii="Arial" w:hAnsi="Arial" w:cs="Arial"/>
          <w:szCs w:val="21"/>
          <w:highlight w:val="none"/>
        </w:rPr>
        <w:t>%（人民币，四舍五入到元）提交</w:t>
      </w:r>
      <w:r>
        <w:rPr>
          <w:rFonts w:hint="default" w:ascii="Arial" w:hAnsi="Arial" w:cs="Arial"/>
          <w:b/>
          <w:bCs/>
          <w:szCs w:val="21"/>
          <w:highlight w:val="none"/>
        </w:rPr>
        <w:t>【如中标供应商为小微企业的，则免除收取履约保证金，若为中型企业的按政府采购合同金额的2 %】</w:t>
      </w:r>
      <w:r>
        <w:rPr>
          <w:rFonts w:hint="default" w:ascii="Arial" w:hAnsi="Arial" w:cs="Arial"/>
          <w:szCs w:val="21"/>
          <w:highlight w:val="none"/>
        </w:rPr>
        <w:t>。中标供应商在与采购人签订合同前将履约</w:t>
      </w:r>
      <w:r>
        <w:rPr>
          <w:rFonts w:hint="default" w:ascii="Arial" w:hAnsi="Arial" w:cs="Arial"/>
          <w:highlight w:val="none"/>
        </w:rPr>
        <w:t>保证金</w:t>
      </w:r>
      <w:r>
        <w:rPr>
          <w:rFonts w:hint="default" w:ascii="Arial" w:hAnsi="Arial" w:cs="Arial"/>
          <w:szCs w:val="21"/>
          <w:highlight w:val="none"/>
        </w:rPr>
        <w:t>以支票、汇票、本票或者金融机构、担保机构出具的保函等非现金形式提交至采购人指定账户</w:t>
      </w:r>
      <w:r>
        <w:rPr>
          <w:rFonts w:hint="default" w:ascii="Arial" w:hAnsi="Arial" w:cs="Arial"/>
          <w:highlight w:val="none"/>
        </w:rPr>
        <w:t>。</w:t>
      </w:r>
    </w:p>
    <w:p w14:paraId="3A4448EC">
      <w:pPr>
        <w:tabs>
          <w:tab w:val="left" w:pos="1140"/>
        </w:tabs>
        <w:spacing w:line="370" w:lineRule="exact"/>
        <w:ind w:firstLine="420" w:firstLineChars="200"/>
        <w:rPr>
          <w:rFonts w:hint="default" w:ascii="Arial" w:hAnsi="Arial" w:cs="Arial"/>
          <w:b/>
          <w:szCs w:val="21"/>
          <w:highlight w:val="none"/>
        </w:rPr>
      </w:pPr>
      <w:r>
        <w:rPr>
          <w:rFonts w:hint="default" w:ascii="Arial" w:hAnsi="Arial" w:cs="Arial"/>
          <w:b/>
          <w:szCs w:val="21"/>
          <w:highlight w:val="none"/>
        </w:rPr>
        <w:t>35. 签订合同</w:t>
      </w:r>
    </w:p>
    <w:p w14:paraId="48730114">
      <w:pPr>
        <w:pStyle w:val="27"/>
        <w:spacing w:line="370" w:lineRule="exact"/>
        <w:ind w:left="2" w:leftChars="1" w:firstLine="420" w:firstLineChars="200"/>
        <w:rPr>
          <w:rFonts w:hint="default" w:ascii="Arial" w:hAnsi="Arial" w:cs="Arial"/>
          <w:szCs w:val="21"/>
          <w:highlight w:val="none"/>
        </w:rPr>
      </w:pPr>
      <w:r>
        <w:rPr>
          <w:rFonts w:hint="default" w:ascii="Arial" w:hAnsi="Arial" w:cs="Arial"/>
          <w:szCs w:val="21"/>
          <w:highlight w:val="none"/>
        </w:rPr>
        <w:t>35.1签订合同时间：中标通知书发出之日起八个工作日内。中标供应商领取中标通知书后，应按规定与采购人签订合同。</w:t>
      </w:r>
    </w:p>
    <w:p w14:paraId="09AF867B">
      <w:pPr>
        <w:pStyle w:val="27"/>
        <w:spacing w:line="370" w:lineRule="exact"/>
        <w:ind w:left="2" w:leftChars="1" w:firstLine="420" w:firstLineChars="200"/>
        <w:rPr>
          <w:rFonts w:hint="default" w:ascii="Arial" w:hAnsi="Arial" w:cs="Arial"/>
          <w:szCs w:val="21"/>
          <w:highlight w:val="none"/>
        </w:rPr>
      </w:pPr>
      <w:r>
        <w:rPr>
          <w:rFonts w:hint="default" w:ascii="Arial" w:hAnsi="Arial" w:cs="Arial"/>
          <w:szCs w:val="21"/>
          <w:highlight w:val="none"/>
        </w:rPr>
        <w:t>35.2如中标供应商有下列情形之一的，情节严重的，由财政部门将其列入不良行为记录名单，在一至三年内禁止参加政府采购活动，并予以通报。采购人或者采购代理机构可从评标委员会推荐的中标候选供应商中按顺序重新确定中标供应商或重新组织招标。</w:t>
      </w:r>
    </w:p>
    <w:p w14:paraId="3EF68002">
      <w:pPr>
        <w:pStyle w:val="27"/>
        <w:spacing w:line="370" w:lineRule="exact"/>
        <w:ind w:firstLine="315" w:firstLineChars="150"/>
        <w:rPr>
          <w:rFonts w:hint="default" w:ascii="Arial" w:hAnsi="Arial" w:cs="Arial"/>
          <w:szCs w:val="21"/>
          <w:highlight w:val="none"/>
        </w:rPr>
      </w:pPr>
      <w:r>
        <w:rPr>
          <w:rFonts w:hint="default" w:ascii="Arial" w:hAnsi="Arial" w:cs="Arial"/>
          <w:szCs w:val="21"/>
          <w:highlight w:val="none"/>
        </w:rPr>
        <w:t>（1）中标后不与采购人签订合同的（不可抗力除外）；</w:t>
      </w:r>
    </w:p>
    <w:p w14:paraId="0BF80FF1">
      <w:pPr>
        <w:pStyle w:val="27"/>
        <w:spacing w:line="370" w:lineRule="exact"/>
        <w:ind w:left="2" w:leftChars="1" w:firstLine="315" w:firstLineChars="150"/>
        <w:rPr>
          <w:rFonts w:hint="default" w:ascii="Arial" w:hAnsi="Arial" w:cs="Arial"/>
          <w:szCs w:val="21"/>
          <w:highlight w:val="none"/>
        </w:rPr>
      </w:pPr>
      <w:r>
        <w:rPr>
          <w:rFonts w:hint="default" w:ascii="Arial" w:hAnsi="Arial" w:cs="Arial"/>
          <w:szCs w:val="21"/>
          <w:highlight w:val="none"/>
        </w:rPr>
        <w:t>（2）将中标项目转让给他人，或者在投标文件中未说明，且未经采购人同意，将中标项目分包给他人的；</w:t>
      </w:r>
    </w:p>
    <w:p w14:paraId="54C35676">
      <w:pPr>
        <w:pStyle w:val="27"/>
        <w:spacing w:line="370" w:lineRule="exact"/>
        <w:ind w:firstLine="315" w:firstLineChars="150"/>
        <w:rPr>
          <w:rFonts w:hint="default" w:ascii="Arial" w:hAnsi="Arial" w:cs="Arial"/>
          <w:szCs w:val="21"/>
          <w:highlight w:val="none"/>
        </w:rPr>
      </w:pPr>
      <w:r>
        <w:rPr>
          <w:rFonts w:hint="default" w:ascii="Arial" w:hAnsi="Arial" w:cs="Arial"/>
          <w:szCs w:val="21"/>
          <w:highlight w:val="none"/>
        </w:rPr>
        <w:t>（3）拒绝履行合同义务的。</w:t>
      </w:r>
    </w:p>
    <w:p w14:paraId="51464AE4">
      <w:pPr>
        <w:pStyle w:val="27"/>
        <w:spacing w:line="370" w:lineRule="exact"/>
        <w:ind w:left="2" w:leftChars="1" w:firstLine="420" w:firstLineChars="200"/>
        <w:rPr>
          <w:rFonts w:hint="default" w:ascii="Arial" w:hAnsi="Arial" w:cs="Arial"/>
          <w:szCs w:val="21"/>
          <w:highlight w:val="none"/>
        </w:rPr>
      </w:pPr>
      <w:r>
        <w:rPr>
          <w:rFonts w:hint="default" w:ascii="Arial" w:hAnsi="Arial" w:cs="Arial"/>
          <w:szCs w:val="21"/>
          <w:highlight w:val="none"/>
        </w:rPr>
        <w:t>35.3合同备案存档：政府采购合同双方自签订之日起1个工作日内将合同原件两份交采购代理机构。采购代理机构将政府采购合同在省级以上人民政府财政部门指定媒体上公告并于合同签订之日起7个工作日内将一份合同原件送</w:t>
      </w:r>
      <w:r>
        <w:rPr>
          <w:rFonts w:hint="eastAsia" w:ascii="Arial" w:hAnsi="Arial" w:cs="Arial"/>
          <w:szCs w:val="21"/>
          <w:highlight w:val="none"/>
          <w:lang w:val="en-US" w:eastAsia="zh-CN"/>
        </w:rPr>
        <w:t>桂林市政府采购监督管理科</w:t>
      </w:r>
      <w:r>
        <w:rPr>
          <w:rFonts w:hint="default" w:ascii="Arial" w:hAnsi="Arial" w:cs="Arial"/>
          <w:szCs w:val="21"/>
          <w:highlight w:val="none"/>
        </w:rPr>
        <w:t>备案，一份由采购代理机构存档。</w:t>
      </w:r>
    </w:p>
    <w:p w14:paraId="2909FF81">
      <w:pPr>
        <w:pStyle w:val="27"/>
        <w:spacing w:line="370" w:lineRule="exact"/>
        <w:ind w:left="2" w:leftChars="1" w:firstLine="420" w:firstLineChars="200"/>
        <w:rPr>
          <w:rFonts w:hint="default" w:ascii="Arial" w:hAnsi="Arial" w:cs="Arial"/>
          <w:szCs w:val="21"/>
          <w:highlight w:val="none"/>
        </w:rPr>
      </w:pPr>
    </w:p>
    <w:p w14:paraId="0A464FE0">
      <w:pPr>
        <w:pStyle w:val="27"/>
        <w:spacing w:line="370" w:lineRule="exact"/>
        <w:ind w:left="3"/>
        <w:jc w:val="center"/>
        <w:rPr>
          <w:rFonts w:hint="default" w:ascii="Arial" w:hAnsi="Arial" w:cs="Arial"/>
          <w:b/>
          <w:sz w:val="28"/>
          <w:szCs w:val="28"/>
          <w:highlight w:val="none"/>
        </w:rPr>
      </w:pPr>
      <w:r>
        <w:rPr>
          <w:rFonts w:hint="default" w:ascii="Arial" w:hAnsi="Arial" w:cs="Arial"/>
          <w:b/>
          <w:sz w:val="28"/>
          <w:szCs w:val="28"/>
          <w:highlight w:val="none"/>
        </w:rPr>
        <w:t>八、其他事项</w:t>
      </w:r>
    </w:p>
    <w:p w14:paraId="52E7BD1B">
      <w:pPr>
        <w:pStyle w:val="27"/>
        <w:spacing w:line="370" w:lineRule="exact"/>
        <w:ind w:firstLine="420" w:firstLineChars="200"/>
        <w:rPr>
          <w:rFonts w:hint="default" w:ascii="Arial" w:hAnsi="Arial" w:cs="Arial"/>
          <w:b/>
          <w:highlight w:val="none"/>
        </w:rPr>
      </w:pPr>
      <w:r>
        <w:rPr>
          <w:rFonts w:hint="default" w:ascii="Arial" w:hAnsi="Arial" w:cs="Arial"/>
          <w:b/>
          <w:highlight w:val="none"/>
        </w:rPr>
        <w:t>36.招标代理服务费</w:t>
      </w:r>
    </w:p>
    <w:p w14:paraId="1760EEE6">
      <w:pPr>
        <w:spacing w:line="370" w:lineRule="exact"/>
        <w:ind w:firstLine="420" w:firstLineChars="200"/>
        <w:rPr>
          <w:rFonts w:hint="default" w:ascii="Arial" w:hAnsi="Arial" w:cs="Arial"/>
          <w:szCs w:val="21"/>
          <w:highlight w:val="none"/>
          <w:lang w:eastAsia="zh-CN"/>
        </w:rPr>
      </w:pPr>
      <w:r>
        <w:rPr>
          <w:rFonts w:hint="default" w:ascii="Arial" w:hAnsi="Arial" w:cs="Arial"/>
          <w:szCs w:val="21"/>
          <w:highlight w:val="none"/>
        </w:rPr>
        <w:t>36.1</w:t>
      </w:r>
      <w:r>
        <w:rPr>
          <w:rFonts w:hint="default" w:ascii="Arial" w:hAnsi="Arial" w:cs="Arial"/>
          <w:szCs w:val="21"/>
          <w:highlight w:val="none"/>
          <w:lang w:eastAsia="zh-CN"/>
        </w:rPr>
        <w:t>本项目的采购代理服务收费标准按计价格[2002]1980号《招标代理服务收费管理暂行办法》货物类收费标准</w:t>
      </w:r>
      <w:r>
        <w:rPr>
          <w:rFonts w:hint="default" w:ascii="Arial" w:hAnsi="Arial" w:cs="Arial"/>
          <w:szCs w:val="21"/>
          <w:highlight w:val="none"/>
          <w:lang w:val="en-US" w:eastAsia="zh-CN"/>
        </w:rPr>
        <w:t>各分标</w:t>
      </w:r>
      <w:r>
        <w:rPr>
          <w:rFonts w:hint="default" w:ascii="Arial" w:hAnsi="Arial" w:cs="Arial"/>
          <w:szCs w:val="21"/>
          <w:highlight w:val="none"/>
          <w:lang w:eastAsia="zh-CN"/>
        </w:rPr>
        <w:t>中标供应商收取，由中标人在领取中标通知书前，向采购代理机构一次性支付。（</w:t>
      </w:r>
      <w:r>
        <w:rPr>
          <w:rFonts w:hint="default" w:ascii="Arial" w:hAnsi="Arial" w:cs="Arial"/>
          <w:szCs w:val="21"/>
          <w:highlight w:val="none"/>
          <w:lang w:val="en-US" w:eastAsia="zh-CN"/>
        </w:rPr>
        <w:t>各分标</w:t>
      </w:r>
      <w:r>
        <w:rPr>
          <w:rFonts w:hint="default" w:ascii="Arial" w:hAnsi="Arial" w:cs="Arial"/>
          <w:szCs w:val="21"/>
          <w:highlight w:val="none"/>
          <w:lang w:eastAsia="zh-CN"/>
        </w:rPr>
        <w:t>服务费不足6000 元的按 6000 元收取）</w:t>
      </w:r>
    </w:p>
    <w:p w14:paraId="7CFBB36F">
      <w:pPr>
        <w:spacing w:line="370" w:lineRule="exact"/>
        <w:ind w:firstLine="420" w:firstLineChars="200"/>
        <w:rPr>
          <w:rFonts w:hint="default" w:ascii="Arial" w:hAnsi="Arial" w:cs="Arial"/>
          <w:szCs w:val="21"/>
          <w:highlight w:val="none"/>
        </w:rPr>
      </w:pPr>
      <w:r>
        <w:rPr>
          <w:rFonts w:hint="default" w:ascii="Arial" w:hAnsi="Arial" w:cs="Arial"/>
          <w:szCs w:val="21"/>
          <w:highlight w:val="none"/>
        </w:rPr>
        <w:t>36.2招标代理服务收费标准：</w:t>
      </w:r>
    </w:p>
    <w:tbl>
      <w:tblPr>
        <w:tblStyle w:val="49"/>
        <w:tblW w:w="0" w:type="auto"/>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80"/>
        <w:gridCol w:w="1841"/>
        <w:gridCol w:w="1992"/>
        <w:gridCol w:w="2293"/>
      </w:tblGrid>
      <w:tr w14:paraId="5B6CC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2880" w:type="dxa"/>
          </w:tcPr>
          <w:p w14:paraId="7BF557D5">
            <w:pPr>
              <w:pStyle w:val="27"/>
              <w:spacing w:line="370" w:lineRule="exact"/>
              <w:ind w:left="25"/>
              <w:rPr>
                <w:rFonts w:hint="default" w:ascii="Arial" w:hAnsi="Arial" w:cs="Arial"/>
                <w:highlight w:val="none"/>
              </w:rPr>
            </w:pPr>
            <w:r>
              <w:rPr>
                <w:rFonts w:hint="default" w:ascii="Arial" w:hAnsi="Arial" w:cs="Arial"/>
                <w:highlight w:val="none"/>
              </w:rPr>
              <mc:AlternateContent>
                <mc:Choice Requires="wps">
                  <w:drawing>
                    <wp:anchor distT="0" distB="0" distL="114300" distR="114300" simplePos="0" relativeHeight="251659264" behindDoc="0" locked="0" layoutInCell="1" allowOverlap="1">
                      <wp:simplePos x="0" y="0"/>
                      <wp:positionH relativeFrom="column">
                        <wp:posOffset>296545</wp:posOffset>
                      </wp:positionH>
                      <wp:positionV relativeFrom="paragraph">
                        <wp:posOffset>10795</wp:posOffset>
                      </wp:positionV>
                      <wp:extent cx="1463675" cy="653415"/>
                      <wp:effectExtent l="1905" t="4445" r="7620" b="15240"/>
                      <wp:wrapNone/>
                      <wp:docPr id="1" name="直线 109"/>
                      <wp:cNvGraphicFramePr/>
                      <a:graphic xmlns:a="http://schemas.openxmlformats.org/drawingml/2006/main">
                        <a:graphicData uri="http://schemas.microsoft.com/office/word/2010/wordprocessingShape">
                          <wps:wsp>
                            <wps:cNvCnPr/>
                            <wps:spPr>
                              <a:xfrm>
                                <a:off x="0" y="0"/>
                                <a:ext cx="1463675" cy="653415"/>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直线 109" o:spid="_x0000_s1026" o:spt="20" style="position:absolute;left:0pt;margin-left:23.35pt;margin-top:0.85pt;height:51.45pt;width:115.25pt;z-index:251659264;mso-width-relative:page;mso-height-relative:page;" filled="f" stroked="t" coordsize="21600,21600" o:gfxdata="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FIBUzTW&#10;AAAACAEAAA8AAAAAAAAAAQAgAAAAIgAAAGRycy9kb3ducmV2LnhtbFBLAQIUABQAAAAIAIdO4kDC&#10;VvJP6QEAAOQDAAAOAAAAAAAAAAEAIAAAACUBAABkcnMvZTJvRG9jLnhtbFBLBQYAAAAABgAGAFkB&#10;AACABQAAAAA=&#10;">
                      <v:fill on="f" focussize="0,0"/>
                      <v:stroke color="#000000" joinstyle="round"/>
                      <v:imagedata o:title=""/>
                      <o:lock v:ext="edit" aspectratio="f"/>
                    </v:line>
                  </w:pict>
                </mc:Fallback>
              </mc:AlternateContent>
            </w:r>
            <w:r>
              <w:rPr>
                <w:rFonts w:hint="default" w:ascii="Arial" w:hAnsi="Arial" w:cs="Arial"/>
                <w:highlight w:val="none"/>
              </w:rPr>
              <w:t>费率           服务类型</w:t>
            </w:r>
          </w:p>
          <w:p w14:paraId="09137388">
            <w:pPr>
              <w:pStyle w:val="27"/>
              <w:spacing w:line="370" w:lineRule="exact"/>
              <w:ind w:left="25"/>
              <w:rPr>
                <w:rFonts w:hint="default" w:ascii="Arial" w:hAnsi="Arial" w:cs="Arial"/>
                <w:highlight w:val="none"/>
              </w:rPr>
            </w:pPr>
            <w:r>
              <w:rPr>
                <w:rFonts w:hint="default" w:ascii="Arial" w:hAnsi="Arial" w:cs="Arial"/>
                <w:highlight w:val="none"/>
              </w:rPr>
              <mc:AlternateContent>
                <mc:Choice Requires="wps">
                  <w:drawing>
                    <wp:anchor distT="0" distB="0" distL="114300" distR="114300" simplePos="0" relativeHeight="251660288" behindDoc="0" locked="0" layoutInCell="1" allowOverlap="1">
                      <wp:simplePos x="0" y="0"/>
                      <wp:positionH relativeFrom="column">
                        <wp:posOffset>-68580</wp:posOffset>
                      </wp:positionH>
                      <wp:positionV relativeFrom="paragraph">
                        <wp:posOffset>39370</wp:posOffset>
                      </wp:positionV>
                      <wp:extent cx="1828800" cy="396240"/>
                      <wp:effectExtent l="1270" t="4445" r="11430" b="5715"/>
                      <wp:wrapNone/>
                      <wp:docPr id="2" name="直线 110"/>
                      <wp:cNvGraphicFramePr/>
                      <a:graphic xmlns:a="http://schemas.openxmlformats.org/drawingml/2006/main">
                        <a:graphicData uri="http://schemas.microsoft.com/office/word/2010/wordprocessingShape">
                          <wps:wsp>
                            <wps:cNvCnPr/>
                            <wps:spPr>
                              <a:xfrm>
                                <a:off x="0" y="0"/>
                                <a:ext cx="1828800" cy="39624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直线 110" o:spid="_x0000_s1026" o:spt="20" style="position:absolute;left:0pt;margin-left:-5.4pt;margin-top:3.1pt;height:31.2pt;width:144pt;z-index:251660288;mso-width-relative:page;mso-height-relative:page;" filled="f" stroked="t" coordsize="21600,21600" o:gfxdata="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QA6v&#10;RNYAAAAIAQAADwAAAAAAAAABACAAAAAiAAAAZHJzL2Rvd25yZXYueG1sUEsBAhQAFAAAAAgAh07i&#10;QMVmbkLrAQAA5AMAAA4AAAAAAAAAAQAgAAAAJQEAAGRycy9lMm9Eb2MueG1sUEsFBgAAAAAGAAYA&#10;WQEAAIIFAAAAAA==&#10;">
                      <v:fill on="f" focussize="0,0"/>
                      <v:stroke color="#000000" joinstyle="round"/>
                      <v:imagedata o:title=""/>
                      <o:lock v:ext="edit" aspectratio="f"/>
                    </v:line>
                  </w:pict>
                </mc:Fallback>
              </mc:AlternateContent>
            </w:r>
          </w:p>
          <w:p w14:paraId="74330FBE">
            <w:pPr>
              <w:pStyle w:val="27"/>
              <w:spacing w:line="370" w:lineRule="exact"/>
              <w:ind w:left="25"/>
              <w:rPr>
                <w:rFonts w:hint="default" w:ascii="Arial" w:hAnsi="Arial" w:cs="Arial"/>
                <w:highlight w:val="none"/>
              </w:rPr>
            </w:pPr>
            <w:r>
              <w:rPr>
                <w:rFonts w:hint="default" w:ascii="Arial" w:hAnsi="Arial" w:cs="Arial"/>
                <w:highlight w:val="none"/>
              </w:rPr>
              <w:t>中标金额</w:t>
            </w:r>
          </w:p>
        </w:tc>
        <w:tc>
          <w:tcPr>
            <w:tcW w:w="1841" w:type="dxa"/>
            <w:vAlign w:val="center"/>
          </w:tcPr>
          <w:p w14:paraId="583AF420">
            <w:pPr>
              <w:pStyle w:val="27"/>
              <w:spacing w:line="370" w:lineRule="exact"/>
              <w:ind w:left="25"/>
              <w:jc w:val="center"/>
              <w:rPr>
                <w:rFonts w:hint="default" w:ascii="Arial" w:hAnsi="Arial" w:cs="Arial"/>
                <w:highlight w:val="none"/>
              </w:rPr>
            </w:pPr>
            <w:r>
              <w:rPr>
                <w:rFonts w:hint="default" w:ascii="Arial" w:hAnsi="Arial" w:cs="Arial"/>
                <w:highlight w:val="none"/>
              </w:rPr>
              <w:t>货物招标</w:t>
            </w:r>
          </w:p>
        </w:tc>
        <w:tc>
          <w:tcPr>
            <w:tcW w:w="1992" w:type="dxa"/>
            <w:vAlign w:val="center"/>
          </w:tcPr>
          <w:p w14:paraId="739CD711">
            <w:pPr>
              <w:pStyle w:val="27"/>
              <w:spacing w:line="370" w:lineRule="exact"/>
              <w:ind w:left="25"/>
              <w:jc w:val="center"/>
              <w:rPr>
                <w:rFonts w:hint="default" w:ascii="Arial" w:hAnsi="Arial" w:cs="Arial"/>
                <w:highlight w:val="none"/>
              </w:rPr>
            </w:pPr>
            <w:r>
              <w:rPr>
                <w:rFonts w:hint="default" w:ascii="Arial" w:hAnsi="Arial" w:cs="Arial"/>
                <w:highlight w:val="none"/>
              </w:rPr>
              <w:t>服务招标</w:t>
            </w:r>
          </w:p>
        </w:tc>
        <w:tc>
          <w:tcPr>
            <w:tcW w:w="2293" w:type="dxa"/>
            <w:vAlign w:val="center"/>
          </w:tcPr>
          <w:p w14:paraId="2116A4B0">
            <w:pPr>
              <w:pStyle w:val="27"/>
              <w:spacing w:line="370" w:lineRule="exact"/>
              <w:ind w:left="25"/>
              <w:jc w:val="center"/>
              <w:rPr>
                <w:rFonts w:hint="default" w:ascii="Arial" w:hAnsi="Arial" w:cs="Arial"/>
                <w:highlight w:val="none"/>
              </w:rPr>
            </w:pPr>
            <w:r>
              <w:rPr>
                <w:rFonts w:hint="default" w:ascii="Arial" w:hAnsi="Arial" w:cs="Arial"/>
                <w:highlight w:val="none"/>
              </w:rPr>
              <w:t>工程招标</w:t>
            </w:r>
          </w:p>
        </w:tc>
      </w:tr>
      <w:tr w14:paraId="4C933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trPr>
        <w:tc>
          <w:tcPr>
            <w:tcW w:w="2880" w:type="dxa"/>
          </w:tcPr>
          <w:p w14:paraId="593B4859">
            <w:pPr>
              <w:pStyle w:val="27"/>
              <w:spacing w:line="370" w:lineRule="exact"/>
              <w:ind w:left="25"/>
              <w:rPr>
                <w:rFonts w:hint="default" w:ascii="Arial" w:hAnsi="Arial" w:cs="Arial"/>
                <w:highlight w:val="none"/>
              </w:rPr>
            </w:pPr>
            <w:r>
              <w:rPr>
                <w:rFonts w:hint="default" w:ascii="Arial" w:hAnsi="Arial" w:cs="Arial"/>
                <w:highlight w:val="none"/>
              </w:rPr>
              <w:t>100万元以下</w:t>
            </w:r>
          </w:p>
        </w:tc>
        <w:tc>
          <w:tcPr>
            <w:tcW w:w="1841" w:type="dxa"/>
          </w:tcPr>
          <w:p w14:paraId="041F340B">
            <w:pPr>
              <w:pStyle w:val="312"/>
              <w:spacing w:line="370" w:lineRule="exact"/>
              <w:ind w:left="25"/>
              <w:jc w:val="center"/>
              <w:rPr>
                <w:rFonts w:hint="default" w:ascii="Arial" w:hAnsi="Arial" w:cs="Arial"/>
                <w:highlight w:val="none"/>
              </w:rPr>
            </w:pPr>
            <w:r>
              <w:rPr>
                <w:rFonts w:hint="default" w:ascii="Arial" w:hAnsi="Arial" w:cs="Arial"/>
                <w:highlight w:val="none"/>
              </w:rPr>
              <w:t>1.5%</w:t>
            </w:r>
          </w:p>
        </w:tc>
        <w:tc>
          <w:tcPr>
            <w:tcW w:w="1992" w:type="dxa"/>
          </w:tcPr>
          <w:p w14:paraId="16F222A3">
            <w:pPr>
              <w:pStyle w:val="312"/>
              <w:spacing w:line="370" w:lineRule="exact"/>
              <w:ind w:left="25"/>
              <w:jc w:val="center"/>
              <w:rPr>
                <w:rFonts w:hint="default" w:ascii="Arial" w:hAnsi="Arial" w:cs="Arial"/>
                <w:highlight w:val="none"/>
              </w:rPr>
            </w:pPr>
            <w:r>
              <w:rPr>
                <w:rFonts w:hint="default" w:ascii="Arial" w:hAnsi="Arial" w:cs="Arial"/>
                <w:highlight w:val="none"/>
              </w:rPr>
              <w:t>1.5%</w:t>
            </w:r>
          </w:p>
        </w:tc>
        <w:tc>
          <w:tcPr>
            <w:tcW w:w="2293" w:type="dxa"/>
          </w:tcPr>
          <w:p w14:paraId="64BBC081">
            <w:pPr>
              <w:pStyle w:val="312"/>
              <w:spacing w:line="370" w:lineRule="exact"/>
              <w:ind w:left="25"/>
              <w:jc w:val="center"/>
              <w:rPr>
                <w:rFonts w:hint="default" w:ascii="Arial" w:hAnsi="Arial" w:cs="Arial"/>
                <w:highlight w:val="none"/>
              </w:rPr>
            </w:pPr>
            <w:r>
              <w:rPr>
                <w:rFonts w:hint="default" w:ascii="Arial" w:hAnsi="Arial" w:cs="Arial"/>
                <w:highlight w:val="none"/>
              </w:rPr>
              <w:t>1.0%</w:t>
            </w:r>
          </w:p>
        </w:tc>
      </w:tr>
      <w:tr w14:paraId="0E822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 w:hRule="atLeast"/>
        </w:trPr>
        <w:tc>
          <w:tcPr>
            <w:tcW w:w="2880" w:type="dxa"/>
          </w:tcPr>
          <w:p w14:paraId="4C8F0E6F">
            <w:pPr>
              <w:pStyle w:val="27"/>
              <w:spacing w:line="370" w:lineRule="exact"/>
              <w:ind w:left="25"/>
              <w:rPr>
                <w:rFonts w:hint="default" w:ascii="Arial" w:hAnsi="Arial" w:cs="Arial"/>
                <w:highlight w:val="none"/>
              </w:rPr>
            </w:pPr>
            <w:r>
              <w:rPr>
                <w:rFonts w:hint="default" w:ascii="Arial" w:hAnsi="Arial" w:cs="Arial"/>
                <w:highlight w:val="none"/>
              </w:rPr>
              <w:t>100～500万元</w:t>
            </w:r>
          </w:p>
        </w:tc>
        <w:tc>
          <w:tcPr>
            <w:tcW w:w="1841" w:type="dxa"/>
          </w:tcPr>
          <w:p w14:paraId="5DED8E49">
            <w:pPr>
              <w:pStyle w:val="312"/>
              <w:spacing w:line="370" w:lineRule="exact"/>
              <w:ind w:left="25"/>
              <w:jc w:val="center"/>
              <w:rPr>
                <w:rFonts w:hint="default" w:ascii="Arial" w:hAnsi="Arial" w:cs="Arial"/>
                <w:highlight w:val="none"/>
              </w:rPr>
            </w:pPr>
            <w:r>
              <w:rPr>
                <w:rFonts w:hint="default" w:ascii="Arial" w:hAnsi="Arial" w:cs="Arial"/>
                <w:highlight w:val="none"/>
              </w:rPr>
              <w:t>1.1%</w:t>
            </w:r>
          </w:p>
        </w:tc>
        <w:tc>
          <w:tcPr>
            <w:tcW w:w="1992" w:type="dxa"/>
          </w:tcPr>
          <w:p w14:paraId="6CD2B3D0">
            <w:pPr>
              <w:pStyle w:val="312"/>
              <w:spacing w:line="370" w:lineRule="exact"/>
              <w:ind w:left="25"/>
              <w:jc w:val="center"/>
              <w:rPr>
                <w:rFonts w:hint="default" w:ascii="Arial" w:hAnsi="Arial" w:cs="Arial"/>
                <w:highlight w:val="none"/>
              </w:rPr>
            </w:pPr>
            <w:r>
              <w:rPr>
                <w:rFonts w:hint="default" w:ascii="Arial" w:hAnsi="Arial" w:cs="Arial"/>
                <w:highlight w:val="none"/>
              </w:rPr>
              <w:t>0.8%</w:t>
            </w:r>
          </w:p>
        </w:tc>
        <w:tc>
          <w:tcPr>
            <w:tcW w:w="2293" w:type="dxa"/>
          </w:tcPr>
          <w:p w14:paraId="73D27F1D">
            <w:pPr>
              <w:pStyle w:val="312"/>
              <w:spacing w:line="370" w:lineRule="exact"/>
              <w:ind w:left="25"/>
              <w:jc w:val="center"/>
              <w:rPr>
                <w:rFonts w:hint="default" w:ascii="Arial" w:hAnsi="Arial" w:cs="Arial"/>
                <w:highlight w:val="none"/>
              </w:rPr>
            </w:pPr>
            <w:r>
              <w:rPr>
                <w:rFonts w:hint="default" w:ascii="Arial" w:hAnsi="Arial" w:cs="Arial"/>
                <w:highlight w:val="none"/>
              </w:rPr>
              <w:t>0.7%</w:t>
            </w:r>
          </w:p>
        </w:tc>
      </w:tr>
      <w:tr w14:paraId="4F39F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2880" w:type="dxa"/>
          </w:tcPr>
          <w:p w14:paraId="358EC908">
            <w:pPr>
              <w:pStyle w:val="27"/>
              <w:spacing w:line="370" w:lineRule="exact"/>
              <w:ind w:left="25"/>
              <w:rPr>
                <w:rFonts w:hint="default" w:ascii="Arial" w:hAnsi="Arial" w:cs="Arial"/>
                <w:highlight w:val="none"/>
              </w:rPr>
            </w:pPr>
            <w:r>
              <w:rPr>
                <w:rFonts w:hint="default" w:ascii="Arial" w:hAnsi="Arial" w:cs="Arial"/>
                <w:highlight w:val="none"/>
              </w:rPr>
              <w:t>500～1000万元</w:t>
            </w:r>
          </w:p>
        </w:tc>
        <w:tc>
          <w:tcPr>
            <w:tcW w:w="1841" w:type="dxa"/>
          </w:tcPr>
          <w:p w14:paraId="03754FCE">
            <w:pPr>
              <w:pStyle w:val="27"/>
              <w:spacing w:line="370" w:lineRule="exact"/>
              <w:ind w:left="25"/>
              <w:jc w:val="center"/>
              <w:rPr>
                <w:rFonts w:hint="default" w:ascii="Arial" w:hAnsi="Arial" w:cs="Arial"/>
                <w:highlight w:val="none"/>
              </w:rPr>
            </w:pPr>
            <w:r>
              <w:rPr>
                <w:rFonts w:hint="default" w:ascii="Arial" w:hAnsi="Arial" w:cs="Arial"/>
                <w:highlight w:val="none"/>
              </w:rPr>
              <w:t>0.8%</w:t>
            </w:r>
          </w:p>
        </w:tc>
        <w:tc>
          <w:tcPr>
            <w:tcW w:w="1992" w:type="dxa"/>
          </w:tcPr>
          <w:p w14:paraId="1F845228">
            <w:pPr>
              <w:pStyle w:val="27"/>
              <w:spacing w:line="370" w:lineRule="exact"/>
              <w:ind w:left="25"/>
              <w:jc w:val="center"/>
              <w:rPr>
                <w:rFonts w:hint="default" w:ascii="Arial" w:hAnsi="Arial" w:cs="Arial"/>
                <w:highlight w:val="none"/>
              </w:rPr>
            </w:pPr>
            <w:r>
              <w:rPr>
                <w:rFonts w:hint="default" w:ascii="Arial" w:hAnsi="Arial" w:cs="Arial"/>
                <w:highlight w:val="none"/>
              </w:rPr>
              <w:t>0.45%</w:t>
            </w:r>
          </w:p>
        </w:tc>
        <w:tc>
          <w:tcPr>
            <w:tcW w:w="2293" w:type="dxa"/>
          </w:tcPr>
          <w:p w14:paraId="07D21CB1">
            <w:pPr>
              <w:pStyle w:val="27"/>
              <w:spacing w:line="370" w:lineRule="exact"/>
              <w:ind w:left="25"/>
              <w:jc w:val="center"/>
              <w:rPr>
                <w:rFonts w:hint="default" w:ascii="Arial" w:hAnsi="Arial" w:cs="Arial"/>
                <w:highlight w:val="none"/>
              </w:rPr>
            </w:pPr>
            <w:r>
              <w:rPr>
                <w:rFonts w:hint="default" w:ascii="Arial" w:hAnsi="Arial" w:cs="Arial"/>
                <w:highlight w:val="none"/>
              </w:rPr>
              <w:t>0.55%</w:t>
            </w:r>
          </w:p>
        </w:tc>
      </w:tr>
      <w:tr w14:paraId="7DC18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2880" w:type="dxa"/>
          </w:tcPr>
          <w:p w14:paraId="4E2E24F0">
            <w:pPr>
              <w:pStyle w:val="27"/>
              <w:spacing w:line="370" w:lineRule="exact"/>
              <w:ind w:left="25"/>
              <w:rPr>
                <w:rFonts w:hint="default" w:ascii="Arial" w:hAnsi="Arial" w:cs="Arial"/>
                <w:highlight w:val="none"/>
              </w:rPr>
            </w:pPr>
            <w:r>
              <w:rPr>
                <w:rFonts w:hint="default" w:ascii="Arial" w:hAnsi="Arial" w:cs="Arial"/>
                <w:highlight w:val="none"/>
              </w:rPr>
              <w:t>1000～5000万元</w:t>
            </w:r>
          </w:p>
        </w:tc>
        <w:tc>
          <w:tcPr>
            <w:tcW w:w="1841" w:type="dxa"/>
          </w:tcPr>
          <w:p w14:paraId="7E1D7FB1">
            <w:pPr>
              <w:pStyle w:val="27"/>
              <w:spacing w:line="370" w:lineRule="exact"/>
              <w:ind w:left="25"/>
              <w:jc w:val="center"/>
              <w:rPr>
                <w:rFonts w:hint="default" w:ascii="Arial" w:hAnsi="Arial" w:cs="Arial"/>
                <w:highlight w:val="none"/>
              </w:rPr>
            </w:pPr>
            <w:r>
              <w:rPr>
                <w:rFonts w:hint="default" w:ascii="Arial" w:hAnsi="Arial" w:cs="Arial"/>
                <w:highlight w:val="none"/>
              </w:rPr>
              <w:t>0.5%</w:t>
            </w:r>
          </w:p>
        </w:tc>
        <w:tc>
          <w:tcPr>
            <w:tcW w:w="1992" w:type="dxa"/>
          </w:tcPr>
          <w:p w14:paraId="60514297">
            <w:pPr>
              <w:pStyle w:val="27"/>
              <w:spacing w:line="370" w:lineRule="exact"/>
              <w:ind w:left="25"/>
              <w:jc w:val="center"/>
              <w:rPr>
                <w:rFonts w:hint="default" w:ascii="Arial" w:hAnsi="Arial" w:cs="Arial"/>
                <w:highlight w:val="none"/>
              </w:rPr>
            </w:pPr>
            <w:r>
              <w:rPr>
                <w:rFonts w:hint="default" w:ascii="Arial" w:hAnsi="Arial" w:cs="Arial"/>
                <w:highlight w:val="none"/>
              </w:rPr>
              <w:t>0.25%</w:t>
            </w:r>
          </w:p>
        </w:tc>
        <w:tc>
          <w:tcPr>
            <w:tcW w:w="2293" w:type="dxa"/>
          </w:tcPr>
          <w:p w14:paraId="65B18A31">
            <w:pPr>
              <w:pStyle w:val="27"/>
              <w:spacing w:line="370" w:lineRule="exact"/>
              <w:ind w:left="25"/>
              <w:jc w:val="center"/>
              <w:rPr>
                <w:rFonts w:hint="default" w:ascii="Arial" w:hAnsi="Arial" w:cs="Arial"/>
                <w:highlight w:val="none"/>
              </w:rPr>
            </w:pPr>
            <w:r>
              <w:rPr>
                <w:rFonts w:hint="default" w:ascii="Arial" w:hAnsi="Arial" w:cs="Arial"/>
                <w:highlight w:val="none"/>
              </w:rPr>
              <w:t>0.35%</w:t>
            </w:r>
          </w:p>
        </w:tc>
      </w:tr>
      <w:tr w14:paraId="22375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2880" w:type="dxa"/>
          </w:tcPr>
          <w:p w14:paraId="55EDFCB9">
            <w:pPr>
              <w:pStyle w:val="27"/>
              <w:spacing w:line="370" w:lineRule="exact"/>
              <w:ind w:left="25"/>
              <w:rPr>
                <w:rFonts w:hint="default" w:ascii="Arial" w:hAnsi="Arial" w:cs="Arial"/>
                <w:highlight w:val="none"/>
              </w:rPr>
            </w:pPr>
            <w:r>
              <w:rPr>
                <w:rFonts w:hint="default" w:ascii="Arial" w:hAnsi="Arial" w:cs="Arial"/>
                <w:highlight w:val="none"/>
              </w:rPr>
              <w:t>5000万元～1亿元</w:t>
            </w:r>
          </w:p>
        </w:tc>
        <w:tc>
          <w:tcPr>
            <w:tcW w:w="1841" w:type="dxa"/>
          </w:tcPr>
          <w:p w14:paraId="0ED86DDF">
            <w:pPr>
              <w:pStyle w:val="27"/>
              <w:spacing w:line="370" w:lineRule="exact"/>
              <w:ind w:left="25"/>
              <w:jc w:val="center"/>
              <w:rPr>
                <w:rFonts w:hint="default" w:ascii="Arial" w:hAnsi="Arial" w:cs="Arial"/>
                <w:highlight w:val="none"/>
              </w:rPr>
            </w:pPr>
            <w:r>
              <w:rPr>
                <w:rFonts w:hint="default" w:ascii="Arial" w:hAnsi="Arial" w:cs="Arial"/>
                <w:highlight w:val="none"/>
              </w:rPr>
              <w:t>0.25%</w:t>
            </w:r>
          </w:p>
        </w:tc>
        <w:tc>
          <w:tcPr>
            <w:tcW w:w="1992" w:type="dxa"/>
          </w:tcPr>
          <w:p w14:paraId="46C9EA9F">
            <w:pPr>
              <w:pStyle w:val="27"/>
              <w:spacing w:line="370" w:lineRule="exact"/>
              <w:ind w:left="25"/>
              <w:jc w:val="center"/>
              <w:rPr>
                <w:rFonts w:hint="default" w:ascii="Arial" w:hAnsi="Arial" w:cs="Arial"/>
                <w:highlight w:val="none"/>
              </w:rPr>
            </w:pPr>
            <w:r>
              <w:rPr>
                <w:rFonts w:hint="default" w:ascii="Arial" w:hAnsi="Arial" w:cs="Arial"/>
                <w:highlight w:val="none"/>
              </w:rPr>
              <w:t>0.1%</w:t>
            </w:r>
          </w:p>
        </w:tc>
        <w:tc>
          <w:tcPr>
            <w:tcW w:w="2293" w:type="dxa"/>
          </w:tcPr>
          <w:p w14:paraId="322FBE76">
            <w:pPr>
              <w:pStyle w:val="27"/>
              <w:spacing w:line="370" w:lineRule="exact"/>
              <w:ind w:left="25"/>
              <w:jc w:val="center"/>
              <w:rPr>
                <w:rFonts w:hint="default" w:ascii="Arial" w:hAnsi="Arial" w:cs="Arial"/>
                <w:highlight w:val="none"/>
              </w:rPr>
            </w:pPr>
            <w:r>
              <w:rPr>
                <w:rFonts w:hint="default" w:ascii="Arial" w:hAnsi="Arial" w:cs="Arial"/>
                <w:highlight w:val="none"/>
              </w:rPr>
              <w:t>0.2%</w:t>
            </w:r>
          </w:p>
        </w:tc>
      </w:tr>
      <w:tr w14:paraId="73684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2880" w:type="dxa"/>
          </w:tcPr>
          <w:p w14:paraId="40BDE17E">
            <w:pPr>
              <w:pStyle w:val="27"/>
              <w:spacing w:line="370" w:lineRule="exact"/>
              <w:ind w:left="25"/>
              <w:rPr>
                <w:rFonts w:hint="default" w:ascii="Arial" w:hAnsi="Arial" w:cs="Arial"/>
                <w:highlight w:val="none"/>
              </w:rPr>
            </w:pPr>
            <w:r>
              <w:rPr>
                <w:rFonts w:hint="default" w:ascii="Arial" w:hAnsi="Arial" w:cs="Arial"/>
                <w:highlight w:val="none"/>
              </w:rPr>
              <w:t>1～5亿元</w:t>
            </w:r>
          </w:p>
        </w:tc>
        <w:tc>
          <w:tcPr>
            <w:tcW w:w="1841" w:type="dxa"/>
          </w:tcPr>
          <w:p w14:paraId="295317CB">
            <w:pPr>
              <w:pStyle w:val="27"/>
              <w:spacing w:line="370" w:lineRule="exact"/>
              <w:ind w:left="25"/>
              <w:jc w:val="center"/>
              <w:rPr>
                <w:rFonts w:hint="default" w:ascii="Arial" w:hAnsi="Arial" w:cs="Arial"/>
                <w:highlight w:val="none"/>
              </w:rPr>
            </w:pPr>
            <w:r>
              <w:rPr>
                <w:rFonts w:hint="default" w:ascii="Arial" w:hAnsi="Arial" w:cs="Arial"/>
                <w:highlight w:val="none"/>
              </w:rPr>
              <w:t>0.05%</w:t>
            </w:r>
          </w:p>
        </w:tc>
        <w:tc>
          <w:tcPr>
            <w:tcW w:w="1992" w:type="dxa"/>
          </w:tcPr>
          <w:p w14:paraId="0A31F7E7">
            <w:pPr>
              <w:pStyle w:val="27"/>
              <w:spacing w:line="370" w:lineRule="exact"/>
              <w:ind w:left="25"/>
              <w:jc w:val="center"/>
              <w:rPr>
                <w:rFonts w:hint="default" w:ascii="Arial" w:hAnsi="Arial" w:cs="Arial"/>
                <w:highlight w:val="none"/>
              </w:rPr>
            </w:pPr>
            <w:r>
              <w:rPr>
                <w:rFonts w:hint="default" w:ascii="Arial" w:hAnsi="Arial" w:cs="Arial"/>
                <w:highlight w:val="none"/>
              </w:rPr>
              <w:t>0.05%</w:t>
            </w:r>
          </w:p>
        </w:tc>
        <w:tc>
          <w:tcPr>
            <w:tcW w:w="2293" w:type="dxa"/>
          </w:tcPr>
          <w:p w14:paraId="63D12CDB">
            <w:pPr>
              <w:pStyle w:val="27"/>
              <w:spacing w:line="370" w:lineRule="exact"/>
              <w:ind w:left="25"/>
              <w:jc w:val="center"/>
              <w:rPr>
                <w:rFonts w:hint="default" w:ascii="Arial" w:hAnsi="Arial" w:cs="Arial"/>
                <w:highlight w:val="none"/>
              </w:rPr>
            </w:pPr>
            <w:r>
              <w:rPr>
                <w:rFonts w:hint="default" w:ascii="Arial" w:hAnsi="Arial" w:cs="Arial"/>
                <w:highlight w:val="none"/>
              </w:rPr>
              <w:t>0.05%</w:t>
            </w:r>
          </w:p>
        </w:tc>
      </w:tr>
      <w:tr w14:paraId="3CAA1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2880" w:type="dxa"/>
          </w:tcPr>
          <w:p w14:paraId="376B3F98">
            <w:pPr>
              <w:pStyle w:val="27"/>
              <w:spacing w:line="370" w:lineRule="exact"/>
              <w:ind w:left="25"/>
              <w:rPr>
                <w:rFonts w:hint="default" w:ascii="Arial" w:hAnsi="Arial" w:cs="Arial"/>
                <w:highlight w:val="none"/>
              </w:rPr>
            </w:pPr>
            <w:r>
              <w:rPr>
                <w:rFonts w:hint="default" w:ascii="Arial" w:hAnsi="Arial" w:cs="Arial"/>
                <w:highlight w:val="none"/>
              </w:rPr>
              <w:t>5～10亿元</w:t>
            </w:r>
          </w:p>
        </w:tc>
        <w:tc>
          <w:tcPr>
            <w:tcW w:w="1841" w:type="dxa"/>
          </w:tcPr>
          <w:p w14:paraId="72D0D983">
            <w:pPr>
              <w:pStyle w:val="27"/>
              <w:spacing w:line="370" w:lineRule="exact"/>
              <w:ind w:left="25"/>
              <w:jc w:val="center"/>
              <w:rPr>
                <w:rFonts w:hint="default" w:ascii="Arial" w:hAnsi="Arial" w:cs="Arial"/>
                <w:highlight w:val="none"/>
              </w:rPr>
            </w:pPr>
            <w:r>
              <w:rPr>
                <w:rFonts w:hint="default" w:ascii="Arial" w:hAnsi="Arial" w:cs="Arial"/>
                <w:highlight w:val="none"/>
              </w:rPr>
              <w:t>0.035%</w:t>
            </w:r>
          </w:p>
        </w:tc>
        <w:tc>
          <w:tcPr>
            <w:tcW w:w="1992" w:type="dxa"/>
          </w:tcPr>
          <w:p w14:paraId="2BE90DC2">
            <w:pPr>
              <w:pStyle w:val="27"/>
              <w:spacing w:line="370" w:lineRule="exact"/>
              <w:ind w:left="25"/>
              <w:jc w:val="center"/>
              <w:rPr>
                <w:rFonts w:hint="default" w:ascii="Arial" w:hAnsi="Arial" w:cs="Arial"/>
                <w:highlight w:val="none"/>
              </w:rPr>
            </w:pPr>
            <w:r>
              <w:rPr>
                <w:rFonts w:hint="default" w:ascii="Arial" w:hAnsi="Arial" w:cs="Arial"/>
                <w:highlight w:val="none"/>
              </w:rPr>
              <w:t>0.035%</w:t>
            </w:r>
          </w:p>
        </w:tc>
        <w:tc>
          <w:tcPr>
            <w:tcW w:w="2293" w:type="dxa"/>
          </w:tcPr>
          <w:p w14:paraId="24AD2D56">
            <w:pPr>
              <w:pStyle w:val="27"/>
              <w:spacing w:line="370" w:lineRule="exact"/>
              <w:ind w:left="25"/>
              <w:jc w:val="center"/>
              <w:rPr>
                <w:rFonts w:hint="default" w:ascii="Arial" w:hAnsi="Arial" w:cs="Arial"/>
                <w:highlight w:val="none"/>
              </w:rPr>
            </w:pPr>
            <w:r>
              <w:rPr>
                <w:rFonts w:hint="default" w:ascii="Arial" w:hAnsi="Arial" w:cs="Arial"/>
                <w:highlight w:val="none"/>
              </w:rPr>
              <w:t>0.035%</w:t>
            </w:r>
          </w:p>
        </w:tc>
      </w:tr>
      <w:tr w14:paraId="20F31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2880" w:type="dxa"/>
          </w:tcPr>
          <w:p w14:paraId="1D0A6307">
            <w:pPr>
              <w:pStyle w:val="27"/>
              <w:spacing w:line="370" w:lineRule="exact"/>
              <w:ind w:left="25"/>
              <w:rPr>
                <w:rFonts w:hint="default" w:ascii="Arial" w:hAnsi="Arial" w:cs="Arial"/>
                <w:highlight w:val="none"/>
              </w:rPr>
            </w:pPr>
            <w:r>
              <w:rPr>
                <w:rFonts w:hint="default" w:ascii="Arial" w:hAnsi="Arial" w:cs="Arial"/>
                <w:highlight w:val="none"/>
              </w:rPr>
              <w:t>10～50亿元</w:t>
            </w:r>
          </w:p>
        </w:tc>
        <w:tc>
          <w:tcPr>
            <w:tcW w:w="1841" w:type="dxa"/>
          </w:tcPr>
          <w:p w14:paraId="01921369">
            <w:pPr>
              <w:pStyle w:val="27"/>
              <w:spacing w:line="370" w:lineRule="exact"/>
              <w:ind w:left="25"/>
              <w:jc w:val="center"/>
              <w:rPr>
                <w:rFonts w:hint="default" w:ascii="Arial" w:hAnsi="Arial" w:cs="Arial"/>
                <w:highlight w:val="none"/>
              </w:rPr>
            </w:pPr>
            <w:r>
              <w:rPr>
                <w:rFonts w:hint="default" w:ascii="Arial" w:hAnsi="Arial" w:cs="Arial"/>
                <w:highlight w:val="none"/>
              </w:rPr>
              <w:t>0.008%</w:t>
            </w:r>
          </w:p>
        </w:tc>
        <w:tc>
          <w:tcPr>
            <w:tcW w:w="1992" w:type="dxa"/>
          </w:tcPr>
          <w:p w14:paraId="138246B8">
            <w:pPr>
              <w:pStyle w:val="27"/>
              <w:spacing w:line="370" w:lineRule="exact"/>
              <w:ind w:left="25"/>
              <w:jc w:val="center"/>
              <w:rPr>
                <w:rFonts w:hint="default" w:ascii="Arial" w:hAnsi="Arial" w:cs="Arial"/>
                <w:highlight w:val="none"/>
              </w:rPr>
            </w:pPr>
            <w:r>
              <w:rPr>
                <w:rFonts w:hint="default" w:ascii="Arial" w:hAnsi="Arial" w:cs="Arial"/>
                <w:highlight w:val="none"/>
              </w:rPr>
              <w:t>0.008%</w:t>
            </w:r>
          </w:p>
        </w:tc>
        <w:tc>
          <w:tcPr>
            <w:tcW w:w="2293" w:type="dxa"/>
          </w:tcPr>
          <w:p w14:paraId="1761B3D2">
            <w:pPr>
              <w:pStyle w:val="27"/>
              <w:spacing w:line="370" w:lineRule="exact"/>
              <w:ind w:left="25"/>
              <w:jc w:val="center"/>
              <w:rPr>
                <w:rFonts w:hint="default" w:ascii="Arial" w:hAnsi="Arial" w:cs="Arial"/>
                <w:highlight w:val="none"/>
              </w:rPr>
            </w:pPr>
            <w:r>
              <w:rPr>
                <w:rFonts w:hint="default" w:ascii="Arial" w:hAnsi="Arial" w:cs="Arial"/>
                <w:highlight w:val="none"/>
              </w:rPr>
              <w:t>0.008%</w:t>
            </w:r>
          </w:p>
        </w:tc>
      </w:tr>
      <w:tr w14:paraId="13B12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2880" w:type="dxa"/>
          </w:tcPr>
          <w:p w14:paraId="09EC24E5">
            <w:pPr>
              <w:pStyle w:val="27"/>
              <w:spacing w:line="370" w:lineRule="exact"/>
              <w:ind w:left="25"/>
              <w:rPr>
                <w:rFonts w:hint="default" w:ascii="Arial" w:hAnsi="Arial" w:cs="Arial"/>
                <w:highlight w:val="none"/>
              </w:rPr>
            </w:pPr>
            <w:r>
              <w:rPr>
                <w:rFonts w:hint="default" w:ascii="Arial" w:hAnsi="Arial" w:cs="Arial"/>
                <w:highlight w:val="none"/>
              </w:rPr>
              <w:t>50～100亿元</w:t>
            </w:r>
          </w:p>
        </w:tc>
        <w:tc>
          <w:tcPr>
            <w:tcW w:w="1841" w:type="dxa"/>
          </w:tcPr>
          <w:p w14:paraId="5C4592ED">
            <w:pPr>
              <w:pStyle w:val="27"/>
              <w:spacing w:line="370" w:lineRule="exact"/>
              <w:ind w:left="25"/>
              <w:jc w:val="center"/>
              <w:rPr>
                <w:rFonts w:hint="default" w:ascii="Arial" w:hAnsi="Arial" w:cs="Arial"/>
                <w:highlight w:val="none"/>
              </w:rPr>
            </w:pPr>
            <w:r>
              <w:rPr>
                <w:rFonts w:hint="default" w:ascii="Arial" w:hAnsi="Arial" w:cs="Arial"/>
                <w:highlight w:val="none"/>
              </w:rPr>
              <w:t>0.006%</w:t>
            </w:r>
          </w:p>
        </w:tc>
        <w:tc>
          <w:tcPr>
            <w:tcW w:w="1992" w:type="dxa"/>
          </w:tcPr>
          <w:p w14:paraId="4159F186">
            <w:pPr>
              <w:pStyle w:val="27"/>
              <w:spacing w:line="370" w:lineRule="exact"/>
              <w:ind w:left="25"/>
              <w:jc w:val="center"/>
              <w:rPr>
                <w:rFonts w:hint="default" w:ascii="Arial" w:hAnsi="Arial" w:cs="Arial"/>
                <w:highlight w:val="none"/>
              </w:rPr>
            </w:pPr>
            <w:r>
              <w:rPr>
                <w:rFonts w:hint="default" w:ascii="Arial" w:hAnsi="Arial" w:cs="Arial"/>
                <w:highlight w:val="none"/>
              </w:rPr>
              <w:t>0.006%</w:t>
            </w:r>
          </w:p>
        </w:tc>
        <w:tc>
          <w:tcPr>
            <w:tcW w:w="2293" w:type="dxa"/>
          </w:tcPr>
          <w:p w14:paraId="63705778">
            <w:pPr>
              <w:pStyle w:val="27"/>
              <w:spacing w:line="370" w:lineRule="exact"/>
              <w:ind w:left="25"/>
              <w:jc w:val="center"/>
              <w:rPr>
                <w:rFonts w:hint="default" w:ascii="Arial" w:hAnsi="Arial" w:cs="Arial"/>
                <w:highlight w:val="none"/>
              </w:rPr>
            </w:pPr>
            <w:r>
              <w:rPr>
                <w:rFonts w:hint="default" w:ascii="Arial" w:hAnsi="Arial" w:cs="Arial"/>
                <w:highlight w:val="none"/>
              </w:rPr>
              <w:t>0.006%</w:t>
            </w:r>
          </w:p>
        </w:tc>
      </w:tr>
      <w:tr w14:paraId="7ACA2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2880" w:type="dxa"/>
          </w:tcPr>
          <w:p w14:paraId="5D2F48C2">
            <w:pPr>
              <w:pStyle w:val="27"/>
              <w:spacing w:line="370" w:lineRule="exact"/>
              <w:ind w:left="25"/>
              <w:rPr>
                <w:rFonts w:hint="default" w:ascii="Arial" w:hAnsi="Arial" w:cs="Arial"/>
                <w:highlight w:val="none"/>
              </w:rPr>
            </w:pPr>
            <w:r>
              <w:rPr>
                <w:rFonts w:hint="default" w:ascii="Arial" w:hAnsi="Arial" w:cs="Arial"/>
                <w:highlight w:val="none"/>
              </w:rPr>
              <w:t>100亿以上</w:t>
            </w:r>
          </w:p>
        </w:tc>
        <w:tc>
          <w:tcPr>
            <w:tcW w:w="1841" w:type="dxa"/>
          </w:tcPr>
          <w:p w14:paraId="6FC94DE8">
            <w:pPr>
              <w:pStyle w:val="27"/>
              <w:spacing w:line="370" w:lineRule="exact"/>
              <w:ind w:left="25"/>
              <w:jc w:val="center"/>
              <w:rPr>
                <w:rFonts w:hint="default" w:ascii="Arial" w:hAnsi="Arial" w:cs="Arial"/>
                <w:highlight w:val="none"/>
              </w:rPr>
            </w:pPr>
            <w:r>
              <w:rPr>
                <w:rFonts w:hint="default" w:ascii="Arial" w:hAnsi="Arial" w:cs="Arial"/>
                <w:highlight w:val="none"/>
              </w:rPr>
              <w:t>0.004%</w:t>
            </w:r>
          </w:p>
        </w:tc>
        <w:tc>
          <w:tcPr>
            <w:tcW w:w="1992" w:type="dxa"/>
          </w:tcPr>
          <w:p w14:paraId="0173E8CD">
            <w:pPr>
              <w:pStyle w:val="27"/>
              <w:spacing w:line="370" w:lineRule="exact"/>
              <w:ind w:left="25"/>
              <w:jc w:val="center"/>
              <w:rPr>
                <w:rFonts w:hint="default" w:ascii="Arial" w:hAnsi="Arial" w:cs="Arial"/>
                <w:highlight w:val="none"/>
              </w:rPr>
            </w:pPr>
            <w:r>
              <w:rPr>
                <w:rFonts w:hint="default" w:ascii="Arial" w:hAnsi="Arial" w:cs="Arial"/>
                <w:highlight w:val="none"/>
              </w:rPr>
              <w:t>0.004%</w:t>
            </w:r>
          </w:p>
        </w:tc>
        <w:tc>
          <w:tcPr>
            <w:tcW w:w="2293" w:type="dxa"/>
          </w:tcPr>
          <w:p w14:paraId="4893E323">
            <w:pPr>
              <w:pStyle w:val="27"/>
              <w:spacing w:line="370" w:lineRule="exact"/>
              <w:ind w:left="25"/>
              <w:jc w:val="center"/>
              <w:rPr>
                <w:rFonts w:hint="default" w:ascii="Arial" w:hAnsi="Arial" w:cs="Arial"/>
                <w:highlight w:val="none"/>
              </w:rPr>
            </w:pPr>
            <w:r>
              <w:rPr>
                <w:rFonts w:hint="default" w:ascii="Arial" w:hAnsi="Arial" w:cs="Arial"/>
                <w:highlight w:val="none"/>
              </w:rPr>
              <w:t>0.004%</w:t>
            </w:r>
          </w:p>
        </w:tc>
      </w:tr>
    </w:tbl>
    <w:p w14:paraId="72F1704C">
      <w:pPr>
        <w:pStyle w:val="27"/>
        <w:spacing w:line="420" w:lineRule="exact"/>
        <w:ind w:left="25"/>
        <w:rPr>
          <w:rFonts w:hint="default" w:ascii="Arial" w:hAnsi="Arial" w:cs="Arial"/>
          <w:highlight w:val="none"/>
        </w:rPr>
      </w:pPr>
      <w:r>
        <w:rPr>
          <w:rFonts w:hint="default" w:ascii="Arial" w:hAnsi="Arial" w:cs="Arial"/>
          <w:highlight w:val="none"/>
        </w:rPr>
        <w:t>注：招标代理服务收费按差额定率累进法计算。</w:t>
      </w:r>
    </w:p>
    <w:p w14:paraId="55AFC69C">
      <w:pPr>
        <w:pStyle w:val="27"/>
        <w:snapToGrid w:val="0"/>
        <w:spacing w:line="380" w:lineRule="exact"/>
        <w:ind w:firstLine="420" w:firstLineChars="200"/>
        <w:rPr>
          <w:rFonts w:hint="default" w:ascii="Arial" w:hAnsi="Arial" w:cs="Arial"/>
          <w:b/>
          <w:szCs w:val="24"/>
          <w:highlight w:val="none"/>
        </w:rPr>
      </w:pPr>
      <w:r>
        <w:rPr>
          <w:rFonts w:hint="default" w:ascii="Arial" w:hAnsi="Arial" w:cs="Arial"/>
          <w:b/>
          <w:szCs w:val="24"/>
          <w:highlight w:val="none"/>
        </w:rPr>
        <w:t>37. 采购代理机构银行账户：</w:t>
      </w:r>
    </w:p>
    <w:p w14:paraId="3830D50B">
      <w:pPr>
        <w:pStyle w:val="27"/>
        <w:keepNext w:val="0"/>
        <w:keepLines w:val="0"/>
        <w:pageBreakBefore w:val="0"/>
        <w:kinsoku/>
        <w:wordWrap/>
        <w:overflowPunct/>
        <w:topLinePunct w:val="0"/>
        <w:autoSpaceDE/>
        <w:autoSpaceDN/>
        <w:bidi w:val="0"/>
        <w:adjustRightInd/>
        <w:snapToGrid w:val="0"/>
        <w:spacing w:line="264" w:lineRule="auto"/>
        <w:ind w:firstLine="420" w:firstLineChars="200"/>
        <w:textAlignment w:val="auto"/>
        <w:rPr>
          <w:rFonts w:hint="default" w:ascii="Arial" w:hAnsi="Arial" w:cs="Arial"/>
          <w:b/>
          <w:szCs w:val="24"/>
          <w:highlight w:val="none"/>
        </w:rPr>
      </w:pPr>
      <w:r>
        <w:rPr>
          <w:rFonts w:hint="default" w:ascii="Arial" w:hAnsi="Arial" w:cs="Arial"/>
          <w:b/>
          <w:szCs w:val="24"/>
          <w:highlight w:val="none"/>
        </w:rPr>
        <w:t>公司名称：广西机电设备招标有限公司桂林分公司</w:t>
      </w:r>
    </w:p>
    <w:p w14:paraId="6F1DA646">
      <w:pPr>
        <w:pStyle w:val="27"/>
        <w:keepNext w:val="0"/>
        <w:keepLines w:val="0"/>
        <w:pageBreakBefore w:val="0"/>
        <w:kinsoku/>
        <w:wordWrap/>
        <w:overflowPunct/>
        <w:topLinePunct w:val="0"/>
        <w:autoSpaceDE/>
        <w:autoSpaceDN/>
        <w:bidi w:val="0"/>
        <w:adjustRightInd/>
        <w:snapToGrid w:val="0"/>
        <w:spacing w:line="264" w:lineRule="auto"/>
        <w:ind w:firstLine="420" w:firstLineChars="200"/>
        <w:textAlignment w:val="auto"/>
        <w:rPr>
          <w:rFonts w:hint="default" w:ascii="Arial" w:hAnsi="Arial" w:cs="Arial"/>
          <w:b/>
          <w:szCs w:val="24"/>
          <w:highlight w:val="none"/>
        </w:rPr>
      </w:pPr>
      <w:r>
        <w:rPr>
          <w:rFonts w:hint="default" w:ascii="Arial" w:hAnsi="Arial" w:cs="Arial"/>
          <w:b/>
          <w:szCs w:val="24"/>
          <w:highlight w:val="none"/>
        </w:rPr>
        <w:t>开户银行：交通银行桂林高新支行</w:t>
      </w:r>
    </w:p>
    <w:p w14:paraId="5AB7FBB3">
      <w:pPr>
        <w:pStyle w:val="27"/>
        <w:snapToGrid w:val="0"/>
        <w:spacing w:line="380" w:lineRule="exact"/>
        <w:ind w:firstLine="420" w:firstLineChars="200"/>
        <w:rPr>
          <w:rFonts w:hint="default" w:ascii="Arial" w:hAnsi="Arial" w:cs="Arial"/>
          <w:b/>
          <w:szCs w:val="24"/>
          <w:highlight w:val="none"/>
        </w:rPr>
      </w:pPr>
      <w:r>
        <w:rPr>
          <w:rFonts w:hint="default" w:ascii="Arial" w:hAnsi="Arial" w:cs="Arial"/>
          <w:b/>
          <w:szCs w:val="24"/>
          <w:highlight w:val="none"/>
        </w:rPr>
        <w:t>银行账号：453060811013000171435</w:t>
      </w:r>
    </w:p>
    <w:p w14:paraId="4B704E39">
      <w:pPr>
        <w:pStyle w:val="27"/>
        <w:snapToGrid w:val="0"/>
        <w:spacing w:line="380" w:lineRule="exact"/>
        <w:ind w:firstLine="420" w:firstLineChars="200"/>
        <w:rPr>
          <w:rFonts w:hint="default" w:ascii="Arial" w:hAnsi="Arial" w:cs="Arial"/>
          <w:highlight w:val="none"/>
        </w:rPr>
      </w:pPr>
      <w:r>
        <w:rPr>
          <w:rFonts w:hint="default" w:ascii="Arial" w:hAnsi="Arial" w:cs="Arial"/>
          <w:b/>
          <w:highlight w:val="none"/>
        </w:rPr>
        <w:t>38. 解释权：</w:t>
      </w:r>
      <w:r>
        <w:rPr>
          <w:rFonts w:hint="default" w:ascii="Arial" w:hAnsi="Arial" w:cs="Arial"/>
          <w:highlight w:val="none"/>
        </w:rPr>
        <w:t>本招标文件是</w:t>
      </w:r>
      <w:r>
        <w:rPr>
          <w:rFonts w:hint="default" w:ascii="Arial" w:hAnsi="Arial" w:cs="Arial"/>
          <w:sz w:val="22"/>
          <w:szCs w:val="22"/>
          <w:highlight w:val="none"/>
        </w:rPr>
        <w:t>根据《中华人民共和国政府采购法》、《中华人民共和国政府采购法实施条例》及</w:t>
      </w:r>
      <w:r>
        <w:rPr>
          <w:rFonts w:hint="default" w:ascii="Arial" w:hAnsi="Arial" w:cs="Arial"/>
          <w:bCs/>
          <w:highlight w:val="none"/>
        </w:rPr>
        <w:t>财政部令第87号</w:t>
      </w:r>
      <w:r>
        <w:rPr>
          <w:rFonts w:hint="default" w:ascii="Arial" w:hAnsi="Arial" w:cs="Arial"/>
          <w:sz w:val="22"/>
          <w:szCs w:val="22"/>
          <w:highlight w:val="none"/>
        </w:rPr>
        <w:t>《政府采购货物和服务招标投标管理办法》和政府采购管理有关规定编制，本招标文件的解释权属于采购代理机构。</w:t>
      </w:r>
    </w:p>
    <w:p w14:paraId="6C47FE0A">
      <w:pPr>
        <w:pStyle w:val="27"/>
        <w:snapToGrid w:val="0"/>
        <w:spacing w:line="380" w:lineRule="exact"/>
        <w:ind w:firstLine="420" w:firstLineChars="200"/>
        <w:rPr>
          <w:rFonts w:hint="default" w:ascii="Arial" w:hAnsi="Arial" w:cs="Arial"/>
          <w:szCs w:val="21"/>
          <w:highlight w:val="none"/>
        </w:rPr>
      </w:pPr>
      <w:r>
        <w:rPr>
          <w:rFonts w:hint="default" w:ascii="Arial" w:hAnsi="Arial" w:cs="Arial"/>
          <w:b/>
          <w:highlight w:val="none"/>
        </w:rPr>
        <w:t>39.</w:t>
      </w:r>
      <w:r>
        <w:rPr>
          <w:rFonts w:hint="default" w:ascii="Arial" w:hAnsi="Arial" w:cs="Arial"/>
          <w:b/>
          <w:szCs w:val="21"/>
          <w:highlight w:val="none"/>
        </w:rPr>
        <w:t>监督管理机构：</w:t>
      </w:r>
      <w:r>
        <w:rPr>
          <w:rFonts w:hint="eastAsia" w:ascii="Arial" w:hAnsi="Arial" w:cs="Arial"/>
          <w:szCs w:val="21"/>
          <w:highlight w:val="none"/>
          <w:lang w:eastAsia="zh-CN"/>
        </w:rPr>
        <w:t>桂林市政府采购监督管理科</w:t>
      </w:r>
      <w:r>
        <w:rPr>
          <w:rFonts w:hint="default" w:ascii="Arial" w:hAnsi="Arial" w:cs="Arial"/>
          <w:szCs w:val="21"/>
          <w:highlight w:val="none"/>
        </w:rPr>
        <w:t xml:space="preserve">    电话：</w:t>
      </w:r>
      <w:r>
        <w:rPr>
          <w:rFonts w:ascii="Arial" w:hAnsi="Arial" w:cs="Arial"/>
          <w:szCs w:val="21"/>
          <w:highlight w:val="none"/>
        </w:rPr>
        <w:t>0773-2862142</w:t>
      </w:r>
      <w:r>
        <w:rPr>
          <w:rFonts w:hint="default" w:ascii="Arial" w:hAnsi="Arial" w:cs="Arial"/>
          <w:szCs w:val="21"/>
          <w:highlight w:val="none"/>
        </w:rPr>
        <w:t>。</w:t>
      </w:r>
    </w:p>
    <w:p w14:paraId="29C89B81">
      <w:pPr>
        <w:pStyle w:val="27"/>
        <w:snapToGrid w:val="0"/>
        <w:rPr>
          <w:rFonts w:hint="default" w:ascii="Arial" w:hAnsi="Arial" w:cs="Arial"/>
          <w:b/>
          <w:sz w:val="24"/>
          <w:szCs w:val="24"/>
          <w:highlight w:val="none"/>
        </w:rPr>
      </w:pPr>
      <w:r>
        <w:rPr>
          <w:rFonts w:hint="default" w:ascii="Arial" w:hAnsi="Arial" w:cs="Arial"/>
          <w:b/>
          <w:sz w:val="32"/>
          <w:szCs w:val="32"/>
          <w:highlight w:val="none"/>
        </w:rPr>
        <w:br w:type="page"/>
      </w:r>
      <w:r>
        <w:rPr>
          <w:rFonts w:hint="default" w:ascii="Arial" w:hAnsi="Arial" w:cs="Arial"/>
          <w:b/>
          <w:sz w:val="24"/>
          <w:szCs w:val="24"/>
          <w:highlight w:val="none"/>
        </w:rPr>
        <w:t>附表1：</w:t>
      </w:r>
    </w:p>
    <w:p w14:paraId="225D8F7F">
      <w:pPr>
        <w:spacing w:line="460" w:lineRule="exact"/>
        <w:jc w:val="center"/>
        <w:rPr>
          <w:rFonts w:hint="default" w:ascii="Arial" w:hAnsi="Arial" w:cs="Arial"/>
          <w:sz w:val="44"/>
          <w:highlight w:val="none"/>
        </w:rPr>
      </w:pPr>
      <w:r>
        <w:rPr>
          <w:rFonts w:hint="default" w:ascii="Arial" w:hAnsi="Arial" w:cs="Arial"/>
          <w:sz w:val="44"/>
          <w:highlight w:val="none"/>
        </w:rPr>
        <w:t>质疑函（格式）</w:t>
      </w:r>
    </w:p>
    <w:p w14:paraId="22BA8D49">
      <w:pPr>
        <w:pStyle w:val="27"/>
        <w:snapToGrid w:val="0"/>
        <w:spacing w:line="360" w:lineRule="exact"/>
        <w:ind w:firstLine="420" w:firstLineChars="200"/>
        <w:rPr>
          <w:rFonts w:hint="default" w:ascii="Arial" w:hAnsi="Arial" w:cs="Arial"/>
          <w:b/>
          <w:bCs/>
          <w:highlight w:val="none"/>
        </w:rPr>
      </w:pPr>
      <w:r>
        <w:rPr>
          <w:rFonts w:hint="default" w:ascii="Arial" w:hAnsi="Arial" w:cs="Arial"/>
          <w:b/>
          <w:bCs/>
          <w:highlight w:val="none"/>
        </w:rPr>
        <w:t>一、质疑供应商基本信息：</w:t>
      </w:r>
    </w:p>
    <w:p w14:paraId="55E921AC">
      <w:pPr>
        <w:pStyle w:val="27"/>
        <w:snapToGrid w:val="0"/>
        <w:spacing w:line="360" w:lineRule="exact"/>
        <w:ind w:firstLine="420" w:firstLineChars="200"/>
        <w:rPr>
          <w:rFonts w:hint="default" w:ascii="Arial" w:hAnsi="Arial" w:cs="Arial"/>
          <w:bCs/>
          <w:highlight w:val="none"/>
          <w:u w:val="single"/>
        </w:rPr>
      </w:pPr>
      <w:r>
        <w:rPr>
          <w:rFonts w:hint="default" w:ascii="Arial" w:hAnsi="Arial" w:cs="Arial"/>
          <w:bCs/>
          <w:highlight w:val="none"/>
        </w:rPr>
        <w:t>质疑供应商：</w:t>
      </w:r>
    </w:p>
    <w:p w14:paraId="4142700A">
      <w:pPr>
        <w:pStyle w:val="27"/>
        <w:snapToGrid w:val="0"/>
        <w:spacing w:line="360" w:lineRule="exact"/>
        <w:ind w:firstLine="420" w:firstLineChars="200"/>
        <w:rPr>
          <w:rFonts w:hint="default" w:ascii="Arial" w:hAnsi="Arial" w:cs="Arial"/>
          <w:bCs/>
          <w:highlight w:val="none"/>
        </w:rPr>
      </w:pPr>
      <w:r>
        <w:rPr>
          <w:rFonts w:hint="default" w:ascii="Arial" w:hAnsi="Arial" w:cs="Arial"/>
          <w:bCs/>
          <w:highlight w:val="none"/>
        </w:rPr>
        <w:t>地址：邮编：</w:t>
      </w:r>
    </w:p>
    <w:p w14:paraId="2D4843FD">
      <w:pPr>
        <w:pStyle w:val="27"/>
        <w:snapToGrid w:val="0"/>
        <w:spacing w:line="360" w:lineRule="exact"/>
        <w:ind w:firstLine="420" w:firstLineChars="200"/>
        <w:rPr>
          <w:rFonts w:hint="default" w:ascii="Arial" w:hAnsi="Arial" w:cs="Arial"/>
          <w:bCs/>
          <w:highlight w:val="none"/>
        </w:rPr>
      </w:pPr>
      <w:r>
        <w:rPr>
          <w:rFonts w:hint="default" w:ascii="Arial" w:hAnsi="Arial" w:cs="Arial"/>
          <w:bCs/>
          <w:highlight w:val="none"/>
        </w:rPr>
        <w:t>联系人：联系电话：</w:t>
      </w:r>
    </w:p>
    <w:p w14:paraId="1EB11A0E">
      <w:pPr>
        <w:pStyle w:val="27"/>
        <w:snapToGrid w:val="0"/>
        <w:spacing w:line="360" w:lineRule="exact"/>
        <w:ind w:firstLine="420" w:firstLineChars="200"/>
        <w:rPr>
          <w:rFonts w:hint="default" w:ascii="Arial" w:hAnsi="Arial" w:cs="Arial"/>
          <w:bCs/>
          <w:highlight w:val="none"/>
        </w:rPr>
      </w:pPr>
      <w:r>
        <w:rPr>
          <w:rFonts w:hint="default" w:ascii="Arial" w:hAnsi="Arial" w:cs="Arial"/>
          <w:bCs/>
          <w:highlight w:val="none"/>
        </w:rPr>
        <w:t>授权代表：</w:t>
      </w:r>
    </w:p>
    <w:p w14:paraId="204C71CF">
      <w:pPr>
        <w:pStyle w:val="27"/>
        <w:snapToGrid w:val="0"/>
        <w:spacing w:line="360" w:lineRule="exact"/>
        <w:ind w:firstLine="420" w:firstLineChars="200"/>
        <w:rPr>
          <w:rFonts w:hint="default" w:ascii="Arial" w:hAnsi="Arial" w:cs="Arial"/>
          <w:bCs/>
          <w:highlight w:val="none"/>
          <w:u w:val="single"/>
        </w:rPr>
      </w:pPr>
      <w:r>
        <w:rPr>
          <w:rFonts w:hint="default" w:ascii="Arial" w:hAnsi="Arial" w:cs="Arial"/>
          <w:bCs/>
          <w:highlight w:val="none"/>
        </w:rPr>
        <w:t>联系电话：</w:t>
      </w:r>
    </w:p>
    <w:p w14:paraId="03FF8A01">
      <w:pPr>
        <w:pStyle w:val="27"/>
        <w:snapToGrid w:val="0"/>
        <w:spacing w:line="360" w:lineRule="exact"/>
        <w:ind w:firstLine="420" w:firstLineChars="200"/>
        <w:rPr>
          <w:rFonts w:hint="default" w:ascii="Arial" w:hAnsi="Arial" w:cs="Arial"/>
          <w:bCs/>
          <w:highlight w:val="none"/>
        </w:rPr>
      </w:pPr>
      <w:r>
        <w:rPr>
          <w:rFonts w:hint="default" w:ascii="Arial" w:hAnsi="Arial" w:cs="Arial"/>
          <w:bCs/>
          <w:highlight w:val="none"/>
        </w:rPr>
        <w:t>地址：邮编：</w:t>
      </w:r>
    </w:p>
    <w:p w14:paraId="5DC33640">
      <w:pPr>
        <w:pStyle w:val="27"/>
        <w:snapToGrid w:val="0"/>
        <w:spacing w:line="360" w:lineRule="exact"/>
        <w:ind w:firstLine="420" w:firstLineChars="200"/>
        <w:rPr>
          <w:rFonts w:hint="default" w:ascii="Arial" w:hAnsi="Arial" w:cs="Arial"/>
          <w:b/>
          <w:bCs/>
          <w:highlight w:val="none"/>
        </w:rPr>
      </w:pPr>
      <w:r>
        <w:rPr>
          <w:rFonts w:hint="default" w:ascii="Arial" w:hAnsi="Arial" w:cs="Arial"/>
          <w:b/>
          <w:bCs/>
          <w:highlight w:val="none"/>
        </w:rPr>
        <w:t>二、质疑项目基本情况：</w:t>
      </w:r>
    </w:p>
    <w:p w14:paraId="05632183">
      <w:pPr>
        <w:pStyle w:val="27"/>
        <w:spacing w:line="360" w:lineRule="exact"/>
        <w:ind w:left="25" w:leftChars="12" w:firstLine="413" w:firstLineChars="197"/>
        <w:rPr>
          <w:rFonts w:hint="default" w:ascii="Arial" w:hAnsi="Arial" w:cs="Arial"/>
          <w:szCs w:val="21"/>
          <w:highlight w:val="none"/>
        </w:rPr>
      </w:pPr>
      <w:r>
        <w:rPr>
          <w:rFonts w:hint="default" w:ascii="Arial" w:hAnsi="Arial" w:cs="Arial"/>
          <w:bCs/>
          <w:highlight w:val="none"/>
        </w:rPr>
        <w:t>质疑</w:t>
      </w:r>
      <w:r>
        <w:rPr>
          <w:rFonts w:hint="default" w:ascii="Arial" w:hAnsi="Arial" w:cs="Arial"/>
          <w:szCs w:val="21"/>
          <w:highlight w:val="none"/>
        </w:rPr>
        <w:t>项目的名称：</w:t>
      </w:r>
    </w:p>
    <w:p w14:paraId="0D2BF350">
      <w:pPr>
        <w:pStyle w:val="27"/>
        <w:spacing w:line="360" w:lineRule="exact"/>
        <w:ind w:left="25" w:leftChars="12" w:firstLine="413" w:firstLineChars="197"/>
        <w:rPr>
          <w:rFonts w:hint="default" w:ascii="Arial" w:hAnsi="Arial" w:cs="Arial"/>
          <w:szCs w:val="21"/>
          <w:highlight w:val="none"/>
        </w:rPr>
      </w:pPr>
      <w:r>
        <w:rPr>
          <w:rFonts w:hint="default" w:ascii="Arial" w:hAnsi="Arial" w:cs="Arial"/>
          <w:bCs/>
          <w:highlight w:val="none"/>
        </w:rPr>
        <w:t>质疑</w:t>
      </w:r>
      <w:r>
        <w:rPr>
          <w:rFonts w:hint="default" w:ascii="Arial" w:hAnsi="Arial" w:cs="Arial"/>
          <w:szCs w:val="21"/>
          <w:highlight w:val="none"/>
        </w:rPr>
        <w:t>项目的编号：</w:t>
      </w:r>
    </w:p>
    <w:p w14:paraId="55ADDB13">
      <w:pPr>
        <w:pStyle w:val="27"/>
        <w:spacing w:line="360" w:lineRule="exact"/>
        <w:ind w:left="25" w:leftChars="12" w:firstLine="413" w:firstLineChars="197"/>
        <w:rPr>
          <w:rFonts w:hint="default" w:ascii="Arial" w:hAnsi="Arial" w:cs="Arial"/>
          <w:szCs w:val="21"/>
          <w:highlight w:val="none"/>
        </w:rPr>
      </w:pPr>
      <w:r>
        <w:rPr>
          <w:rFonts w:hint="default" w:ascii="Arial" w:hAnsi="Arial" w:cs="Arial"/>
          <w:szCs w:val="21"/>
          <w:highlight w:val="none"/>
        </w:rPr>
        <w:t>采购人名称：</w:t>
      </w:r>
    </w:p>
    <w:p w14:paraId="43E657A1">
      <w:pPr>
        <w:pStyle w:val="27"/>
        <w:spacing w:line="360" w:lineRule="exact"/>
        <w:ind w:left="25" w:leftChars="12" w:firstLine="413" w:firstLineChars="197"/>
        <w:rPr>
          <w:rFonts w:hint="default" w:ascii="Arial" w:hAnsi="Arial" w:cs="Arial"/>
          <w:szCs w:val="21"/>
          <w:highlight w:val="none"/>
        </w:rPr>
      </w:pPr>
      <w:r>
        <w:rPr>
          <w:rFonts w:hint="default" w:ascii="Arial" w:hAnsi="Arial" w:cs="Arial"/>
          <w:szCs w:val="21"/>
          <w:highlight w:val="none"/>
        </w:rPr>
        <w:t>质疑事项：</w:t>
      </w:r>
    </w:p>
    <w:p w14:paraId="4C67CFDE">
      <w:pPr>
        <w:pStyle w:val="27"/>
        <w:spacing w:line="360" w:lineRule="exact"/>
        <w:ind w:left="25" w:leftChars="12" w:firstLine="441" w:firstLineChars="147"/>
        <w:rPr>
          <w:rFonts w:hint="default" w:ascii="Arial" w:hAnsi="Arial" w:cs="Arial"/>
          <w:szCs w:val="21"/>
          <w:highlight w:val="none"/>
        </w:rPr>
      </w:pPr>
      <w:r>
        <w:rPr>
          <w:rFonts w:hint="default" w:ascii="Arial" w:hAnsi="Arial" w:cs="Arial"/>
          <w:sz w:val="30"/>
          <w:szCs w:val="30"/>
          <w:highlight w:val="none"/>
        </w:rPr>
        <w:t>□</w:t>
      </w:r>
      <w:r>
        <w:rPr>
          <w:rFonts w:hint="default" w:ascii="Arial" w:hAnsi="Arial" w:cs="Arial"/>
          <w:szCs w:val="21"/>
          <w:highlight w:val="none"/>
        </w:rPr>
        <w:t>采购文件   采购文件获取日期：</w:t>
      </w:r>
    </w:p>
    <w:p w14:paraId="33E56422">
      <w:pPr>
        <w:pStyle w:val="27"/>
        <w:spacing w:line="360" w:lineRule="exact"/>
        <w:ind w:left="25" w:leftChars="12" w:firstLine="441" w:firstLineChars="147"/>
        <w:rPr>
          <w:rFonts w:hint="default" w:ascii="Arial" w:hAnsi="Arial" w:cs="Arial"/>
          <w:szCs w:val="21"/>
          <w:highlight w:val="none"/>
        </w:rPr>
      </w:pPr>
      <w:r>
        <w:rPr>
          <w:rFonts w:hint="default" w:ascii="Arial" w:hAnsi="Arial" w:cs="Arial"/>
          <w:sz w:val="30"/>
          <w:szCs w:val="30"/>
          <w:highlight w:val="none"/>
        </w:rPr>
        <w:t>□</w:t>
      </w:r>
      <w:r>
        <w:rPr>
          <w:rFonts w:hint="default" w:ascii="Arial" w:hAnsi="Arial" w:cs="Arial"/>
          <w:szCs w:val="21"/>
          <w:highlight w:val="none"/>
        </w:rPr>
        <w:t xml:space="preserve">采购过程   </w:t>
      </w:r>
    </w:p>
    <w:p w14:paraId="6E564ADD">
      <w:pPr>
        <w:pStyle w:val="27"/>
        <w:spacing w:line="360" w:lineRule="exact"/>
        <w:ind w:left="25" w:leftChars="12" w:firstLine="441" w:firstLineChars="147"/>
        <w:rPr>
          <w:rFonts w:hint="default" w:ascii="Arial" w:hAnsi="Arial" w:cs="Arial"/>
          <w:bCs/>
          <w:highlight w:val="none"/>
          <w:u w:val="single"/>
        </w:rPr>
      </w:pPr>
      <w:r>
        <w:rPr>
          <w:rFonts w:hint="default" w:ascii="Arial" w:hAnsi="Arial" w:cs="Arial"/>
          <w:sz w:val="30"/>
          <w:szCs w:val="30"/>
          <w:highlight w:val="none"/>
        </w:rPr>
        <w:t>□</w:t>
      </w:r>
      <w:r>
        <w:rPr>
          <w:rFonts w:hint="default" w:ascii="Arial" w:hAnsi="Arial" w:cs="Arial"/>
          <w:szCs w:val="21"/>
          <w:highlight w:val="none"/>
        </w:rPr>
        <w:t xml:space="preserve">成交结果   </w:t>
      </w:r>
    </w:p>
    <w:p w14:paraId="1135FE3E">
      <w:pPr>
        <w:pStyle w:val="27"/>
        <w:spacing w:line="360" w:lineRule="exact"/>
        <w:ind w:left="25" w:leftChars="12" w:firstLine="411" w:firstLineChars="196"/>
        <w:rPr>
          <w:rFonts w:hint="default" w:ascii="Arial" w:hAnsi="Arial" w:cs="Arial"/>
          <w:b/>
          <w:szCs w:val="21"/>
          <w:highlight w:val="none"/>
        </w:rPr>
      </w:pPr>
      <w:r>
        <w:rPr>
          <w:rFonts w:hint="default" w:ascii="Arial" w:hAnsi="Arial" w:cs="Arial"/>
          <w:b/>
          <w:szCs w:val="21"/>
          <w:highlight w:val="none"/>
        </w:rPr>
        <w:t>三、质疑事项具体内容</w:t>
      </w:r>
    </w:p>
    <w:p w14:paraId="08A9203A">
      <w:pPr>
        <w:pStyle w:val="27"/>
        <w:spacing w:line="360" w:lineRule="exact"/>
        <w:ind w:left="25" w:leftChars="12" w:firstLine="413" w:firstLineChars="197"/>
        <w:rPr>
          <w:rFonts w:hint="default" w:ascii="Arial" w:hAnsi="Arial" w:cs="Arial"/>
          <w:szCs w:val="21"/>
          <w:highlight w:val="none"/>
        </w:rPr>
      </w:pPr>
      <w:r>
        <w:rPr>
          <w:rFonts w:hint="default" w:ascii="Arial" w:hAnsi="Arial" w:cs="Arial"/>
          <w:szCs w:val="21"/>
          <w:highlight w:val="none"/>
        </w:rPr>
        <w:t>质疑事项1：</w:t>
      </w:r>
    </w:p>
    <w:p w14:paraId="3CCDA20C">
      <w:pPr>
        <w:pStyle w:val="27"/>
        <w:spacing w:line="360" w:lineRule="exact"/>
        <w:ind w:left="25" w:leftChars="12" w:firstLine="413" w:firstLineChars="197"/>
        <w:rPr>
          <w:rFonts w:hint="default" w:ascii="Arial" w:hAnsi="Arial" w:cs="Arial"/>
          <w:szCs w:val="21"/>
          <w:highlight w:val="none"/>
        </w:rPr>
      </w:pPr>
      <w:r>
        <w:rPr>
          <w:rFonts w:hint="default" w:ascii="Arial" w:hAnsi="Arial" w:cs="Arial"/>
          <w:szCs w:val="21"/>
          <w:highlight w:val="none"/>
        </w:rPr>
        <w:t>事实依据：</w:t>
      </w:r>
    </w:p>
    <w:p w14:paraId="2D2A3033">
      <w:pPr>
        <w:pStyle w:val="27"/>
        <w:spacing w:line="360" w:lineRule="exact"/>
        <w:ind w:left="25" w:leftChars="12" w:firstLine="413" w:firstLineChars="197"/>
        <w:rPr>
          <w:rFonts w:hint="default" w:ascii="Arial" w:hAnsi="Arial" w:cs="Arial"/>
          <w:szCs w:val="21"/>
          <w:highlight w:val="none"/>
        </w:rPr>
      </w:pPr>
      <w:r>
        <w:rPr>
          <w:rFonts w:hint="default" w:ascii="Arial" w:hAnsi="Arial" w:cs="Arial"/>
          <w:szCs w:val="21"/>
          <w:highlight w:val="none"/>
        </w:rPr>
        <w:t>法律依据：</w:t>
      </w:r>
    </w:p>
    <w:p w14:paraId="1189836D">
      <w:pPr>
        <w:pStyle w:val="27"/>
        <w:spacing w:line="360" w:lineRule="exact"/>
        <w:ind w:left="25" w:leftChars="12" w:firstLine="413" w:firstLineChars="197"/>
        <w:rPr>
          <w:rFonts w:hint="default" w:ascii="Arial" w:hAnsi="Arial" w:cs="Arial"/>
          <w:szCs w:val="21"/>
          <w:highlight w:val="none"/>
        </w:rPr>
      </w:pPr>
      <w:r>
        <w:rPr>
          <w:rFonts w:hint="default" w:ascii="Arial" w:hAnsi="Arial" w:cs="Arial"/>
          <w:szCs w:val="21"/>
          <w:highlight w:val="none"/>
        </w:rPr>
        <w:t>质疑事项2</w:t>
      </w:r>
    </w:p>
    <w:p w14:paraId="0BBF0AD4">
      <w:pPr>
        <w:pStyle w:val="27"/>
        <w:spacing w:line="360" w:lineRule="exact"/>
        <w:ind w:left="25" w:leftChars="12" w:firstLine="413" w:firstLineChars="197"/>
        <w:rPr>
          <w:rFonts w:hint="default" w:ascii="Arial" w:hAnsi="Arial" w:cs="Arial"/>
          <w:szCs w:val="21"/>
          <w:highlight w:val="none"/>
        </w:rPr>
      </w:pPr>
      <w:r>
        <w:rPr>
          <w:rFonts w:hint="default" w:ascii="Arial" w:hAnsi="Arial" w:cs="Arial"/>
          <w:szCs w:val="21"/>
          <w:highlight w:val="none"/>
        </w:rPr>
        <w:t>……</w:t>
      </w:r>
    </w:p>
    <w:p w14:paraId="2C25851C">
      <w:pPr>
        <w:pStyle w:val="27"/>
        <w:spacing w:line="360" w:lineRule="exact"/>
        <w:ind w:left="25" w:leftChars="12" w:firstLine="413" w:firstLineChars="197"/>
        <w:rPr>
          <w:rFonts w:hint="default" w:ascii="Arial" w:hAnsi="Arial" w:cs="Arial"/>
          <w:szCs w:val="21"/>
          <w:highlight w:val="none"/>
        </w:rPr>
      </w:pPr>
      <w:r>
        <w:rPr>
          <w:rFonts w:hint="default" w:ascii="Arial" w:hAnsi="Arial" w:cs="Arial"/>
          <w:szCs w:val="21"/>
          <w:highlight w:val="none"/>
        </w:rPr>
        <w:t>四、与质疑事项相关的质疑请求：</w:t>
      </w:r>
    </w:p>
    <w:p w14:paraId="190CCE41">
      <w:pPr>
        <w:pStyle w:val="27"/>
        <w:spacing w:line="360" w:lineRule="exact"/>
        <w:ind w:left="25" w:leftChars="12" w:firstLine="413" w:firstLineChars="197"/>
        <w:rPr>
          <w:rFonts w:hint="default" w:ascii="Arial" w:hAnsi="Arial" w:cs="Arial"/>
          <w:szCs w:val="21"/>
          <w:highlight w:val="none"/>
        </w:rPr>
      </w:pPr>
      <w:r>
        <w:rPr>
          <w:rFonts w:hint="default" w:ascii="Arial" w:hAnsi="Arial" w:cs="Arial"/>
          <w:szCs w:val="21"/>
          <w:highlight w:val="none"/>
        </w:rPr>
        <w:t>请求：</w:t>
      </w:r>
    </w:p>
    <w:p w14:paraId="514C3C79">
      <w:pPr>
        <w:pStyle w:val="27"/>
        <w:spacing w:line="360" w:lineRule="exact"/>
        <w:ind w:left="25" w:leftChars="12" w:firstLine="308" w:firstLineChars="147"/>
        <w:rPr>
          <w:rFonts w:hint="default" w:ascii="Arial" w:hAnsi="Arial" w:cs="Arial"/>
          <w:szCs w:val="21"/>
          <w:highlight w:val="none"/>
        </w:rPr>
      </w:pPr>
    </w:p>
    <w:p w14:paraId="0D0AA450">
      <w:pPr>
        <w:pStyle w:val="27"/>
        <w:spacing w:line="360" w:lineRule="exact"/>
        <w:ind w:left="25" w:leftChars="12" w:firstLine="413" w:firstLineChars="197"/>
        <w:rPr>
          <w:rFonts w:hint="default" w:ascii="Arial" w:hAnsi="Arial" w:cs="Arial"/>
          <w:szCs w:val="21"/>
          <w:highlight w:val="none"/>
        </w:rPr>
      </w:pPr>
      <w:r>
        <w:rPr>
          <w:rFonts w:hint="default" w:ascii="Arial" w:hAnsi="Arial" w:cs="Arial"/>
          <w:szCs w:val="21"/>
          <w:highlight w:val="none"/>
        </w:rPr>
        <w:t>签字（签章）：                                       公章：</w:t>
      </w:r>
    </w:p>
    <w:p w14:paraId="69EB7EBB">
      <w:pPr>
        <w:pStyle w:val="27"/>
        <w:spacing w:line="360" w:lineRule="exact"/>
        <w:ind w:left="25" w:leftChars="12" w:firstLine="308" w:firstLineChars="147"/>
        <w:rPr>
          <w:rFonts w:hint="default" w:ascii="Arial" w:hAnsi="Arial" w:cs="Arial"/>
          <w:szCs w:val="21"/>
          <w:highlight w:val="none"/>
        </w:rPr>
      </w:pPr>
    </w:p>
    <w:p w14:paraId="0B76A846">
      <w:pPr>
        <w:pStyle w:val="27"/>
        <w:spacing w:line="360" w:lineRule="exact"/>
        <w:ind w:left="25" w:leftChars="12" w:firstLine="413" w:firstLineChars="197"/>
        <w:rPr>
          <w:rFonts w:hint="default" w:ascii="Arial" w:hAnsi="Arial" w:cs="Arial"/>
          <w:szCs w:val="21"/>
          <w:highlight w:val="none"/>
        </w:rPr>
      </w:pPr>
      <w:r>
        <w:rPr>
          <w:rFonts w:hint="default" w:ascii="Arial" w:hAnsi="Arial" w:cs="Arial"/>
          <w:szCs w:val="21"/>
          <w:highlight w:val="none"/>
        </w:rPr>
        <w:t>日期：</w:t>
      </w:r>
    </w:p>
    <w:p w14:paraId="6DAF65C5">
      <w:pPr>
        <w:pStyle w:val="27"/>
        <w:snapToGrid w:val="0"/>
        <w:spacing w:line="340" w:lineRule="exact"/>
        <w:rPr>
          <w:rFonts w:hint="default" w:ascii="Arial" w:hAnsi="Arial" w:cs="Arial"/>
          <w:b/>
          <w:szCs w:val="21"/>
          <w:highlight w:val="none"/>
        </w:rPr>
      </w:pPr>
      <w:r>
        <w:rPr>
          <w:rFonts w:hint="default" w:ascii="Arial" w:hAnsi="Arial" w:cs="Arial"/>
          <w:b/>
          <w:szCs w:val="21"/>
          <w:highlight w:val="none"/>
        </w:rPr>
        <w:t>说明：</w:t>
      </w:r>
    </w:p>
    <w:p w14:paraId="7E3C624D">
      <w:pPr>
        <w:pStyle w:val="27"/>
        <w:spacing w:line="340" w:lineRule="exact"/>
        <w:ind w:left="25" w:leftChars="12" w:firstLine="308" w:firstLineChars="147"/>
        <w:rPr>
          <w:rFonts w:hint="default" w:ascii="Arial" w:hAnsi="Arial" w:cs="Arial"/>
          <w:b/>
          <w:bCs/>
          <w:highlight w:val="none"/>
        </w:rPr>
      </w:pPr>
      <w:r>
        <w:rPr>
          <w:rFonts w:hint="default" w:ascii="Arial" w:hAnsi="Arial" w:cs="Arial"/>
          <w:b/>
          <w:szCs w:val="21"/>
          <w:highlight w:val="none"/>
        </w:rPr>
        <w:t>1.供应商提出质疑时，应提交质疑函和必要的证明材料</w:t>
      </w:r>
      <w:r>
        <w:rPr>
          <w:rFonts w:hint="default" w:ascii="Arial" w:hAnsi="Arial" w:cs="Arial"/>
          <w:b/>
          <w:bCs/>
          <w:highlight w:val="none"/>
        </w:rPr>
        <w:t>。</w:t>
      </w:r>
    </w:p>
    <w:p w14:paraId="3976A55F">
      <w:pPr>
        <w:pStyle w:val="27"/>
        <w:spacing w:line="340" w:lineRule="exact"/>
        <w:ind w:left="25" w:leftChars="12" w:firstLine="308" w:firstLineChars="147"/>
        <w:rPr>
          <w:rFonts w:hint="default" w:ascii="Arial" w:hAnsi="Arial" w:cs="Arial"/>
          <w:b/>
          <w:szCs w:val="21"/>
          <w:highlight w:val="none"/>
        </w:rPr>
      </w:pPr>
      <w:r>
        <w:rPr>
          <w:rFonts w:hint="default" w:ascii="Arial" w:hAnsi="Arial" w:cs="Arial"/>
          <w:b/>
          <w:szCs w:val="21"/>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4A23ABD7">
      <w:pPr>
        <w:pStyle w:val="27"/>
        <w:spacing w:line="340" w:lineRule="exact"/>
        <w:ind w:left="25" w:leftChars="12" w:firstLine="308" w:firstLineChars="147"/>
        <w:rPr>
          <w:rFonts w:hint="default" w:ascii="Arial" w:hAnsi="Arial" w:cs="Arial"/>
          <w:b/>
          <w:szCs w:val="21"/>
          <w:highlight w:val="none"/>
        </w:rPr>
      </w:pPr>
      <w:r>
        <w:rPr>
          <w:rFonts w:hint="default" w:ascii="Arial" w:hAnsi="Arial" w:cs="Arial"/>
          <w:b/>
          <w:szCs w:val="21"/>
          <w:highlight w:val="none"/>
        </w:rPr>
        <w:t>3.质疑函的质疑事项应具体、明确，并有必要的事实依据和法律依据。</w:t>
      </w:r>
    </w:p>
    <w:p w14:paraId="19FAF4B3">
      <w:pPr>
        <w:pStyle w:val="27"/>
        <w:spacing w:line="340" w:lineRule="exact"/>
        <w:ind w:left="25" w:leftChars="12" w:firstLine="308" w:firstLineChars="147"/>
        <w:rPr>
          <w:rFonts w:hint="default" w:ascii="Arial" w:hAnsi="Arial" w:cs="Arial"/>
          <w:b/>
          <w:szCs w:val="21"/>
          <w:highlight w:val="none"/>
        </w:rPr>
      </w:pPr>
      <w:r>
        <w:rPr>
          <w:rFonts w:hint="default" w:ascii="Arial" w:hAnsi="Arial" w:cs="Arial"/>
          <w:b/>
          <w:szCs w:val="21"/>
          <w:highlight w:val="none"/>
        </w:rPr>
        <w:t>4.质疑函的质疑请求应与质疑事项相关。</w:t>
      </w:r>
    </w:p>
    <w:p w14:paraId="7A308F7F">
      <w:pPr>
        <w:pStyle w:val="27"/>
        <w:spacing w:line="340" w:lineRule="exact"/>
        <w:ind w:left="25" w:leftChars="12" w:firstLine="308" w:firstLineChars="147"/>
        <w:rPr>
          <w:rFonts w:hint="default" w:ascii="Arial" w:hAnsi="Arial" w:cs="Arial"/>
          <w:b/>
          <w:szCs w:val="21"/>
          <w:highlight w:val="none"/>
        </w:rPr>
      </w:pPr>
      <w:r>
        <w:rPr>
          <w:rFonts w:hint="default" w:ascii="Arial" w:hAnsi="Arial" w:cs="Arial"/>
          <w:b/>
          <w:szCs w:val="21"/>
          <w:highlight w:val="none"/>
        </w:rPr>
        <w:t>5.质疑供应商为自然人的，质疑函应由本人签字；质疑供应商为法人或者其他组织的，质疑函应由法定代表人、主要负责人，或者其授权代表签字或者盖章，并加盖公章。</w:t>
      </w:r>
    </w:p>
    <w:p w14:paraId="4A2EF78D">
      <w:pPr>
        <w:pStyle w:val="27"/>
        <w:spacing w:line="340" w:lineRule="exact"/>
        <w:ind w:left="25" w:leftChars="12" w:firstLine="308" w:firstLineChars="147"/>
        <w:rPr>
          <w:rFonts w:hint="default" w:ascii="Arial" w:hAnsi="Arial" w:cs="Arial"/>
          <w:b/>
          <w:szCs w:val="21"/>
          <w:highlight w:val="none"/>
        </w:rPr>
      </w:pPr>
    </w:p>
    <w:p w14:paraId="59F6E38D">
      <w:pPr>
        <w:pStyle w:val="27"/>
        <w:snapToGrid w:val="0"/>
        <w:rPr>
          <w:rFonts w:hint="default" w:ascii="Arial" w:hAnsi="Arial" w:cs="Arial"/>
          <w:b/>
          <w:sz w:val="24"/>
          <w:szCs w:val="24"/>
          <w:highlight w:val="none"/>
        </w:rPr>
      </w:pPr>
    </w:p>
    <w:p w14:paraId="2FC8B3FD">
      <w:pPr>
        <w:pStyle w:val="27"/>
        <w:snapToGrid w:val="0"/>
        <w:rPr>
          <w:rFonts w:hint="default" w:ascii="Arial" w:hAnsi="Arial" w:cs="Arial"/>
          <w:b/>
          <w:sz w:val="24"/>
          <w:szCs w:val="24"/>
          <w:highlight w:val="none"/>
        </w:rPr>
      </w:pPr>
    </w:p>
    <w:p w14:paraId="2CFA4731">
      <w:pPr>
        <w:pStyle w:val="27"/>
        <w:snapToGrid w:val="0"/>
        <w:rPr>
          <w:rFonts w:hint="default" w:ascii="Arial" w:hAnsi="Arial" w:cs="Arial"/>
          <w:b/>
          <w:sz w:val="24"/>
          <w:szCs w:val="24"/>
          <w:highlight w:val="none"/>
        </w:rPr>
      </w:pPr>
      <w:r>
        <w:rPr>
          <w:rFonts w:hint="default" w:ascii="Arial" w:hAnsi="Arial" w:cs="Arial"/>
          <w:b/>
          <w:sz w:val="24"/>
          <w:szCs w:val="24"/>
          <w:highlight w:val="none"/>
        </w:rPr>
        <w:t>附表2：</w:t>
      </w:r>
    </w:p>
    <w:p w14:paraId="31F2CCC7">
      <w:pPr>
        <w:spacing w:line="460" w:lineRule="exact"/>
        <w:jc w:val="center"/>
        <w:rPr>
          <w:rFonts w:hint="default" w:ascii="Arial" w:hAnsi="Arial" w:cs="Arial"/>
          <w:sz w:val="44"/>
          <w:highlight w:val="none"/>
        </w:rPr>
      </w:pPr>
      <w:r>
        <w:rPr>
          <w:rFonts w:hint="default" w:ascii="Arial" w:hAnsi="Arial" w:cs="Arial"/>
          <w:sz w:val="44"/>
          <w:highlight w:val="none"/>
        </w:rPr>
        <w:t>投诉书（格式）</w:t>
      </w:r>
    </w:p>
    <w:p w14:paraId="774F9DA6">
      <w:pPr>
        <w:pStyle w:val="27"/>
        <w:snapToGrid w:val="0"/>
        <w:spacing w:line="400" w:lineRule="exact"/>
        <w:ind w:firstLine="420" w:firstLineChars="200"/>
        <w:rPr>
          <w:rFonts w:hint="default" w:ascii="Arial" w:hAnsi="Arial" w:cs="Arial"/>
          <w:b/>
          <w:bCs/>
          <w:highlight w:val="none"/>
        </w:rPr>
      </w:pPr>
      <w:r>
        <w:rPr>
          <w:rFonts w:hint="default" w:ascii="Arial" w:hAnsi="Arial" w:cs="Arial"/>
          <w:b/>
          <w:bCs/>
          <w:highlight w:val="none"/>
        </w:rPr>
        <w:t>一、投诉相关主体基本情况：</w:t>
      </w:r>
    </w:p>
    <w:p w14:paraId="73CE21D4">
      <w:pPr>
        <w:pStyle w:val="27"/>
        <w:snapToGrid w:val="0"/>
        <w:spacing w:line="400" w:lineRule="exact"/>
        <w:ind w:firstLine="420" w:firstLineChars="200"/>
        <w:rPr>
          <w:rFonts w:hint="default" w:ascii="Arial" w:hAnsi="Arial" w:cs="Arial"/>
          <w:bCs/>
          <w:highlight w:val="none"/>
          <w:u w:val="single"/>
        </w:rPr>
      </w:pPr>
      <w:r>
        <w:rPr>
          <w:rFonts w:hint="default" w:ascii="Arial" w:hAnsi="Arial" w:cs="Arial"/>
          <w:bCs/>
          <w:highlight w:val="none"/>
        </w:rPr>
        <w:t>投标人：</w:t>
      </w:r>
    </w:p>
    <w:p w14:paraId="15C296BD">
      <w:pPr>
        <w:pStyle w:val="27"/>
        <w:snapToGrid w:val="0"/>
        <w:spacing w:line="400" w:lineRule="exact"/>
        <w:ind w:firstLine="420" w:firstLineChars="200"/>
        <w:rPr>
          <w:rFonts w:hint="default" w:ascii="Arial" w:hAnsi="Arial" w:cs="Arial"/>
          <w:bCs/>
          <w:highlight w:val="none"/>
        </w:rPr>
      </w:pPr>
      <w:r>
        <w:rPr>
          <w:rFonts w:hint="default" w:ascii="Arial" w:hAnsi="Arial" w:cs="Arial"/>
          <w:bCs/>
          <w:highlight w:val="none"/>
        </w:rPr>
        <w:t>地址：邮编：</w:t>
      </w:r>
    </w:p>
    <w:p w14:paraId="150DBBC2">
      <w:pPr>
        <w:pStyle w:val="27"/>
        <w:snapToGrid w:val="0"/>
        <w:spacing w:line="400" w:lineRule="exact"/>
        <w:ind w:firstLine="420" w:firstLineChars="200"/>
        <w:rPr>
          <w:rFonts w:hint="default" w:ascii="Arial" w:hAnsi="Arial" w:cs="Arial"/>
          <w:bCs/>
          <w:highlight w:val="none"/>
          <w:u w:val="single"/>
        </w:rPr>
      </w:pPr>
      <w:r>
        <w:rPr>
          <w:rFonts w:hint="default" w:ascii="Arial" w:hAnsi="Arial" w:cs="Arial"/>
          <w:bCs/>
          <w:highlight w:val="none"/>
        </w:rPr>
        <w:t>法定代表人/主要负责人：</w:t>
      </w:r>
    </w:p>
    <w:p w14:paraId="614BEA84">
      <w:pPr>
        <w:pStyle w:val="27"/>
        <w:snapToGrid w:val="0"/>
        <w:spacing w:line="400" w:lineRule="exact"/>
        <w:ind w:firstLine="420" w:firstLineChars="200"/>
        <w:rPr>
          <w:rFonts w:hint="default" w:ascii="Arial" w:hAnsi="Arial" w:cs="Arial"/>
          <w:bCs/>
          <w:highlight w:val="none"/>
        </w:rPr>
      </w:pPr>
      <w:r>
        <w:rPr>
          <w:rFonts w:hint="default" w:ascii="Arial" w:hAnsi="Arial" w:cs="Arial"/>
          <w:bCs/>
          <w:highlight w:val="none"/>
        </w:rPr>
        <w:t>联系电话：</w:t>
      </w:r>
    </w:p>
    <w:p w14:paraId="27D2EE9C">
      <w:pPr>
        <w:pStyle w:val="27"/>
        <w:snapToGrid w:val="0"/>
        <w:spacing w:line="400" w:lineRule="exact"/>
        <w:ind w:firstLine="420" w:firstLineChars="200"/>
        <w:rPr>
          <w:rFonts w:hint="default" w:ascii="Arial" w:hAnsi="Arial" w:cs="Arial"/>
          <w:bCs/>
          <w:highlight w:val="none"/>
          <w:u w:val="single"/>
        </w:rPr>
      </w:pPr>
      <w:r>
        <w:rPr>
          <w:rFonts w:hint="default" w:ascii="Arial" w:hAnsi="Arial" w:cs="Arial"/>
          <w:bCs/>
          <w:highlight w:val="none"/>
        </w:rPr>
        <w:t>授权代表：联系电话：</w:t>
      </w:r>
    </w:p>
    <w:p w14:paraId="2C5F7747">
      <w:pPr>
        <w:pStyle w:val="27"/>
        <w:snapToGrid w:val="0"/>
        <w:spacing w:line="400" w:lineRule="exact"/>
        <w:ind w:firstLine="420" w:firstLineChars="200"/>
        <w:rPr>
          <w:rFonts w:hint="default" w:ascii="Arial" w:hAnsi="Arial" w:cs="Arial"/>
          <w:bCs/>
          <w:highlight w:val="none"/>
        </w:rPr>
      </w:pPr>
      <w:r>
        <w:rPr>
          <w:rFonts w:hint="default" w:ascii="Arial" w:hAnsi="Arial" w:cs="Arial"/>
          <w:bCs/>
          <w:highlight w:val="none"/>
        </w:rPr>
        <w:t>地址：邮编：</w:t>
      </w:r>
    </w:p>
    <w:p w14:paraId="0B9E2D26">
      <w:pPr>
        <w:pStyle w:val="27"/>
        <w:snapToGrid w:val="0"/>
        <w:spacing w:line="400" w:lineRule="exact"/>
        <w:ind w:firstLine="420" w:firstLineChars="200"/>
        <w:rPr>
          <w:rFonts w:hint="default" w:ascii="Arial" w:hAnsi="Arial" w:cs="Arial"/>
          <w:bCs/>
          <w:highlight w:val="none"/>
        </w:rPr>
      </w:pPr>
      <w:r>
        <w:rPr>
          <w:rFonts w:hint="default" w:ascii="Arial" w:hAnsi="Arial" w:cs="Arial"/>
          <w:bCs/>
          <w:highlight w:val="none"/>
        </w:rPr>
        <w:t>被投诉人1：</w:t>
      </w:r>
    </w:p>
    <w:p w14:paraId="1CC2EEE6">
      <w:pPr>
        <w:pStyle w:val="27"/>
        <w:snapToGrid w:val="0"/>
        <w:spacing w:line="400" w:lineRule="exact"/>
        <w:ind w:firstLine="420" w:firstLineChars="200"/>
        <w:rPr>
          <w:rFonts w:hint="default" w:ascii="Arial" w:hAnsi="Arial" w:cs="Arial"/>
          <w:bCs/>
          <w:highlight w:val="none"/>
        </w:rPr>
      </w:pPr>
      <w:r>
        <w:rPr>
          <w:rFonts w:hint="default" w:ascii="Arial" w:hAnsi="Arial" w:cs="Arial"/>
          <w:bCs/>
          <w:highlight w:val="none"/>
        </w:rPr>
        <w:t>地址：邮编：</w:t>
      </w:r>
    </w:p>
    <w:p w14:paraId="46094322">
      <w:pPr>
        <w:pStyle w:val="27"/>
        <w:snapToGrid w:val="0"/>
        <w:spacing w:line="400" w:lineRule="exact"/>
        <w:ind w:firstLine="420" w:firstLineChars="200"/>
        <w:rPr>
          <w:rFonts w:hint="default" w:ascii="Arial" w:hAnsi="Arial" w:cs="Arial"/>
          <w:bCs/>
          <w:highlight w:val="none"/>
          <w:u w:val="single"/>
        </w:rPr>
      </w:pPr>
      <w:r>
        <w:rPr>
          <w:rFonts w:hint="default" w:ascii="Arial" w:hAnsi="Arial" w:cs="Arial"/>
          <w:bCs/>
          <w:highlight w:val="none"/>
        </w:rPr>
        <w:t>联系人：联系电话：</w:t>
      </w:r>
    </w:p>
    <w:p w14:paraId="462C2D58">
      <w:pPr>
        <w:pStyle w:val="27"/>
        <w:snapToGrid w:val="0"/>
        <w:spacing w:line="400" w:lineRule="exact"/>
        <w:ind w:firstLine="420" w:firstLineChars="200"/>
        <w:rPr>
          <w:rFonts w:hint="default" w:ascii="Arial" w:hAnsi="Arial" w:cs="Arial"/>
          <w:bCs/>
          <w:highlight w:val="none"/>
        </w:rPr>
      </w:pPr>
      <w:r>
        <w:rPr>
          <w:rFonts w:hint="default" w:ascii="Arial" w:hAnsi="Arial" w:cs="Arial"/>
          <w:bCs/>
          <w:highlight w:val="none"/>
        </w:rPr>
        <w:t>被投诉人2：</w:t>
      </w:r>
    </w:p>
    <w:p w14:paraId="7625EFB9">
      <w:pPr>
        <w:pStyle w:val="27"/>
        <w:snapToGrid w:val="0"/>
        <w:spacing w:line="400" w:lineRule="exact"/>
        <w:ind w:firstLine="420" w:firstLineChars="200"/>
        <w:rPr>
          <w:rFonts w:hint="default" w:ascii="Arial" w:hAnsi="Arial" w:cs="Arial"/>
          <w:bCs/>
          <w:highlight w:val="none"/>
        </w:rPr>
      </w:pPr>
      <w:r>
        <w:rPr>
          <w:rFonts w:hint="default" w:ascii="Arial" w:hAnsi="Arial" w:cs="Arial"/>
          <w:bCs/>
          <w:highlight w:val="none"/>
        </w:rPr>
        <w:t>……</w:t>
      </w:r>
    </w:p>
    <w:p w14:paraId="256A0C7F">
      <w:pPr>
        <w:pStyle w:val="27"/>
        <w:snapToGrid w:val="0"/>
        <w:spacing w:line="400" w:lineRule="exact"/>
        <w:ind w:firstLine="420" w:firstLineChars="200"/>
        <w:rPr>
          <w:rFonts w:hint="default" w:ascii="Arial" w:hAnsi="Arial" w:cs="Arial"/>
          <w:bCs/>
          <w:highlight w:val="none"/>
          <w:u w:val="single"/>
        </w:rPr>
      </w:pPr>
      <w:r>
        <w:rPr>
          <w:rFonts w:hint="default" w:ascii="Arial" w:hAnsi="Arial" w:cs="Arial"/>
          <w:bCs/>
          <w:highlight w:val="none"/>
        </w:rPr>
        <w:t>相关供应商：</w:t>
      </w:r>
    </w:p>
    <w:p w14:paraId="32AF4C9D">
      <w:pPr>
        <w:pStyle w:val="27"/>
        <w:snapToGrid w:val="0"/>
        <w:spacing w:line="400" w:lineRule="exact"/>
        <w:ind w:firstLine="420" w:firstLineChars="200"/>
        <w:rPr>
          <w:rFonts w:hint="default" w:ascii="Arial" w:hAnsi="Arial" w:cs="Arial"/>
          <w:bCs/>
          <w:highlight w:val="none"/>
          <w:u w:val="single"/>
        </w:rPr>
      </w:pPr>
      <w:r>
        <w:rPr>
          <w:rFonts w:hint="default" w:ascii="Arial" w:hAnsi="Arial" w:cs="Arial"/>
          <w:bCs/>
          <w:highlight w:val="none"/>
        </w:rPr>
        <w:t>地址：邮编：</w:t>
      </w:r>
    </w:p>
    <w:p w14:paraId="75D9C2AC">
      <w:pPr>
        <w:pStyle w:val="27"/>
        <w:snapToGrid w:val="0"/>
        <w:spacing w:line="400" w:lineRule="exact"/>
        <w:ind w:firstLine="420" w:firstLineChars="200"/>
        <w:rPr>
          <w:rFonts w:hint="default" w:ascii="Arial" w:hAnsi="Arial" w:cs="Arial"/>
          <w:bCs/>
          <w:highlight w:val="none"/>
        </w:rPr>
      </w:pPr>
      <w:r>
        <w:rPr>
          <w:rFonts w:hint="default" w:ascii="Arial" w:hAnsi="Arial" w:cs="Arial"/>
          <w:bCs/>
          <w:highlight w:val="none"/>
        </w:rPr>
        <w:t>联系人：联系电话：</w:t>
      </w:r>
    </w:p>
    <w:p w14:paraId="30744E10">
      <w:pPr>
        <w:pStyle w:val="27"/>
        <w:snapToGrid w:val="0"/>
        <w:spacing w:line="400" w:lineRule="exact"/>
        <w:ind w:firstLine="420" w:firstLineChars="200"/>
        <w:rPr>
          <w:rFonts w:hint="default" w:ascii="Arial" w:hAnsi="Arial" w:cs="Arial"/>
          <w:b/>
          <w:bCs/>
          <w:highlight w:val="none"/>
        </w:rPr>
      </w:pPr>
      <w:r>
        <w:rPr>
          <w:rFonts w:hint="default" w:ascii="Arial" w:hAnsi="Arial" w:cs="Arial"/>
          <w:b/>
          <w:bCs/>
          <w:highlight w:val="none"/>
        </w:rPr>
        <w:t>二、投诉项目基本情况：</w:t>
      </w:r>
    </w:p>
    <w:p w14:paraId="0390B0C3">
      <w:pPr>
        <w:pStyle w:val="27"/>
        <w:spacing w:line="400" w:lineRule="exact"/>
        <w:ind w:left="25" w:leftChars="12" w:firstLine="413" w:firstLineChars="197"/>
        <w:rPr>
          <w:rFonts w:hint="default" w:ascii="Arial" w:hAnsi="Arial" w:cs="Arial"/>
          <w:szCs w:val="21"/>
          <w:highlight w:val="none"/>
        </w:rPr>
      </w:pPr>
      <w:r>
        <w:rPr>
          <w:rFonts w:hint="default" w:ascii="Arial" w:hAnsi="Arial" w:cs="Arial"/>
          <w:bCs/>
          <w:highlight w:val="none"/>
        </w:rPr>
        <w:t>采购</w:t>
      </w:r>
      <w:r>
        <w:rPr>
          <w:rFonts w:hint="default" w:ascii="Arial" w:hAnsi="Arial" w:cs="Arial"/>
          <w:szCs w:val="21"/>
          <w:highlight w:val="none"/>
        </w:rPr>
        <w:t>项目的名称：</w:t>
      </w:r>
    </w:p>
    <w:p w14:paraId="602CF781">
      <w:pPr>
        <w:pStyle w:val="27"/>
        <w:spacing w:line="400" w:lineRule="exact"/>
        <w:ind w:left="25" w:leftChars="12" w:firstLine="413" w:firstLineChars="197"/>
        <w:rPr>
          <w:rFonts w:hint="default" w:ascii="Arial" w:hAnsi="Arial" w:cs="Arial"/>
          <w:szCs w:val="21"/>
          <w:highlight w:val="none"/>
        </w:rPr>
      </w:pPr>
      <w:r>
        <w:rPr>
          <w:rFonts w:hint="default" w:ascii="Arial" w:hAnsi="Arial" w:cs="Arial"/>
          <w:bCs/>
          <w:highlight w:val="none"/>
        </w:rPr>
        <w:t>采购</w:t>
      </w:r>
      <w:r>
        <w:rPr>
          <w:rFonts w:hint="default" w:ascii="Arial" w:hAnsi="Arial" w:cs="Arial"/>
          <w:szCs w:val="21"/>
          <w:highlight w:val="none"/>
        </w:rPr>
        <w:t>项目的编号：</w:t>
      </w:r>
    </w:p>
    <w:p w14:paraId="3F361211">
      <w:pPr>
        <w:pStyle w:val="27"/>
        <w:spacing w:line="400" w:lineRule="exact"/>
        <w:ind w:left="25" w:leftChars="12" w:firstLine="413" w:firstLineChars="197"/>
        <w:rPr>
          <w:rFonts w:hint="default" w:ascii="Arial" w:hAnsi="Arial" w:cs="Arial"/>
          <w:bCs/>
          <w:highlight w:val="none"/>
          <w:u w:val="single"/>
        </w:rPr>
      </w:pPr>
      <w:r>
        <w:rPr>
          <w:rFonts w:hint="default" w:ascii="Arial" w:hAnsi="Arial" w:cs="Arial"/>
          <w:szCs w:val="21"/>
          <w:highlight w:val="none"/>
        </w:rPr>
        <w:t>采购人名称：</w:t>
      </w:r>
    </w:p>
    <w:p w14:paraId="0EB7DC16">
      <w:pPr>
        <w:pStyle w:val="27"/>
        <w:spacing w:line="400" w:lineRule="exact"/>
        <w:ind w:left="25" w:leftChars="12" w:firstLine="413" w:firstLineChars="197"/>
        <w:rPr>
          <w:rFonts w:hint="default" w:ascii="Arial" w:hAnsi="Arial" w:cs="Arial"/>
          <w:bCs/>
          <w:highlight w:val="none"/>
          <w:u w:val="single"/>
        </w:rPr>
      </w:pPr>
      <w:r>
        <w:rPr>
          <w:rFonts w:hint="default" w:ascii="Arial" w:hAnsi="Arial" w:cs="Arial"/>
          <w:szCs w:val="21"/>
          <w:highlight w:val="none"/>
        </w:rPr>
        <w:t>代理机构名称：</w:t>
      </w:r>
    </w:p>
    <w:p w14:paraId="24ACA554">
      <w:pPr>
        <w:pStyle w:val="27"/>
        <w:spacing w:line="400" w:lineRule="exact"/>
        <w:ind w:left="25" w:leftChars="12" w:firstLine="413" w:firstLineChars="197"/>
        <w:rPr>
          <w:rFonts w:hint="default" w:ascii="Arial" w:hAnsi="Arial" w:cs="Arial"/>
          <w:bCs/>
          <w:highlight w:val="none"/>
          <w:u w:val="single"/>
        </w:rPr>
      </w:pPr>
      <w:r>
        <w:rPr>
          <w:rFonts w:hint="default" w:ascii="Arial" w:hAnsi="Arial" w:cs="Arial"/>
          <w:bCs/>
          <w:highlight w:val="none"/>
        </w:rPr>
        <w:t>采购文件公告：</w:t>
      </w:r>
      <w:r>
        <w:rPr>
          <w:rFonts w:hint="default" w:ascii="Arial" w:hAnsi="Arial" w:cs="Arial"/>
          <w:bCs/>
          <w:highlight w:val="none"/>
          <w:u w:val="single"/>
        </w:rPr>
        <w:t>是/否</w:t>
      </w:r>
      <w:r>
        <w:rPr>
          <w:rFonts w:hint="default" w:ascii="Arial" w:hAnsi="Arial" w:cs="Arial"/>
          <w:bCs/>
          <w:highlight w:val="none"/>
        </w:rPr>
        <w:t>公告期限：</w:t>
      </w:r>
    </w:p>
    <w:p w14:paraId="35B0FCB5">
      <w:pPr>
        <w:pStyle w:val="27"/>
        <w:spacing w:line="400" w:lineRule="exact"/>
        <w:ind w:left="25" w:leftChars="12" w:firstLine="413" w:firstLineChars="197"/>
        <w:rPr>
          <w:rFonts w:hint="default" w:ascii="Arial" w:hAnsi="Arial" w:cs="Arial"/>
          <w:b/>
          <w:szCs w:val="21"/>
          <w:highlight w:val="none"/>
        </w:rPr>
      </w:pPr>
      <w:r>
        <w:rPr>
          <w:rFonts w:hint="default" w:ascii="Arial" w:hAnsi="Arial" w:cs="Arial"/>
          <w:bCs/>
          <w:highlight w:val="none"/>
        </w:rPr>
        <w:t>采购结果公告：</w:t>
      </w:r>
      <w:r>
        <w:rPr>
          <w:rFonts w:hint="default" w:ascii="Arial" w:hAnsi="Arial" w:cs="Arial"/>
          <w:bCs/>
          <w:highlight w:val="none"/>
          <w:u w:val="single"/>
        </w:rPr>
        <w:t>是/否</w:t>
      </w:r>
      <w:r>
        <w:rPr>
          <w:rFonts w:hint="default" w:ascii="Arial" w:hAnsi="Arial" w:cs="Arial"/>
          <w:bCs/>
          <w:highlight w:val="none"/>
        </w:rPr>
        <w:t>公告期限：</w:t>
      </w:r>
    </w:p>
    <w:p w14:paraId="22B3CD4F">
      <w:pPr>
        <w:pStyle w:val="27"/>
        <w:spacing w:line="400" w:lineRule="exact"/>
        <w:ind w:left="25" w:leftChars="12" w:firstLine="411" w:firstLineChars="196"/>
        <w:rPr>
          <w:rFonts w:hint="default" w:ascii="Arial" w:hAnsi="Arial" w:cs="Arial"/>
          <w:b/>
          <w:szCs w:val="21"/>
          <w:highlight w:val="none"/>
        </w:rPr>
      </w:pPr>
      <w:r>
        <w:rPr>
          <w:rFonts w:hint="default" w:ascii="Arial" w:hAnsi="Arial" w:cs="Arial"/>
          <w:b/>
          <w:szCs w:val="21"/>
          <w:highlight w:val="none"/>
        </w:rPr>
        <w:t>三、质疑基本情况</w:t>
      </w:r>
    </w:p>
    <w:p w14:paraId="53940A41">
      <w:pPr>
        <w:pStyle w:val="27"/>
        <w:spacing w:line="400" w:lineRule="exact"/>
        <w:ind w:left="25" w:leftChars="12" w:firstLine="833" w:firstLineChars="397"/>
        <w:rPr>
          <w:rFonts w:hint="default" w:ascii="Arial" w:hAnsi="Arial" w:cs="Arial"/>
          <w:szCs w:val="21"/>
          <w:highlight w:val="none"/>
        </w:rPr>
      </w:pPr>
      <w:r>
        <w:rPr>
          <w:rFonts w:hint="default" w:ascii="Arial" w:hAnsi="Arial" w:cs="Arial"/>
          <w:szCs w:val="21"/>
          <w:highlight w:val="none"/>
        </w:rPr>
        <w:t>投诉人于年月日，向提出质疑，质疑事项为：</w:t>
      </w:r>
    </w:p>
    <w:p w14:paraId="321C5D58">
      <w:pPr>
        <w:pStyle w:val="27"/>
        <w:spacing w:line="400" w:lineRule="exact"/>
        <w:rPr>
          <w:rFonts w:hint="default" w:ascii="Arial" w:hAnsi="Arial" w:cs="Arial"/>
          <w:bCs/>
          <w:highlight w:val="none"/>
          <w:u w:val="single"/>
        </w:rPr>
      </w:pPr>
    </w:p>
    <w:p w14:paraId="3B09C50B">
      <w:pPr>
        <w:pStyle w:val="27"/>
        <w:spacing w:line="400" w:lineRule="exact"/>
        <w:rPr>
          <w:rFonts w:hint="default" w:ascii="Arial" w:hAnsi="Arial" w:cs="Arial"/>
          <w:bCs/>
          <w:highlight w:val="none"/>
          <w:u w:val="single"/>
        </w:rPr>
      </w:pPr>
    </w:p>
    <w:p w14:paraId="50DB67D0">
      <w:pPr>
        <w:pStyle w:val="27"/>
        <w:spacing w:line="400" w:lineRule="exact"/>
        <w:rPr>
          <w:rFonts w:hint="default" w:ascii="Arial" w:hAnsi="Arial" w:cs="Arial"/>
          <w:szCs w:val="21"/>
          <w:highlight w:val="none"/>
        </w:rPr>
      </w:pPr>
      <w:r>
        <w:rPr>
          <w:rFonts w:hint="default" w:ascii="Arial" w:hAnsi="Arial" w:cs="Arial"/>
          <w:bCs/>
          <w:highlight w:val="none"/>
          <w:u w:val="single"/>
        </w:rPr>
        <w:t>采购人/代理机构</w:t>
      </w:r>
      <w:r>
        <w:rPr>
          <w:rFonts w:hint="default" w:ascii="Arial" w:hAnsi="Arial" w:cs="Arial"/>
          <w:bCs/>
          <w:highlight w:val="none"/>
        </w:rPr>
        <w:t>于</w:t>
      </w:r>
      <w:r>
        <w:rPr>
          <w:rFonts w:hint="default" w:ascii="Arial" w:hAnsi="Arial" w:cs="Arial"/>
          <w:szCs w:val="21"/>
          <w:highlight w:val="none"/>
        </w:rPr>
        <w:t>年月日，</w:t>
      </w:r>
      <w:r>
        <w:rPr>
          <w:rFonts w:hint="default" w:ascii="Arial" w:hAnsi="Arial" w:cs="Arial"/>
          <w:bCs/>
          <w:highlight w:val="none"/>
        </w:rPr>
        <w:t xml:space="preserve">就质疑事项作出了答复/没有在法定期限内作出答复。    </w:t>
      </w:r>
    </w:p>
    <w:p w14:paraId="579B30C8">
      <w:pPr>
        <w:pStyle w:val="27"/>
        <w:spacing w:line="400" w:lineRule="exact"/>
        <w:ind w:left="25" w:leftChars="12" w:firstLine="411" w:firstLineChars="196"/>
        <w:rPr>
          <w:rFonts w:hint="default" w:ascii="Arial" w:hAnsi="Arial" w:cs="Arial"/>
          <w:b/>
          <w:szCs w:val="21"/>
          <w:highlight w:val="none"/>
        </w:rPr>
      </w:pPr>
      <w:r>
        <w:rPr>
          <w:rFonts w:hint="default" w:ascii="Arial" w:hAnsi="Arial" w:cs="Arial"/>
          <w:b/>
          <w:szCs w:val="21"/>
          <w:highlight w:val="none"/>
        </w:rPr>
        <w:t>四、投诉事项具体内容</w:t>
      </w:r>
    </w:p>
    <w:p w14:paraId="2483D81F">
      <w:pPr>
        <w:pStyle w:val="27"/>
        <w:spacing w:line="400" w:lineRule="exact"/>
        <w:ind w:left="25" w:leftChars="12" w:firstLine="413" w:firstLineChars="197"/>
        <w:rPr>
          <w:rFonts w:hint="default" w:ascii="Arial" w:hAnsi="Arial" w:cs="Arial"/>
          <w:bCs/>
          <w:highlight w:val="none"/>
          <w:u w:val="single"/>
        </w:rPr>
      </w:pPr>
      <w:r>
        <w:rPr>
          <w:rFonts w:hint="default" w:ascii="Arial" w:hAnsi="Arial" w:cs="Arial"/>
          <w:szCs w:val="21"/>
          <w:highlight w:val="none"/>
        </w:rPr>
        <w:t>投诉事项1：</w:t>
      </w:r>
    </w:p>
    <w:p w14:paraId="5C96F35D">
      <w:pPr>
        <w:pStyle w:val="27"/>
        <w:spacing w:line="400" w:lineRule="exact"/>
        <w:ind w:firstLine="420" w:firstLineChars="200"/>
        <w:rPr>
          <w:rFonts w:hint="default" w:ascii="Arial" w:hAnsi="Arial" w:cs="Arial"/>
          <w:bCs/>
          <w:highlight w:val="none"/>
          <w:u w:val="single"/>
        </w:rPr>
      </w:pPr>
      <w:r>
        <w:rPr>
          <w:rFonts w:hint="default" w:ascii="Arial" w:hAnsi="Arial" w:cs="Arial"/>
          <w:bCs/>
          <w:highlight w:val="none"/>
        </w:rPr>
        <w:t>事实依据：</w:t>
      </w:r>
    </w:p>
    <w:p w14:paraId="5564ED44">
      <w:pPr>
        <w:pStyle w:val="27"/>
        <w:spacing w:line="400" w:lineRule="exact"/>
        <w:ind w:left="25" w:leftChars="12" w:firstLine="413" w:firstLineChars="197"/>
        <w:rPr>
          <w:rFonts w:hint="default" w:ascii="Arial" w:hAnsi="Arial" w:cs="Arial"/>
          <w:szCs w:val="21"/>
          <w:highlight w:val="none"/>
        </w:rPr>
      </w:pPr>
    </w:p>
    <w:p w14:paraId="091C292C">
      <w:pPr>
        <w:pStyle w:val="27"/>
        <w:spacing w:line="400" w:lineRule="exact"/>
        <w:ind w:firstLine="420" w:firstLineChars="200"/>
        <w:rPr>
          <w:rFonts w:hint="default" w:ascii="Arial" w:hAnsi="Arial" w:cs="Arial"/>
          <w:bCs/>
          <w:highlight w:val="none"/>
          <w:u w:val="single"/>
        </w:rPr>
      </w:pPr>
      <w:r>
        <w:rPr>
          <w:rFonts w:hint="default" w:ascii="Arial" w:hAnsi="Arial" w:cs="Arial"/>
          <w:bCs/>
          <w:highlight w:val="none"/>
        </w:rPr>
        <w:t>法律依据：</w:t>
      </w:r>
    </w:p>
    <w:p w14:paraId="46D2301A">
      <w:pPr>
        <w:pStyle w:val="27"/>
        <w:spacing w:line="400" w:lineRule="exact"/>
        <w:ind w:left="25" w:leftChars="12" w:firstLine="308" w:firstLineChars="147"/>
        <w:rPr>
          <w:rFonts w:hint="default" w:ascii="Arial" w:hAnsi="Arial" w:cs="Arial"/>
          <w:bCs/>
          <w:highlight w:val="none"/>
          <w:u w:val="single"/>
        </w:rPr>
      </w:pPr>
    </w:p>
    <w:p w14:paraId="7A594933">
      <w:pPr>
        <w:pStyle w:val="27"/>
        <w:spacing w:line="400" w:lineRule="exact"/>
        <w:ind w:left="25" w:leftChars="12" w:firstLine="413" w:firstLineChars="197"/>
        <w:rPr>
          <w:rFonts w:hint="default" w:ascii="Arial" w:hAnsi="Arial" w:cs="Arial"/>
          <w:bCs/>
          <w:highlight w:val="none"/>
        </w:rPr>
      </w:pPr>
      <w:r>
        <w:rPr>
          <w:rFonts w:hint="default" w:ascii="Arial" w:hAnsi="Arial" w:cs="Arial"/>
          <w:szCs w:val="21"/>
          <w:highlight w:val="none"/>
        </w:rPr>
        <w:t xml:space="preserve">投诉事项2  </w:t>
      </w:r>
    </w:p>
    <w:p w14:paraId="7D7EA599">
      <w:pPr>
        <w:pStyle w:val="27"/>
        <w:spacing w:line="400" w:lineRule="exact"/>
        <w:ind w:left="25" w:leftChars="12" w:firstLine="413" w:firstLineChars="197"/>
        <w:rPr>
          <w:rFonts w:hint="default" w:ascii="Arial" w:hAnsi="Arial" w:cs="Arial"/>
          <w:bCs/>
          <w:highlight w:val="none"/>
        </w:rPr>
      </w:pPr>
      <w:r>
        <w:rPr>
          <w:rFonts w:hint="default" w:ascii="Arial" w:hAnsi="Arial" w:cs="Arial"/>
          <w:bCs/>
          <w:highlight w:val="none"/>
        </w:rPr>
        <w:t>……</w:t>
      </w:r>
    </w:p>
    <w:p w14:paraId="37D15B84">
      <w:pPr>
        <w:pStyle w:val="27"/>
        <w:spacing w:line="400" w:lineRule="exact"/>
        <w:ind w:left="25" w:leftChars="12" w:firstLine="411" w:firstLineChars="196"/>
        <w:rPr>
          <w:rFonts w:hint="default" w:ascii="Arial" w:hAnsi="Arial" w:cs="Arial"/>
          <w:b/>
          <w:szCs w:val="21"/>
          <w:highlight w:val="none"/>
        </w:rPr>
      </w:pPr>
      <w:r>
        <w:rPr>
          <w:rFonts w:hint="default" w:ascii="Arial" w:hAnsi="Arial" w:cs="Arial"/>
          <w:b/>
          <w:szCs w:val="21"/>
          <w:highlight w:val="none"/>
        </w:rPr>
        <w:t>五、与投诉事项相关的投诉请求：</w:t>
      </w:r>
    </w:p>
    <w:p w14:paraId="064036EA">
      <w:pPr>
        <w:pStyle w:val="27"/>
        <w:spacing w:line="400" w:lineRule="exact"/>
        <w:ind w:left="25" w:leftChars="12" w:firstLine="413" w:firstLineChars="197"/>
        <w:rPr>
          <w:rFonts w:hint="default" w:ascii="Arial" w:hAnsi="Arial" w:cs="Arial"/>
          <w:szCs w:val="21"/>
          <w:highlight w:val="none"/>
        </w:rPr>
      </w:pPr>
      <w:r>
        <w:rPr>
          <w:rFonts w:hint="default" w:ascii="Arial" w:hAnsi="Arial" w:cs="Arial"/>
          <w:szCs w:val="21"/>
          <w:highlight w:val="none"/>
        </w:rPr>
        <w:t>请求：</w:t>
      </w:r>
    </w:p>
    <w:p w14:paraId="2F1F5927">
      <w:pPr>
        <w:pStyle w:val="27"/>
        <w:spacing w:line="400" w:lineRule="exact"/>
        <w:ind w:left="25" w:leftChars="12" w:firstLine="308" w:firstLineChars="147"/>
        <w:rPr>
          <w:rFonts w:hint="default" w:ascii="Arial" w:hAnsi="Arial" w:cs="Arial"/>
          <w:szCs w:val="21"/>
          <w:highlight w:val="none"/>
        </w:rPr>
      </w:pPr>
    </w:p>
    <w:p w14:paraId="3059C80A">
      <w:pPr>
        <w:pStyle w:val="27"/>
        <w:spacing w:line="400" w:lineRule="exact"/>
        <w:ind w:left="25" w:leftChars="12" w:firstLine="413" w:firstLineChars="197"/>
        <w:rPr>
          <w:rFonts w:hint="default" w:ascii="Arial" w:hAnsi="Arial" w:cs="Arial"/>
          <w:szCs w:val="21"/>
          <w:highlight w:val="none"/>
        </w:rPr>
      </w:pPr>
      <w:r>
        <w:rPr>
          <w:rFonts w:hint="default" w:ascii="Arial" w:hAnsi="Arial" w:cs="Arial"/>
          <w:szCs w:val="21"/>
          <w:highlight w:val="none"/>
        </w:rPr>
        <w:t>签字（签章）：                                       公章：</w:t>
      </w:r>
    </w:p>
    <w:p w14:paraId="60767119">
      <w:pPr>
        <w:pStyle w:val="27"/>
        <w:spacing w:line="400" w:lineRule="exact"/>
        <w:ind w:left="25" w:leftChars="12" w:firstLine="308" w:firstLineChars="147"/>
        <w:rPr>
          <w:rFonts w:hint="default" w:ascii="Arial" w:hAnsi="Arial" w:cs="Arial"/>
          <w:szCs w:val="21"/>
          <w:highlight w:val="none"/>
        </w:rPr>
      </w:pPr>
    </w:p>
    <w:p w14:paraId="35AFD137">
      <w:pPr>
        <w:pStyle w:val="27"/>
        <w:spacing w:line="400" w:lineRule="exact"/>
        <w:ind w:left="25" w:leftChars="12" w:firstLine="413" w:firstLineChars="197"/>
        <w:rPr>
          <w:rFonts w:hint="default" w:ascii="Arial" w:hAnsi="Arial" w:cs="Arial"/>
          <w:szCs w:val="21"/>
          <w:highlight w:val="none"/>
        </w:rPr>
      </w:pPr>
      <w:r>
        <w:rPr>
          <w:rFonts w:hint="default" w:ascii="Arial" w:hAnsi="Arial" w:cs="Arial"/>
          <w:szCs w:val="21"/>
          <w:highlight w:val="none"/>
        </w:rPr>
        <w:t>日期：</w:t>
      </w:r>
    </w:p>
    <w:p w14:paraId="6875ABD7">
      <w:pPr>
        <w:pStyle w:val="27"/>
        <w:spacing w:line="360" w:lineRule="exact"/>
        <w:ind w:left="25" w:leftChars="12" w:firstLine="413" w:firstLineChars="197"/>
        <w:rPr>
          <w:rFonts w:hint="default" w:ascii="Arial" w:hAnsi="Arial" w:cs="Arial"/>
          <w:szCs w:val="21"/>
          <w:highlight w:val="none"/>
        </w:rPr>
      </w:pPr>
    </w:p>
    <w:p w14:paraId="42C2EC7E">
      <w:pPr>
        <w:pStyle w:val="27"/>
        <w:snapToGrid w:val="0"/>
        <w:spacing w:line="340" w:lineRule="exact"/>
        <w:rPr>
          <w:rFonts w:hint="default" w:ascii="Arial" w:hAnsi="Arial" w:cs="Arial"/>
          <w:b/>
          <w:szCs w:val="21"/>
          <w:highlight w:val="none"/>
        </w:rPr>
      </w:pPr>
    </w:p>
    <w:p w14:paraId="77934600">
      <w:pPr>
        <w:pStyle w:val="27"/>
        <w:snapToGrid w:val="0"/>
        <w:spacing w:line="340" w:lineRule="exact"/>
        <w:rPr>
          <w:rFonts w:hint="default" w:ascii="Arial" w:hAnsi="Arial" w:cs="Arial"/>
          <w:b/>
          <w:szCs w:val="21"/>
          <w:highlight w:val="none"/>
        </w:rPr>
      </w:pPr>
      <w:r>
        <w:rPr>
          <w:rFonts w:hint="default" w:ascii="Arial" w:hAnsi="Arial" w:cs="Arial"/>
          <w:b/>
          <w:szCs w:val="21"/>
          <w:highlight w:val="none"/>
        </w:rPr>
        <w:t>说明：</w:t>
      </w:r>
    </w:p>
    <w:p w14:paraId="1D93D958">
      <w:pPr>
        <w:pStyle w:val="27"/>
        <w:spacing w:line="340" w:lineRule="exact"/>
        <w:ind w:left="25" w:leftChars="12" w:firstLine="308" w:firstLineChars="147"/>
        <w:rPr>
          <w:rFonts w:hint="default" w:ascii="Arial" w:hAnsi="Arial" w:cs="Arial"/>
          <w:b/>
          <w:bCs/>
          <w:highlight w:val="none"/>
        </w:rPr>
      </w:pPr>
      <w:r>
        <w:rPr>
          <w:rFonts w:hint="default" w:ascii="Arial" w:hAnsi="Arial" w:cs="Arial"/>
          <w:b/>
          <w:szCs w:val="21"/>
          <w:highlight w:val="none"/>
        </w:rPr>
        <w:t>1.投诉人提起投诉时，应当提交投诉书和必要的证明材料，并按照被投诉人和与投诉事项有关的供应商数量提供投诉书副本</w:t>
      </w:r>
      <w:r>
        <w:rPr>
          <w:rFonts w:hint="default" w:ascii="Arial" w:hAnsi="Arial" w:cs="Arial"/>
          <w:b/>
          <w:bCs/>
          <w:highlight w:val="none"/>
        </w:rPr>
        <w:t>。</w:t>
      </w:r>
    </w:p>
    <w:p w14:paraId="17724C3D">
      <w:pPr>
        <w:pStyle w:val="27"/>
        <w:spacing w:line="340" w:lineRule="exact"/>
        <w:ind w:left="25" w:leftChars="12" w:firstLine="308" w:firstLineChars="147"/>
        <w:rPr>
          <w:rFonts w:hint="default" w:ascii="Arial" w:hAnsi="Arial" w:cs="Arial"/>
          <w:b/>
          <w:szCs w:val="21"/>
          <w:highlight w:val="none"/>
        </w:rPr>
      </w:pPr>
      <w:r>
        <w:rPr>
          <w:rFonts w:hint="default" w:ascii="Arial" w:hAnsi="Arial" w:cs="Arial"/>
          <w:b/>
          <w:szCs w:val="21"/>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62387C39">
      <w:pPr>
        <w:pStyle w:val="27"/>
        <w:spacing w:line="340" w:lineRule="exact"/>
        <w:ind w:left="25" w:leftChars="12" w:firstLine="308" w:firstLineChars="147"/>
        <w:rPr>
          <w:rFonts w:hint="default" w:ascii="Arial" w:hAnsi="Arial" w:cs="Arial"/>
          <w:b/>
          <w:szCs w:val="21"/>
          <w:highlight w:val="none"/>
        </w:rPr>
      </w:pPr>
      <w:r>
        <w:rPr>
          <w:rFonts w:hint="default" w:ascii="Arial" w:hAnsi="Arial" w:cs="Arial"/>
          <w:b/>
          <w:szCs w:val="21"/>
          <w:highlight w:val="none"/>
        </w:rPr>
        <w:t>3.投诉书应简要列明质疑事项，质疑函、质疑答复等作为附件材料提供。</w:t>
      </w:r>
    </w:p>
    <w:p w14:paraId="52A0ECA5">
      <w:pPr>
        <w:pStyle w:val="27"/>
        <w:spacing w:line="340" w:lineRule="exact"/>
        <w:ind w:left="25" w:leftChars="12" w:firstLine="308" w:firstLineChars="147"/>
        <w:rPr>
          <w:rFonts w:hint="default" w:ascii="Arial" w:hAnsi="Arial" w:cs="Arial"/>
          <w:b/>
          <w:szCs w:val="21"/>
          <w:highlight w:val="none"/>
        </w:rPr>
      </w:pPr>
      <w:r>
        <w:rPr>
          <w:rFonts w:hint="default" w:ascii="Arial" w:hAnsi="Arial" w:cs="Arial"/>
          <w:b/>
          <w:szCs w:val="21"/>
          <w:highlight w:val="none"/>
        </w:rPr>
        <w:t>4.投诉书的投诉事项应具体、明确，并有必要的事实依据和法律依据。</w:t>
      </w:r>
    </w:p>
    <w:p w14:paraId="6246A882">
      <w:pPr>
        <w:pStyle w:val="27"/>
        <w:spacing w:line="340" w:lineRule="exact"/>
        <w:ind w:left="25" w:leftChars="12" w:firstLine="308" w:firstLineChars="147"/>
        <w:rPr>
          <w:rFonts w:hint="default" w:ascii="Arial" w:hAnsi="Arial" w:cs="Arial"/>
          <w:b/>
          <w:szCs w:val="21"/>
          <w:highlight w:val="none"/>
        </w:rPr>
      </w:pPr>
      <w:r>
        <w:rPr>
          <w:rFonts w:hint="default" w:ascii="Arial" w:hAnsi="Arial" w:cs="Arial"/>
          <w:b/>
          <w:szCs w:val="21"/>
          <w:highlight w:val="none"/>
        </w:rPr>
        <w:t>5.投诉书的投诉请求应与投诉事项相关。</w:t>
      </w:r>
    </w:p>
    <w:p w14:paraId="7880AD8C">
      <w:pPr>
        <w:pStyle w:val="27"/>
        <w:snapToGrid w:val="0"/>
        <w:spacing w:line="380" w:lineRule="exact"/>
        <w:ind w:firstLine="315" w:firstLineChars="150"/>
        <w:rPr>
          <w:rFonts w:hint="default" w:ascii="Arial" w:hAnsi="Arial" w:cs="Arial"/>
          <w:b/>
          <w:sz w:val="32"/>
          <w:szCs w:val="32"/>
          <w:highlight w:val="none"/>
        </w:rPr>
      </w:pPr>
      <w:r>
        <w:rPr>
          <w:rFonts w:hint="default" w:ascii="Arial" w:hAnsi="Arial" w:cs="Arial"/>
          <w:b/>
          <w:szCs w:val="21"/>
          <w:highlight w:val="none"/>
        </w:rPr>
        <w:t>6.投诉人为自然人的，投诉书应由本人签字；投诉人为法人或者其他组织的，投诉书应由法定代表人、主要负责人，或者其授权代表签字或者盖章，并加盖公章。</w:t>
      </w:r>
    </w:p>
    <w:p w14:paraId="12302BAB">
      <w:pPr>
        <w:pStyle w:val="27"/>
        <w:snapToGrid w:val="0"/>
        <w:spacing w:line="380" w:lineRule="exact"/>
        <w:ind w:firstLine="480" w:firstLineChars="150"/>
        <w:rPr>
          <w:rFonts w:hint="default" w:ascii="Arial" w:hAnsi="Arial" w:cs="Arial"/>
          <w:b/>
          <w:sz w:val="32"/>
          <w:szCs w:val="32"/>
          <w:highlight w:val="none"/>
        </w:rPr>
      </w:pPr>
    </w:p>
    <w:p w14:paraId="5438BB7F">
      <w:pPr>
        <w:pStyle w:val="27"/>
        <w:snapToGrid w:val="0"/>
        <w:spacing w:line="380" w:lineRule="exact"/>
        <w:ind w:firstLine="640" w:firstLineChars="200"/>
        <w:rPr>
          <w:rFonts w:hint="default" w:ascii="Arial" w:hAnsi="Arial" w:cs="Arial"/>
          <w:b/>
          <w:sz w:val="32"/>
          <w:szCs w:val="32"/>
          <w:highlight w:val="none"/>
        </w:rPr>
      </w:pPr>
    </w:p>
    <w:p w14:paraId="7425910B">
      <w:pPr>
        <w:pStyle w:val="27"/>
        <w:snapToGrid w:val="0"/>
        <w:spacing w:line="380" w:lineRule="exact"/>
        <w:ind w:firstLine="640" w:firstLineChars="200"/>
        <w:rPr>
          <w:rFonts w:hint="default" w:ascii="Arial" w:hAnsi="Arial" w:cs="Arial"/>
          <w:b/>
          <w:sz w:val="32"/>
          <w:szCs w:val="32"/>
          <w:highlight w:val="none"/>
        </w:rPr>
      </w:pPr>
    </w:p>
    <w:p w14:paraId="7F6D6639">
      <w:pPr>
        <w:spacing w:line="360" w:lineRule="exact"/>
        <w:rPr>
          <w:rFonts w:hint="default" w:ascii="Arial" w:hAnsi="Arial" w:cs="Arial"/>
          <w:b/>
          <w:sz w:val="32"/>
          <w:szCs w:val="32"/>
          <w:highlight w:val="none"/>
        </w:rPr>
      </w:pPr>
    </w:p>
    <w:p w14:paraId="5F31D784">
      <w:pPr>
        <w:spacing w:line="360" w:lineRule="exact"/>
        <w:jc w:val="center"/>
        <w:rPr>
          <w:rFonts w:hint="default" w:ascii="Arial" w:hAnsi="Arial" w:cs="Arial"/>
          <w:b/>
          <w:sz w:val="32"/>
          <w:szCs w:val="32"/>
          <w:highlight w:val="none"/>
        </w:rPr>
      </w:pPr>
    </w:p>
    <w:p w14:paraId="3A12507A">
      <w:pPr>
        <w:spacing w:line="360" w:lineRule="exact"/>
        <w:jc w:val="center"/>
        <w:rPr>
          <w:rFonts w:hint="default" w:ascii="Arial" w:hAnsi="Arial" w:cs="Arial"/>
          <w:b/>
          <w:sz w:val="32"/>
          <w:szCs w:val="32"/>
          <w:highlight w:val="none"/>
        </w:rPr>
      </w:pPr>
    </w:p>
    <w:p w14:paraId="2D9DDCE5">
      <w:pPr>
        <w:spacing w:line="360" w:lineRule="exact"/>
        <w:jc w:val="center"/>
        <w:rPr>
          <w:rFonts w:hint="default" w:ascii="Arial" w:hAnsi="Arial" w:cs="Arial"/>
          <w:b/>
          <w:sz w:val="32"/>
          <w:szCs w:val="32"/>
          <w:highlight w:val="none"/>
        </w:rPr>
      </w:pPr>
    </w:p>
    <w:p w14:paraId="1AB55EC9">
      <w:pPr>
        <w:spacing w:line="360" w:lineRule="exact"/>
        <w:jc w:val="center"/>
        <w:rPr>
          <w:rFonts w:hint="default" w:ascii="Arial" w:hAnsi="Arial" w:cs="Arial"/>
          <w:b/>
          <w:sz w:val="32"/>
          <w:szCs w:val="32"/>
          <w:highlight w:val="none"/>
        </w:rPr>
      </w:pPr>
    </w:p>
    <w:p w14:paraId="26D2C832">
      <w:pPr>
        <w:spacing w:line="360" w:lineRule="exact"/>
        <w:rPr>
          <w:rFonts w:hint="default" w:ascii="Arial" w:hAnsi="Arial" w:cs="Arial"/>
          <w:b/>
          <w:sz w:val="32"/>
          <w:szCs w:val="32"/>
          <w:highlight w:val="none"/>
        </w:rPr>
      </w:pPr>
    </w:p>
    <w:p w14:paraId="728A4100">
      <w:pPr>
        <w:pStyle w:val="4"/>
        <w:jc w:val="center"/>
        <w:rPr>
          <w:rFonts w:hint="default" w:ascii="Arial" w:hAnsi="Arial" w:cs="Arial"/>
          <w:highlight w:val="none"/>
        </w:rPr>
      </w:pPr>
      <w:bookmarkStart w:id="17" w:name="_Toc524017690"/>
      <w:bookmarkStart w:id="18" w:name="_Toc524017823"/>
      <w:r>
        <w:rPr>
          <w:rFonts w:hint="default" w:ascii="Arial" w:hAnsi="Arial" w:cs="Arial"/>
          <w:highlight w:val="none"/>
        </w:rPr>
        <w:br w:type="page"/>
      </w:r>
      <w:bookmarkStart w:id="19" w:name="_Toc82079327"/>
      <w:bookmarkStart w:id="20" w:name="_Toc82079279"/>
      <w:bookmarkStart w:id="21" w:name="_Toc25342"/>
      <w:r>
        <w:rPr>
          <w:rFonts w:hint="default" w:ascii="Arial" w:hAnsi="Arial" w:cs="Arial"/>
          <w:highlight w:val="none"/>
        </w:rPr>
        <w:t>第三章　</w:t>
      </w:r>
      <w:bookmarkEnd w:id="17"/>
      <w:bookmarkEnd w:id="18"/>
      <w:bookmarkStart w:id="22" w:name="_Hlk92263589"/>
      <w:r>
        <w:rPr>
          <w:rFonts w:hint="default" w:ascii="Arial" w:hAnsi="Arial" w:cs="Arial"/>
          <w:highlight w:val="none"/>
        </w:rPr>
        <w:t>货物采购需求</w:t>
      </w:r>
      <w:bookmarkEnd w:id="19"/>
      <w:bookmarkEnd w:id="20"/>
      <w:bookmarkEnd w:id="21"/>
    </w:p>
    <w:p w14:paraId="42E8953E">
      <w:pPr>
        <w:pStyle w:val="31"/>
        <w:ind w:firstLine="630" w:firstLineChars="300"/>
        <w:rPr>
          <w:rFonts w:hint="default" w:ascii="Arial" w:hAnsi="Arial" w:cs="Arial"/>
          <w:b/>
          <w:bCs/>
          <w:sz w:val="21"/>
          <w:szCs w:val="21"/>
          <w:highlight w:val="none"/>
        </w:rPr>
      </w:pPr>
      <w:r>
        <w:rPr>
          <w:rFonts w:hint="default" w:ascii="Arial" w:hAnsi="Arial" w:cs="Arial"/>
          <w:b/>
          <w:bCs/>
          <w:sz w:val="21"/>
          <w:szCs w:val="21"/>
          <w:highlight w:val="none"/>
        </w:rPr>
        <w:t>说明：</w:t>
      </w:r>
    </w:p>
    <w:p w14:paraId="55772631">
      <w:pPr>
        <w:adjustRightInd w:val="0"/>
        <w:ind w:firstLine="431"/>
        <w:rPr>
          <w:rFonts w:hint="default" w:ascii="Arial" w:hAnsi="Arial" w:cs="Arial"/>
          <w:b/>
          <w:szCs w:val="21"/>
          <w:highlight w:val="none"/>
        </w:rPr>
      </w:pPr>
      <w:r>
        <w:rPr>
          <w:rFonts w:hint="default" w:ascii="Arial" w:hAnsi="Arial" w:cs="Arial"/>
          <w:bCs/>
          <w:i/>
          <w:highlight w:val="none"/>
        </w:rPr>
        <w:t>一、</w:t>
      </w:r>
      <w:r>
        <w:rPr>
          <w:rFonts w:hint="default" w:ascii="Arial" w:hAnsi="Arial" w:cs="Arial"/>
          <w:b/>
          <w:szCs w:val="21"/>
          <w:highlight w:val="none"/>
        </w:rPr>
        <w:t>本表中的品牌、规格型号仅起参考作用，供应商可选用其他品牌、规格型号替代，但这些替代的品牌、规格型号要实质上相当于或优于参考品牌、规格型号要求。</w:t>
      </w:r>
    </w:p>
    <w:p w14:paraId="16D0844A">
      <w:pPr>
        <w:pStyle w:val="18"/>
        <w:ind w:firstLine="420" w:firstLineChars="200"/>
        <w:rPr>
          <w:rFonts w:hint="default" w:ascii="Arial" w:hAnsi="Arial" w:cs="Arial"/>
          <w:b/>
          <w:bCs/>
          <w:highlight w:val="none"/>
          <w:lang w:eastAsia="zh-CN"/>
        </w:rPr>
      </w:pPr>
      <w:r>
        <w:rPr>
          <w:rFonts w:hint="default" w:ascii="Arial" w:hAnsi="Arial" w:cs="Arial"/>
          <w:b/>
          <w:bCs/>
          <w:highlight w:val="none"/>
        </w:rPr>
        <w:t>二、</w:t>
      </w:r>
      <w:r>
        <w:rPr>
          <w:rFonts w:hint="default" w:ascii="Arial" w:hAnsi="Arial" w:cs="Arial"/>
          <w:b/>
          <w:bCs/>
          <w:highlight w:val="none"/>
          <w:lang w:eastAsia="zh-CN"/>
        </w:rPr>
        <w:t>“货物采购需求”中的</w:t>
      </w:r>
      <w:r>
        <w:rPr>
          <w:rFonts w:hint="default" w:ascii="Arial" w:hAnsi="Arial" w:cs="Arial"/>
          <w:b/>
          <w:bCs/>
          <w:highlight w:val="none"/>
          <w:lang w:val="en-US" w:eastAsia="zh-CN"/>
        </w:rPr>
        <w:t>“</w:t>
      </w:r>
      <w:r>
        <w:rPr>
          <w:rFonts w:hint="default" w:ascii="Arial" w:hAnsi="Arial" w:cs="Arial"/>
          <w:b/>
          <w:bCs/>
          <w:color w:val="auto"/>
          <w:szCs w:val="21"/>
          <w:highlight w:val="none"/>
          <w:lang w:eastAsia="zh-CN"/>
        </w:rPr>
        <w:t>▲</w:t>
      </w:r>
      <w:r>
        <w:rPr>
          <w:rFonts w:hint="default" w:ascii="Arial" w:hAnsi="Arial" w:cs="Arial"/>
          <w:b/>
          <w:bCs/>
          <w:highlight w:val="none"/>
          <w:lang w:val="en-US" w:eastAsia="zh-CN"/>
        </w:rPr>
        <w:t>”为实质性要求，不得存在负偏离，否则按废标处理。</w:t>
      </w:r>
    </w:p>
    <w:p w14:paraId="3E50007D">
      <w:pPr>
        <w:adjustRightInd w:val="0"/>
        <w:ind w:firstLine="431"/>
        <w:rPr>
          <w:rFonts w:hint="default" w:ascii="Arial" w:hAnsi="Arial" w:cs="Arial"/>
          <w:b/>
          <w:szCs w:val="21"/>
          <w:highlight w:val="none"/>
        </w:rPr>
      </w:pPr>
      <w:r>
        <w:rPr>
          <w:rFonts w:hint="default" w:ascii="Arial" w:hAnsi="Arial" w:cs="Arial"/>
          <w:b/>
          <w:szCs w:val="21"/>
          <w:highlight w:val="none"/>
        </w:rPr>
        <w:t>三、本表中参考品牌、规格型号、采购需求（技术参数、性能、配置等要求）不明确或有误的，或供应商选用其他品牌、规格型号替代的，请以详细、正确的品牌、规格型号、技术参数、性能、配置填写投标报价表。</w:t>
      </w:r>
    </w:p>
    <w:p w14:paraId="7BCB3C95">
      <w:pPr>
        <w:adjustRightInd w:val="0"/>
        <w:ind w:firstLine="431"/>
        <w:rPr>
          <w:rFonts w:hint="default" w:ascii="Arial" w:hAnsi="Arial" w:cs="Arial"/>
          <w:b/>
          <w:szCs w:val="21"/>
          <w:highlight w:val="none"/>
        </w:rPr>
      </w:pPr>
      <w:r>
        <w:rPr>
          <w:rFonts w:hint="default" w:ascii="Arial" w:hAnsi="Arial" w:cs="Arial"/>
          <w:b/>
          <w:szCs w:val="21"/>
          <w:highlight w:val="none"/>
        </w:rPr>
        <w:t>四、本项目所要执行的政府采购政策：</w:t>
      </w:r>
    </w:p>
    <w:p w14:paraId="73482170">
      <w:pPr>
        <w:ind w:firstLine="420" w:firstLineChars="200"/>
        <w:rPr>
          <w:rFonts w:hint="default" w:ascii="Arial" w:hAnsi="Arial" w:cs="Arial"/>
          <w:b/>
          <w:szCs w:val="21"/>
          <w:highlight w:val="none"/>
        </w:rPr>
      </w:pPr>
      <w:r>
        <w:rPr>
          <w:rFonts w:hint="default" w:ascii="Arial" w:hAnsi="Arial" w:cs="Arial"/>
          <w:b/>
          <w:szCs w:val="21"/>
          <w:highlight w:val="none"/>
        </w:rPr>
        <w:t>1. 根据《政府采购促进中小企业发展管理办法》（财库[2020]46号）、《关于进一步加大政府采购支持中小企业力度的通知》（财库〔2022〕19号），</w:t>
      </w:r>
      <w:r>
        <w:rPr>
          <w:rFonts w:hint="default" w:ascii="Arial" w:hAnsi="Arial" w:cs="Arial"/>
          <w:b/>
          <w:highlight w:val="none"/>
        </w:rPr>
        <w:t>供应商认定所提供的产品为小型、微型企业产品的</w:t>
      </w:r>
      <w:r>
        <w:rPr>
          <w:rFonts w:hint="default" w:ascii="Arial" w:hAnsi="Arial" w:cs="Arial"/>
          <w:b/>
          <w:szCs w:val="21"/>
          <w:highlight w:val="none"/>
        </w:rPr>
        <w:t>，该产品报价给予20%的扣除。</w:t>
      </w:r>
    </w:p>
    <w:p w14:paraId="56397469">
      <w:pPr>
        <w:ind w:firstLine="420" w:firstLineChars="200"/>
        <w:rPr>
          <w:rFonts w:hint="default" w:ascii="Arial" w:hAnsi="Arial" w:cs="Arial"/>
          <w:b/>
          <w:szCs w:val="21"/>
          <w:highlight w:val="none"/>
        </w:rPr>
      </w:pPr>
      <w:r>
        <w:rPr>
          <w:rFonts w:hint="default" w:ascii="Arial" w:hAnsi="Arial" w:cs="Arial"/>
          <w:b/>
          <w:szCs w:val="21"/>
          <w:highlight w:val="none"/>
        </w:rPr>
        <w:t>2.根据财政部、司法部关于政府采购支持监狱企业发展有关问题的通知（财库[2014]68号），监狱企业视同小型、微型企业，</w:t>
      </w:r>
      <w:r>
        <w:rPr>
          <w:rFonts w:hint="default" w:ascii="Arial" w:hAnsi="Arial" w:cs="Arial"/>
          <w:b/>
          <w:bCs/>
          <w:highlight w:val="none"/>
        </w:rPr>
        <w:t>享受预留份额、评审中价格扣除等政府采购政策。</w:t>
      </w:r>
    </w:p>
    <w:p w14:paraId="05DB6B8A">
      <w:pPr>
        <w:ind w:firstLine="420" w:firstLineChars="200"/>
        <w:rPr>
          <w:rFonts w:hint="default" w:ascii="Arial" w:hAnsi="Arial" w:cs="Arial"/>
          <w:b/>
          <w:bCs/>
          <w:highlight w:val="none"/>
        </w:rPr>
      </w:pPr>
      <w:r>
        <w:rPr>
          <w:rFonts w:hint="default" w:ascii="Arial" w:hAnsi="Arial" w:cs="Arial"/>
          <w:b/>
          <w:szCs w:val="21"/>
          <w:highlight w:val="none"/>
        </w:rPr>
        <w:t>3.</w:t>
      </w:r>
      <w:r>
        <w:rPr>
          <w:rFonts w:hint="default" w:ascii="Arial" w:hAnsi="Arial" w:cs="Arial"/>
          <w:b/>
          <w:highlight w:val="none"/>
        </w:rPr>
        <w:t>按照</w:t>
      </w:r>
      <w:r>
        <w:rPr>
          <w:rFonts w:hint="default" w:ascii="Arial" w:hAnsi="Arial" w:cs="Arial"/>
          <w:b/>
          <w:bCs/>
          <w:highlight w:val="none"/>
        </w:rPr>
        <w:t>《关于促进残疾人就业政府采购政策的通知》（财库〔2017〕141号）的规定，残疾人福利性单位视同小型、微型企业，享受预留份额、评审中价格扣除等促进中小企业发展的政府采购政策。残疾人福利性单位属于小型、微型企业的，不重复享受政策。</w:t>
      </w:r>
    </w:p>
    <w:p w14:paraId="74F7464A">
      <w:pPr>
        <w:ind w:firstLine="420" w:firstLineChars="200"/>
        <w:textAlignment w:val="center"/>
        <w:rPr>
          <w:rFonts w:hint="default" w:ascii="Arial" w:hAnsi="Arial" w:cs="Arial"/>
          <w:b/>
          <w:bCs/>
          <w:szCs w:val="21"/>
          <w:highlight w:val="none"/>
        </w:rPr>
      </w:pPr>
      <w:r>
        <w:rPr>
          <w:rFonts w:hint="default" w:ascii="Arial" w:hAnsi="Arial" w:cs="Arial"/>
          <w:b/>
          <w:szCs w:val="21"/>
          <w:highlight w:val="none"/>
        </w:rPr>
        <w:t>4.</w:t>
      </w:r>
      <w:r>
        <w:rPr>
          <w:rFonts w:hint="default" w:ascii="Arial" w:hAnsi="Arial" w:cs="Arial"/>
          <w:b/>
          <w:bCs/>
          <w:szCs w:val="21"/>
          <w:highlight w:val="none"/>
        </w:rPr>
        <w:t>根据财库〔2019〕9 号及财库〔2019〕19 号文件规定，台式计算机，便携式计算机、平板式微型计算机，激光打印机，针式打印机，液晶显示器，制冷压缩机（冷水机组、水源热泵机组、溴化锂吸收式冷水机组），空调机组[多联式空调（热泵）机组（制冷量＞14000W），单元式空气调节机（制冷量＞14000W）]， 专用制冷、空调设备（机房空调），镇流器（管型荧光灯镇流器），空调机[房间空气调节器、多联式空调（热泵）机组（制冷量≤14000W）、单元式空气调节机（制冷量≤14000W）]，电热水器，普通照明用双端荧光灯，电视设备[普通电视设备（电视机）]，视频设备（视频监控设备、监视器），便器（坐便器、蹲便器、小便器），水嘴均为节能产品政府采购品目清</w:t>
      </w:r>
      <w:r>
        <w:rPr>
          <w:rFonts w:hint="default" w:ascii="Arial" w:hAnsi="Arial" w:cs="Arial"/>
          <w:b/>
          <w:bCs/>
          <w:color w:val="auto"/>
          <w:szCs w:val="21"/>
          <w:highlight w:val="none"/>
        </w:rPr>
        <w:t>单内标注“</w:t>
      </w:r>
      <w:r>
        <w:rPr>
          <w:rFonts w:hint="eastAsia" w:ascii="宋体" w:hAnsi="宋体" w:cs="宋体"/>
          <w:szCs w:val="21"/>
          <w:lang w:bidi="ar"/>
        </w:rPr>
        <w:t>★</w:t>
      </w:r>
      <w:r>
        <w:rPr>
          <w:rFonts w:hint="default" w:ascii="Arial" w:hAnsi="Arial" w:cs="Arial"/>
          <w:b/>
          <w:bCs/>
          <w:color w:val="auto"/>
          <w:szCs w:val="21"/>
          <w:highlight w:val="none"/>
        </w:rPr>
        <w:t>”的</w:t>
      </w:r>
      <w:r>
        <w:rPr>
          <w:rFonts w:hint="default" w:ascii="Arial" w:hAnsi="Arial" w:cs="Arial"/>
          <w:b/>
          <w:bCs/>
          <w:szCs w:val="21"/>
          <w:highlight w:val="none"/>
        </w:rPr>
        <w:t>品目，属于政府强制采购节能产品。</w:t>
      </w:r>
    </w:p>
    <w:p w14:paraId="625E7461">
      <w:pPr>
        <w:ind w:firstLine="420" w:firstLineChars="200"/>
        <w:textAlignment w:val="center"/>
        <w:rPr>
          <w:rFonts w:hint="default" w:ascii="Arial" w:hAnsi="Arial" w:cs="Arial"/>
          <w:b/>
          <w:bCs/>
          <w:szCs w:val="21"/>
          <w:highlight w:val="none"/>
        </w:rPr>
      </w:pPr>
      <w:r>
        <w:rPr>
          <w:rFonts w:hint="default" w:ascii="Arial" w:hAnsi="Arial" w:cs="Arial"/>
          <w:b/>
          <w:bCs/>
          <w:szCs w:val="21"/>
          <w:highlight w:val="none"/>
        </w:rPr>
        <w:t>本项目采购内容不涉及政府强制采购的节能产品。</w:t>
      </w:r>
    </w:p>
    <w:bookmarkEnd w:id="22"/>
    <w:p w14:paraId="2959E17B">
      <w:pPr>
        <w:numPr>
          <w:ilvl w:val="0"/>
          <w:numId w:val="0"/>
        </w:numPr>
        <w:rPr>
          <w:rFonts w:hint="default" w:ascii="Arial" w:hAnsi="Arial" w:eastAsia="宋体" w:cs="Arial"/>
          <w:b/>
          <w:bCs/>
          <w:highlight w:val="none"/>
          <w:lang w:val="en-US" w:eastAsia="zh-CN"/>
        </w:rPr>
      </w:pPr>
      <w:bookmarkStart w:id="23" w:name="_Toc524017691"/>
      <w:bookmarkStart w:id="24" w:name="_Toc524017824"/>
      <w:r>
        <w:rPr>
          <w:rFonts w:hint="default" w:ascii="Arial" w:hAnsi="Arial" w:cs="Arial"/>
          <w:b/>
          <w:bCs/>
          <w:highlight w:val="none"/>
          <w:lang w:val="en-US" w:eastAsia="zh-CN"/>
        </w:rPr>
        <w:t>A分标：</w:t>
      </w:r>
    </w:p>
    <w:tbl>
      <w:tblPr>
        <w:tblStyle w:val="49"/>
        <w:tblW w:w="102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5"/>
        <w:gridCol w:w="1446"/>
        <w:gridCol w:w="775"/>
        <w:gridCol w:w="652"/>
        <w:gridCol w:w="647"/>
        <w:gridCol w:w="5174"/>
        <w:gridCol w:w="1121"/>
      </w:tblGrid>
      <w:tr w14:paraId="43752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10290" w:type="dxa"/>
            <w:gridSpan w:val="7"/>
            <w:tcBorders>
              <w:top w:val="single" w:color="auto" w:sz="4" w:space="0"/>
              <w:left w:val="single" w:color="auto" w:sz="4" w:space="0"/>
              <w:bottom w:val="single" w:color="auto" w:sz="4" w:space="0"/>
              <w:right w:val="single" w:color="auto" w:sz="4" w:space="0"/>
            </w:tcBorders>
            <w:noWrap w:val="0"/>
            <w:vAlign w:val="top"/>
          </w:tcPr>
          <w:p w14:paraId="1F6F55FA">
            <w:pPr>
              <w:spacing w:line="360" w:lineRule="auto"/>
              <w:rPr>
                <w:rFonts w:hint="default" w:ascii="Arial" w:hAnsi="Arial" w:cs="Arial"/>
                <w:b/>
                <w:color w:val="auto"/>
                <w:szCs w:val="21"/>
                <w:highlight w:val="none"/>
              </w:rPr>
            </w:pPr>
            <w:r>
              <w:rPr>
                <w:rFonts w:hint="default" w:ascii="Arial" w:hAnsi="Arial" w:cs="Arial"/>
                <w:b/>
                <w:color w:val="auto"/>
                <w:szCs w:val="21"/>
                <w:highlight w:val="none"/>
              </w:rPr>
              <w:t>一、技术要求</w:t>
            </w:r>
          </w:p>
        </w:tc>
      </w:tr>
      <w:tr w14:paraId="4156A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475" w:type="dxa"/>
            <w:tcBorders>
              <w:top w:val="single" w:color="auto" w:sz="4" w:space="0"/>
              <w:left w:val="single" w:color="auto" w:sz="4" w:space="0"/>
              <w:bottom w:val="single" w:color="auto" w:sz="4" w:space="0"/>
              <w:right w:val="single" w:color="auto" w:sz="4" w:space="0"/>
            </w:tcBorders>
            <w:noWrap w:val="0"/>
            <w:vAlign w:val="center"/>
          </w:tcPr>
          <w:p w14:paraId="245EA202">
            <w:pPr>
              <w:jc w:val="center"/>
              <w:rPr>
                <w:rFonts w:hint="default" w:ascii="Arial" w:hAnsi="Arial" w:cs="Arial"/>
                <w:color w:val="auto"/>
                <w:szCs w:val="21"/>
                <w:highlight w:val="none"/>
              </w:rPr>
            </w:pPr>
            <w:r>
              <w:rPr>
                <w:rFonts w:hint="default" w:ascii="Arial" w:hAnsi="Arial" w:cs="Arial"/>
                <w:b/>
                <w:bCs/>
                <w:color w:val="auto"/>
                <w:szCs w:val="21"/>
                <w:highlight w:val="none"/>
              </w:rPr>
              <w:t>序号</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527024A1">
            <w:pPr>
              <w:jc w:val="center"/>
              <w:rPr>
                <w:rFonts w:hint="default" w:ascii="Arial" w:hAnsi="Arial" w:cs="Arial"/>
                <w:color w:val="auto"/>
                <w:szCs w:val="21"/>
                <w:highlight w:val="none"/>
              </w:rPr>
            </w:pPr>
            <w:r>
              <w:rPr>
                <w:rFonts w:hint="default" w:ascii="Arial" w:hAnsi="Arial" w:cs="Arial"/>
                <w:b/>
                <w:bCs/>
                <w:color w:val="auto"/>
                <w:szCs w:val="21"/>
                <w:highlight w:val="none"/>
              </w:rPr>
              <w:t>标的名称</w:t>
            </w:r>
          </w:p>
        </w:tc>
        <w:tc>
          <w:tcPr>
            <w:tcW w:w="775" w:type="dxa"/>
            <w:tcBorders>
              <w:top w:val="single" w:color="auto" w:sz="4" w:space="0"/>
              <w:left w:val="single" w:color="auto" w:sz="4" w:space="0"/>
              <w:bottom w:val="single" w:color="auto" w:sz="4" w:space="0"/>
              <w:right w:val="single" w:color="auto" w:sz="4" w:space="0"/>
            </w:tcBorders>
            <w:noWrap w:val="0"/>
            <w:vAlign w:val="center"/>
          </w:tcPr>
          <w:p w14:paraId="5135DA49">
            <w:pPr>
              <w:jc w:val="center"/>
              <w:rPr>
                <w:rFonts w:hint="eastAsia" w:ascii="Arial" w:hAnsi="Arial" w:eastAsia="宋体" w:cs="Arial"/>
                <w:color w:val="auto"/>
                <w:szCs w:val="21"/>
                <w:highlight w:val="none"/>
                <w:lang w:val="en-US" w:eastAsia="zh-CN"/>
              </w:rPr>
            </w:pPr>
            <w:r>
              <w:rPr>
                <w:rFonts w:hint="eastAsia" w:ascii="Arial" w:hAnsi="Arial" w:cs="Arial"/>
                <w:b/>
                <w:bCs/>
                <w:color w:val="auto"/>
                <w:szCs w:val="21"/>
                <w:highlight w:val="none"/>
                <w:lang w:val="en-US" w:eastAsia="zh-CN"/>
              </w:rPr>
              <w:t>所属行业</w:t>
            </w:r>
          </w:p>
        </w:tc>
        <w:tc>
          <w:tcPr>
            <w:tcW w:w="65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57B4CBC">
            <w:pPr>
              <w:jc w:val="center"/>
              <w:rPr>
                <w:rFonts w:hint="default" w:ascii="Arial" w:hAnsi="Arial" w:eastAsia="宋体" w:cs="Arial"/>
                <w:color w:val="auto"/>
                <w:kern w:val="2"/>
                <w:sz w:val="21"/>
                <w:szCs w:val="21"/>
                <w:highlight w:val="none"/>
                <w:lang w:val="en-US" w:eastAsia="zh-CN" w:bidi="ar-SA"/>
              </w:rPr>
            </w:pPr>
            <w:r>
              <w:rPr>
                <w:rFonts w:hint="default" w:ascii="Arial" w:hAnsi="Arial" w:cs="Arial"/>
                <w:b/>
                <w:bCs/>
                <w:color w:val="auto"/>
                <w:kern w:val="0"/>
                <w:szCs w:val="21"/>
                <w:highlight w:val="none"/>
              </w:rPr>
              <w:t>数量</w:t>
            </w:r>
          </w:p>
        </w:tc>
        <w:tc>
          <w:tcPr>
            <w:tcW w:w="647" w:type="dxa"/>
            <w:tcBorders>
              <w:top w:val="single" w:color="auto" w:sz="4" w:space="0"/>
              <w:left w:val="single" w:color="auto" w:sz="4" w:space="0"/>
              <w:bottom w:val="single" w:color="auto" w:sz="4" w:space="0"/>
              <w:right w:val="single" w:color="auto" w:sz="4" w:space="0"/>
            </w:tcBorders>
            <w:noWrap w:val="0"/>
            <w:vAlign w:val="center"/>
          </w:tcPr>
          <w:p w14:paraId="620A3C0E">
            <w:pPr>
              <w:jc w:val="center"/>
              <w:rPr>
                <w:rFonts w:hint="default" w:ascii="Arial" w:hAnsi="Arial" w:cs="Arial"/>
                <w:color w:val="auto"/>
                <w:szCs w:val="21"/>
                <w:highlight w:val="none"/>
              </w:rPr>
            </w:pPr>
            <w:r>
              <w:rPr>
                <w:rFonts w:hint="default" w:ascii="Arial" w:hAnsi="Arial" w:cs="Arial"/>
                <w:b/>
                <w:bCs/>
                <w:color w:val="auto"/>
                <w:szCs w:val="21"/>
                <w:highlight w:val="none"/>
              </w:rPr>
              <w:t>单位</w:t>
            </w:r>
          </w:p>
        </w:tc>
        <w:tc>
          <w:tcPr>
            <w:tcW w:w="5174" w:type="dxa"/>
            <w:tcBorders>
              <w:top w:val="single" w:color="auto" w:sz="4" w:space="0"/>
              <w:left w:val="single" w:color="auto" w:sz="4" w:space="0"/>
              <w:bottom w:val="single" w:color="auto" w:sz="4" w:space="0"/>
              <w:right w:val="single" w:color="auto" w:sz="4" w:space="0"/>
            </w:tcBorders>
            <w:noWrap w:val="0"/>
            <w:vAlign w:val="center"/>
          </w:tcPr>
          <w:p w14:paraId="7819768D">
            <w:pPr>
              <w:spacing w:line="360" w:lineRule="auto"/>
              <w:jc w:val="center"/>
              <w:rPr>
                <w:rFonts w:hint="default" w:ascii="Arial" w:hAnsi="Arial" w:cs="Arial"/>
                <w:color w:val="auto"/>
                <w:highlight w:val="none"/>
              </w:rPr>
            </w:pPr>
            <w:r>
              <w:rPr>
                <w:rFonts w:hint="default" w:ascii="Arial" w:hAnsi="Arial" w:cs="Arial"/>
                <w:b/>
                <w:bCs/>
                <w:color w:val="auto"/>
                <w:szCs w:val="21"/>
                <w:highlight w:val="none"/>
              </w:rPr>
              <w:t>技术要求</w:t>
            </w:r>
          </w:p>
        </w:tc>
        <w:tc>
          <w:tcPr>
            <w:tcW w:w="1121" w:type="dxa"/>
            <w:tcBorders>
              <w:top w:val="single" w:color="auto" w:sz="4" w:space="0"/>
              <w:left w:val="single" w:color="auto" w:sz="4" w:space="0"/>
              <w:bottom w:val="single" w:color="auto" w:sz="4" w:space="0"/>
              <w:right w:val="single" w:color="auto" w:sz="4" w:space="0"/>
            </w:tcBorders>
            <w:noWrap w:val="0"/>
            <w:vAlign w:val="center"/>
          </w:tcPr>
          <w:p w14:paraId="4987C155">
            <w:pPr>
              <w:spacing w:line="360" w:lineRule="auto"/>
              <w:jc w:val="center"/>
              <w:rPr>
                <w:rFonts w:hint="eastAsia" w:ascii="Arial" w:hAnsi="Arial" w:eastAsia="宋体" w:cs="Arial"/>
                <w:b/>
                <w:bCs/>
                <w:color w:val="auto"/>
                <w:szCs w:val="21"/>
                <w:highlight w:val="none"/>
                <w:lang w:val="en-US" w:eastAsia="zh-CN"/>
              </w:rPr>
            </w:pPr>
            <w:r>
              <w:rPr>
                <w:rFonts w:hint="eastAsia" w:ascii="Arial" w:hAnsi="Arial" w:cs="Arial"/>
                <w:b/>
                <w:bCs/>
                <w:color w:val="auto"/>
                <w:szCs w:val="21"/>
                <w:highlight w:val="none"/>
                <w:lang w:val="en-US" w:eastAsia="zh-CN"/>
              </w:rPr>
              <w:t>单价（元）</w:t>
            </w:r>
          </w:p>
        </w:tc>
      </w:tr>
      <w:tr w14:paraId="0C660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jc w:val="center"/>
        </w:trPr>
        <w:tc>
          <w:tcPr>
            <w:tcW w:w="475" w:type="dxa"/>
            <w:tcBorders>
              <w:top w:val="single" w:color="auto" w:sz="4" w:space="0"/>
              <w:left w:val="single" w:color="auto" w:sz="4" w:space="0"/>
              <w:bottom w:val="single" w:color="auto" w:sz="4" w:space="0"/>
              <w:right w:val="single" w:color="auto" w:sz="4" w:space="0"/>
            </w:tcBorders>
            <w:noWrap w:val="0"/>
            <w:vAlign w:val="center"/>
          </w:tcPr>
          <w:p w14:paraId="0A0AFAF3">
            <w:pPr>
              <w:keepNext w:val="0"/>
              <w:keepLines w:val="0"/>
              <w:widowControl/>
              <w:suppressLineNumbers w:val="0"/>
              <w:jc w:val="center"/>
              <w:textAlignment w:val="center"/>
              <w:rPr>
                <w:rFonts w:hint="default" w:ascii="Arial" w:hAnsi="Arial" w:eastAsia="宋体" w:cs="Arial"/>
                <w:bCs/>
                <w:color w:val="auto"/>
                <w:szCs w:val="21"/>
                <w:highlight w:val="none"/>
              </w:rPr>
            </w:pPr>
            <w:r>
              <w:rPr>
                <w:rFonts w:hint="default" w:ascii="Arial" w:hAnsi="Arial" w:eastAsia="宋体" w:cs="Arial"/>
                <w:i w:val="0"/>
                <w:iCs w:val="0"/>
                <w:color w:val="000000"/>
                <w:kern w:val="0"/>
                <w:sz w:val="21"/>
                <w:szCs w:val="21"/>
                <w:highlight w:val="none"/>
                <w:u w:val="none"/>
                <w:lang w:val="en-US" w:eastAsia="zh-CN" w:bidi="ar"/>
              </w:rPr>
              <w:t>1</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01D7540A">
            <w:pPr>
              <w:keepNext w:val="0"/>
              <w:keepLines w:val="0"/>
              <w:widowControl/>
              <w:suppressLineNumbers w:val="0"/>
              <w:jc w:val="center"/>
              <w:textAlignment w:val="center"/>
              <w:rPr>
                <w:rFonts w:hint="default" w:ascii="Arial" w:hAnsi="Arial" w:eastAsia="宋体" w:cs="Arial"/>
                <w:bCs/>
                <w:color w:val="auto"/>
                <w:szCs w:val="21"/>
                <w:highlight w:val="none"/>
              </w:rPr>
            </w:pPr>
            <w:r>
              <w:rPr>
                <w:rFonts w:hint="default" w:ascii="Arial" w:hAnsi="Arial" w:eastAsia="宋体" w:cs="Arial"/>
                <w:i w:val="0"/>
                <w:iCs w:val="0"/>
                <w:color w:val="000000"/>
                <w:kern w:val="0"/>
                <w:sz w:val="21"/>
                <w:szCs w:val="21"/>
                <w:highlight w:val="none"/>
                <w:u w:val="none"/>
                <w:lang w:val="en-US" w:eastAsia="zh-CN" w:bidi="ar"/>
              </w:rPr>
              <w:t>机房教学系统</w:t>
            </w:r>
          </w:p>
        </w:tc>
        <w:tc>
          <w:tcPr>
            <w:tcW w:w="775" w:type="dxa"/>
            <w:tcBorders>
              <w:top w:val="single" w:color="auto" w:sz="4" w:space="0"/>
              <w:left w:val="single" w:color="auto" w:sz="4" w:space="0"/>
              <w:bottom w:val="single" w:color="auto" w:sz="4" w:space="0"/>
              <w:right w:val="single" w:color="auto" w:sz="4" w:space="0"/>
            </w:tcBorders>
            <w:noWrap w:val="0"/>
            <w:vAlign w:val="center"/>
          </w:tcPr>
          <w:p w14:paraId="4854A35B">
            <w:pPr>
              <w:keepNext w:val="0"/>
              <w:keepLines w:val="0"/>
              <w:widowControl/>
              <w:suppressLineNumbers w:val="0"/>
              <w:jc w:val="center"/>
              <w:textAlignment w:val="center"/>
              <w:rPr>
                <w:rFonts w:hint="default" w:ascii="Arial" w:hAnsi="Arial" w:eastAsia="宋体" w:cs="Arial"/>
                <w:bCs/>
                <w:color w:val="auto"/>
                <w:szCs w:val="21"/>
                <w:highlight w:val="none"/>
              </w:rPr>
            </w:pPr>
            <w:r>
              <w:rPr>
                <w:rFonts w:hint="default" w:ascii="Arial" w:hAnsi="Arial" w:cs="Arial"/>
                <w:bCs/>
                <w:kern w:val="0"/>
                <w:szCs w:val="21"/>
                <w:highlight w:val="none"/>
              </w:rPr>
              <w:t>软件和信息技术服务业</w:t>
            </w:r>
          </w:p>
        </w:tc>
        <w:tc>
          <w:tcPr>
            <w:tcW w:w="65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1070BE4">
            <w:pPr>
              <w:keepNext w:val="0"/>
              <w:keepLines w:val="0"/>
              <w:widowControl/>
              <w:suppressLineNumbers w:val="0"/>
              <w:jc w:val="center"/>
              <w:textAlignment w:val="center"/>
              <w:rPr>
                <w:rFonts w:hint="default" w:ascii="Arial" w:hAnsi="Arial" w:eastAsia="宋体" w:cs="Arial"/>
                <w:bCs/>
                <w:color w:val="auto"/>
                <w:kern w:val="2"/>
                <w:sz w:val="21"/>
                <w:szCs w:val="21"/>
                <w:highlight w:val="none"/>
                <w:lang w:val="en-US" w:eastAsia="zh-CN" w:bidi="ar-SA"/>
              </w:rPr>
            </w:pPr>
            <w:r>
              <w:rPr>
                <w:rFonts w:hint="default" w:ascii="Arial" w:hAnsi="Arial" w:eastAsia="宋体" w:cs="Arial"/>
                <w:i w:val="0"/>
                <w:iCs w:val="0"/>
                <w:color w:val="000000"/>
                <w:kern w:val="0"/>
                <w:sz w:val="21"/>
                <w:szCs w:val="21"/>
                <w:highlight w:val="none"/>
                <w:u w:val="none"/>
                <w:lang w:val="en-US" w:eastAsia="zh-CN" w:bidi="ar"/>
              </w:rPr>
              <w:t>1</w:t>
            </w:r>
          </w:p>
        </w:tc>
        <w:tc>
          <w:tcPr>
            <w:tcW w:w="647" w:type="dxa"/>
            <w:tcBorders>
              <w:top w:val="single" w:color="auto" w:sz="4" w:space="0"/>
              <w:left w:val="single" w:color="auto" w:sz="4" w:space="0"/>
              <w:bottom w:val="single" w:color="auto" w:sz="4" w:space="0"/>
              <w:right w:val="single" w:color="auto" w:sz="4" w:space="0"/>
            </w:tcBorders>
            <w:noWrap w:val="0"/>
            <w:vAlign w:val="center"/>
          </w:tcPr>
          <w:p w14:paraId="1D9BF91A">
            <w:pPr>
              <w:keepNext w:val="0"/>
              <w:keepLines w:val="0"/>
              <w:widowControl/>
              <w:suppressLineNumbers w:val="0"/>
              <w:jc w:val="center"/>
              <w:textAlignment w:val="center"/>
              <w:rPr>
                <w:rFonts w:hint="default" w:ascii="Arial" w:hAnsi="Arial" w:eastAsia="宋体" w:cs="Arial"/>
                <w:bCs/>
                <w:color w:val="auto"/>
                <w:szCs w:val="21"/>
                <w:highlight w:val="none"/>
                <w:lang w:eastAsia="zh-CN"/>
              </w:rPr>
            </w:pPr>
            <w:r>
              <w:rPr>
                <w:rFonts w:hint="default" w:ascii="Arial" w:hAnsi="Arial" w:eastAsia="宋体" w:cs="Arial"/>
                <w:i w:val="0"/>
                <w:iCs w:val="0"/>
                <w:color w:val="000000"/>
                <w:kern w:val="0"/>
                <w:sz w:val="21"/>
                <w:szCs w:val="21"/>
                <w:highlight w:val="none"/>
                <w:u w:val="none"/>
                <w:lang w:val="en-US" w:eastAsia="zh-CN" w:bidi="ar"/>
              </w:rPr>
              <w:t>套</w:t>
            </w:r>
          </w:p>
        </w:tc>
        <w:tc>
          <w:tcPr>
            <w:tcW w:w="5174"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302CAC12">
            <w:pPr>
              <w:keepNext w:val="0"/>
              <w:keepLines w:val="0"/>
              <w:widowControl/>
              <w:suppressLineNumbers w:val="0"/>
              <w:jc w:val="left"/>
              <w:textAlignment w:val="top"/>
              <w:rPr>
                <w:rFonts w:hint="default" w:ascii="Arial" w:hAnsi="Arial" w:eastAsia="宋体" w:cs="Arial"/>
                <w:b/>
                <w:color w:val="auto"/>
                <w:kern w:val="2"/>
                <w:sz w:val="21"/>
                <w:szCs w:val="21"/>
                <w:highlight w:val="none"/>
                <w:lang w:val="en-US" w:eastAsia="zh-CN" w:bidi="ar-SA"/>
              </w:rPr>
            </w:pPr>
            <w:r>
              <w:rPr>
                <w:rFonts w:hint="default" w:ascii="Arial" w:hAnsi="Arial" w:eastAsia="宋体" w:cs="Arial"/>
                <w:i w:val="0"/>
                <w:iCs w:val="0"/>
                <w:color w:val="000000"/>
                <w:kern w:val="0"/>
                <w:sz w:val="21"/>
                <w:szCs w:val="21"/>
                <w:highlight w:val="none"/>
                <w:u w:val="none"/>
                <w:lang w:val="en-US" w:eastAsia="zh-CN" w:bidi="ar"/>
              </w:rPr>
              <w:t>1.登录方式多样性：支持账号/密码和手机微信扫码两种登录方式。</w:t>
            </w:r>
            <w:r>
              <w:rPr>
                <w:rFonts w:hint="default" w:ascii="Arial" w:hAnsi="Arial" w:eastAsia="宋体" w:cs="Arial"/>
                <w:i w:val="0"/>
                <w:iCs w:val="0"/>
                <w:color w:val="000000"/>
                <w:kern w:val="0"/>
                <w:sz w:val="21"/>
                <w:szCs w:val="21"/>
                <w:highlight w:val="none"/>
                <w:u w:val="none"/>
                <w:lang w:val="en-US" w:eastAsia="zh-CN" w:bidi="ar"/>
              </w:rPr>
              <w:br w:type="textWrapping"/>
            </w:r>
            <w:r>
              <w:rPr>
                <w:rFonts w:hint="default" w:ascii="Arial" w:hAnsi="Arial" w:eastAsia="宋体" w:cs="Arial"/>
                <w:i w:val="0"/>
                <w:iCs w:val="0"/>
                <w:color w:val="000000"/>
                <w:kern w:val="0"/>
                <w:sz w:val="21"/>
                <w:szCs w:val="21"/>
                <w:highlight w:val="none"/>
                <w:u w:val="none"/>
                <w:lang w:val="en-US" w:eastAsia="zh-CN" w:bidi="ar"/>
              </w:rPr>
              <w:t>2.设备管理：可实现实时监控学生机画面、以及进行统一的教学管理，文件共享和回收。</w:t>
            </w:r>
            <w:r>
              <w:rPr>
                <w:rFonts w:hint="default" w:ascii="Arial" w:hAnsi="Arial" w:eastAsia="宋体" w:cs="Arial"/>
                <w:i w:val="0"/>
                <w:iCs w:val="0"/>
                <w:color w:val="000000"/>
                <w:kern w:val="0"/>
                <w:sz w:val="21"/>
                <w:szCs w:val="21"/>
                <w:highlight w:val="none"/>
                <w:u w:val="none"/>
                <w:lang w:val="en-US" w:eastAsia="zh-CN" w:bidi="ar"/>
              </w:rPr>
              <w:br w:type="textWrapping"/>
            </w:r>
            <w:r>
              <w:rPr>
                <w:rFonts w:hint="default" w:ascii="Arial" w:hAnsi="Arial" w:eastAsia="宋体" w:cs="Arial"/>
                <w:i w:val="0"/>
                <w:iCs w:val="0"/>
                <w:color w:val="000000"/>
                <w:kern w:val="0"/>
                <w:sz w:val="21"/>
                <w:szCs w:val="21"/>
                <w:highlight w:val="none"/>
                <w:u w:val="none"/>
                <w:lang w:val="en-US" w:eastAsia="zh-CN" w:bidi="ar"/>
              </w:rPr>
              <w:t>3.人员管理：学校超级管理员可以添加教师和管理员的角色，添加之后管理员能够绑定设备和进行正常的授课工作，教师只能在终端应用软件进行授课操作。</w:t>
            </w:r>
            <w:r>
              <w:rPr>
                <w:rFonts w:hint="default" w:ascii="Arial" w:hAnsi="Arial" w:eastAsia="宋体" w:cs="Arial"/>
                <w:i w:val="0"/>
                <w:iCs w:val="0"/>
                <w:color w:val="000000"/>
                <w:kern w:val="0"/>
                <w:sz w:val="21"/>
                <w:szCs w:val="21"/>
                <w:highlight w:val="none"/>
                <w:u w:val="none"/>
                <w:lang w:val="en-US" w:eastAsia="zh-CN" w:bidi="ar"/>
              </w:rPr>
              <w:br w:type="textWrapping"/>
            </w:r>
            <w:r>
              <w:rPr>
                <w:rFonts w:hint="default" w:ascii="Arial" w:hAnsi="Arial" w:eastAsia="宋体" w:cs="Arial"/>
                <w:i w:val="0"/>
                <w:iCs w:val="0"/>
                <w:color w:val="000000"/>
                <w:kern w:val="0"/>
                <w:sz w:val="21"/>
                <w:szCs w:val="21"/>
                <w:highlight w:val="none"/>
                <w:u w:val="none"/>
                <w:lang w:val="en-US" w:eastAsia="zh-CN" w:bidi="ar"/>
              </w:rPr>
              <w:t>4.教师云空间：支持老师自定义上传、存储文件内容。</w:t>
            </w:r>
            <w:r>
              <w:rPr>
                <w:rFonts w:hint="default" w:ascii="Arial" w:hAnsi="Arial" w:eastAsia="宋体" w:cs="Arial"/>
                <w:i w:val="0"/>
                <w:iCs w:val="0"/>
                <w:color w:val="000000"/>
                <w:kern w:val="0"/>
                <w:sz w:val="21"/>
                <w:szCs w:val="21"/>
                <w:highlight w:val="none"/>
                <w:u w:val="none"/>
                <w:lang w:val="en-US" w:eastAsia="zh-CN" w:bidi="ar"/>
              </w:rPr>
              <w:br w:type="textWrapping"/>
            </w:r>
            <w:r>
              <w:rPr>
                <w:rFonts w:hint="default" w:ascii="Arial" w:hAnsi="Arial" w:eastAsia="宋体" w:cs="Arial"/>
                <w:i w:val="0"/>
                <w:iCs w:val="0"/>
                <w:color w:val="000000"/>
                <w:kern w:val="0"/>
                <w:sz w:val="21"/>
                <w:szCs w:val="21"/>
                <w:highlight w:val="none"/>
                <w:u w:val="none"/>
                <w:lang w:val="en-US" w:eastAsia="zh-CN" w:bidi="ar"/>
              </w:rPr>
              <w:t>支持上传的格式有：</w:t>
            </w:r>
            <w:r>
              <w:rPr>
                <w:rFonts w:hint="default" w:ascii="Arial" w:hAnsi="Arial" w:eastAsia="宋体" w:cs="Arial"/>
                <w:i w:val="0"/>
                <w:iCs w:val="0"/>
                <w:color w:val="000000"/>
                <w:kern w:val="0"/>
                <w:sz w:val="21"/>
                <w:szCs w:val="21"/>
                <w:highlight w:val="none"/>
                <w:u w:val="none"/>
                <w:lang w:val="en-US" w:eastAsia="zh-CN" w:bidi="ar"/>
              </w:rPr>
              <w:br w:type="textWrapping"/>
            </w:r>
            <w:r>
              <w:rPr>
                <w:rFonts w:hint="default" w:ascii="Arial" w:hAnsi="Arial" w:eastAsia="宋体" w:cs="Arial"/>
                <w:i w:val="0"/>
                <w:iCs w:val="0"/>
                <w:color w:val="000000"/>
                <w:kern w:val="0"/>
                <w:sz w:val="21"/>
                <w:szCs w:val="21"/>
                <w:highlight w:val="none"/>
                <w:u w:val="none"/>
                <w:lang w:val="en-US" w:eastAsia="zh-CN" w:bidi="ar"/>
              </w:rPr>
              <w:t>文档：ppt、pptx、word、pdf;</w:t>
            </w:r>
            <w:r>
              <w:rPr>
                <w:rFonts w:hint="default" w:ascii="Arial" w:hAnsi="Arial" w:eastAsia="宋体" w:cs="Arial"/>
                <w:i w:val="0"/>
                <w:iCs w:val="0"/>
                <w:color w:val="000000"/>
                <w:kern w:val="0"/>
                <w:sz w:val="21"/>
                <w:szCs w:val="21"/>
                <w:highlight w:val="none"/>
                <w:u w:val="none"/>
                <w:lang w:val="en-US" w:eastAsia="zh-CN" w:bidi="ar"/>
              </w:rPr>
              <w:br w:type="textWrapping"/>
            </w:r>
            <w:r>
              <w:rPr>
                <w:rFonts w:hint="default" w:ascii="Arial" w:hAnsi="Arial" w:eastAsia="宋体" w:cs="Arial"/>
                <w:i w:val="0"/>
                <w:iCs w:val="0"/>
                <w:color w:val="000000"/>
                <w:kern w:val="0"/>
                <w:sz w:val="21"/>
                <w:szCs w:val="21"/>
                <w:highlight w:val="none"/>
                <w:u w:val="none"/>
                <w:lang w:val="en-US" w:eastAsia="zh-CN" w:bidi="ar"/>
              </w:rPr>
              <w:t>图片：bmp、png、jpg、jpeg、gif;</w:t>
            </w:r>
            <w:r>
              <w:rPr>
                <w:rFonts w:hint="default" w:ascii="Arial" w:hAnsi="Arial" w:eastAsia="宋体" w:cs="Arial"/>
                <w:i w:val="0"/>
                <w:iCs w:val="0"/>
                <w:color w:val="000000"/>
                <w:kern w:val="0"/>
                <w:sz w:val="21"/>
                <w:szCs w:val="21"/>
                <w:highlight w:val="none"/>
                <w:u w:val="none"/>
                <w:lang w:val="en-US" w:eastAsia="zh-CN" w:bidi="ar"/>
              </w:rPr>
              <w:br w:type="textWrapping"/>
            </w:r>
            <w:r>
              <w:rPr>
                <w:rFonts w:hint="default" w:ascii="Arial" w:hAnsi="Arial" w:eastAsia="宋体" w:cs="Arial"/>
                <w:i w:val="0"/>
                <w:iCs w:val="0"/>
                <w:color w:val="000000"/>
                <w:kern w:val="0"/>
                <w:sz w:val="21"/>
                <w:szCs w:val="21"/>
                <w:highlight w:val="none"/>
                <w:u w:val="none"/>
                <w:lang w:val="en-US" w:eastAsia="zh-CN" w:bidi="ar"/>
              </w:rPr>
              <w:t>音视频：mp3、wav、ogg、aac、mp4 所有参数均满足三家（≥2pb）</w:t>
            </w:r>
            <w:r>
              <w:rPr>
                <w:rFonts w:hint="default" w:ascii="Arial" w:hAnsi="Arial" w:eastAsia="宋体" w:cs="Arial"/>
                <w:i w:val="0"/>
                <w:iCs w:val="0"/>
                <w:color w:val="000000"/>
                <w:kern w:val="0"/>
                <w:sz w:val="21"/>
                <w:szCs w:val="21"/>
                <w:highlight w:val="none"/>
                <w:u w:val="none"/>
                <w:lang w:val="en-US" w:eastAsia="zh-CN" w:bidi="ar"/>
              </w:rPr>
              <w:br w:type="textWrapping"/>
            </w:r>
            <w:r>
              <w:rPr>
                <w:rFonts w:hint="default" w:ascii="Arial" w:hAnsi="Arial" w:eastAsia="宋体" w:cs="Arial"/>
                <w:i w:val="0"/>
                <w:iCs w:val="0"/>
                <w:color w:val="000000"/>
                <w:kern w:val="0"/>
                <w:sz w:val="21"/>
                <w:szCs w:val="21"/>
                <w:highlight w:val="none"/>
                <w:u w:val="none"/>
                <w:lang w:val="en-US" w:eastAsia="zh-CN" w:bidi="ar"/>
              </w:rPr>
              <w:t>5.教师广播：不需要借助任何外接设备，支持将教师机的画面以及声音广播给全班学生。</w:t>
            </w:r>
            <w:r>
              <w:rPr>
                <w:rFonts w:hint="default" w:ascii="Arial" w:hAnsi="Arial" w:eastAsia="宋体" w:cs="Arial"/>
                <w:i w:val="0"/>
                <w:iCs w:val="0"/>
                <w:color w:val="000000"/>
                <w:kern w:val="0"/>
                <w:sz w:val="21"/>
                <w:szCs w:val="21"/>
                <w:highlight w:val="none"/>
                <w:u w:val="none"/>
                <w:lang w:val="en-US" w:eastAsia="zh-CN" w:bidi="ar"/>
              </w:rPr>
              <w:br w:type="textWrapping"/>
            </w:r>
            <w:r>
              <w:rPr>
                <w:rFonts w:hint="default" w:ascii="Arial" w:hAnsi="Arial" w:eastAsia="宋体" w:cs="Arial"/>
                <w:i w:val="0"/>
                <w:iCs w:val="0"/>
                <w:color w:val="000000"/>
                <w:kern w:val="0"/>
                <w:sz w:val="21"/>
                <w:szCs w:val="21"/>
                <w:highlight w:val="none"/>
                <w:u w:val="none"/>
                <w:lang w:val="en-US" w:eastAsia="zh-CN" w:bidi="ar"/>
              </w:rPr>
              <w:t>6.教师广播批注：教师在屏幕广播状态下，提供授课小工具，包括提供可自由调整笔迹颜色及笔触粗细的画笔、黑板、橡皮擦、以及支持撤销和加页码，最多支持增加页数到10页。</w:t>
            </w:r>
            <w:r>
              <w:rPr>
                <w:rFonts w:hint="default" w:ascii="Arial" w:hAnsi="Arial" w:eastAsia="宋体" w:cs="Arial"/>
                <w:i w:val="0"/>
                <w:iCs w:val="0"/>
                <w:color w:val="000000"/>
                <w:kern w:val="0"/>
                <w:sz w:val="21"/>
                <w:szCs w:val="21"/>
                <w:highlight w:val="none"/>
                <w:u w:val="none"/>
                <w:lang w:val="en-US" w:eastAsia="zh-CN" w:bidi="ar"/>
              </w:rPr>
              <w:br w:type="textWrapping"/>
            </w:r>
            <w:r>
              <w:rPr>
                <w:rFonts w:hint="default" w:ascii="Arial" w:hAnsi="Arial" w:eastAsia="宋体" w:cs="Arial"/>
                <w:i w:val="0"/>
                <w:iCs w:val="0"/>
                <w:color w:val="000000"/>
                <w:kern w:val="0"/>
                <w:sz w:val="21"/>
                <w:szCs w:val="21"/>
                <w:highlight w:val="none"/>
                <w:u w:val="none"/>
                <w:lang w:val="en-US" w:eastAsia="zh-CN" w:bidi="ar"/>
              </w:rPr>
              <w:t>7.手写智能识别：在批注状态下，支持将手写的字体自动识别成标准字体。</w:t>
            </w:r>
            <w:r>
              <w:rPr>
                <w:rFonts w:hint="default" w:ascii="Arial" w:hAnsi="Arial" w:eastAsia="宋体" w:cs="Arial"/>
                <w:i w:val="0"/>
                <w:iCs w:val="0"/>
                <w:color w:val="000000"/>
                <w:kern w:val="0"/>
                <w:sz w:val="21"/>
                <w:szCs w:val="21"/>
                <w:highlight w:val="none"/>
                <w:u w:val="none"/>
                <w:lang w:val="en-US" w:eastAsia="zh-CN" w:bidi="ar"/>
              </w:rPr>
              <w:br w:type="textWrapping"/>
            </w:r>
            <w:r>
              <w:rPr>
                <w:rFonts w:hint="default" w:ascii="Arial" w:hAnsi="Arial" w:eastAsia="宋体" w:cs="Arial"/>
                <w:i w:val="0"/>
                <w:iCs w:val="0"/>
                <w:color w:val="000000"/>
                <w:kern w:val="0"/>
                <w:sz w:val="21"/>
                <w:szCs w:val="21"/>
                <w:highlight w:val="none"/>
                <w:u w:val="none"/>
                <w:lang w:val="en-US" w:eastAsia="zh-CN" w:bidi="ar"/>
              </w:rPr>
              <w:t>8.学生演示：支持老师将指定学生的屏幕画面广播给其他所有学生，同时老师也能看到该指定学生的屏幕图像。</w:t>
            </w:r>
            <w:r>
              <w:rPr>
                <w:rFonts w:hint="default" w:ascii="Arial" w:hAnsi="Arial" w:eastAsia="宋体" w:cs="Arial"/>
                <w:i w:val="0"/>
                <w:iCs w:val="0"/>
                <w:color w:val="000000"/>
                <w:kern w:val="0"/>
                <w:sz w:val="21"/>
                <w:szCs w:val="21"/>
                <w:highlight w:val="none"/>
                <w:u w:val="none"/>
                <w:lang w:val="en-US" w:eastAsia="zh-CN" w:bidi="ar"/>
              </w:rPr>
              <w:br w:type="textWrapping"/>
            </w:r>
            <w:r>
              <w:rPr>
                <w:rFonts w:hint="default" w:ascii="Arial" w:hAnsi="Arial" w:eastAsia="宋体" w:cs="Arial"/>
                <w:color w:val="auto"/>
                <w:sz w:val="21"/>
                <w:szCs w:val="21"/>
                <w:highlight w:val="none"/>
              </w:rPr>
              <w:t>▲</w:t>
            </w:r>
            <w:r>
              <w:rPr>
                <w:rFonts w:hint="default" w:ascii="Arial" w:hAnsi="Arial" w:eastAsia="宋体" w:cs="Arial"/>
                <w:i w:val="0"/>
                <w:iCs w:val="0"/>
                <w:color w:val="000000"/>
                <w:kern w:val="0"/>
                <w:sz w:val="21"/>
                <w:szCs w:val="21"/>
                <w:highlight w:val="none"/>
                <w:u w:val="none"/>
                <w:lang w:val="en-US" w:eastAsia="zh-CN" w:bidi="ar"/>
              </w:rPr>
              <w:t>9.下发课堂活动：在开启授课时支持教师发起不低于4种课堂活动，支持学生拖动答案进行作答，系统将自动判断是否正确。</w:t>
            </w:r>
            <w:r>
              <w:rPr>
                <w:rFonts w:hint="default" w:ascii="Arial" w:hAnsi="Arial" w:eastAsia="宋体" w:cs="Arial"/>
                <w:b/>
                <w:bCs/>
                <w:i w:val="0"/>
                <w:iCs w:val="0"/>
                <w:color w:val="000000"/>
                <w:kern w:val="0"/>
                <w:sz w:val="21"/>
                <w:szCs w:val="21"/>
                <w:highlight w:val="none"/>
                <w:u w:val="none"/>
                <w:lang w:val="en-US" w:eastAsia="zh-CN" w:bidi="ar"/>
              </w:rPr>
              <w:t>（</w:t>
            </w:r>
            <w:r>
              <w:rPr>
                <w:rFonts w:hint="eastAsia" w:ascii="Arial" w:hAnsi="Arial" w:cs="Arial"/>
                <w:b/>
                <w:bCs/>
                <w:i w:val="0"/>
                <w:iCs w:val="0"/>
                <w:color w:val="000000"/>
                <w:kern w:val="0"/>
                <w:sz w:val="21"/>
                <w:szCs w:val="21"/>
                <w:highlight w:val="none"/>
                <w:u w:val="none"/>
                <w:lang w:val="en-US" w:eastAsia="zh-CN" w:bidi="ar"/>
              </w:rPr>
              <w:t>投标时</w:t>
            </w:r>
            <w:r>
              <w:rPr>
                <w:rFonts w:hint="default" w:ascii="Arial" w:hAnsi="Arial" w:eastAsia="宋体" w:cs="Arial"/>
                <w:b/>
                <w:bCs/>
                <w:i w:val="0"/>
                <w:iCs w:val="0"/>
                <w:color w:val="000000"/>
                <w:kern w:val="0"/>
                <w:sz w:val="21"/>
                <w:szCs w:val="21"/>
                <w:highlight w:val="none"/>
                <w:u w:val="none"/>
                <w:lang w:val="en-US" w:eastAsia="zh-CN" w:bidi="ar"/>
              </w:rPr>
              <w:t>须提供具有国家认可的第三方检测机构所出具的关于该功能的检测报告复印件并加盖公章）</w:t>
            </w:r>
            <w:r>
              <w:rPr>
                <w:rFonts w:hint="default" w:ascii="Arial" w:hAnsi="Arial" w:eastAsia="宋体" w:cs="Arial"/>
                <w:i w:val="0"/>
                <w:iCs w:val="0"/>
                <w:color w:val="000000"/>
                <w:kern w:val="0"/>
                <w:sz w:val="21"/>
                <w:szCs w:val="21"/>
                <w:highlight w:val="none"/>
                <w:u w:val="none"/>
                <w:lang w:val="en-US" w:eastAsia="zh-CN" w:bidi="ar"/>
              </w:rPr>
              <w:br w:type="textWrapping"/>
            </w:r>
            <w:r>
              <w:rPr>
                <w:rFonts w:hint="default" w:ascii="Arial" w:hAnsi="Arial" w:eastAsia="宋体" w:cs="Arial"/>
                <w:color w:val="auto"/>
                <w:sz w:val="21"/>
                <w:szCs w:val="21"/>
                <w:highlight w:val="none"/>
              </w:rPr>
              <w:t>▲</w:t>
            </w:r>
            <w:r>
              <w:rPr>
                <w:rFonts w:hint="default" w:ascii="Arial" w:hAnsi="Arial" w:eastAsia="宋体" w:cs="Arial"/>
                <w:i w:val="0"/>
                <w:iCs w:val="0"/>
                <w:color w:val="000000"/>
                <w:kern w:val="0"/>
                <w:sz w:val="21"/>
                <w:szCs w:val="21"/>
                <w:highlight w:val="none"/>
                <w:u w:val="none"/>
                <w:lang w:val="en-US" w:eastAsia="zh-CN" w:bidi="ar"/>
              </w:rPr>
              <w:t>10.课堂活动作答：支持学生在完成教师下发的课堂活动时，查看自己的排名、耗时以及答题情况。</w:t>
            </w:r>
            <w:r>
              <w:rPr>
                <w:rFonts w:hint="default" w:ascii="Arial" w:hAnsi="Arial" w:eastAsia="宋体" w:cs="Arial"/>
                <w:b/>
                <w:bCs/>
                <w:i w:val="0"/>
                <w:iCs w:val="0"/>
                <w:color w:val="000000"/>
                <w:kern w:val="0"/>
                <w:sz w:val="21"/>
                <w:szCs w:val="21"/>
                <w:highlight w:val="none"/>
                <w:u w:val="none"/>
                <w:lang w:val="en-US" w:eastAsia="zh-CN" w:bidi="ar"/>
              </w:rPr>
              <w:t>（</w:t>
            </w:r>
            <w:r>
              <w:rPr>
                <w:rFonts w:hint="eastAsia" w:ascii="Arial" w:hAnsi="Arial" w:cs="Arial"/>
                <w:b/>
                <w:bCs/>
                <w:i w:val="0"/>
                <w:iCs w:val="0"/>
                <w:color w:val="000000"/>
                <w:kern w:val="0"/>
                <w:sz w:val="21"/>
                <w:szCs w:val="21"/>
                <w:highlight w:val="none"/>
                <w:u w:val="none"/>
                <w:lang w:val="en-US" w:eastAsia="zh-CN" w:bidi="ar"/>
              </w:rPr>
              <w:t>投标时</w:t>
            </w:r>
            <w:r>
              <w:rPr>
                <w:rFonts w:hint="default" w:ascii="Arial" w:hAnsi="Arial" w:eastAsia="宋体" w:cs="Arial"/>
                <w:b/>
                <w:bCs/>
                <w:i w:val="0"/>
                <w:iCs w:val="0"/>
                <w:color w:val="000000"/>
                <w:kern w:val="0"/>
                <w:sz w:val="21"/>
                <w:szCs w:val="21"/>
                <w:highlight w:val="none"/>
                <w:u w:val="none"/>
                <w:lang w:val="en-US" w:eastAsia="zh-CN" w:bidi="ar"/>
              </w:rPr>
              <w:t>须提供具有国家认可的第三方检测机构所出具的关于该功能的检测报告复印件并加盖公章）</w:t>
            </w:r>
            <w:r>
              <w:rPr>
                <w:rFonts w:hint="default" w:ascii="Arial" w:hAnsi="Arial" w:eastAsia="宋体" w:cs="Arial"/>
                <w:b/>
                <w:bCs/>
                <w:i w:val="0"/>
                <w:iCs w:val="0"/>
                <w:color w:val="000000"/>
                <w:kern w:val="0"/>
                <w:sz w:val="21"/>
                <w:szCs w:val="21"/>
                <w:highlight w:val="none"/>
                <w:u w:val="none"/>
                <w:lang w:val="en-US" w:eastAsia="zh-CN" w:bidi="ar"/>
              </w:rPr>
              <w:br w:type="textWrapping"/>
            </w:r>
            <w:r>
              <w:rPr>
                <w:rFonts w:hint="default" w:ascii="Arial" w:hAnsi="Arial" w:eastAsia="宋体" w:cs="Arial"/>
                <w:i w:val="0"/>
                <w:iCs w:val="0"/>
                <w:color w:val="000000"/>
                <w:kern w:val="0"/>
                <w:sz w:val="21"/>
                <w:szCs w:val="21"/>
                <w:highlight w:val="none"/>
                <w:u w:val="none"/>
                <w:lang w:val="en-US" w:eastAsia="zh-CN" w:bidi="ar"/>
              </w:rPr>
              <w:t>11.学生未进入课堂通知：支持在管理后台录入学生名单后，教师选择授课班级，学生在开课后输入个人姓名即可完成班级点名签到，当未签到人数低于6人时会自动显示未进入课堂的学生名单。</w:t>
            </w:r>
            <w:r>
              <w:rPr>
                <w:rFonts w:hint="default" w:ascii="Arial" w:hAnsi="Arial" w:eastAsia="宋体" w:cs="Arial"/>
                <w:i w:val="0"/>
                <w:iCs w:val="0"/>
                <w:color w:val="000000"/>
                <w:kern w:val="0"/>
                <w:sz w:val="21"/>
                <w:szCs w:val="21"/>
                <w:highlight w:val="none"/>
                <w:u w:val="none"/>
                <w:lang w:val="en-US" w:eastAsia="zh-CN" w:bidi="ar"/>
              </w:rPr>
              <w:br w:type="textWrapping"/>
            </w:r>
            <w:r>
              <w:rPr>
                <w:rFonts w:hint="default" w:ascii="Arial" w:hAnsi="Arial" w:eastAsia="宋体" w:cs="Arial"/>
                <w:i w:val="0"/>
                <w:iCs w:val="0"/>
                <w:color w:val="000000"/>
                <w:kern w:val="0"/>
                <w:sz w:val="21"/>
                <w:szCs w:val="21"/>
                <w:highlight w:val="none"/>
                <w:u w:val="none"/>
                <w:lang w:val="en-US" w:eastAsia="zh-CN" w:bidi="ar"/>
              </w:rPr>
              <w:t>12.切换课堂通知：当课堂通知大于或等于2条时，支持用户手动切换查看。</w:t>
            </w:r>
            <w:r>
              <w:rPr>
                <w:rFonts w:hint="default" w:ascii="Arial" w:hAnsi="Arial" w:eastAsia="宋体" w:cs="Arial"/>
                <w:i w:val="0"/>
                <w:iCs w:val="0"/>
                <w:color w:val="000000"/>
                <w:kern w:val="0"/>
                <w:sz w:val="21"/>
                <w:szCs w:val="21"/>
                <w:highlight w:val="none"/>
                <w:u w:val="none"/>
                <w:lang w:val="en-US" w:eastAsia="zh-CN" w:bidi="ar"/>
              </w:rPr>
              <w:br w:type="textWrapping"/>
            </w:r>
            <w:r>
              <w:rPr>
                <w:rFonts w:hint="default" w:ascii="Arial" w:hAnsi="Arial" w:eastAsia="宋体" w:cs="Arial"/>
                <w:i w:val="0"/>
                <w:iCs w:val="0"/>
                <w:color w:val="000000"/>
                <w:kern w:val="0"/>
                <w:sz w:val="21"/>
                <w:szCs w:val="21"/>
                <w:highlight w:val="none"/>
                <w:u w:val="none"/>
                <w:lang w:val="en-US" w:eastAsia="zh-CN" w:bidi="ar"/>
              </w:rPr>
              <w:t>13.教学白板课件同步：支持同步教学白板软件的课件内容，支持按照大小、更新时间进行排序，支持按照按照文件类型进行筛选。</w:t>
            </w:r>
            <w:r>
              <w:rPr>
                <w:rFonts w:hint="default" w:ascii="Arial" w:hAnsi="Arial" w:eastAsia="宋体" w:cs="Arial"/>
                <w:i w:val="0"/>
                <w:iCs w:val="0"/>
                <w:color w:val="000000"/>
                <w:kern w:val="0"/>
                <w:sz w:val="21"/>
                <w:szCs w:val="21"/>
                <w:highlight w:val="none"/>
                <w:u w:val="none"/>
                <w:lang w:val="en-US" w:eastAsia="zh-CN" w:bidi="ar"/>
              </w:rPr>
              <w:br w:type="textWrapping"/>
            </w:r>
            <w:r>
              <w:rPr>
                <w:rFonts w:hint="default" w:ascii="Arial" w:hAnsi="Arial" w:eastAsia="宋体" w:cs="Arial"/>
                <w:i w:val="0"/>
                <w:iCs w:val="0"/>
                <w:color w:val="000000"/>
                <w:kern w:val="0"/>
                <w:sz w:val="21"/>
                <w:szCs w:val="21"/>
                <w:highlight w:val="none"/>
                <w:u w:val="none"/>
                <w:lang w:val="en-US" w:eastAsia="zh-CN" w:bidi="ar"/>
              </w:rPr>
              <w:t>14.文件上传：支持上传</w:t>
            </w:r>
            <w:r>
              <w:rPr>
                <w:rFonts w:hint="eastAsia" w:ascii="Arial" w:hAnsi="Arial" w:eastAsia="宋体" w:cs="Arial"/>
                <w:i w:val="0"/>
                <w:iCs w:val="0"/>
                <w:color w:val="000000"/>
                <w:kern w:val="0"/>
                <w:sz w:val="21"/>
                <w:szCs w:val="21"/>
                <w:highlight w:val="none"/>
                <w:u w:val="none"/>
                <w:lang w:val="en-US" w:eastAsia="zh-CN" w:bidi="ar"/>
              </w:rPr>
              <w:t>“</w:t>
            </w:r>
            <w:r>
              <w:rPr>
                <w:rFonts w:hint="default" w:ascii="Arial" w:hAnsi="Arial" w:eastAsia="宋体" w:cs="Arial"/>
                <w:i w:val="0"/>
                <w:iCs w:val="0"/>
                <w:color w:val="000000"/>
                <w:kern w:val="0"/>
                <w:sz w:val="21"/>
                <w:szCs w:val="21"/>
                <w:highlight w:val="none"/>
                <w:u w:val="none"/>
                <w:lang w:val="en-US" w:eastAsia="zh-CN" w:bidi="ar"/>
              </w:rPr>
              <w:t>本地文件</w:t>
            </w:r>
            <w:r>
              <w:rPr>
                <w:rFonts w:hint="eastAsia" w:ascii="Arial" w:hAnsi="Arial" w:eastAsia="宋体" w:cs="Arial"/>
                <w:i w:val="0"/>
                <w:iCs w:val="0"/>
                <w:color w:val="000000"/>
                <w:kern w:val="0"/>
                <w:sz w:val="21"/>
                <w:szCs w:val="21"/>
                <w:highlight w:val="none"/>
                <w:u w:val="none"/>
                <w:lang w:val="en-US" w:eastAsia="zh-CN" w:bidi="ar"/>
              </w:rPr>
              <w:t>”</w:t>
            </w:r>
            <w:r>
              <w:rPr>
                <w:rFonts w:hint="default" w:ascii="Arial" w:hAnsi="Arial" w:eastAsia="宋体" w:cs="Arial"/>
                <w:i w:val="0"/>
                <w:iCs w:val="0"/>
                <w:color w:val="000000"/>
                <w:kern w:val="0"/>
                <w:sz w:val="21"/>
                <w:szCs w:val="21"/>
                <w:highlight w:val="none"/>
                <w:u w:val="none"/>
                <w:lang w:val="en-US" w:eastAsia="zh-CN" w:bidi="ar"/>
              </w:rPr>
              <w:t>到终端应用软件的教师云空间。</w:t>
            </w:r>
            <w:r>
              <w:rPr>
                <w:rFonts w:hint="default" w:ascii="Arial" w:hAnsi="Arial" w:eastAsia="宋体" w:cs="Arial"/>
                <w:i w:val="0"/>
                <w:iCs w:val="0"/>
                <w:color w:val="000000"/>
                <w:kern w:val="0"/>
                <w:sz w:val="21"/>
                <w:szCs w:val="21"/>
                <w:highlight w:val="none"/>
                <w:u w:val="none"/>
                <w:lang w:val="en-US" w:eastAsia="zh-CN" w:bidi="ar"/>
              </w:rPr>
              <w:br w:type="textWrapping"/>
            </w:r>
            <w:r>
              <w:rPr>
                <w:rFonts w:hint="default" w:ascii="Arial" w:hAnsi="Arial" w:eastAsia="宋体" w:cs="Arial"/>
                <w:i w:val="0"/>
                <w:iCs w:val="0"/>
                <w:color w:val="000000"/>
                <w:kern w:val="0"/>
                <w:sz w:val="21"/>
                <w:szCs w:val="21"/>
                <w:highlight w:val="none"/>
                <w:u w:val="none"/>
                <w:lang w:val="en-US" w:eastAsia="zh-CN" w:bidi="ar"/>
              </w:rPr>
              <w:t>15.文件共享：支持教师把云空间的文件批量共享给指定的多个授课班级，资料被删除后文件仍可重新下载。支持教师把已共享的资料进行取消共享。</w:t>
            </w:r>
            <w:r>
              <w:rPr>
                <w:rFonts w:hint="default" w:ascii="Arial" w:hAnsi="Arial" w:eastAsia="宋体" w:cs="Arial"/>
                <w:i w:val="0"/>
                <w:iCs w:val="0"/>
                <w:color w:val="000000"/>
                <w:kern w:val="0"/>
                <w:sz w:val="21"/>
                <w:szCs w:val="21"/>
                <w:highlight w:val="none"/>
                <w:u w:val="none"/>
                <w:lang w:val="en-US" w:eastAsia="zh-CN" w:bidi="ar"/>
              </w:rPr>
              <w:br w:type="textWrapping"/>
            </w:r>
            <w:r>
              <w:rPr>
                <w:rFonts w:hint="default" w:ascii="Arial" w:hAnsi="Arial" w:eastAsia="宋体" w:cs="Arial"/>
                <w:i w:val="0"/>
                <w:iCs w:val="0"/>
                <w:color w:val="000000"/>
                <w:kern w:val="0"/>
                <w:sz w:val="21"/>
                <w:szCs w:val="21"/>
                <w:highlight w:val="none"/>
                <w:u w:val="none"/>
                <w:lang w:val="en-US" w:eastAsia="zh-CN" w:bidi="ar"/>
              </w:rPr>
              <w:t>16.授课班级状态：当作业空间存在多个班级的时候，支持显示当前正在授课班级。</w:t>
            </w:r>
            <w:r>
              <w:rPr>
                <w:rFonts w:hint="default" w:ascii="Arial" w:hAnsi="Arial" w:eastAsia="宋体" w:cs="Arial"/>
                <w:i w:val="0"/>
                <w:iCs w:val="0"/>
                <w:color w:val="000000"/>
                <w:kern w:val="0"/>
                <w:sz w:val="21"/>
                <w:szCs w:val="21"/>
                <w:highlight w:val="none"/>
                <w:u w:val="none"/>
                <w:lang w:val="en-US" w:eastAsia="zh-CN" w:bidi="ar"/>
              </w:rPr>
              <w:br w:type="textWrapping"/>
            </w:r>
            <w:r>
              <w:rPr>
                <w:rFonts w:hint="default" w:ascii="Arial" w:hAnsi="Arial" w:eastAsia="宋体" w:cs="Arial"/>
                <w:i w:val="0"/>
                <w:iCs w:val="0"/>
                <w:color w:val="000000"/>
                <w:kern w:val="0"/>
                <w:sz w:val="21"/>
                <w:szCs w:val="21"/>
                <w:highlight w:val="none"/>
                <w:u w:val="none"/>
                <w:lang w:val="en-US" w:eastAsia="zh-CN" w:bidi="ar"/>
              </w:rPr>
              <w:t>17.作业回收进度查看：回收作业过程中，支持自动统计已提交和未提交的学生名单。</w:t>
            </w:r>
            <w:r>
              <w:rPr>
                <w:rFonts w:hint="default" w:ascii="Arial" w:hAnsi="Arial" w:eastAsia="宋体" w:cs="Arial"/>
                <w:i w:val="0"/>
                <w:iCs w:val="0"/>
                <w:color w:val="000000"/>
                <w:kern w:val="0"/>
                <w:sz w:val="21"/>
                <w:szCs w:val="21"/>
                <w:highlight w:val="none"/>
                <w:u w:val="none"/>
                <w:lang w:val="en-US" w:eastAsia="zh-CN" w:bidi="ar"/>
              </w:rPr>
              <w:br w:type="textWrapping"/>
            </w:r>
            <w:r>
              <w:rPr>
                <w:rFonts w:hint="default" w:ascii="Arial" w:hAnsi="Arial" w:eastAsia="宋体" w:cs="Arial"/>
                <w:i w:val="0"/>
                <w:iCs w:val="0"/>
                <w:color w:val="000000"/>
                <w:kern w:val="0"/>
                <w:sz w:val="21"/>
                <w:szCs w:val="21"/>
                <w:highlight w:val="none"/>
                <w:u w:val="none"/>
                <w:lang w:val="en-US" w:eastAsia="zh-CN" w:bidi="ar"/>
              </w:rPr>
              <w:t>18.文件传输：显示上传和下载的文件历史记录。</w:t>
            </w:r>
            <w:r>
              <w:rPr>
                <w:rFonts w:hint="default" w:ascii="Arial" w:hAnsi="Arial" w:eastAsia="宋体" w:cs="Arial"/>
                <w:i w:val="0"/>
                <w:iCs w:val="0"/>
                <w:color w:val="000000"/>
                <w:kern w:val="0"/>
                <w:sz w:val="21"/>
                <w:szCs w:val="21"/>
                <w:highlight w:val="none"/>
                <w:u w:val="none"/>
                <w:lang w:val="en-US" w:eastAsia="zh-CN" w:bidi="ar"/>
              </w:rPr>
              <w:br w:type="textWrapping"/>
            </w:r>
            <w:r>
              <w:rPr>
                <w:rFonts w:hint="default" w:ascii="Arial" w:hAnsi="Arial" w:eastAsia="宋体" w:cs="Arial"/>
                <w:i w:val="0"/>
                <w:iCs w:val="0"/>
                <w:color w:val="000000"/>
                <w:kern w:val="0"/>
                <w:sz w:val="21"/>
                <w:szCs w:val="21"/>
                <w:highlight w:val="none"/>
                <w:u w:val="none"/>
                <w:lang w:val="en-US" w:eastAsia="zh-CN" w:bidi="ar"/>
              </w:rPr>
              <w:t>19.导入文件共享：支持教师直接把</w:t>
            </w:r>
            <w:r>
              <w:rPr>
                <w:rFonts w:hint="eastAsia" w:ascii="Arial" w:hAnsi="Arial" w:eastAsia="宋体" w:cs="Arial"/>
                <w:i w:val="0"/>
                <w:iCs w:val="0"/>
                <w:color w:val="000000"/>
                <w:kern w:val="0"/>
                <w:sz w:val="21"/>
                <w:szCs w:val="21"/>
                <w:highlight w:val="none"/>
                <w:u w:val="none"/>
                <w:lang w:val="en-US" w:eastAsia="zh-CN" w:bidi="ar"/>
              </w:rPr>
              <w:t>“</w:t>
            </w:r>
            <w:r>
              <w:rPr>
                <w:rFonts w:hint="default" w:ascii="Arial" w:hAnsi="Arial" w:eastAsia="宋体" w:cs="Arial"/>
                <w:i w:val="0"/>
                <w:iCs w:val="0"/>
                <w:color w:val="000000"/>
                <w:kern w:val="0"/>
                <w:sz w:val="21"/>
                <w:szCs w:val="21"/>
                <w:highlight w:val="none"/>
                <w:u w:val="none"/>
                <w:lang w:val="en-US" w:eastAsia="zh-CN" w:bidi="ar"/>
              </w:rPr>
              <w:t>我的文件</w:t>
            </w:r>
            <w:r>
              <w:rPr>
                <w:rFonts w:hint="eastAsia" w:ascii="Arial" w:hAnsi="Arial" w:eastAsia="宋体" w:cs="Arial"/>
                <w:i w:val="0"/>
                <w:iCs w:val="0"/>
                <w:color w:val="000000"/>
                <w:kern w:val="0"/>
                <w:sz w:val="21"/>
                <w:szCs w:val="21"/>
                <w:highlight w:val="none"/>
                <w:u w:val="none"/>
                <w:lang w:val="en-US" w:eastAsia="zh-CN" w:bidi="ar"/>
              </w:rPr>
              <w:t>”</w:t>
            </w:r>
            <w:r>
              <w:rPr>
                <w:rFonts w:hint="default" w:ascii="Arial" w:hAnsi="Arial" w:eastAsia="宋体" w:cs="Arial"/>
                <w:i w:val="0"/>
                <w:iCs w:val="0"/>
                <w:color w:val="000000"/>
                <w:kern w:val="0"/>
                <w:sz w:val="21"/>
                <w:szCs w:val="21"/>
                <w:highlight w:val="none"/>
                <w:u w:val="none"/>
                <w:lang w:val="en-US" w:eastAsia="zh-CN" w:bidi="ar"/>
              </w:rPr>
              <w:t>内容共享给班级学生。</w:t>
            </w:r>
            <w:r>
              <w:rPr>
                <w:rFonts w:hint="default" w:ascii="Arial" w:hAnsi="Arial" w:eastAsia="宋体" w:cs="Arial"/>
                <w:i w:val="0"/>
                <w:iCs w:val="0"/>
                <w:color w:val="000000"/>
                <w:kern w:val="0"/>
                <w:sz w:val="21"/>
                <w:szCs w:val="21"/>
                <w:highlight w:val="none"/>
                <w:u w:val="none"/>
                <w:lang w:val="en-US" w:eastAsia="zh-CN" w:bidi="ar"/>
              </w:rPr>
              <w:br w:type="textWrapping"/>
            </w:r>
            <w:r>
              <w:rPr>
                <w:rFonts w:hint="default" w:ascii="Arial" w:hAnsi="Arial" w:eastAsia="宋体" w:cs="Arial"/>
                <w:i w:val="0"/>
                <w:iCs w:val="0"/>
                <w:color w:val="000000"/>
                <w:kern w:val="0"/>
                <w:sz w:val="21"/>
                <w:szCs w:val="21"/>
                <w:highlight w:val="none"/>
                <w:u w:val="none"/>
                <w:lang w:val="en-US" w:eastAsia="zh-CN" w:bidi="ar"/>
              </w:rPr>
              <w:t>20.黑屏管控：教师可以选定学生执行黑屏操作。</w:t>
            </w:r>
            <w:r>
              <w:rPr>
                <w:rFonts w:hint="default" w:ascii="Arial" w:hAnsi="Arial" w:eastAsia="宋体" w:cs="Arial"/>
                <w:i w:val="0"/>
                <w:iCs w:val="0"/>
                <w:color w:val="000000"/>
                <w:kern w:val="0"/>
                <w:sz w:val="21"/>
                <w:szCs w:val="21"/>
                <w:highlight w:val="none"/>
                <w:u w:val="none"/>
                <w:lang w:val="en-US" w:eastAsia="zh-CN" w:bidi="ar"/>
              </w:rPr>
              <w:br w:type="textWrapping"/>
            </w:r>
            <w:r>
              <w:rPr>
                <w:rFonts w:hint="default" w:ascii="Arial" w:hAnsi="Arial" w:eastAsia="宋体" w:cs="Arial"/>
                <w:i w:val="0"/>
                <w:iCs w:val="0"/>
                <w:color w:val="000000"/>
                <w:kern w:val="0"/>
                <w:sz w:val="21"/>
                <w:szCs w:val="21"/>
                <w:highlight w:val="none"/>
                <w:u w:val="none"/>
                <w:lang w:val="en-US" w:eastAsia="zh-CN" w:bidi="ar"/>
              </w:rPr>
              <w:t>21.离线自动黑屏：支持教师授课时开启离线黑屏。</w:t>
            </w:r>
            <w:r>
              <w:rPr>
                <w:rFonts w:hint="default" w:ascii="Arial" w:hAnsi="Arial" w:eastAsia="宋体" w:cs="Arial"/>
                <w:i w:val="0"/>
                <w:iCs w:val="0"/>
                <w:color w:val="000000"/>
                <w:kern w:val="0"/>
                <w:sz w:val="21"/>
                <w:szCs w:val="21"/>
                <w:highlight w:val="none"/>
                <w:u w:val="none"/>
                <w:lang w:val="en-US" w:eastAsia="zh-CN" w:bidi="ar"/>
              </w:rPr>
              <w:br w:type="textWrapping"/>
            </w:r>
            <w:r>
              <w:rPr>
                <w:rFonts w:hint="default" w:ascii="Arial" w:hAnsi="Arial" w:eastAsia="宋体" w:cs="Arial"/>
                <w:i w:val="0"/>
                <w:iCs w:val="0"/>
                <w:color w:val="000000"/>
                <w:kern w:val="0"/>
                <w:sz w:val="21"/>
                <w:szCs w:val="21"/>
                <w:highlight w:val="none"/>
                <w:u w:val="none"/>
                <w:lang w:val="en-US" w:eastAsia="zh-CN" w:bidi="ar"/>
              </w:rPr>
              <w:t>22.设备环境检测：开始授课后，若学生设备离线，支持自动在教师端显示离线的设备总量以及对应离线的设备IP</w:t>
            </w:r>
            <w:r>
              <w:rPr>
                <w:rFonts w:hint="default" w:ascii="Arial" w:hAnsi="Arial" w:eastAsia="宋体" w:cs="Arial"/>
                <w:i w:val="0"/>
                <w:iCs w:val="0"/>
                <w:color w:val="000000"/>
                <w:kern w:val="0"/>
                <w:sz w:val="21"/>
                <w:szCs w:val="21"/>
                <w:highlight w:val="none"/>
                <w:u w:val="none"/>
                <w:lang w:val="en-US" w:eastAsia="zh-CN" w:bidi="ar"/>
              </w:rPr>
              <w:br w:type="textWrapping"/>
            </w:r>
            <w:r>
              <w:rPr>
                <w:rFonts w:hint="default" w:ascii="Arial" w:hAnsi="Arial" w:eastAsia="宋体" w:cs="Arial"/>
                <w:i w:val="0"/>
                <w:iCs w:val="0"/>
                <w:color w:val="000000"/>
                <w:kern w:val="0"/>
                <w:sz w:val="21"/>
                <w:szCs w:val="21"/>
                <w:highlight w:val="none"/>
                <w:u w:val="none"/>
                <w:lang w:val="en-US" w:eastAsia="zh-CN" w:bidi="ar"/>
              </w:rPr>
              <w:t>23.程序限制：通过设置应用程序白名单，可防止学生在教学过程中使用跟课程无关的应用程序。</w:t>
            </w:r>
            <w:r>
              <w:rPr>
                <w:rFonts w:hint="default" w:ascii="Arial" w:hAnsi="Arial" w:eastAsia="宋体" w:cs="Arial"/>
                <w:i w:val="0"/>
                <w:iCs w:val="0"/>
                <w:color w:val="000000"/>
                <w:kern w:val="0"/>
                <w:sz w:val="21"/>
                <w:szCs w:val="21"/>
                <w:highlight w:val="none"/>
                <w:u w:val="none"/>
                <w:lang w:val="en-US" w:eastAsia="zh-CN" w:bidi="ar"/>
              </w:rPr>
              <w:br w:type="textWrapping"/>
            </w:r>
            <w:r>
              <w:rPr>
                <w:rFonts w:hint="default" w:ascii="Arial" w:hAnsi="Arial" w:eastAsia="宋体" w:cs="Arial"/>
                <w:i w:val="0"/>
                <w:iCs w:val="0"/>
                <w:color w:val="000000"/>
                <w:kern w:val="0"/>
                <w:sz w:val="21"/>
                <w:szCs w:val="21"/>
                <w:highlight w:val="none"/>
                <w:u w:val="none"/>
                <w:lang w:val="en-US" w:eastAsia="zh-CN" w:bidi="ar"/>
              </w:rPr>
              <w:t>24.自动获取学生端应用环境：开启授课后自动获取授课学生设备安装的应用环境，教师可以直接禁用学生设备的应用。</w:t>
            </w:r>
            <w:r>
              <w:rPr>
                <w:rFonts w:hint="default" w:ascii="Arial" w:hAnsi="Arial" w:eastAsia="宋体" w:cs="Arial"/>
                <w:i w:val="0"/>
                <w:iCs w:val="0"/>
                <w:color w:val="000000"/>
                <w:kern w:val="0"/>
                <w:sz w:val="21"/>
                <w:szCs w:val="21"/>
                <w:highlight w:val="none"/>
                <w:u w:val="none"/>
                <w:lang w:val="en-US" w:eastAsia="zh-CN" w:bidi="ar"/>
              </w:rPr>
              <w:br w:type="textWrapping"/>
            </w:r>
            <w:r>
              <w:rPr>
                <w:rFonts w:hint="default" w:ascii="Arial" w:hAnsi="Arial" w:eastAsia="宋体" w:cs="Arial"/>
                <w:i w:val="0"/>
                <w:iCs w:val="0"/>
                <w:color w:val="000000"/>
                <w:kern w:val="0"/>
                <w:sz w:val="21"/>
                <w:szCs w:val="21"/>
                <w:highlight w:val="none"/>
                <w:u w:val="none"/>
                <w:lang w:val="en-US" w:eastAsia="zh-CN" w:bidi="ar"/>
              </w:rPr>
              <w:t>25.违规使用记录：支持显示最近一节课的违规使用应用程序的名称、违规操作人、设备IP，以及支持教师禁用和取消禁用学生使用违规应用程序。</w:t>
            </w:r>
            <w:r>
              <w:rPr>
                <w:rFonts w:hint="default" w:ascii="Arial" w:hAnsi="Arial" w:eastAsia="宋体" w:cs="Arial"/>
                <w:i w:val="0"/>
                <w:iCs w:val="0"/>
                <w:color w:val="000000"/>
                <w:kern w:val="0"/>
                <w:sz w:val="21"/>
                <w:szCs w:val="21"/>
                <w:highlight w:val="none"/>
                <w:u w:val="none"/>
                <w:lang w:val="en-US" w:eastAsia="zh-CN" w:bidi="ar"/>
              </w:rPr>
              <w:br w:type="textWrapping"/>
            </w:r>
            <w:r>
              <w:rPr>
                <w:rFonts w:hint="default" w:ascii="Arial" w:hAnsi="Arial" w:eastAsia="宋体" w:cs="Arial"/>
                <w:i w:val="0"/>
                <w:iCs w:val="0"/>
                <w:color w:val="000000"/>
                <w:kern w:val="0"/>
                <w:sz w:val="21"/>
                <w:szCs w:val="21"/>
                <w:highlight w:val="none"/>
                <w:u w:val="none"/>
                <w:lang w:val="en-US" w:eastAsia="zh-CN" w:bidi="ar"/>
              </w:rPr>
              <w:t>26.一键禁用违规应用：支持教师对最近一节课违规使用的应用程序进行一键禁用。</w:t>
            </w:r>
            <w:r>
              <w:rPr>
                <w:rFonts w:hint="default" w:ascii="Arial" w:hAnsi="Arial" w:eastAsia="宋体" w:cs="Arial"/>
                <w:i w:val="0"/>
                <w:iCs w:val="0"/>
                <w:color w:val="000000"/>
                <w:kern w:val="0"/>
                <w:sz w:val="21"/>
                <w:szCs w:val="21"/>
                <w:highlight w:val="none"/>
                <w:u w:val="none"/>
                <w:lang w:val="en-US" w:eastAsia="zh-CN" w:bidi="ar"/>
              </w:rPr>
              <w:br w:type="textWrapping"/>
            </w:r>
            <w:r>
              <w:rPr>
                <w:rFonts w:hint="default" w:ascii="Arial" w:hAnsi="Arial" w:eastAsia="宋体" w:cs="Arial"/>
                <w:i w:val="0"/>
                <w:iCs w:val="0"/>
                <w:color w:val="000000"/>
                <w:kern w:val="0"/>
                <w:sz w:val="21"/>
                <w:szCs w:val="21"/>
                <w:highlight w:val="none"/>
                <w:u w:val="none"/>
                <w:lang w:val="en-US" w:eastAsia="zh-CN" w:bidi="ar"/>
              </w:rPr>
              <w:t>27.网页限制：支持设定学生访问网站的白名单信息，对学生可以访问的网址进行管理。</w:t>
            </w:r>
            <w:r>
              <w:rPr>
                <w:rFonts w:hint="default" w:ascii="Arial" w:hAnsi="Arial" w:eastAsia="宋体" w:cs="Arial"/>
                <w:i w:val="0"/>
                <w:iCs w:val="0"/>
                <w:color w:val="000000"/>
                <w:kern w:val="0"/>
                <w:sz w:val="21"/>
                <w:szCs w:val="21"/>
                <w:highlight w:val="none"/>
                <w:u w:val="none"/>
                <w:lang w:val="en-US" w:eastAsia="zh-CN" w:bidi="ar"/>
              </w:rPr>
              <w:br w:type="textWrapping"/>
            </w:r>
            <w:r>
              <w:rPr>
                <w:rFonts w:hint="default" w:ascii="Arial" w:hAnsi="Arial" w:eastAsia="宋体" w:cs="Arial"/>
                <w:i w:val="0"/>
                <w:iCs w:val="0"/>
                <w:color w:val="000000"/>
                <w:kern w:val="0"/>
                <w:sz w:val="21"/>
                <w:szCs w:val="21"/>
                <w:highlight w:val="none"/>
                <w:u w:val="none"/>
                <w:lang w:val="en-US" w:eastAsia="zh-CN" w:bidi="ar"/>
              </w:rPr>
              <w:t>28.应用防卸载：支持防止通过控制面板或使用第三方软件卸载学生端应用。</w:t>
            </w:r>
            <w:r>
              <w:rPr>
                <w:rFonts w:hint="default" w:ascii="Arial" w:hAnsi="Arial" w:eastAsia="宋体" w:cs="Arial"/>
                <w:i w:val="0"/>
                <w:iCs w:val="0"/>
                <w:color w:val="000000"/>
                <w:kern w:val="0"/>
                <w:sz w:val="21"/>
                <w:szCs w:val="21"/>
                <w:highlight w:val="none"/>
                <w:u w:val="none"/>
                <w:lang w:val="en-US" w:eastAsia="zh-CN" w:bidi="ar"/>
              </w:rPr>
              <w:br w:type="textWrapping"/>
            </w:r>
            <w:r>
              <w:rPr>
                <w:rFonts w:hint="default" w:ascii="Arial" w:hAnsi="Arial" w:eastAsia="宋体" w:cs="Arial"/>
                <w:i w:val="0"/>
                <w:iCs w:val="0"/>
                <w:color w:val="000000"/>
                <w:kern w:val="0"/>
                <w:sz w:val="21"/>
                <w:szCs w:val="21"/>
                <w:highlight w:val="none"/>
                <w:u w:val="none"/>
                <w:lang w:val="en-US" w:eastAsia="zh-CN" w:bidi="ar"/>
              </w:rPr>
              <w:t>29.应用进程防杀：支持防止通过任务管理器或使用第三方软件结束学生端应用进程。</w:t>
            </w:r>
            <w:r>
              <w:rPr>
                <w:rFonts w:hint="default" w:ascii="Arial" w:hAnsi="Arial" w:eastAsia="宋体" w:cs="Arial"/>
                <w:i w:val="0"/>
                <w:iCs w:val="0"/>
                <w:color w:val="000000"/>
                <w:kern w:val="0"/>
                <w:sz w:val="21"/>
                <w:szCs w:val="21"/>
                <w:highlight w:val="none"/>
                <w:u w:val="none"/>
                <w:lang w:val="en-US" w:eastAsia="zh-CN" w:bidi="ar"/>
              </w:rPr>
              <w:br w:type="textWrapping"/>
            </w:r>
            <w:r>
              <w:rPr>
                <w:rFonts w:hint="default" w:ascii="Arial" w:hAnsi="Arial" w:eastAsia="宋体" w:cs="Arial"/>
                <w:i w:val="0"/>
                <w:iCs w:val="0"/>
                <w:color w:val="000000"/>
                <w:kern w:val="0"/>
                <w:sz w:val="21"/>
                <w:szCs w:val="21"/>
                <w:highlight w:val="none"/>
                <w:u w:val="none"/>
                <w:lang w:val="en-US" w:eastAsia="zh-CN" w:bidi="ar"/>
              </w:rPr>
              <w:t>30.学生画面监看：教师机可以监视全体、单一学生机的实时画面。</w:t>
            </w:r>
            <w:r>
              <w:rPr>
                <w:rFonts w:hint="default" w:ascii="Arial" w:hAnsi="Arial" w:eastAsia="宋体" w:cs="Arial"/>
                <w:i w:val="0"/>
                <w:iCs w:val="0"/>
                <w:color w:val="000000"/>
                <w:kern w:val="0"/>
                <w:sz w:val="21"/>
                <w:szCs w:val="21"/>
                <w:highlight w:val="none"/>
                <w:u w:val="none"/>
                <w:lang w:val="en-US" w:eastAsia="zh-CN" w:bidi="ar"/>
              </w:rPr>
              <w:br w:type="textWrapping"/>
            </w:r>
            <w:r>
              <w:rPr>
                <w:rFonts w:hint="default" w:ascii="Arial" w:hAnsi="Arial" w:eastAsia="宋体" w:cs="Arial"/>
                <w:i w:val="0"/>
                <w:iCs w:val="0"/>
                <w:color w:val="000000"/>
                <w:kern w:val="0"/>
                <w:sz w:val="21"/>
                <w:szCs w:val="21"/>
                <w:highlight w:val="none"/>
                <w:u w:val="none"/>
                <w:lang w:val="en-US" w:eastAsia="zh-CN" w:bidi="ar"/>
              </w:rPr>
              <w:t>31.学生名单管理：支持在管理后台导入、增加、删除、更改、查询班级学生名单，并同步到终端应用教学软件中。</w:t>
            </w:r>
            <w:r>
              <w:rPr>
                <w:rFonts w:hint="default" w:ascii="Arial" w:hAnsi="Arial" w:eastAsia="宋体" w:cs="Arial"/>
                <w:i w:val="0"/>
                <w:iCs w:val="0"/>
                <w:color w:val="000000"/>
                <w:kern w:val="0"/>
                <w:sz w:val="21"/>
                <w:szCs w:val="21"/>
                <w:highlight w:val="none"/>
                <w:u w:val="none"/>
                <w:lang w:val="en-US" w:eastAsia="zh-CN" w:bidi="ar"/>
              </w:rPr>
              <w:br w:type="textWrapping"/>
            </w:r>
            <w:r>
              <w:rPr>
                <w:rFonts w:hint="default" w:ascii="Arial" w:hAnsi="Arial" w:eastAsia="宋体" w:cs="Arial"/>
                <w:i w:val="0"/>
                <w:iCs w:val="0"/>
                <w:color w:val="000000"/>
                <w:kern w:val="0"/>
                <w:sz w:val="21"/>
                <w:szCs w:val="21"/>
                <w:highlight w:val="none"/>
                <w:u w:val="none"/>
                <w:lang w:val="en-US" w:eastAsia="zh-CN" w:bidi="ar"/>
              </w:rPr>
              <w:t>32.教师名单管理：支持在管理后台导入、增加、删除、更改、查询教师名单。</w:t>
            </w:r>
          </w:p>
        </w:tc>
        <w:tc>
          <w:tcPr>
            <w:tcW w:w="1121" w:type="dxa"/>
            <w:tcBorders>
              <w:top w:val="single" w:color="auto" w:sz="4" w:space="0"/>
              <w:left w:val="single" w:color="auto" w:sz="4" w:space="0"/>
              <w:bottom w:val="single" w:color="auto" w:sz="4" w:space="0"/>
              <w:right w:val="single" w:color="auto" w:sz="4" w:space="0"/>
            </w:tcBorders>
            <w:noWrap w:val="0"/>
            <w:vAlign w:val="center"/>
          </w:tcPr>
          <w:p w14:paraId="7EB24F8D">
            <w:pPr>
              <w:keepNext w:val="0"/>
              <w:keepLines w:val="0"/>
              <w:widowControl/>
              <w:suppressLineNumbers w:val="0"/>
              <w:jc w:val="center"/>
              <w:textAlignment w:val="center"/>
              <w:rPr>
                <w:rFonts w:hint="default" w:ascii="Arial" w:hAnsi="Arial" w:eastAsia="宋体" w:cs="Arial"/>
                <w:color w:val="auto"/>
                <w:sz w:val="21"/>
                <w:szCs w:val="21"/>
                <w:highlight w:val="none"/>
                <w:lang w:val="en-US" w:eastAsia="zh-CN"/>
              </w:rPr>
            </w:pPr>
            <w:r>
              <w:rPr>
                <w:rFonts w:hint="default" w:ascii="Arial" w:hAnsi="Arial" w:eastAsia="宋体" w:cs="Arial"/>
                <w:i w:val="0"/>
                <w:iCs w:val="0"/>
                <w:color w:val="000000"/>
                <w:kern w:val="0"/>
                <w:sz w:val="21"/>
                <w:szCs w:val="21"/>
                <w:highlight w:val="none"/>
                <w:u w:val="none"/>
                <w:lang w:val="en-US" w:eastAsia="zh-CN" w:bidi="ar"/>
              </w:rPr>
              <w:t xml:space="preserve">5690.00 </w:t>
            </w:r>
          </w:p>
        </w:tc>
      </w:tr>
      <w:tr w14:paraId="70EE9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jc w:val="center"/>
        </w:trPr>
        <w:tc>
          <w:tcPr>
            <w:tcW w:w="475" w:type="dxa"/>
            <w:tcBorders>
              <w:top w:val="single" w:color="auto" w:sz="4" w:space="0"/>
              <w:left w:val="single" w:color="auto" w:sz="4" w:space="0"/>
              <w:bottom w:val="single" w:color="auto" w:sz="4" w:space="0"/>
              <w:right w:val="single" w:color="auto" w:sz="4" w:space="0"/>
            </w:tcBorders>
            <w:noWrap w:val="0"/>
            <w:vAlign w:val="center"/>
          </w:tcPr>
          <w:p w14:paraId="1E3CB8FA">
            <w:pPr>
              <w:keepNext w:val="0"/>
              <w:keepLines w:val="0"/>
              <w:widowControl/>
              <w:suppressLineNumbers w:val="0"/>
              <w:jc w:val="center"/>
              <w:textAlignment w:val="center"/>
              <w:rPr>
                <w:rFonts w:hint="default" w:ascii="Arial" w:hAnsi="Arial" w:eastAsia="宋体" w:cs="Arial"/>
                <w:b/>
                <w:bCs/>
                <w:color w:val="auto"/>
                <w:szCs w:val="21"/>
                <w:highlight w:val="none"/>
              </w:rPr>
            </w:pPr>
            <w:r>
              <w:rPr>
                <w:rFonts w:hint="default" w:ascii="Arial" w:hAnsi="Arial" w:eastAsia="宋体" w:cs="Arial"/>
                <w:i w:val="0"/>
                <w:iCs w:val="0"/>
                <w:color w:val="000000"/>
                <w:kern w:val="0"/>
                <w:sz w:val="21"/>
                <w:szCs w:val="21"/>
                <w:highlight w:val="none"/>
                <w:u w:val="none"/>
                <w:lang w:val="en-US" w:eastAsia="zh-CN" w:bidi="ar"/>
              </w:rPr>
              <w:t>2</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2CD41A2C">
            <w:pPr>
              <w:keepNext w:val="0"/>
              <w:keepLines w:val="0"/>
              <w:widowControl/>
              <w:suppressLineNumbers w:val="0"/>
              <w:jc w:val="center"/>
              <w:textAlignment w:val="center"/>
              <w:rPr>
                <w:rFonts w:hint="default" w:ascii="Arial" w:hAnsi="Arial" w:eastAsia="宋体" w:cs="Arial"/>
                <w:bCs/>
                <w:color w:val="auto"/>
                <w:szCs w:val="21"/>
                <w:highlight w:val="none"/>
                <w:lang w:val="en-US" w:eastAsia="zh-CN"/>
              </w:rPr>
            </w:pPr>
            <w:r>
              <w:rPr>
                <w:rFonts w:hint="default" w:ascii="Arial" w:hAnsi="Arial" w:eastAsia="宋体" w:cs="Arial"/>
                <w:i w:val="0"/>
                <w:iCs w:val="0"/>
                <w:color w:val="000000"/>
                <w:kern w:val="0"/>
                <w:sz w:val="21"/>
                <w:szCs w:val="21"/>
                <w:highlight w:val="none"/>
                <w:u w:val="none"/>
                <w:lang w:val="en-US" w:eastAsia="zh-CN" w:bidi="ar"/>
              </w:rPr>
              <w:t>管理软件</w:t>
            </w:r>
          </w:p>
        </w:tc>
        <w:tc>
          <w:tcPr>
            <w:tcW w:w="775" w:type="dxa"/>
            <w:tcBorders>
              <w:top w:val="single" w:color="auto" w:sz="4" w:space="0"/>
              <w:left w:val="single" w:color="auto" w:sz="4" w:space="0"/>
              <w:bottom w:val="single" w:color="auto" w:sz="4" w:space="0"/>
              <w:right w:val="single" w:color="auto" w:sz="4" w:space="0"/>
            </w:tcBorders>
            <w:noWrap w:val="0"/>
            <w:vAlign w:val="center"/>
          </w:tcPr>
          <w:p w14:paraId="77836FE5">
            <w:pPr>
              <w:keepNext w:val="0"/>
              <w:keepLines w:val="0"/>
              <w:widowControl/>
              <w:suppressLineNumbers w:val="0"/>
              <w:jc w:val="center"/>
              <w:textAlignment w:val="center"/>
              <w:rPr>
                <w:rFonts w:hint="default" w:ascii="Arial" w:hAnsi="Arial" w:eastAsia="宋体" w:cs="Arial"/>
                <w:bCs/>
                <w:color w:val="auto"/>
                <w:szCs w:val="21"/>
                <w:highlight w:val="none"/>
              </w:rPr>
            </w:pPr>
            <w:r>
              <w:rPr>
                <w:rFonts w:hint="default" w:ascii="Arial" w:hAnsi="Arial" w:cs="Arial"/>
                <w:bCs/>
                <w:kern w:val="0"/>
                <w:szCs w:val="21"/>
                <w:highlight w:val="none"/>
              </w:rPr>
              <w:t>软件和信息技术服务业</w:t>
            </w:r>
          </w:p>
        </w:tc>
        <w:tc>
          <w:tcPr>
            <w:tcW w:w="65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6FE532F">
            <w:pPr>
              <w:keepNext w:val="0"/>
              <w:keepLines w:val="0"/>
              <w:widowControl/>
              <w:suppressLineNumbers w:val="0"/>
              <w:jc w:val="center"/>
              <w:textAlignment w:val="center"/>
              <w:rPr>
                <w:rFonts w:hint="default" w:ascii="Arial" w:hAnsi="Arial" w:eastAsia="宋体" w:cs="Arial"/>
                <w:bCs/>
                <w:color w:val="auto"/>
                <w:kern w:val="2"/>
                <w:sz w:val="21"/>
                <w:szCs w:val="21"/>
                <w:highlight w:val="none"/>
                <w:lang w:val="en-US" w:eastAsia="zh-CN" w:bidi="ar-SA"/>
              </w:rPr>
            </w:pPr>
            <w:r>
              <w:rPr>
                <w:rFonts w:hint="default" w:ascii="Arial" w:hAnsi="Arial" w:eastAsia="宋体" w:cs="Arial"/>
                <w:i w:val="0"/>
                <w:iCs w:val="0"/>
                <w:color w:val="000000"/>
                <w:kern w:val="0"/>
                <w:sz w:val="21"/>
                <w:szCs w:val="21"/>
                <w:highlight w:val="none"/>
                <w:u w:val="none"/>
                <w:lang w:val="en-US" w:eastAsia="zh-CN" w:bidi="ar"/>
              </w:rPr>
              <w:drawing>
                <wp:anchor distT="0" distB="0" distL="114300" distR="114300" simplePos="0" relativeHeight="251670528" behindDoc="0" locked="0" layoutInCell="1" allowOverlap="1">
                  <wp:simplePos x="0" y="0"/>
                  <wp:positionH relativeFrom="column">
                    <wp:posOffset>0</wp:posOffset>
                  </wp:positionH>
                  <wp:positionV relativeFrom="paragraph">
                    <wp:posOffset>0</wp:posOffset>
                  </wp:positionV>
                  <wp:extent cx="6350" cy="6350"/>
                  <wp:effectExtent l="0" t="0" r="0" b="0"/>
                  <wp:wrapNone/>
                  <wp:docPr id="21" name="图片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_5"/>
                          <pic:cNvPicPr>
                            <a:picLocks noChangeAspect="1"/>
                          </pic:cNvPicPr>
                        </pic:nvPicPr>
                        <pic:blipFill>
                          <a:blip r:embed="rId11" r:link="rId12"/>
                          <a:stretch>
                            <a:fillRect/>
                          </a:stretch>
                        </pic:blipFill>
                        <pic:spPr>
                          <a:xfrm>
                            <a:off x="5486400" y="352425"/>
                            <a:ext cx="6350" cy="6350"/>
                          </a:xfrm>
                          <a:prstGeom prst="rect">
                            <a:avLst/>
                          </a:prstGeom>
                          <a:noFill/>
                          <a:ln w="9525">
                            <a:noFill/>
                          </a:ln>
                        </pic:spPr>
                      </pic:pic>
                    </a:graphicData>
                  </a:graphic>
                </wp:anchor>
              </w:drawing>
            </w:r>
            <w:r>
              <w:rPr>
                <w:rFonts w:hint="default" w:ascii="Arial" w:hAnsi="Arial" w:eastAsia="宋体" w:cs="Arial"/>
                <w:i w:val="0"/>
                <w:iCs w:val="0"/>
                <w:color w:val="000000"/>
                <w:kern w:val="0"/>
                <w:sz w:val="21"/>
                <w:szCs w:val="21"/>
                <w:highlight w:val="none"/>
                <w:u w:val="none"/>
                <w:lang w:val="en-US" w:eastAsia="zh-CN" w:bidi="ar"/>
              </w:rPr>
              <w:drawing>
                <wp:anchor distT="0" distB="0" distL="114300" distR="114300" simplePos="0" relativeHeight="251670528" behindDoc="0" locked="0" layoutInCell="1" allowOverlap="1">
                  <wp:simplePos x="0" y="0"/>
                  <wp:positionH relativeFrom="column">
                    <wp:posOffset>0</wp:posOffset>
                  </wp:positionH>
                  <wp:positionV relativeFrom="paragraph">
                    <wp:posOffset>0</wp:posOffset>
                  </wp:positionV>
                  <wp:extent cx="6350" cy="6350"/>
                  <wp:effectExtent l="0" t="0" r="0" b="0"/>
                  <wp:wrapNone/>
                  <wp:docPr id="22" name="图片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_7"/>
                          <pic:cNvPicPr>
                            <a:picLocks noChangeAspect="1"/>
                          </pic:cNvPicPr>
                        </pic:nvPicPr>
                        <pic:blipFill>
                          <a:blip r:embed="rId11" r:link="rId12"/>
                          <a:stretch>
                            <a:fillRect/>
                          </a:stretch>
                        </pic:blipFill>
                        <pic:spPr>
                          <a:xfrm>
                            <a:off x="5486400" y="352425"/>
                            <a:ext cx="6350" cy="6350"/>
                          </a:xfrm>
                          <a:prstGeom prst="rect">
                            <a:avLst/>
                          </a:prstGeom>
                          <a:noFill/>
                          <a:ln w="9525">
                            <a:noFill/>
                          </a:ln>
                        </pic:spPr>
                      </pic:pic>
                    </a:graphicData>
                  </a:graphic>
                </wp:anchor>
              </w:drawing>
            </w:r>
            <w:r>
              <w:rPr>
                <w:rFonts w:hint="default" w:ascii="Arial" w:hAnsi="Arial" w:eastAsia="宋体" w:cs="Arial"/>
                <w:i w:val="0"/>
                <w:iCs w:val="0"/>
                <w:color w:val="000000"/>
                <w:kern w:val="0"/>
                <w:sz w:val="21"/>
                <w:szCs w:val="21"/>
                <w:highlight w:val="none"/>
                <w:u w:val="none"/>
                <w:lang w:val="en-US" w:eastAsia="zh-CN" w:bidi="ar"/>
              </w:rPr>
              <w:drawing>
                <wp:anchor distT="0" distB="0" distL="114300" distR="114300" simplePos="0" relativeHeight="251670528" behindDoc="0" locked="0" layoutInCell="1" allowOverlap="1">
                  <wp:simplePos x="0" y="0"/>
                  <wp:positionH relativeFrom="column">
                    <wp:posOffset>0</wp:posOffset>
                  </wp:positionH>
                  <wp:positionV relativeFrom="paragraph">
                    <wp:posOffset>0</wp:posOffset>
                  </wp:positionV>
                  <wp:extent cx="6350" cy="6350"/>
                  <wp:effectExtent l="0" t="0" r="0" b="0"/>
                  <wp:wrapNone/>
                  <wp:docPr id="23" name="图片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_6"/>
                          <pic:cNvPicPr>
                            <a:picLocks noChangeAspect="1"/>
                          </pic:cNvPicPr>
                        </pic:nvPicPr>
                        <pic:blipFill>
                          <a:blip r:embed="rId11" r:link="rId12"/>
                          <a:stretch>
                            <a:fillRect/>
                          </a:stretch>
                        </pic:blipFill>
                        <pic:spPr>
                          <a:xfrm>
                            <a:off x="5486400" y="352425"/>
                            <a:ext cx="6350" cy="6350"/>
                          </a:xfrm>
                          <a:prstGeom prst="rect">
                            <a:avLst/>
                          </a:prstGeom>
                          <a:noFill/>
                          <a:ln w="9525">
                            <a:noFill/>
                          </a:ln>
                        </pic:spPr>
                      </pic:pic>
                    </a:graphicData>
                  </a:graphic>
                </wp:anchor>
              </w:drawing>
            </w:r>
            <w:r>
              <w:rPr>
                <w:rFonts w:hint="default" w:ascii="Arial" w:hAnsi="Arial" w:eastAsia="宋体" w:cs="Arial"/>
                <w:i w:val="0"/>
                <w:iCs w:val="0"/>
                <w:color w:val="000000"/>
                <w:kern w:val="0"/>
                <w:sz w:val="21"/>
                <w:szCs w:val="21"/>
                <w:highlight w:val="none"/>
                <w:u w:val="none"/>
                <w:lang w:val="en-US" w:eastAsia="zh-CN" w:bidi="ar"/>
              </w:rPr>
              <w:drawing>
                <wp:anchor distT="0" distB="0" distL="114300" distR="114300" simplePos="0" relativeHeight="251670528" behindDoc="0" locked="0" layoutInCell="1" allowOverlap="1">
                  <wp:simplePos x="0" y="0"/>
                  <wp:positionH relativeFrom="column">
                    <wp:posOffset>0</wp:posOffset>
                  </wp:positionH>
                  <wp:positionV relativeFrom="paragraph">
                    <wp:posOffset>0</wp:posOffset>
                  </wp:positionV>
                  <wp:extent cx="6350" cy="6350"/>
                  <wp:effectExtent l="0" t="0" r="0" b="0"/>
                  <wp:wrapNone/>
                  <wp:docPr id="24" name="图片_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_8"/>
                          <pic:cNvPicPr>
                            <a:picLocks noChangeAspect="1"/>
                          </pic:cNvPicPr>
                        </pic:nvPicPr>
                        <pic:blipFill>
                          <a:blip r:embed="rId11" r:link="rId12"/>
                          <a:stretch>
                            <a:fillRect/>
                          </a:stretch>
                        </pic:blipFill>
                        <pic:spPr>
                          <a:xfrm>
                            <a:off x="5486400" y="352425"/>
                            <a:ext cx="6350" cy="6350"/>
                          </a:xfrm>
                          <a:prstGeom prst="rect">
                            <a:avLst/>
                          </a:prstGeom>
                          <a:noFill/>
                          <a:ln w="9525">
                            <a:noFill/>
                          </a:ln>
                        </pic:spPr>
                      </pic:pic>
                    </a:graphicData>
                  </a:graphic>
                </wp:anchor>
              </w:drawing>
            </w:r>
            <w:r>
              <w:rPr>
                <w:rFonts w:hint="default" w:ascii="Arial" w:hAnsi="Arial" w:eastAsia="宋体" w:cs="Arial"/>
                <w:i w:val="0"/>
                <w:iCs w:val="0"/>
                <w:color w:val="000000"/>
                <w:kern w:val="0"/>
                <w:sz w:val="21"/>
                <w:szCs w:val="21"/>
                <w:highlight w:val="none"/>
                <w:u w:val="none"/>
                <w:lang w:val="en-US" w:eastAsia="zh-CN" w:bidi="ar"/>
              </w:rPr>
              <w:t>1</w:t>
            </w:r>
          </w:p>
        </w:tc>
        <w:tc>
          <w:tcPr>
            <w:tcW w:w="647" w:type="dxa"/>
            <w:tcBorders>
              <w:top w:val="single" w:color="auto" w:sz="4" w:space="0"/>
              <w:left w:val="single" w:color="auto" w:sz="4" w:space="0"/>
              <w:bottom w:val="single" w:color="auto" w:sz="4" w:space="0"/>
              <w:right w:val="single" w:color="auto" w:sz="4" w:space="0"/>
            </w:tcBorders>
            <w:noWrap w:val="0"/>
            <w:vAlign w:val="center"/>
          </w:tcPr>
          <w:p w14:paraId="4B9C694E">
            <w:pPr>
              <w:keepNext w:val="0"/>
              <w:keepLines w:val="0"/>
              <w:widowControl/>
              <w:suppressLineNumbers w:val="0"/>
              <w:jc w:val="center"/>
              <w:textAlignment w:val="center"/>
              <w:rPr>
                <w:rFonts w:hint="default" w:ascii="Arial" w:hAnsi="Arial" w:eastAsia="宋体" w:cs="Arial"/>
                <w:bCs/>
                <w:color w:val="auto"/>
                <w:szCs w:val="21"/>
                <w:highlight w:val="none"/>
                <w:lang w:val="en-US" w:eastAsia="zh-CN"/>
              </w:rPr>
            </w:pPr>
            <w:r>
              <w:rPr>
                <w:rFonts w:hint="default" w:ascii="Arial" w:hAnsi="Arial" w:eastAsia="宋体" w:cs="Arial"/>
                <w:i w:val="0"/>
                <w:iCs w:val="0"/>
                <w:color w:val="000000"/>
                <w:kern w:val="0"/>
                <w:sz w:val="21"/>
                <w:szCs w:val="21"/>
                <w:highlight w:val="none"/>
                <w:u w:val="none"/>
                <w:lang w:val="en-US" w:eastAsia="zh-CN" w:bidi="ar"/>
              </w:rPr>
              <w:t>套</w:t>
            </w:r>
          </w:p>
        </w:tc>
        <w:tc>
          <w:tcPr>
            <w:tcW w:w="5174" w:type="dxa"/>
            <w:tcBorders>
              <w:top w:val="single" w:color="auto" w:sz="4" w:space="0"/>
              <w:left w:val="single" w:color="auto" w:sz="4" w:space="0"/>
              <w:bottom w:val="single" w:color="auto" w:sz="4" w:space="0"/>
              <w:right w:val="single" w:color="auto" w:sz="4" w:space="0"/>
            </w:tcBorders>
            <w:noWrap w:val="0"/>
            <w:vAlign w:val="top"/>
          </w:tcPr>
          <w:p w14:paraId="24376BF6">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b/>
                <w:bCs/>
                <w:color w:val="auto"/>
                <w:highlight w:val="none"/>
                <w:lang w:val="en-US" w:eastAsia="zh-CN"/>
              </w:rPr>
            </w:pPr>
            <w:r>
              <w:rPr>
                <w:rFonts w:hint="default" w:ascii="Arial" w:hAnsi="Arial" w:eastAsia="宋体" w:cs="Arial"/>
                <w:i w:val="0"/>
                <w:iCs w:val="0"/>
                <w:color w:val="000000"/>
                <w:kern w:val="0"/>
                <w:sz w:val="21"/>
                <w:szCs w:val="21"/>
                <w:highlight w:val="none"/>
                <w:u w:val="none"/>
                <w:lang w:val="en-US" w:eastAsia="zh-CN" w:bidi="ar"/>
              </w:rPr>
              <w:t>1、云桌面系统支持获取所有PC的状态、终端编号、终端IP、终端MAC、CPU信息、内存使用率、运行时间、磁盘信息等信息，便于管理员统计已纳管的PC资产情况。</w:t>
            </w:r>
            <w:r>
              <w:rPr>
                <w:rFonts w:hint="default" w:ascii="Arial" w:hAnsi="Arial" w:eastAsia="宋体" w:cs="Arial"/>
                <w:i w:val="0"/>
                <w:iCs w:val="0"/>
                <w:color w:val="000000"/>
                <w:kern w:val="0"/>
                <w:sz w:val="21"/>
                <w:szCs w:val="21"/>
                <w:highlight w:val="none"/>
                <w:u w:val="none"/>
                <w:lang w:val="en-US" w:eastAsia="zh-CN" w:bidi="ar"/>
              </w:rPr>
              <w:br w:type="textWrapping"/>
            </w:r>
            <w:r>
              <w:rPr>
                <w:rFonts w:hint="default" w:ascii="Arial" w:hAnsi="Arial" w:eastAsia="宋体" w:cs="Arial"/>
                <w:i w:val="0"/>
                <w:iCs w:val="0"/>
                <w:color w:val="000000"/>
                <w:kern w:val="0"/>
                <w:sz w:val="21"/>
                <w:szCs w:val="21"/>
                <w:highlight w:val="none"/>
                <w:u w:val="none"/>
                <w:lang w:val="en-US" w:eastAsia="zh-CN" w:bidi="ar"/>
              </w:rPr>
              <w:t>2、需支持用户桌面在需要帮助的时候，云桌面管理平台可以直接向需要帮助的用户桌面发起帮助，进行这一项操作时不需要借助第三方软件。</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▲3、支持开机logo自定义，可以自定义云终端开机登录页面logo及文字定制。</w:t>
            </w:r>
            <w:r>
              <w:rPr>
                <w:rFonts w:hint="eastAsia" w:ascii="Arial" w:hAnsi="Arial" w:cs="Arial"/>
                <w:b/>
                <w:bCs/>
                <w:color w:val="auto"/>
                <w:highlight w:val="none"/>
                <w:lang w:val="en-US" w:eastAsia="zh-CN"/>
              </w:rPr>
              <w:t>【</w:t>
            </w:r>
            <w:r>
              <w:rPr>
                <w:rFonts w:hint="default" w:ascii="Arial" w:hAnsi="Arial" w:eastAsia="宋体" w:cs="Arial"/>
                <w:b/>
                <w:bCs/>
                <w:color w:val="auto"/>
                <w:highlight w:val="none"/>
                <w:lang w:val="en-US" w:eastAsia="zh-CN"/>
              </w:rPr>
              <w:t>投标时提供相关证明材料（包括但不限于彩页、官网和功能截图等）</w:t>
            </w:r>
            <w:r>
              <w:rPr>
                <w:rFonts w:hint="eastAsia" w:ascii="Arial" w:hAnsi="Arial" w:cs="Arial"/>
                <w:b/>
                <w:bCs/>
                <w:color w:val="auto"/>
                <w:highlight w:val="none"/>
                <w:lang w:val="en-US" w:eastAsia="zh-CN"/>
              </w:rPr>
              <w:t>】</w:t>
            </w:r>
            <w:r>
              <w:rPr>
                <w:rFonts w:hint="default" w:ascii="Arial" w:hAnsi="Arial" w:eastAsia="宋体" w:cs="Arial"/>
                <w:b/>
                <w:bCs/>
                <w:color w:val="auto"/>
                <w:highlight w:val="none"/>
                <w:lang w:val="en-US" w:eastAsia="zh-CN"/>
              </w:rPr>
              <w:br w:type="textWrapping"/>
            </w:r>
            <w:r>
              <w:rPr>
                <w:rFonts w:hint="default" w:ascii="Arial" w:hAnsi="Arial" w:eastAsia="宋体" w:cs="Arial"/>
                <w:color w:val="auto"/>
                <w:highlight w:val="none"/>
                <w:lang w:val="en-US" w:eastAsia="zh-CN"/>
              </w:rPr>
              <w:t>4、为满足多种使用需求，需支持多种系统镜像例如Win7、Win10、Win11等主流镜像，为降低使用复杂度要求云桌面管理系统软件可以进行一键切换系统镜像。</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5、云桌面系统软件支持系统同传，为保障同传传输速度，需支持BT传输。</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6、云桌面系统支持开启还原模式，每次开机系统都会重新恢复至模板状态。</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▲7、提供广告弹窗拦截功能，开启后系统自动拦截用户终端桌面弹窗广告。</w:t>
            </w:r>
            <w:r>
              <w:rPr>
                <w:rFonts w:hint="eastAsia" w:ascii="Arial" w:hAnsi="Arial" w:cs="Arial"/>
                <w:b/>
                <w:bCs/>
                <w:color w:val="auto"/>
                <w:highlight w:val="none"/>
                <w:lang w:val="en-US" w:eastAsia="zh-CN"/>
              </w:rPr>
              <w:t>【</w:t>
            </w:r>
            <w:r>
              <w:rPr>
                <w:rFonts w:hint="default" w:ascii="Arial" w:hAnsi="Arial" w:eastAsia="宋体" w:cs="Arial"/>
                <w:b/>
                <w:bCs/>
                <w:color w:val="auto"/>
                <w:highlight w:val="none"/>
                <w:lang w:val="en-US" w:eastAsia="zh-CN"/>
              </w:rPr>
              <w:t>投标时提供相关证明材料（包括但不限于彩页、官网和功能截图等）</w:t>
            </w:r>
            <w:r>
              <w:rPr>
                <w:rFonts w:hint="eastAsia" w:ascii="Arial" w:hAnsi="Arial" w:cs="Arial"/>
                <w:b/>
                <w:bCs/>
                <w:color w:val="auto"/>
                <w:highlight w:val="none"/>
                <w:lang w:val="en-US" w:eastAsia="zh-CN"/>
              </w:rPr>
              <w:t>】</w:t>
            </w:r>
            <w:r>
              <w:rPr>
                <w:rFonts w:hint="default" w:ascii="Arial" w:hAnsi="Arial" w:eastAsia="宋体" w:cs="Arial"/>
                <w:b/>
                <w:bCs/>
                <w:color w:val="auto"/>
                <w:highlight w:val="none"/>
                <w:lang w:val="en-US" w:eastAsia="zh-CN"/>
              </w:rPr>
              <w:br w:type="textWrapping"/>
            </w:r>
            <w:r>
              <w:rPr>
                <w:rFonts w:hint="default" w:ascii="Arial" w:hAnsi="Arial" w:eastAsia="宋体" w:cs="Arial"/>
                <w:color w:val="auto"/>
                <w:highlight w:val="none"/>
                <w:lang w:val="en-US" w:eastAsia="zh-CN"/>
              </w:rPr>
              <w:t>▲8、提供环境监测功能，针对用户正在使用的桌面系统环境进行巡检，监测内容以列表形式呈现内容包含但不限于电脑名称、系统版本、IP、内存、硬盘等状态。如出现网络连接中断、USB未连接、未知盘符，均会进行告警。</w:t>
            </w:r>
            <w:r>
              <w:rPr>
                <w:rFonts w:hint="eastAsia" w:ascii="Arial" w:hAnsi="Arial" w:cs="Arial"/>
                <w:b/>
                <w:bCs/>
                <w:color w:val="auto"/>
                <w:highlight w:val="none"/>
                <w:lang w:val="en-US" w:eastAsia="zh-CN"/>
              </w:rPr>
              <w:t>【</w:t>
            </w:r>
            <w:r>
              <w:rPr>
                <w:rFonts w:hint="default" w:ascii="Arial" w:hAnsi="Arial" w:eastAsia="宋体" w:cs="Arial"/>
                <w:b/>
                <w:bCs/>
                <w:color w:val="auto"/>
                <w:highlight w:val="none"/>
                <w:lang w:val="en-US" w:eastAsia="zh-CN"/>
              </w:rPr>
              <w:t>投标时提供相关证明材料（包括但不限于彩页、官网和功能截图等）</w:t>
            </w:r>
            <w:r>
              <w:rPr>
                <w:rFonts w:hint="eastAsia" w:ascii="Arial" w:hAnsi="Arial" w:cs="Arial"/>
                <w:b/>
                <w:bCs/>
                <w:color w:val="auto"/>
                <w:highlight w:val="none"/>
                <w:lang w:val="en-US" w:eastAsia="zh-CN"/>
              </w:rPr>
              <w:t>】</w:t>
            </w:r>
            <w:r>
              <w:rPr>
                <w:rFonts w:hint="default" w:ascii="Arial" w:hAnsi="Arial" w:eastAsia="宋体" w:cs="Arial"/>
                <w:b/>
                <w:bCs/>
                <w:color w:val="auto"/>
                <w:highlight w:val="none"/>
                <w:lang w:val="en-US" w:eastAsia="zh-CN"/>
              </w:rPr>
              <w:br w:type="textWrapping"/>
            </w:r>
            <w:r>
              <w:rPr>
                <w:rFonts w:hint="default" w:ascii="Arial" w:hAnsi="Arial" w:eastAsia="宋体" w:cs="Arial"/>
                <w:color w:val="auto"/>
                <w:highlight w:val="none"/>
                <w:lang w:val="en-US" w:eastAsia="zh-CN"/>
              </w:rPr>
              <w:t>9、支持静默更新功能，要求不影响用户终端日常使用的情况下对用户支持进行更新操作，服务端发送过来的更新镜像文件用户终端后台可进行静默接收，且桌面会有弹窗提示，待用户空闲时间重启即可自动更新。</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▲10、提供网络修复功能，可全面检测网络服务是否正常。</w:t>
            </w:r>
            <w:r>
              <w:rPr>
                <w:rFonts w:hint="eastAsia" w:ascii="Arial" w:hAnsi="Arial" w:cs="Arial"/>
                <w:b/>
                <w:bCs/>
                <w:color w:val="auto"/>
                <w:highlight w:val="none"/>
                <w:lang w:val="en-US" w:eastAsia="zh-CN"/>
              </w:rPr>
              <w:t>【</w:t>
            </w:r>
            <w:r>
              <w:rPr>
                <w:rFonts w:hint="default" w:ascii="Arial" w:hAnsi="Arial" w:eastAsia="宋体" w:cs="Arial"/>
                <w:b/>
                <w:bCs/>
                <w:color w:val="auto"/>
                <w:highlight w:val="none"/>
                <w:lang w:val="en-US" w:eastAsia="zh-CN"/>
              </w:rPr>
              <w:t>投标时提供相关证明材料（包括但不限于彩页、官网和功能截图等）</w:t>
            </w:r>
            <w:r>
              <w:rPr>
                <w:rFonts w:hint="eastAsia" w:ascii="Arial" w:hAnsi="Arial" w:cs="Arial"/>
                <w:b/>
                <w:bCs/>
                <w:color w:val="auto"/>
                <w:highlight w:val="none"/>
                <w:lang w:val="en-US" w:eastAsia="zh-CN"/>
              </w:rPr>
              <w:t>】</w:t>
            </w:r>
            <w:r>
              <w:rPr>
                <w:rFonts w:hint="default" w:ascii="Arial" w:hAnsi="Arial" w:eastAsia="宋体" w:cs="Arial"/>
                <w:b/>
                <w:bCs/>
                <w:color w:val="auto"/>
                <w:highlight w:val="none"/>
                <w:lang w:val="en-US" w:eastAsia="zh-CN"/>
              </w:rPr>
              <w:br w:type="textWrapping"/>
            </w:r>
            <w:r>
              <w:rPr>
                <w:rFonts w:hint="default" w:ascii="Arial" w:hAnsi="Arial" w:eastAsia="宋体" w:cs="Arial"/>
                <w:color w:val="auto"/>
                <w:highlight w:val="none"/>
                <w:lang w:val="en-US" w:eastAsia="zh-CN"/>
              </w:rPr>
              <w:t>▲11、云桌面软件需支持流量监控功能，可检测PC机目前进程的流量接收与发送的情况。</w:t>
            </w:r>
            <w:r>
              <w:rPr>
                <w:rFonts w:hint="eastAsia" w:ascii="Arial" w:hAnsi="Arial" w:cs="Arial"/>
                <w:b/>
                <w:bCs/>
                <w:color w:val="auto"/>
                <w:highlight w:val="none"/>
                <w:lang w:val="en-US" w:eastAsia="zh-CN"/>
              </w:rPr>
              <w:t>【</w:t>
            </w:r>
            <w:r>
              <w:rPr>
                <w:rFonts w:hint="default" w:ascii="Arial" w:hAnsi="Arial" w:eastAsia="宋体" w:cs="Arial"/>
                <w:b/>
                <w:bCs/>
                <w:color w:val="auto"/>
                <w:highlight w:val="none"/>
                <w:lang w:val="en-US" w:eastAsia="zh-CN"/>
              </w:rPr>
              <w:t>投标时提供相关证明材料（包括但不限于彩页、官网和功能截图等）</w:t>
            </w:r>
            <w:r>
              <w:rPr>
                <w:rFonts w:hint="eastAsia" w:ascii="Arial" w:hAnsi="Arial" w:cs="Arial"/>
                <w:b/>
                <w:bCs/>
                <w:color w:val="auto"/>
                <w:highlight w:val="none"/>
                <w:lang w:val="en-US" w:eastAsia="zh-CN"/>
              </w:rPr>
              <w:t>】</w:t>
            </w:r>
          </w:p>
          <w:p w14:paraId="18CB555E">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管理终端要求：</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1、CPU：≥四核 1.3GHz</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2、内存：≥512MB</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3、存储：≥4GB</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4、接口：≥4个USB接口，支持1920*1080、1600*900、1440*900等常用分辨率</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▲5、终端需要有不少于5个状态指示灯，指示灯的闪烁、常亮或熄灭代表不同的终端状态。</w:t>
            </w:r>
            <w:r>
              <w:rPr>
                <w:rFonts w:hint="eastAsia" w:ascii="Arial" w:hAnsi="Arial" w:cs="Arial"/>
                <w:b/>
                <w:bCs/>
                <w:color w:val="auto"/>
                <w:highlight w:val="none"/>
                <w:lang w:val="en-US" w:eastAsia="zh-CN"/>
              </w:rPr>
              <w:t>【</w:t>
            </w:r>
            <w:r>
              <w:rPr>
                <w:rFonts w:hint="default" w:ascii="Arial" w:hAnsi="Arial" w:eastAsia="宋体" w:cs="Arial"/>
                <w:b/>
                <w:bCs/>
                <w:color w:val="auto"/>
                <w:highlight w:val="none"/>
                <w:lang w:val="en-US" w:eastAsia="zh-CN"/>
              </w:rPr>
              <w:t>投标时提供相关证明材料（包括但不限于彩页、官网和功能截图等）</w:t>
            </w:r>
            <w:r>
              <w:rPr>
                <w:rFonts w:hint="eastAsia" w:ascii="Arial" w:hAnsi="Arial" w:cs="Arial"/>
                <w:b/>
                <w:bCs/>
                <w:color w:val="auto"/>
                <w:highlight w:val="none"/>
                <w:lang w:val="en-US" w:eastAsia="zh-CN"/>
              </w:rPr>
              <w:t>】</w:t>
            </w:r>
            <w:r>
              <w:rPr>
                <w:rFonts w:hint="default" w:ascii="Arial" w:hAnsi="Arial" w:eastAsia="宋体" w:cs="Arial"/>
                <w:b/>
                <w:bCs/>
                <w:color w:val="auto"/>
                <w:highlight w:val="none"/>
                <w:lang w:val="en-US" w:eastAsia="zh-CN"/>
              </w:rPr>
              <w:br w:type="textWrapping"/>
            </w:r>
            <w:r>
              <w:rPr>
                <w:rFonts w:hint="default" w:ascii="Arial" w:hAnsi="Arial" w:eastAsia="宋体" w:cs="Arial"/>
                <w:color w:val="auto"/>
                <w:highlight w:val="none"/>
                <w:lang w:val="en-US" w:eastAsia="zh-CN"/>
              </w:rPr>
              <w:t>▲6、终端操作系统需支持物理方式恢复，可通过RESET孔或插入Micro-SD卡等方式进行终端系统恢复，无需进行复杂操作。</w:t>
            </w:r>
            <w:r>
              <w:rPr>
                <w:rFonts w:hint="eastAsia" w:ascii="Arial" w:hAnsi="Arial" w:cs="Arial"/>
                <w:b/>
                <w:bCs/>
                <w:color w:val="auto"/>
                <w:highlight w:val="none"/>
                <w:lang w:val="en-US" w:eastAsia="zh-CN"/>
              </w:rPr>
              <w:t>【</w:t>
            </w:r>
            <w:r>
              <w:rPr>
                <w:rFonts w:hint="default" w:ascii="Arial" w:hAnsi="Arial" w:eastAsia="宋体" w:cs="Arial"/>
                <w:b/>
                <w:bCs/>
                <w:color w:val="auto"/>
                <w:highlight w:val="none"/>
                <w:lang w:val="en-US" w:eastAsia="zh-CN"/>
              </w:rPr>
              <w:t>投标时提供相关证明材料（包括但不限于彩页、官网和功能截图等）</w:t>
            </w:r>
            <w:r>
              <w:rPr>
                <w:rFonts w:hint="eastAsia" w:ascii="Arial" w:hAnsi="Arial" w:cs="Arial"/>
                <w:b/>
                <w:bCs/>
                <w:color w:val="auto"/>
                <w:highlight w:val="none"/>
                <w:lang w:val="en-US" w:eastAsia="zh-CN"/>
              </w:rPr>
              <w:t>】</w:t>
            </w:r>
            <w:r>
              <w:rPr>
                <w:rFonts w:hint="default" w:ascii="Arial" w:hAnsi="Arial" w:eastAsia="宋体" w:cs="Arial"/>
                <w:b/>
                <w:bCs/>
                <w:color w:val="auto"/>
                <w:highlight w:val="none"/>
                <w:lang w:val="en-US" w:eastAsia="zh-CN"/>
              </w:rPr>
              <w:br w:type="textWrapping"/>
            </w:r>
            <w:r>
              <w:rPr>
                <w:rFonts w:hint="default" w:ascii="Arial" w:hAnsi="Arial" w:eastAsia="宋体" w:cs="Arial"/>
                <w:color w:val="auto"/>
                <w:highlight w:val="none"/>
                <w:lang w:val="en-US" w:eastAsia="zh-CN"/>
              </w:rPr>
              <w:t>7、教师可通过WEB进入管理终端进行远程管理PC，对于PC可进行选择性的唤醒、关机、重启等操作。</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8、教师可通过管理终端有选择性的直接进入学生桌面，协助学生进行操作或进行排障。</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9、可支持列表PC的删除，针对于老旧被更换的PC可通过管理终端进行删除。</w:t>
            </w:r>
          </w:p>
        </w:tc>
        <w:tc>
          <w:tcPr>
            <w:tcW w:w="1121" w:type="dxa"/>
            <w:tcBorders>
              <w:top w:val="single" w:color="auto" w:sz="4" w:space="0"/>
              <w:left w:val="single" w:color="auto" w:sz="4" w:space="0"/>
              <w:bottom w:val="single" w:color="auto" w:sz="4" w:space="0"/>
              <w:right w:val="single" w:color="auto" w:sz="4" w:space="0"/>
            </w:tcBorders>
            <w:noWrap w:val="0"/>
            <w:vAlign w:val="center"/>
          </w:tcPr>
          <w:p w14:paraId="489C09B1">
            <w:pPr>
              <w:keepNext w:val="0"/>
              <w:keepLines w:val="0"/>
              <w:widowControl/>
              <w:suppressLineNumbers w:val="0"/>
              <w:jc w:val="center"/>
              <w:textAlignment w:val="center"/>
              <w:rPr>
                <w:rFonts w:hint="default" w:ascii="Arial" w:hAnsi="Arial" w:cs="Arial"/>
                <w:color w:val="auto"/>
                <w:sz w:val="21"/>
                <w:szCs w:val="21"/>
                <w:highlight w:val="none"/>
                <w:lang w:val="en-US" w:eastAsia="zh-CN"/>
              </w:rPr>
            </w:pPr>
            <w:r>
              <w:rPr>
                <w:rFonts w:hint="default" w:ascii="Arial" w:hAnsi="Arial" w:eastAsia="宋体" w:cs="Arial"/>
                <w:i w:val="0"/>
                <w:iCs w:val="0"/>
                <w:color w:val="000000"/>
                <w:kern w:val="0"/>
                <w:sz w:val="21"/>
                <w:szCs w:val="21"/>
                <w:highlight w:val="none"/>
                <w:u w:val="none"/>
                <w:lang w:val="en-US" w:eastAsia="zh-CN" w:bidi="ar"/>
              </w:rPr>
              <w:t xml:space="preserve">1000.00 </w:t>
            </w:r>
          </w:p>
        </w:tc>
      </w:tr>
      <w:tr w14:paraId="19933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jc w:val="center"/>
        </w:trPr>
        <w:tc>
          <w:tcPr>
            <w:tcW w:w="475" w:type="dxa"/>
            <w:tcBorders>
              <w:top w:val="single" w:color="auto" w:sz="4" w:space="0"/>
              <w:left w:val="single" w:color="auto" w:sz="4" w:space="0"/>
              <w:bottom w:val="single" w:color="auto" w:sz="4" w:space="0"/>
              <w:right w:val="single" w:color="auto" w:sz="4" w:space="0"/>
            </w:tcBorders>
            <w:noWrap w:val="0"/>
            <w:vAlign w:val="center"/>
          </w:tcPr>
          <w:p w14:paraId="0215186D">
            <w:pPr>
              <w:keepNext w:val="0"/>
              <w:keepLines w:val="0"/>
              <w:widowControl/>
              <w:suppressLineNumbers w:val="0"/>
              <w:jc w:val="center"/>
              <w:textAlignment w:val="center"/>
              <w:rPr>
                <w:rFonts w:hint="default" w:ascii="Arial" w:hAnsi="Arial" w:eastAsia="宋体" w:cs="Arial"/>
                <w:b/>
                <w:bCs/>
                <w:color w:val="auto"/>
                <w:szCs w:val="21"/>
                <w:highlight w:val="none"/>
              </w:rPr>
            </w:pPr>
            <w:r>
              <w:rPr>
                <w:rFonts w:hint="default" w:ascii="Arial" w:hAnsi="Arial" w:eastAsia="宋体" w:cs="Arial"/>
                <w:i w:val="0"/>
                <w:iCs w:val="0"/>
                <w:color w:val="000000"/>
                <w:kern w:val="0"/>
                <w:sz w:val="21"/>
                <w:szCs w:val="21"/>
                <w:highlight w:val="none"/>
                <w:u w:val="none"/>
                <w:lang w:val="en-US" w:eastAsia="zh-CN" w:bidi="ar"/>
              </w:rPr>
              <w:t>3</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2424A0EE">
            <w:pPr>
              <w:keepNext w:val="0"/>
              <w:keepLines w:val="0"/>
              <w:widowControl/>
              <w:suppressLineNumbers w:val="0"/>
              <w:jc w:val="center"/>
              <w:textAlignment w:val="center"/>
              <w:rPr>
                <w:rFonts w:hint="default" w:ascii="Arial" w:hAnsi="Arial" w:eastAsia="宋体" w:cs="Arial"/>
                <w:bCs/>
                <w:color w:val="auto"/>
                <w:szCs w:val="21"/>
                <w:highlight w:val="none"/>
                <w:lang w:val="en-US" w:eastAsia="zh-CN"/>
              </w:rPr>
            </w:pPr>
            <w:r>
              <w:rPr>
                <w:rFonts w:hint="default" w:ascii="Arial" w:hAnsi="Arial" w:eastAsia="宋体" w:cs="Arial"/>
                <w:i w:val="0"/>
                <w:iCs w:val="0"/>
                <w:color w:val="000000"/>
                <w:kern w:val="0"/>
                <w:sz w:val="21"/>
                <w:szCs w:val="21"/>
                <w:highlight w:val="none"/>
                <w:u w:val="none"/>
                <w:lang w:val="en-US" w:eastAsia="zh-CN" w:bidi="ar"/>
              </w:rPr>
              <w:t>音响系统</w:t>
            </w:r>
          </w:p>
        </w:tc>
        <w:tc>
          <w:tcPr>
            <w:tcW w:w="775" w:type="dxa"/>
            <w:tcBorders>
              <w:top w:val="single" w:color="auto" w:sz="4" w:space="0"/>
              <w:left w:val="single" w:color="auto" w:sz="4" w:space="0"/>
              <w:bottom w:val="single" w:color="auto" w:sz="4" w:space="0"/>
              <w:right w:val="single" w:color="auto" w:sz="4" w:space="0"/>
            </w:tcBorders>
            <w:noWrap w:val="0"/>
            <w:vAlign w:val="center"/>
          </w:tcPr>
          <w:p w14:paraId="7C35BA2C">
            <w:pPr>
              <w:keepNext w:val="0"/>
              <w:keepLines w:val="0"/>
              <w:widowControl/>
              <w:suppressLineNumbers w:val="0"/>
              <w:jc w:val="center"/>
              <w:textAlignment w:val="center"/>
              <w:rPr>
                <w:rFonts w:hint="default" w:ascii="Arial" w:hAnsi="Arial" w:eastAsia="宋体" w:cs="Arial"/>
                <w:bCs/>
                <w:color w:val="auto"/>
                <w:szCs w:val="21"/>
                <w:highlight w:val="none"/>
              </w:rPr>
            </w:pPr>
            <w:r>
              <w:rPr>
                <w:rFonts w:hint="default" w:ascii="Arial" w:hAnsi="Arial" w:cs="Arial"/>
                <w:bCs/>
                <w:kern w:val="0"/>
                <w:szCs w:val="21"/>
                <w:highlight w:val="none"/>
              </w:rPr>
              <w:t>软件和信息技术服务业</w:t>
            </w:r>
          </w:p>
        </w:tc>
        <w:tc>
          <w:tcPr>
            <w:tcW w:w="65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66D5A26">
            <w:pPr>
              <w:keepNext w:val="0"/>
              <w:keepLines w:val="0"/>
              <w:widowControl/>
              <w:suppressLineNumbers w:val="0"/>
              <w:jc w:val="center"/>
              <w:textAlignment w:val="center"/>
              <w:rPr>
                <w:rFonts w:hint="default" w:ascii="Arial" w:hAnsi="Arial" w:eastAsia="宋体" w:cs="Arial"/>
                <w:bCs/>
                <w:color w:val="auto"/>
                <w:kern w:val="2"/>
                <w:sz w:val="21"/>
                <w:szCs w:val="21"/>
                <w:highlight w:val="none"/>
                <w:lang w:val="en-US" w:eastAsia="zh-CN" w:bidi="ar-SA"/>
              </w:rPr>
            </w:pPr>
            <w:r>
              <w:rPr>
                <w:rFonts w:hint="default" w:ascii="Arial" w:hAnsi="Arial" w:eastAsia="宋体" w:cs="Arial"/>
                <w:i w:val="0"/>
                <w:iCs w:val="0"/>
                <w:color w:val="000000"/>
                <w:kern w:val="0"/>
                <w:sz w:val="21"/>
                <w:szCs w:val="21"/>
                <w:highlight w:val="none"/>
                <w:u w:val="none"/>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6350" cy="6350"/>
                  <wp:effectExtent l="0" t="0" r="0" b="0"/>
                  <wp:wrapNone/>
                  <wp:docPr id="25" name="图片_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_17"/>
                          <pic:cNvPicPr>
                            <a:picLocks noChangeAspect="1"/>
                          </pic:cNvPicPr>
                        </pic:nvPicPr>
                        <pic:blipFill>
                          <a:blip r:embed="rId11" r:link="rId12"/>
                          <a:stretch>
                            <a:fillRect/>
                          </a:stretch>
                        </pic:blipFill>
                        <pic:spPr>
                          <a:xfrm>
                            <a:off x="5486400" y="533400"/>
                            <a:ext cx="6350" cy="6350"/>
                          </a:xfrm>
                          <a:prstGeom prst="rect">
                            <a:avLst/>
                          </a:prstGeom>
                          <a:noFill/>
                          <a:ln w="9525">
                            <a:noFill/>
                          </a:ln>
                        </pic:spPr>
                      </pic:pic>
                    </a:graphicData>
                  </a:graphic>
                </wp:anchor>
              </w:drawing>
            </w:r>
            <w:r>
              <w:rPr>
                <w:rFonts w:hint="default" w:ascii="Arial" w:hAnsi="Arial" w:eastAsia="宋体" w:cs="Arial"/>
                <w:i w:val="0"/>
                <w:iCs w:val="0"/>
                <w:color w:val="000000"/>
                <w:kern w:val="0"/>
                <w:sz w:val="21"/>
                <w:szCs w:val="21"/>
                <w:highlight w:val="none"/>
                <w:u w:val="none"/>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6350" cy="6350"/>
                  <wp:effectExtent l="0" t="0" r="0" b="0"/>
                  <wp:wrapNone/>
                  <wp:docPr id="26" name="图片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_16"/>
                          <pic:cNvPicPr>
                            <a:picLocks noChangeAspect="1"/>
                          </pic:cNvPicPr>
                        </pic:nvPicPr>
                        <pic:blipFill>
                          <a:blip r:embed="rId11" r:link="rId12"/>
                          <a:stretch>
                            <a:fillRect/>
                          </a:stretch>
                        </pic:blipFill>
                        <pic:spPr>
                          <a:xfrm>
                            <a:off x="5486400" y="533400"/>
                            <a:ext cx="6350" cy="6350"/>
                          </a:xfrm>
                          <a:prstGeom prst="rect">
                            <a:avLst/>
                          </a:prstGeom>
                          <a:noFill/>
                          <a:ln w="9525">
                            <a:noFill/>
                          </a:ln>
                        </pic:spPr>
                      </pic:pic>
                    </a:graphicData>
                  </a:graphic>
                </wp:anchor>
              </w:drawing>
            </w:r>
            <w:r>
              <w:rPr>
                <w:rFonts w:hint="default" w:ascii="Arial" w:hAnsi="Arial" w:eastAsia="宋体" w:cs="Arial"/>
                <w:i w:val="0"/>
                <w:iCs w:val="0"/>
                <w:color w:val="000000"/>
                <w:kern w:val="0"/>
                <w:sz w:val="21"/>
                <w:szCs w:val="21"/>
                <w:highlight w:val="none"/>
                <w:u w:val="none"/>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6350" cy="6350"/>
                  <wp:effectExtent l="0" t="0" r="0" b="0"/>
                  <wp:wrapNone/>
                  <wp:docPr id="27" name="图片_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_18"/>
                          <pic:cNvPicPr>
                            <a:picLocks noChangeAspect="1"/>
                          </pic:cNvPicPr>
                        </pic:nvPicPr>
                        <pic:blipFill>
                          <a:blip r:embed="rId11" r:link="rId12"/>
                          <a:stretch>
                            <a:fillRect/>
                          </a:stretch>
                        </pic:blipFill>
                        <pic:spPr>
                          <a:xfrm>
                            <a:off x="5486400" y="533400"/>
                            <a:ext cx="6350" cy="6350"/>
                          </a:xfrm>
                          <a:prstGeom prst="rect">
                            <a:avLst/>
                          </a:prstGeom>
                          <a:noFill/>
                          <a:ln w="9525">
                            <a:noFill/>
                          </a:ln>
                        </pic:spPr>
                      </pic:pic>
                    </a:graphicData>
                  </a:graphic>
                </wp:anchor>
              </w:drawing>
            </w:r>
            <w:r>
              <w:rPr>
                <w:rFonts w:hint="default" w:ascii="Arial" w:hAnsi="Arial" w:eastAsia="宋体" w:cs="Arial"/>
                <w:i w:val="0"/>
                <w:iCs w:val="0"/>
                <w:color w:val="000000"/>
                <w:kern w:val="0"/>
                <w:sz w:val="21"/>
                <w:szCs w:val="21"/>
                <w:highlight w:val="none"/>
                <w:u w:val="none"/>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6350" cy="6350"/>
                  <wp:effectExtent l="0" t="0" r="0" b="0"/>
                  <wp:wrapNone/>
                  <wp:docPr id="28" name="图片_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_15"/>
                          <pic:cNvPicPr>
                            <a:picLocks noChangeAspect="1"/>
                          </pic:cNvPicPr>
                        </pic:nvPicPr>
                        <pic:blipFill>
                          <a:blip r:embed="rId11" r:link="rId12"/>
                          <a:stretch>
                            <a:fillRect/>
                          </a:stretch>
                        </pic:blipFill>
                        <pic:spPr>
                          <a:xfrm>
                            <a:off x="5486400" y="533400"/>
                            <a:ext cx="6350" cy="6350"/>
                          </a:xfrm>
                          <a:prstGeom prst="rect">
                            <a:avLst/>
                          </a:prstGeom>
                          <a:noFill/>
                          <a:ln w="9525">
                            <a:noFill/>
                          </a:ln>
                        </pic:spPr>
                      </pic:pic>
                    </a:graphicData>
                  </a:graphic>
                </wp:anchor>
              </w:drawing>
            </w:r>
            <w:r>
              <w:rPr>
                <w:rFonts w:hint="default" w:ascii="Arial" w:hAnsi="Arial" w:eastAsia="宋体" w:cs="Arial"/>
                <w:i w:val="0"/>
                <w:iCs w:val="0"/>
                <w:color w:val="000000"/>
                <w:kern w:val="0"/>
                <w:sz w:val="21"/>
                <w:szCs w:val="21"/>
                <w:highlight w:val="none"/>
                <w:u w:val="none"/>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6350" cy="6350"/>
                  <wp:effectExtent l="0" t="0" r="0" b="0"/>
                  <wp:wrapNone/>
                  <wp:docPr id="29" name="图片_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_19"/>
                          <pic:cNvPicPr>
                            <a:picLocks noChangeAspect="1"/>
                          </pic:cNvPicPr>
                        </pic:nvPicPr>
                        <pic:blipFill>
                          <a:blip r:embed="rId11" r:link="rId12"/>
                          <a:stretch>
                            <a:fillRect/>
                          </a:stretch>
                        </pic:blipFill>
                        <pic:spPr>
                          <a:xfrm>
                            <a:off x="5486400" y="533400"/>
                            <a:ext cx="6350" cy="6350"/>
                          </a:xfrm>
                          <a:prstGeom prst="rect">
                            <a:avLst/>
                          </a:prstGeom>
                          <a:noFill/>
                          <a:ln w="9525">
                            <a:noFill/>
                          </a:ln>
                        </pic:spPr>
                      </pic:pic>
                    </a:graphicData>
                  </a:graphic>
                </wp:anchor>
              </w:drawing>
            </w:r>
            <w:r>
              <w:rPr>
                <w:rFonts w:hint="default" w:ascii="Arial" w:hAnsi="Arial" w:eastAsia="宋体" w:cs="Arial"/>
                <w:i w:val="0"/>
                <w:iCs w:val="0"/>
                <w:color w:val="000000"/>
                <w:kern w:val="0"/>
                <w:sz w:val="21"/>
                <w:szCs w:val="21"/>
                <w:highlight w:val="none"/>
                <w:u w:val="none"/>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6350" cy="6350"/>
                  <wp:effectExtent l="0" t="0" r="0" b="0"/>
                  <wp:wrapNone/>
                  <wp:docPr id="30" name="图片_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_20"/>
                          <pic:cNvPicPr>
                            <a:picLocks noChangeAspect="1"/>
                          </pic:cNvPicPr>
                        </pic:nvPicPr>
                        <pic:blipFill>
                          <a:blip r:embed="rId11" r:link="rId12"/>
                          <a:stretch>
                            <a:fillRect/>
                          </a:stretch>
                        </pic:blipFill>
                        <pic:spPr>
                          <a:xfrm>
                            <a:off x="5486400" y="533400"/>
                            <a:ext cx="6350" cy="6350"/>
                          </a:xfrm>
                          <a:prstGeom prst="rect">
                            <a:avLst/>
                          </a:prstGeom>
                          <a:noFill/>
                          <a:ln w="9525">
                            <a:noFill/>
                          </a:ln>
                        </pic:spPr>
                      </pic:pic>
                    </a:graphicData>
                  </a:graphic>
                </wp:anchor>
              </w:drawing>
            </w:r>
            <w:r>
              <w:rPr>
                <w:rFonts w:hint="default" w:ascii="Arial" w:hAnsi="Arial" w:eastAsia="宋体" w:cs="Arial"/>
                <w:i w:val="0"/>
                <w:iCs w:val="0"/>
                <w:color w:val="000000"/>
                <w:kern w:val="0"/>
                <w:sz w:val="21"/>
                <w:szCs w:val="21"/>
                <w:highlight w:val="none"/>
                <w:u w:val="none"/>
                <w:lang w:val="en-US" w:eastAsia="zh-CN" w:bidi="ar"/>
              </w:rPr>
              <w:t>1</w:t>
            </w:r>
          </w:p>
        </w:tc>
        <w:tc>
          <w:tcPr>
            <w:tcW w:w="647" w:type="dxa"/>
            <w:tcBorders>
              <w:top w:val="single" w:color="auto" w:sz="4" w:space="0"/>
              <w:left w:val="single" w:color="auto" w:sz="4" w:space="0"/>
              <w:bottom w:val="single" w:color="auto" w:sz="4" w:space="0"/>
              <w:right w:val="single" w:color="auto" w:sz="4" w:space="0"/>
            </w:tcBorders>
            <w:noWrap w:val="0"/>
            <w:vAlign w:val="center"/>
          </w:tcPr>
          <w:p w14:paraId="07328F92">
            <w:pPr>
              <w:keepNext w:val="0"/>
              <w:keepLines w:val="0"/>
              <w:widowControl/>
              <w:suppressLineNumbers w:val="0"/>
              <w:jc w:val="center"/>
              <w:textAlignment w:val="center"/>
              <w:rPr>
                <w:rFonts w:hint="default" w:ascii="Arial" w:hAnsi="Arial" w:eastAsia="宋体" w:cs="Arial"/>
                <w:bCs/>
                <w:color w:val="auto"/>
                <w:szCs w:val="21"/>
                <w:highlight w:val="none"/>
                <w:lang w:val="en-US" w:eastAsia="zh-CN"/>
              </w:rPr>
            </w:pPr>
            <w:r>
              <w:rPr>
                <w:rFonts w:hint="default" w:ascii="Arial" w:hAnsi="Arial" w:eastAsia="宋体" w:cs="Arial"/>
                <w:i w:val="0"/>
                <w:iCs w:val="0"/>
                <w:color w:val="000000"/>
                <w:kern w:val="0"/>
                <w:sz w:val="21"/>
                <w:szCs w:val="21"/>
                <w:highlight w:val="none"/>
                <w:u w:val="none"/>
                <w:lang w:val="en-US" w:eastAsia="zh-CN" w:bidi="ar"/>
              </w:rPr>
              <w:t>套</w:t>
            </w:r>
          </w:p>
        </w:tc>
        <w:tc>
          <w:tcPr>
            <w:tcW w:w="5174" w:type="dxa"/>
            <w:tcBorders>
              <w:top w:val="single" w:color="auto" w:sz="4" w:space="0"/>
              <w:left w:val="single" w:color="auto" w:sz="4" w:space="0"/>
              <w:bottom w:val="single" w:color="auto" w:sz="4" w:space="0"/>
              <w:right w:val="single" w:color="auto" w:sz="4" w:space="0"/>
            </w:tcBorders>
            <w:noWrap w:val="0"/>
            <w:vAlign w:val="top"/>
          </w:tcPr>
          <w:p w14:paraId="5B73B235">
            <w:pPr>
              <w:pStyle w:val="20"/>
              <w:keepNext w:val="0"/>
              <w:keepLines w:val="0"/>
              <w:pageBreakBefore w:val="0"/>
              <w:widowControl w:val="0"/>
              <w:numPr>
                <w:ilvl w:val="0"/>
                <w:numId w:val="3"/>
              </w:numPr>
              <w:kinsoku/>
              <w:wordWrap/>
              <w:overflowPunct/>
              <w:topLinePunct w:val="0"/>
              <w:autoSpaceDE/>
              <w:autoSpaceDN/>
              <w:bidi w:val="0"/>
              <w:adjustRightInd/>
              <w:snapToGrid/>
              <w:spacing w:after="0" w:line="400" w:lineRule="exact"/>
              <w:textAlignment w:val="auto"/>
              <w:rPr>
                <w:rFonts w:hint="eastAsia" w:ascii="Arial" w:hAnsi="Arial" w:cs="Arial"/>
                <w:color w:val="auto"/>
                <w:highlight w:val="none"/>
                <w:lang w:val="en-US" w:eastAsia="zh-CN"/>
              </w:rPr>
            </w:pPr>
            <w:r>
              <w:rPr>
                <w:rFonts w:hint="default" w:ascii="Arial" w:hAnsi="Arial" w:eastAsia="宋体" w:cs="Arial"/>
                <w:color w:val="auto"/>
                <w:highlight w:val="none"/>
                <w:lang w:val="en-US" w:eastAsia="zh-CN"/>
              </w:rPr>
              <w:t>一体化有源音箱</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1. 采用功放与有源音箱一体化设计，内置麦克风无线接收模块，帮助教师实现多媒体扩音以及本地扩声功能。</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 xml:space="preserve">2. 输出额定功率≥ 2x40W。 </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 xml:space="preserve">3. 音箱灵敏度≥85dB，1W/1M。 </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 xml:space="preserve">4. 信噪比≥83dB@额定功率、A计权。 </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 xml:space="preserve">5. 全频喇叭单元尺寸≥6.5英寸；高音喇叭单元尺寸≥3英寸。 </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 xml:space="preserve">6. THD+N≤1%。 </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7. 声频响</w:t>
            </w:r>
            <w:r>
              <w:rPr>
                <w:rFonts w:hint="eastAsia" w:ascii="Arial" w:hAnsi="Arial" w:cs="Arial"/>
                <w:color w:val="auto"/>
                <w:highlight w:val="none"/>
                <w:lang w:val="en-US" w:eastAsia="zh-CN"/>
              </w:rPr>
              <w:t>≤</w:t>
            </w:r>
            <w:r>
              <w:rPr>
                <w:rFonts w:hint="default" w:ascii="Arial" w:hAnsi="Arial" w:eastAsia="宋体" w:cs="Arial"/>
                <w:color w:val="auto"/>
                <w:highlight w:val="none"/>
                <w:lang w:val="en-US" w:eastAsia="zh-CN"/>
              </w:rPr>
              <w:t xml:space="preserve">70Hz-18kHz。 </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 xml:space="preserve">8. 距离音箱10米处声压级≥75dB。 </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 xml:space="preserve">9. 具备≥1路电源开关、1路Audio in、1路Audio out、1路Mic in、1路USB 接口。USB接口可外接U盘设备对音箱固件进行升级。 </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10. 支持无线麦克风扩音接收，采用Wi-Fi射频2.4GHz与 5GHz双频段传输，有效避免环境中运营商U段（700MHz）的信号干扰。</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11. 采用红外对码方式，避免连接到其他教室音箱。可快速完成与教学扩声麦克风对码。</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 xml:space="preserve">12. 配置独立音频数字信号处理芯片，支持啸叫抑制功能。 </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 xml:space="preserve">13. 支持蓝牙无线接收，可分享移动设备上的音频。支持密码模式。 </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14. 支持安卓手机通过蓝牙无线连接音箱，实现控制有源音箱的音量、设置蓝牙名称、设置蓝牙密码等功能。</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15. 支持交互智能平板显示设备通过蓝牙无线连接音箱，实现控制有源音箱的音量的功能</w:t>
            </w:r>
            <w:r>
              <w:rPr>
                <w:rFonts w:hint="eastAsia" w:ascii="Arial" w:hAnsi="Arial" w:cs="Arial"/>
                <w:color w:val="auto"/>
                <w:highlight w:val="none"/>
                <w:lang w:val="en-US" w:eastAsia="zh-CN"/>
              </w:rPr>
              <w:t>。</w:t>
            </w:r>
          </w:p>
          <w:p w14:paraId="0DA7D3E3">
            <w:pPr>
              <w:pStyle w:val="20"/>
              <w:keepNext w:val="0"/>
              <w:keepLines w:val="0"/>
              <w:pageBreakBefore w:val="0"/>
              <w:widowControl w:val="0"/>
              <w:numPr>
                <w:ilvl w:val="0"/>
                <w:numId w:val="0"/>
              </w:numPr>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16. 支持扩音和输入音源叠加输出，方便与录播等系统结合，或者通过串联功放支持更大环境扩音。</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二、无线麦克风</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1.无线麦克风集音频发射处理器、天线、电池、拾音麦克风于一体，配合一体化有源音箱，无需任何外接辅助设备即可实现本地扩声功能。</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2.麦克风和功放音箱之间采用数字U段传输技术，有效避免环境中2.4G信号干扰，例如蓝牙及WIFI设备。</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3.支持智能红外对码及UHF对码，可在2s内快速完成与教学扩声音箱对码。可与移动音箱或录播主机对码连接。</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4.采用触点磁吸式充电方式，支持快速充电与超低功耗工作模式，课间充电10分钟，实现</w:t>
            </w:r>
            <w:r>
              <w:rPr>
                <w:rFonts w:hint="eastAsia" w:ascii="Arial" w:hAnsi="Arial" w:cs="Arial"/>
                <w:color w:val="auto"/>
                <w:highlight w:val="none"/>
                <w:lang w:val="en-US" w:eastAsia="zh-CN"/>
              </w:rPr>
              <w:t>≤</w:t>
            </w:r>
            <w:r>
              <w:rPr>
                <w:rFonts w:hint="default" w:ascii="Arial" w:hAnsi="Arial" w:eastAsia="宋体" w:cs="Arial"/>
                <w:color w:val="auto"/>
                <w:highlight w:val="none"/>
                <w:lang w:val="en-US" w:eastAsia="zh-CN"/>
              </w:rPr>
              <w:t>80分钟续航。</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5.麦克风距离音箱最大有效工作距离≥10米，保证全教室覆盖。</w:t>
            </w:r>
          </w:p>
        </w:tc>
        <w:tc>
          <w:tcPr>
            <w:tcW w:w="1121" w:type="dxa"/>
            <w:tcBorders>
              <w:top w:val="single" w:color="auto" w:sz="4" w:space="0"/>
              <w:left w:val="single" w:color="auto" w:sz="4" w:space="0"/>
              <w:bottom w:val="single" w:color="auto" w:sz="4" w:space="0"/>
              <w:right w:val="single" w:color="auto" w:sz="4" w:space="0"/>
            </w:tcBorders>
            <w:noWrap w:val="0"/>
            <w:vAlign w:val="center"/>
          </w:tcPr>
          <w:p w14:paraId="528DA6B1">
            <w:pPr>
              <w:keepNext w:val="0"/>
              <w:keepLines w:val="0"/>
              <w:widowControl/>
              <w:suppressLineNumbers w:val="0"/>
              <w:jc w:val="center"/>
              <w:textAlignment w:val="center"/>
              <w:rPr>
                <w:rFonts w:hint="default" w:ascii="Arial" w:hAnsi="Arial" w:cs="Arial"/>
                <w:color w:val="auto"/>
                <w:sz w:val="21"/>
                <w:szCs w:val="21"/>
                <w:highlight w:val="none"/>
                <w:lang w:val="en-US" w:eastAsia="zh-CN"/>
              </w:rPr>
            </w:pPr>
            <w:r>
              <w:rPr>
                <w:rFonts w:hint="default" w:ascii="Arial" w:hAnsi="Arial" w:eastAsia="宋体" w:cs="Arial"/>
                <w:i w:val="0"/>
                <w:iCs w:val="0"/>
                <w:color w:val="000000"/>
                <w:kern w:val="0"/>
                <w:sz w:val="21"/>
                <w:szCs w:val="21"/>
                <w:highlight w:val="none"/>
                <w:u w:val="none"/>
                <w:lang w:val="en-US" w:eastAsia="zh-CN" w:bidi="ar"/>
              </w:rPr>
              <w:t xml:space="preserve">1800.00 </w:t>
            </w:r>
          </w:p>
        </w:tc>
      </w:tr>
      <w:tr w14:paraId="2C4CB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jc w:val="center"/>
        </w:trPr>
        <w:tc>
          <w:tcPr>
            <w:tcW w:w="475" w:type="dxa"/>
            <w:tcBorders>
              <w:top w:val="single" w:color="auto" w:sz="4" w:space="0"/>
              <w:left w:val="single" w:color="auto" w:sz="4" w:space="0"/>
              <w:bottom w:val="single" w:color="auto" w:sz="4" w:space="0"/>
              <w:right w:val="single" w:color="auto" w:sz="4" w:space="0"/>
            </w:tcBorders>
            <w:noWrap w:val="0"/>
            <w:vAlign w:val="center"/>
          </w:tcPr>
          <w:p w14:paraId="22464C9D">
            <w:pPr>
              <w:keepNext w:val="0"/>
              <w:keepLines w:val="0"/>
              <w:widowControl/>
              <w:suppressLineNumbers w:val="0"/>
              <w:jc w:val="center"/>
              <w:textAlignment w:val="center"/>
              <w:rPr>
                <w:rFonts w:hint="default" w:ascii="Arial" w:hAnsi="Arial" w:eastAsia="宋体" w:cs="Arial"/>
                <w:b/>
                <w:bCs/>
                <w:color w:val="auto"/>
                <w:szCs w:val="21"/>
                <w:highlight w:val="none"/>
              </w:rPr>
            </w:pPr>
            <w:r>
              <w:rPr>
                <w:rFonts w:hint="default" w:ascii="Arial" w:hAnsi="Arial" w:eastAsia="宋体" w:cs="Arial"/>
                <w:i w:val="0"/>
                <w:iCs w:val="0"/>
                <w:color w:val="000000"/>
                <w:kern w:val="0"/>
                <w:sz w:val="21"/>
                <w:szCs w:val="21"/>
                <w:highlight w:val="none"/>
                <w:u w:val="none"/>
                <w:lang w:val="en-US" w:eastAsia="zh-CN" w:bidi="ar"/>
              </w:rPr>
              <w:t>4</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56C0594B">
            <w:pPr>
              <w:keepNext w:val="0"/>
              <w:keepLines w:val="0"/>
              <w:widowControl/>
              <w:suppressLineNumbers w:val="0"/>
              <w:jc w:val="center"/>
              <w:textAlignment w:val="center"/>
              <w:rPr>
                <w:rFonts w:hint="default" w:ascii="Arial" w:hAnsi="Arial" w:eastAsia="宋体" w:cs="Arial"/>
                <w:bCs/>
                <w:color w:val="auto"/>
                <w:szCs w:val="21"/>
                <w:highlight w:val="none"/>
                <w:lang w:val="en-US" w:eastAsia="zh-CN"/>
              </w:rPr>
            </w:pPr>
            <w:r>
              <w:rPr>
                <w:rFonts w:hint="default" w:ascii="Arial" w:hAnsi="Arial" w:eastAsia="宋体" w:cs="Arial"/>
                <w:i w:val="0"/>
                <w:iCs w:val="0"/>
                <w:color w:val="000000"/>
                <w:kern w:val="0"/>
                <w:sz w:val="21"/>
                <w:szCs w:val="21"/>
                <w:highlight w:val="none"/>
                <w:u w:val="none"/>
                <w:lang w:val="en-US" w:eastAsia="zh-CN" w:bidi="ar"/>
              </w:rPr>
              <w:t>辅助材料及安装</w:t>
            </w:r>
          </w:p>
        </w:tc>
        <w:tc>
          <w:tcPr>
            <w:tcW w:w="775" w:type="dxa"/>
            <w:tcBorders>
              <w:top w:val="single" w:color="auto" w:sz="4" w:space="0"/>
              <w:left w:val="single" w:color="auto" w:sz="4" w:space="0"/>
              <w:bottom w:val="single" w:color="auto" w:sz="4" w:space="0"/>
              <w:right w:val="single" w:color="auto" w:sz="4" w:space="0"/>
            </w:tcBorders>
            <w:noWrap w:val="0"/>
            <w:vAlign w:val="center"/>
          </w:tcPr>
          <w:p w14:paraId="69B5113A">
            <w:pPr>
              <w:keepNext w:val="0"/>
              <w:keepLines w:val="0"/>
              <w:widowControl/>
              <w:suppressLineNumbers w:val="0"/>
              <w:jc w:val="center"/>
              <w:textAlignment w:val="center"/>
              <w:rPr>
                <w:rFonts w:hint="default" w:ascii="Arial" w:hAnsi="Arial" w:eastAsia="宋体" w:cs="Arial"/>
                <w:bCs/>
                <w:color w:val="auto"/>
                <w:szCs w:val="21"/>
                <w:highlight w:val="none"/>
              </w:rPr>
            </w:pPr>
            <w:r>
              <w:rPr>
                <w:rFonts w:hint="default" w:ascii="Arial" w:hAnsi="Arial" w:cs="Arial"/>
                <w:bCs/>
                <w:kern w:val="0"/>
                <w:szCs w:val="21"/>
                <w:highlight w:val="none"/>
              </w:rPr>
              <w:t>其他未列明行业</w:t>
            </w:r>
          </w:p>
        </w:tc>
        <w:tc>
          <w:tcPr>
            <w:tcW w:w="65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145BCC9">
            <w:pPr>
              <w:keepNext w:val="0"/>
              <w:keepLines w:val="0"/>
              <w:widowControl/>
              <w:suppressLineNumbers w:val="0"/>
              <w:jc w:val="center"/>
              <w:textAlignment w:val="center"/>
              <w:rPr>
                <w:rFonts w:hint="default" w:ascii="Arial" w:hAnsi="Arial" w:eastAsia="宋体" w:cs="Arial"/>
                <w:bCs/>
                <w:color w:val="auto"/>
                <w:kern w:val="2"/>
                <w:sz w:val="21"/>
                <w:szCs w:val="21"/>
                <w:highlight w:val="none"/>
                <w:lang w:val="en-US" w:eastAsia="zh-CN" w:bidi="ar-SA"/>
              </w:rPr>
            </w:pPr>
            <w:r>
              <w:rPr>
                <w:rFonts w:hint="default" w:ascii="Arial" w:hAnsi="Arial" w:eastAsia="宋体" w:cs="Arial"/>
                <w:i w:val="0"/>
                <w:iCs w:val="0"/>
                <w:color w:val="000000"/>
                <w:kern w:val="0"/>
                <w:sz w:val="21"/>
                <w:szCs w:val="21"/>
                <w:highlight w:val="none"/>
                <w:u w:val="none"/>
                <w:lang w:val="en-US" w:eastAsia="zh-CN" w:bidi="ar"/>
              </w:rPr>
              <w:t>1</w:t>
            </w:r>
          </w:p>
        </w:tc>
        <w:tc>
          <w:tcPr>
            <w:tcW w:w="647" w:type="dxa"/>
            <w:tcBorders>
              <w:top w:val="single" w:color="auto" w:sz="4" w:space="0"/>
              <w:left w:val="single" w:color="auto" w:sz="4" w:space="0"/>
              <w:bottom w:val="single" w:color="auto" w:sz="4" w:space="0"/>
              <w:right w:val="single" w:color="auto" w:sz="4" w:space="0"/>
            </w:tcBorders>
            <w:noWrap w:val="0"/>
            <w:vAlign w:val="center"/>
          </w:tcPr>
          <w:p w14:paraId="4D1BC049">
            <w:pPr>
              <w:keepNext w:val="0"/>
              <w:keepLines w:val="0"/>
              <w:widowControl/>
              <w:suppressLineNumbers w:val="0"/>
              <w:jc w:val="center"/>
              <w:textAlignment w:val="center"/>
              <w:rPr>
                <w:rFonts w:hint="default" w:ascii="Arial" w:hAnsi="Arial" w:eastAsia="宋体" w:cs="Arial"/>
                <w:bCs/>
                <w:color w:val="auto"/>
                <w:szCs w:val="21"/>
                <w:highlight w:val="none"/>
                <w:lang w:val="en-US" w:eastAsia="zh-CN"/>
              </w:rPr>
            </w:pPr>
            <w:r>
              <w:rPr>
                <w:rFonts w:hint="default" w:ascii="Arial" w:hAnsi="Arial" w:eastAsia="宋体" w:cs="Arial"/>
                <w:i w:val="0"/>
                <w:iCs w:val="0"/>
                <w:color w:val="000000"/>
                <w:kern w:val="0"/>
                <w:sz w:val="21"/>
                <w:szCs w:val="21"/>
                <w:highlight w:val="none"/>
                <w:u w:val="none"/>
                <w:lang w:val="en-US" w:eastAsia="zh-CN" w:bidi="ar"/>
              </w:rPr>
              <w:t>套</w:t>
            </w:r>
          </w:p>
        </w:tc>
        <w:tc>
          <w:tcPr>
            <w:tcW w:w="5174" w:type="dxa"/>
            <w:tcBorders>
              <w:top w:val="single" w:color="auto" w:sz="4" w:space="0"/>
              <w:left w:val="single" w:color="auto" w:sz="4" w:space="0"/>
              <w:bottom w:val="single" w:color="auto" w:sz="4" w:space="0"/>
              <w:right w:val="single" w:color="auto" w:sz="4" w:space="0"/>
            </w:tcBorders>
            <w:noWrap w:val="0"/>
            <w:vAlign w:val="top"/>
          </w:tcPr>
          <w:p w14:paraId="5C67E877">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1、包含本实训室设备安装调试及多媒体安装所需的三芯电源线、排插、水晶头、音频线、音响线、插座</w:t>
            </w:r>
            <w:r>
              <w:rPr>
                <w:rFonts w:hint="default" w:ascii="Arial" w:hAnsi="Arial" w:eastAsia="宋体" w:cs="Arial"/>
                <w:b/>
                <w:bCs/>
                <w:color w:val="auto"/>
                <w:highlight w:val="none"/>
                <w:lang w:val="en-US" w:eastAsia="zh-CN"/>
              </w:rPr>
              <w:t>（教室新设备安装费用及材料）</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2、布线要求地面开凿，采用不锈钢地槽。</w:t>
            </w:r>
          </w:p>
        </w:tc>
        <w:tc>
          <w:tcPr>
            <w:tcW w:w="1121" w:type="dxa"/>
            <w:tcBorders>
              <w:top w:val="single" w:color="auto" w:sz="4" w:space="0"/>
              <w:left w:val="single" w:color="auto" w:sz="4" w:space="0"/>
              <w:bottom w:val="single" w:color="auto" w:sz="4" w:space="0"/>
              <w:right w:val="single" w:color="auto" w:sz="4" w:space="0"/>
            </w:tcBorders>
            <w:noWrap w:val="0"/>
            <w:vAlign w:val="center"/>
          </w:tcPr>
          <w:p w14:paraId="21F7028E">
            <w:pPr>
              <w:keepNext w:val="0"/>
              <w:keepLines w:val="0"/>
              <w:widowControl/>
              <w:suppressLineNumbers w:val="0"/>
              <w:jc w:val="center"/>
              <w:textAlignment w:val="center"/>
              <w:rPr>
                <w:rFonts w:hint="default" w:ascii="Arial" w:hAnsi="Arial" w:cs="Arial"/>
                <w:color w:val="auto"/>
                <w:sz w:val="21"/>
                <w:szCs w:val="21"/>
                <w:highlight w:val="none"/>
                <w:lang w:val="en-US" w:eastAsia="zh-CN"/>
              </w:rPr>
            </w:pPr>
            <w:r>
              <w:rPr>
                <w:rFonts w:hint="default" w:ascii="Arial" w:hAnsi="Arial" w:eastAsia="宋体" w:cs="Arial"/>
                <w:i w:val="0"/>
                <w:iCs w:val="0"/>
                <w:color w:val="000000"/>
                <w:kern w:val="0"/>
                <w:sz w:val="21"/>
                <w:szCs w:val="21"/>
                <w:highlight w:val="none"/>
                <w:u w:val="none"/>
                <w:lang w:val="en-US" w:eastAsia="zh-CN" w:bidi="ar"/>
              </w:rPr>
              <w:t xml:space="preserve">18000.00 </w:t>
            </w:r>
          </w:p>
        </w:tc>
      </w:tr>
      <w:tr w14:paraId="53860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jc w:val="center"/>
        </w:trPr>
        <w:tc>
          <w:tcPr>
            <w:tcW w:w="475" w:type="dxa"/>
            <w:tcBorders>
              <w:top w:val="single" w:color="auto" w:sz="4" w:space="0"/>
              <w:left w:val="single" w:color="auto" w:sz="4" w:space="0"/>
              <w:bottom w:val="single" w:color="auto" w:sz="4" w:space="0"/>
              <w:right w:val="single" w:color="auto" w:sz="4" w:space="0"/>
            </w:tcBorders>
            <w:noWrap w:val="0"/>
            <w:vAlign w:val="center"/>
          </w:tcPr>
          <w:p w14:paraId="38799AEE">
            <w:pPr>
              <w:keepNext w:val="0"/>
              <w:keepLines w:val="0"/>
              <w:widowControl/>
              <w:suppressLineNumbers w:val="0"/>
              <w:jc w:val="center"/>
              <w:textAlignment w:val="center"/>
              <w:rPr>
                <w:rFonts w:hint="default" w:ascii="Arial" w:hAnsi="Arial" w:eastAsia="宋体" w:cs="Arial"/>
                <w:b/>
                <w:bCs/>
                <w:color w:val="auto"/>
                <w:szCs w:val="21"/>
                <w:highlight w:val="none"/>
              </w:rPr>
            </w:pPr>
            <w:r>
              <w:rPr>
                <w:rFonts w:hint="default" w:ascii="Arial" w:hAnsi="Arial" w:eastAsia="宋体" w:cs="Arial"/>
                <w:i w:val="0"/>
                <w:iCs w:val="0"/>
                <w:color w:val="000000"/>
                <w:kern w:val="0"/>
                <w:sz w:val="21"/>
                <w:szCs w:val="21"/>
                <w:highlight w:val="none"/>
                <w:u w:val="none"/>
                <w:lang w:val="en-US" w:eastAsia="zh-CN" w:bidi="ar"/>
              </w:rPr>
              <w:t>5</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67603310">
            <w:pPr>
              <w:keepNext w:val="0"/>
              <w:keepLines w:val="0"/>
              <w:widowControl/>
              <w:suppressLineNumbers w:val="0"/>
              <w:jc w:val="center"/>
              <w:textAlignment w:val="center"/>
              <w:rPr>
                <w:rFonts w:hint="default" w:ascii="Arial" w:hAnsi="Arial" w:eastAsia="宋体" w:cs="Arial"/>
                <w:bCs/>
                <w:color w:val="auto"/>
                <w:szCs w:val="21"/>
                <w:highlight w:val="none"/>
                <w:lang w:val="en-US" w:eastAsia="zh-CN"/>
              </w:rPr>
            </w:pPr>
            <w:r>
              <w:rPr>
                <w:rFonts w:hint="default" w:ascii="Arial" w:hAnsi="Arial" w:eastAsia="宋体" w:cs="Arial"/>
                <w:i w:val="0"/>
                <w:iCs w:val="0"/>
                <w:color w:val="000000"/>
                <w:kern w:val="0"/>
                <w:sz w:val="21"/>
                <w:szCs w:val="21"/>
                <w:highlight w:val="none"/>
                <w:u w:val="none"/>
                <w:lang w:val="en-US" w:eastAsia="zh-CN" w:bidi="ar"/>
              </w:rPr>
              <w:t>实训室文化建设</w:t>
            </w:r>
          </w:p>
        </w:tc>
        <w:tc>
          <w:tcPr>
            <w:tcW w:w="775" w:type="dxa"/>
            <w:tcBorders>
              <w:top w:val="single" w:color="auto" w:sz="4" w:space="0"/>
              <w:left w:val="single" w:color="auto" w:sz="4" w:space="0"/>
              <w:bottom w:val="single" w:color="auto" w:sz="4" w:space="0"/>
              <w:right w:val="single" w:color="auto" w:sz="4" w:space="0"/>
            </w:tcBorders>
            <w:noWrap w:val="0"/>
            <w:vAlign w:val="center"/>
          </w:tcPr>
          <w:p w14:paraId="60DE511E">
            <w:pPr>
              <w:keepNext w:val="0"/>
              <w:keepLines w:val="0"/>
              <w:widowControl/>
              <w:suppressLineNumbers w:val="0"/>
              <w:jc w:val="center"/>
              <w:textAlignment w:val="center"/>
              <w:rPr>
                <w:rFonts w:hint="default" w:ascii="Arial" w:hAnsi="Arial" w:eastAsia="宋体" w:cs="Arial"/>
                <w:bCs/>
                <w:color w:val="auto"/>
                <w:szCs w:val="21"/>
                <w:highlight w:val="none"/>
              </w:rPr>
            </w:pPr>
            <w:r>
              <w:rPr>
                <w:rFonts w:hint="default" w:ascii="Arial" w:hAnsi="Arial" w:cs="Arial"/>
                <w:bCs/>
                <w:kern w:val="0"/>
                <w:szCs w:val="21"/>
                <w:highlight w:val="none"/>
              </w:rPr>
              <w:t>建筑业</w:t>
            </w:r>
          </w:p>
        </w:tc>
        <w:tc>
          <w:tcPr>
            <w:tcW w:w="65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B03C6F7">
            <w:pPr>
              <w:keepNext w:val="0"/>
              <w:keepLines w:val="0"/>
              <w:widowControl/>
              <w:suppressLineNumbers w:val="0"/>
              <w:jc w:val="center"/>
              <w:textAlignment w:val="center"/>
              <w:rPr>
                <w:rFonts w:hint="default" w:ascii="Arial" w:hAnsi="Arial" w:eastAsia="宋体" w:cs="Arial"/>
                <w:bCs/>
                <w:color w:val="auto"/>
                <w:kern w:val="2"/>
                <w:sz w:val="21"/>
                <w:szCs w:val="21"/>
                <w:highlight w:val="none"/>
                <w:lang w:val="en-US" w:eastAsia="zh-CN" w:bidi="ar-SA"/>
              </w:rPr>
            </w:pPr>
            <w:r>
              <w:rPr>
                <w:rFonts w:hint="default" w:ascii="Arial" w:hAnsi="Arial" w:eastAsia="宋体" w:cs="Arial"/>
                <w:i w:val="0"/>
                <w:iCs w:val="0"/>
                <w:color w:val="000000"/>
                <w:kern w:val="0"/>
                <w:sz w:val="21"/>
                <w:szCs w:val="21"/>
                <w:highlight w:val="none"/>
                <w:u w:val="none"/>
                <w:lang w:val="en-US" w:eastAsia="zh-CN" w:bidi="ar"/>
              </w:rPr>
              <w:t>1</w:t>
            </w:r>
          </w:p>
        </w:tc>
        <w:tc>
          <w:tcPr>
            <w:tcW w:w="647" w:type="dxa"/>
            <w:tcBorders>
              <w:top w:val="single" w:color="auto" w:sz="4" w:space="0"/>
              <w:left w:val="single" w:color="auto" w:sz="4" w:space="0"/>
              <w:bottom w:val="single" w:color="auto" w:sz="4" w:space="0"/>
              <w:right w:val="single" w:color="auto" w:sz="4" w:space="0"/>
            </w:tcBorders>
            <w:noWrap w:val="0"/>
            <w:vAlign w:val="center"/>
          </w:tcPr>
          <w:p w14:paraId="01466666">
            <w:pPr>
              <w:keepNext w:val="0"/>
              <w:keepLines w:val="0"/>
              <w:widowControl/>
              <w:suppressLineNumbers w:val="0"/>
              <w:jc w:val="center"/>
              <w:textAlignment w:val="center"/>
              <w:rPr>
                <w:rFonts w:hint="default" w:ascii="Arial" w:hAnsi="Arial" w:eastAsia="宋体" w:cs="Arial"/>
                <w:bCs/>
                <w:color w:val="auto"/>
                <w:szCs w:val="21"/>
                <w:highlight w:val="none"/>
                <w:lang w:val="en-US" w:eastAsia="zh-CN"/>
              </w:rPr>
            </w:pPr>
            <w:r>
              <w:rPr>
                <w:rFonts w:hint="default" w:ascii="Arial" w:hAnsi="Arial" w:eastAsia="宋体" w:cs="Arial"/>
                <w:i w:val="0"/>
                <w:iCs w:val="0"/>
                <w:color w:val="000000"/>
                <w:kern w:val="0"/>
                <w:sz w:val="21"/>
                <w:szCs w:val="21"/>
                <w:highlight w:val="none"/>
                <w:u w:val="none"/>
                <w:lang w:val="en-US" w:eastAsia="zh-CN" w:bidi="ar"/>
              </w:rPr>
              <w:t>项</w:t>
            </w:r>
          </w:p>
        </w:tc>
        <w:tc>
          <w:tcPr>
            <w:tcW w:w="5174" w:type="dxa"/>
            <w:tcBorders>
              <w:top w:val="single" w:color="auto" w:sz="4" w:space="0"/>
              <w:left w:val="single" w:color="auto" w:sz="4" w:space="0"/>
              <w:bottom w:val="single" w:color="auto" w:sz="4" w:space="0"/>
              <w:right w:val="single" w:color="auto" w:sz="4" w:space="0"/>
            </w:tcBorders>
            <w:noWrap w:val="0"/>
            <w:vAlign w:val="top"/>
          </w:tcPr>
          <w:p w14:paraId="65529D77">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302、311实训室改造及文化建设，详见以下清单：</w:t>
            </w:r>
          </w:p>
          <w:p w14:paraId="3E17A7F0">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1、电脑桌及设备搬运1项：人工搬运，包含所需人工及工具。</w:t>
            </w:r>
          </w:p>
          <w:p w14:paraId="225F0CD3">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2、拆除线路1项：人工拆除，包含所需人工及工具。</w:t>
            </w:r>
          </w:p>
          <w:p w14:paraId="606C29B3">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3、拆除静电地板86㎡：人工拆除。</w:t>
            </w:r>
          </w:p>
          <w:p w14:paraId="174A8439">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4、照明电路安装86㎡：人工安装及材料（电缆铜芯电线1.5平方及辅材）只做照明电路无插座线路。</w:t>
            </w:r>
          </w:p>
          <w:p w14:paraId="0E485FF1">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5、瓷砖铺贴86㎡：800*800</w:t>
            </w:r>
            <w:r>
              <w:rPr>
                <w:rFonts w:hint="eastAsia"/>
                <w:highlight w:val="none"/>
                <w:lang w:val="en-US" w:eastAsia="zh-CN"/>
              </w:rPr>
              <w:t>mm</w:t>
            </w:r>
            <w:r>
              <w:rPr>
                <w:rFonts w:hint="default" w:ascii="Arial" w:hAnsi="Arial" w:eastAsia="宋体" w:cs="Arial"/>
                <w:color w:val="auto"/>
                <w:highlight w:val="none"/>
                <w:lang w:val="en-US" w:eastAsia="zh-CN"/>
              </w:rPr>
              <w:t>灰色防滑砖材料及人工铺贴、水泥沙子。</w:t>
            </w:r>
          </w:p>
          <w:p w14:paraId="07B99F01">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6、贴地脚线36m：325水泥，铺设地板专用沙。</w:t>
            </w:r>
          </w:p>
          <w:p w14:paraId="36840AC5">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7、腻子乳胶漆260㎡：人工粉刷两遍腻子、打磨、两遍乳胶漆。</w:t>
            </w:r>
          </w:p>
          <w:p w14:paraId="7ED4D71E">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8、灯具安装24个：1200mm*150mm平板吊灯人工安装及材料</w:t>
            </w:r>
          </w:p>
          <w:p w14:paraId="7F6A6B52">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9、开关及空开1项：包含开关及空开。</w:t>
            </w:r>
          </w:p>
          <w:p w14:paraId="25D7CA9F">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10、材料上楼搬运费1项：项目实施过程中所需的材料上楼搬运费。</w:t>
            </w:r>
          </w:p>
          <w:p w14:paraId="2866E276">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11、垃圾清运费及卫生清理1项：施工垃圾装袋下楼清运校外费用及人工清理卫生。</w:t>
            </w:r>
          </w:p>
          <w:p w14:paraId="53C1B93C">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12、文化墙1项：博学楼-2302-教室后方，5*1.9m，拆了原黑板，做文化墙。</w:t>
            </w:r>
          </w:p>
          <w:p w14:paraId="5466CD44">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13、文化墙2块：博学楼-2302-门口走道，3.35*1m；左右各两块，共4块内容，两层。</w:t>
            </w:r>
          </w:p>
          <w:p w14:paraId="44414974">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14、文化墙2块：博学楼-2302-教室右侧，3.65*1.55m。</w:t>
            </w:r>
          </w:p>
          <w:p w14:paraId="4A735E8A">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15、文化墙1项：博学楼-2314-多媒体机器墙面，多层立体造型 + 嵌入式背发光 + UV 高清喷印。</w:t>
            </w:r>
          </w:p>
          <w:p w14:paraId="0FDE1F67">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17、隔断门41㎡：博学楼-2312-直播间隔断钢化玻璃门。</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1.0厚不锈钢框架，8厘磨砂钢化玻璃，人工安装及材料</w:t>
            </w:r>
          </w:p>
          <w:p w14:paraId="44200CBA">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18、长条灯：10个</w:t>
            </w:r>
          </w:p>
          <w:p w14:paraId="32E060B2">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19、遮光窗帘41㎡：博学楼-2312-直播间遮光窗帘</w:t>
            </w:r>
          </w:p>
          <w:p w14:paraId="77885D4C">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20、文化墙13.2㎡：博学楼-2312-直播间前方，做文化墙，两层PVC板加晶格板。</w:t>
            </w:r>
          </w:p>
          <w:p w14:paraId="1050408E">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21、文化墙27㎡：博学楼-2312-直播间门口走道，两层PVC板加晶格板共5块内容，两层。</w:t>
            </w:r>
          </w:p>
        </w:tc>
        <w:tc>
          <w:tcPr>
            <w:tcW w:w="1121" w:type="dxa"/>
            <w:tcBorders>
              <w:top w:val="single" w:color="auto" w:sz="4" w:space="0"/>
              <w:left w:val="single" w:color="auto" w:sz="4" w:space="0"/>
              <w:bottom w:val="single" w:color="auto" w:sz="4" w:space="0"/>
              <w:right w:val="single" w:color="auto" w:sz="4" w:space="0"/>
            </w:tcBorders>
            <w:noWrap w:val="0"/>
            <w:vAlign w:val="center"/>
          </w:tcPr>
          <w:p w14:paraId="4D9098D4">
            <w:pPr>
              <w:keepNext w:val="0"/>
              <w:keepLines w:val="0"/>
              <w:widowControl/>
              <w:suppressLineNumbers w:val="0"/>
              <w:jc w:val="center"/>
              <w:textAlignment w:val="center"/>
              <w:rPr>
                <w:rFonts w:hint="default" w:ascii="Arial" w:hAnsi="Arial" w:cs="Arial"/>
                <w:color w:val="auto"/>
                <w:sz w:val="21"/>
                <w:szCs w:val="21"/>
                <w:highlight w:val="none"/>
                <w:lang w:val="en-US" w:eastAsia="zh-CN"/>
              </w:rPr>
            </w:pPr>
            <w:r>
              <w:rPr>
                <w:rFonts w:hint="default" w:ascii="Arial" w:hAnsi="Arial" w:eastAsia="宋体" w:cs="Arial"/>
                <w:i w:val="0"/>
                <w:iCs w:val="0"/>
                <w:color w:val="000000"/>
                <w:kern w:val="0"/>
                <w:sz w:val="21"/>
                <w:szCs w:val="21"/>
                <w:highlight w:val="none"/>
                <w:u w:val="none"/>
                <w:lang w:val="en-US" w:eastAsia="zh-CN" w:bidi="ar"/>
              </w:rPr>
              <w:t xml:space="preserve">95100.00 </w:t>
            </w:r>
          </w:p>
        </w:tc>
      </w:tr>
      <w:tr w14:paraId="327E1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jc w:val="center"/>
        </w:trPr>
        <w:tc>
          <w:tcPr>
            <w:tcW w:w="475" w:type="dxa"/>
            <w:tcBorders>
              <w:top w:val="single" w:color="auto" w:sz="4" w:space="0"/>
              <w:left w:val="single" w:color="auto" w:sz="4" w:space="0"/>
              <w:bottom w:val="single" w:color="auto" w:sz="4" w:space="0"/>
              <w:right w:val="single" w:color="auto" w:sz="4" w:space="0"/>
            </w:tcBorders>
            <w:noWrap w:val="0"/>
            <w:vAlign w:val="center"/>
          </w:tcPr>
          <w:p w14:paraId="0E97B32E">
            <w:pPr>
              <w:keepNext w:val="0"/>
              <w:keepLines w:val="0"/>
              <w:widowControl/>
              <w:suppressLineNumbers w:val="0"/>
              <w:jc w:val="center"/>
              <w:textAlignment w:val="center"/>
              <w:rPr>
                <w:rFonts w:hint="default" w:ascii="Arial" w:hAnsi="Arial" w:eastAsia="宋体" w:cs="Arial"/>
                <w:b/>
                <w:bCs/>
                <w:color w:val="auto"/>
                <w:szCs w:val="21"/>
                <w:highlight w:val="none"/>
              </w:rPr>
            </w:pPr>
            <w:r>
              <w:rPr>
                <w:rFonts w:hint="default" w:ascii="Arial" w:hAnsi="Arial" w:eastAsia="宋体" w:cs="Arial"/>
                <w:i w:val="0"/>
                <w:iCs w:val="0"/>
                <w:color w:val="000000"/>
                <w:kern w:val="0"/>
                <w:sz w:val="21"/>
                <w:szCs w:val="21"/>
                <w:highlight w:val="none"/>
                <w:u w:val="none"/>
                <w:lang w:val="en-US" w:eastAsia="zh-CN" w:bidi="ar"/>
              </w:rPr>
              <w:t>6</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0E86D642">
            <w:pPr>
              <w:keepNext w:val="0"/>
              <w:keepLines w:val="0"/>
              <w:widowControl/>
              <w:suppressLineNumbers w:val="0"/>
              <w:jc w:val="center"/>
              <w:textAlignment w:val="center"/>
              <w:rPr>
                <w:rFonts w:hint="default" w:ascii="Arial" w:hAnsi="Arial" w:eastAsia="宋体" w:cs="Arial"/>
                <w:bCs/>
                <w:color w:val="auto"/>
                <w:szCs w:val="21"/>
                <w:highlight w:val="none"/>
                <w:lang w:val="en-US" w:eastAsia="zh-CN"/>
              </w:rPr>
            </w:pPr>
            <w:r>
              <w:rPr>
                <w:rFonts w:hint="default" w:ascii="Arial" w:hAnsi="Arial" w:eastAsia="宋体" w:cs="Arial"/>
                <w:i w:val="0"/>
                <w:iCs w:val="0"/>
                <w:color w:val="000000"/>
                <w:kern w:val="0"/>
                <w:sz w:val="21"/>
                <w:szCs w:val="21"/>
                <w:highlight w:val="none"/>
                <w:u w:val="none"/>
                <w:lang w:val="en-US" w:eastAsia="zh-CN" w:bidi="ar"/>
              </w:rPr>
              <w:t>环境改造</w:t>
            </w:r>
          </w:p>
        </w:tc>
        <w:tc>
          <w:tcPr>
            <w:tcW w:w="775" w:type="dxa"/>
            <w:tcBorders>
              <w:top w:val="single" w:color="auto" w:sz="4" w:space="0"/>
              <w:left w:val="single" w:color="auto" w:sz="4" w:space="0"/>
              <w:bottom w:val="single" w:color="auto" w:sz="4" w:space="0"/>
              <w:right w:val="single" w:color="auto" w:sz="4" w:space="0"/>
            </w:tcBorders>
            <w:noWrap w:val="0"/>
            <w:vAlign w:val="center"/>
          </w:tcPr>
          <w:p w14:paraId="79994F82">
            <w:pPr>
              <w:keepNext w:val="0"/>
              <w:keepLines w:val="0"/>
              <w:widowControl/>
              <w:suppressLineNumbers w:val="0"/>
              <w:jc w:val="center"/>
              <w:textAlignment w:val="center"/>
              <w:rPr>
                <w:rFonts w:hint="default" w:ascii="Arial" w:hAnsi="Arial" w:eastAsia="宋体" w:cs="Arial"/>
                <w:bCs/>
                <w:color w:val="auto"/>
                <w:szCs w:val="21"/>
                <w:highlight w:val="none"/>
              </w:rPr>
            </w:pPr>
            <w:r>
              <w:rPr>
                <w:rFonts w:hint="default" w:ascii="Arial" w:hAnsi="Arial" w:cs="Arial"/>
                <w:bCs/>
                <w:kern w:val="0"/>
                <w:szCs w:val="21"/>
                <w:highlight w:val="none"/>
              </w:rPr>
              <w:t>建筑业</w:t>
            </w:r>
          </w:p>
        </w:tc>
        <w:tc>
          <w:tcPr>
            <w:tcW w:w="65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FD4F1F3">
            <w:pPr>
              <w:keepNext w:val="0"/>
              <w:keepLines w:val="0"/>
              <w:widowControl/>
              <w:suppressLineNumbers w:val="0"/>
              <w:jc w:val="center"/>
              <w:textAlignment w:val="center"/>
              <w:rPr>
                <w:rFonts w:hint="default" w:ascii="Arial" w:hAnsi="Arial" w:eastAsia="宋体" w:cs="Arial"/>
                <w:bCs/>
                <w:color w:val="auto"/>
                <w:kern w:val="2"/>
                <w:sz w:val="21"/>
                <w:szCs w:val="21"/>
                <w:highlight w:val="none"/>
                <w:lang w:val="en-US" w:eastAsia="zh-CN" w:bidi="ar-SA"/>
              </w:rPr>
            </w:pPr>
            <w:r>
              <w:rPr>
                <w:rFonts w:hint="default" w:ascii="Arial" w:hAnsi="Arial" w:eastAsia="宋体" w:cs="Arial"/>
                <w:i w:val="0"/>
                <w:iCs w:val="0"/>
                <w:color w:val="000000"/>
                <w:kern w:val="0"/>
                <w:sz w:val="21"/>
                <w:szCs w:val="21"/>
                <w:highlight w:val="none"/>
                <w:u w:val="none"/>
                <w:lang w:val="en-US" w:eastAsia="zh-CN" w:bidi="ar"/>
              </w:rPr>
              <w:t>1</w:t>
            </w:r>
          </w:p>
        </w:tc>
        <w:tc>
          <w:tcPr>
            <w:tcW w:w="647" w:type="dxa"/>
            <w:tcBorders>
              <w:top w:val="single" w:color="auto" w:sz="4" w:space="0"/>
              <w:left w:val="single" w:color="auto" w:sz="4" w:space="0"/>
              <w:bottom w:val="single" w:color="auto" w:sz="4" w:space="0"/>
              <w:right w:val="single" w:color="auto" w:sz="4" w:space="0"/>
            </w:tcBorders>
            <w:noWrap w:val="0"/>
            <w:vAlign w:val="center"/>
          </w:tcPr>
          <w:p w14:paraId="53A87DCB">
            <w:pPr>
              <w:keepNext w:val="0"/>
              <w:keepLines w:val="0"/>
              <w:widowControl/>
              <w:suppressLineNumbers w:val="0"/>
              <w:jc w:val="center"/>
              <w:textAlignment w:val="center"/>
              <w:rPr>
                <w:rFonts w:hint="default" w:ascii="Arial" w:hAnsi="Arial" w:eastAsia="宋体" w:cs="Arial"/>
                <w:bCs/>
                <w:color w:val="auto"/>
                <w:szCs w:val="21"/>
                <w:highlight w:val="none"/>
                <w:lang w:val="en-US" w:eastAsia="zh-CN"/>
              </w:rPr>
            </w:pPr>
            <w:r>
              <w:rPr>
                <w:rFonts w:hint="default" w:ascii="Arial" w:hAnsi="Arial" w:eastAsia="宋体" w:cs="Arial"/>
                <w:i w:val="0"/>
                <w:iCs w:val="0"/>
                <w:color w:val="000000"/>
                <w:kern w:val="0"/>
                <w:sz w:val="21"/>
                <w:szCs w:val="21"/>
                <w:highlight w:val="none"/>
                <w:u w:val="none"/>
                <w:lang w:val="en-US" w:eastAsia="zh-CN" w:bidi="ar"/>
              </w:rPr>
              <w:t>项</w:t>
            </w:r>
          </w:p>
        </w:tc>
        <w:tc>
          <w:tcPr>
            <w:tcW w:w="5174" w:type="dxa"/>
            <w:tcBorders>
              <w:top w:val="single" w:color="auto" w:sz="4" w:space="0"/>
              <w:left w:val="single" w:color="auto" w:sz="4" w:space="0"/>
              <w:bottom w:val="single" w:color="auto" w:sz="4" w:space="0"/>
              <w:right w:val="single" w:color="auto" w:sz="4" w:space="0"/>
            </w:tcBorders>
            <w:noWrap w:val="0"/>
            <w:vAlign w:val="top"/>
          </w:tcPr>
          <w:p w14:paraId="5CA84CE5">
            <w:pPr>
              <w:pStyle w:val="20"/>
              <w:keepNext w:val="0"/>
              <w:keepLines w:val="0"/>
              <w:pageBreakBefore w:val="0"/>
              <w:widowControl/>
              <w:kinsoku/>
              <w:wordWrap w:val="0"/>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一、拆除原有窗户8</w:t>
            </w:r>
            <w:r>
              <w:rPr>
                <w:rFonts w:hint="eastAsia" w:ascii="Arial" w:hAnsi="Arial" w:cs="Arial"/>
                <w:color w:val="auto"/>
                <w:highlight w:val="none"/>
                <w:lang w:val="en-US" w:eastAsia="zh-CN"/>
              </w:rPr>
              <w:t>8</w:t>
            </w:r>
            <w:r>
              <w:rPr>
                <w:rFonts w:hint="default" w:ascii="Arial" w:hAnsi="Arial" w:eastAsia="宋体" w:cs="Arial"/>
                <w:color w:val="auto"/>
                <w:highlight w:val="none"/>
                <w:lang w:val="en-US" w:eastAsia="zh-CN"/>
              </w:rPr>
              <w:t>.065㎡</w:t>
            </w:r>
          </w:p>
          <w:p w14:paraId="2BFCD0BD">
            <w:pPr>
              <w:pStyle w:val="20"/>
              <w:keepNext w:val="0"/>
              <w:keepLines w:val="0"/>
              <w:pageBreakBefore w:val="0"/>
              <w:widowControl/>
              <w:kinsoku/>
              <w:wordWrap w:val="0"/>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1、包含二楼：3.3+3.5+3.5+3.3+3.15+1.7+1.6+3.2+3.5+3.5+2.5*2.2高=</w:t>
            </w:r>
            <w:r>
              <w:rPr>
                <w:rFonts w:hint="eastAsia" w:ascii="Arial" w:hAnsi="Arial" w:cs="Arial"/>
                <w:color w:val="auto"/>
                <w:highlight w:val="none"/>
                <w:lang w:val="en-US" w:eastAsia="zh-CN"/>
              </w:rPr>
              <w:t>35.75</w:t>
            </w:r>
            <w:r>
              <w:rPr>
                <w:rFonts w:hint="default" w:ascii="Arial" w:hAnsi="Arial" w:eastAsia="宋体" w:cs="Arial"/>
                <w:color w:val="auto"/>
                <w:highlight w:val="none"/>
                <w:lang w:val="en-US" w:eastAsia="zh-CN"/>
              </w:rPr>
              <w:t>平方</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2、包含一楼：3.3+2.4+2.4+2.4+3.3+3.3+2.4+2.4+3.3*1.68=</w:t>
            </w:r>
            <w:r>
              <w:rPr>
                <w:rFonts w:hint="eastAsia" w:ascii="Arial" w:hAnsi="Arial" w:cs="Arial"/>
                <w:color w:val="auto"/>
                <w:highlight w:val="none"/>
                <w:lang w:val="en-US" w:eastAsia="zh-CN"/>
              </w:rPr>
              <w:t>27.444</w:t>
            </w:r>
            <w:r>
              <w:rPr>
                <w:rFonts w:hint="default" w:ascii="Arial" w:hAnsi="Arial" w:eastAsia="宋体" w:cs="Arial"/>
                <w:color w:val="auto"/>
                <w:highlight w:val="none"/>
                <w:lang w:val="en-US" w:eastAsia="zh-CN"/>
              </w:rPr>
              <w:t>平方、3.95×2.58=</w:t>
            </w:r>
            <w:r>
              <w:rPr>
                <w:rFonts w:hint="eastAsia" w:ascii="Arial" w:hAnsi="Arial" w:cs="Arial"/>
                <w:color w:val="auto"/>
                <w:highlight w:val="none"/>
                <w:lang w:val="en-US" w:eastAsia="zh-CN"/>
              </w:rPr>
              <w:t>10.191</w:t>
            </w:r>
            <w:r>
              <w:rPr>
                <w:rFonts w:hint="default" w:ascii="Arial" w:hAnsi="Arial" w:eastAsia="宋体" w:cs="Arial"/>
                <w:color w:val="auto"/>
                <w:highlight w:val="none"/>
                <w:lang w:val="en-US" w:eastAsia="zh-CN"/>
              </w:rPr>
              <w:t>平方</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味能楼：3.3×1.6+2×1.7=</w:t>
            </w:r>
            <w:r>
              <w:rPr>
                <w:rFonts w:hint="eastAsia" w:ascii="Arial" w:hAnsi="Arial" w:cs="Arial"/>
                <w:color w:val="auto"/>
                <w:highlight w:val="none"/>
                <w:lang w:val="en-US" w:eastAsia="zh-CN"/>
              </w:rPr>
              <w:t>8.68</w:t>
            </w:r>
            <w:r>
              <w:rPr>
                <w:rFonts w:hint="default" w:ascii="Arial" w:hAnsi="Arial" w:eastAsia="宋体" w:cs="Arial"/>
                <w:color w:val="auto"/>
                <w:highlight w:val="none"/>
                <w:lang w:val="en-US" w:eastAsia="zh-CN"/>
              </w:rPr>
              <w:t>平方</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3、包含两间办公室</w:t>
            </w:r>
            <w:r>
              <w:rPr>
                <w:rFonts w:hint="eastAsia" w:ascii="Arial" w:hAnsi="Arial" w:eastAsia="宋体" w:cs="Arial"/>
                <w:color w:val="auto"/>
                <w:highlight w:val="none"/>
                <w:lang w:val="en-US" w:eastAsia="zh-CN"/>
              </w:rPr>
              <w:t>：</w:t>
            </w:r>
            <w:r>
              <w:rPr>
                <w:rFonts w:hint="default" w:ascii="Arial" w:hAnsi="Arial" w:eastAsia="宋体" w:cs="Arial"/>
                <w:color w:val="auto"/>
                <w:highlight w:val="none"/>
                <w:lang w:val="en-US" w:eastAsia="zh-CN"/>
              </w:rPr>
              <w:t>6㎡</w:t>
            </w:r>
          </w:p>
          <w:p w14:paraId="5B925B2B">
            <w:pPr>
              <w:pStyle w:val="20"/>
              <w:keepNext w:val="0"/>
              <w:keepLines w:val="0"/>
              <w:pageBreakBefore w:val="0"/>
              <w:widowControl/>
              <w:kinsoku/>
              <w:wordWrap w:val="0"/>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4、含拆除所需人工费用。</w:t>
            </w:r>
          </w:p>
          <w:p w14:paraId="71953070">
            <w:pPr>
              <w:pStyle w:val="20"/>
              <w:keepNext w:val="0"/>
              <w:keepLines w:val="0"/>
              <w:pageBreakBefore w:val="0"/>
              <w:widowControl/>
              <w:kinsoku/>
              <w:wordWrap w:val="0"/>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二、安装窗户88.065㎡</w:t>
            </w:r>
          </w:p>
          <w:p w14:paraId="088D8B53">
            <w:pPr>
              <w:pStyle w:val="20"/>
              <w:keepNext w:val="0"/>
              <w:keepLines w:val="0"/>
              <w:pageBreakBefore w:val="0"/>
              <w:widowControl/>
              <w:kinsoku/>
              <w:wordWrap w:val="0"/>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1、二楼：3.3+3.5+3.5+3.3+3.15+1.7+1.6+3.2+3.5+3.5+2.5*2.2高=</w:t>
            </w:r>
            <w:r>
              <w:rPr>
                <w:rFonts w:hint="eastAsia" w:ascii="Arial" w:hAnsi="Arial" w:cs="Arial"/>
                <w:color w:val="auto"/>
                <w:highlight w:val="none"/>
                <w:lang w:val="en-US" w:eastAsia="zh-CN"/>
              </w:rPr>
              <w:t>35.75</w:t>
            </w:r>
            <w:r>
              <w:rPr>
                <w:rFonts w:hint="default" w:ascii="Arial" w:hAnsi="Arial" w:eastAsia="宋体" w:cs="Arial"/>
                <w:color w:val="auto"/>
                <w:highlight w:val="none"/>
                <w:lang w:val="en-US" w:eastAsia="zh-CN"/>
              </w:rPr>
              <w:t>平方</w:t>
            </w:r>
          </w:p>
          <w:p w14:paraId="4E5DB4D7">
            <w:pPr>
              <w:pStyle w:val="20"/>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2、一楼：3.3+2.4+2.4+2.4+3.3+3.3+2.4+2.4+3.3*1.68=</w:t>
            </w:r>
            <w:r>
              <w:rPr>
                <w:rFonts w:hint="eastAsia" w:ascii="Arial" w:hAnsi="Arial" w:cs="Arial"/>
                <w:color w:val="auto"/>
                <w:highlight w:val="none"/>
                <w:lang w:val="en-US" w:eastAsia="zh-CN"/>
              </w:rPr>
              <w:t>27.444</w:t>
            </w:r>
            <w:r>
              <w:rPr>
                <w:rFonts w:hint="default" w:ascii="Arial" w:hAnsi="Arial" w:eastAsia="宋体" w:cs="Arial"/>
                <w:color w:val="auto"/>
                <w:highlight w:val="none"/>
                <w:lang w:val="en-US" w:eastAsia="zh-CN"/>
              </w:rPr>
              <w:t>平方、3.95×2.58=1</w:t>
            </w:r>
            <w:r>
              <w:rPr>
                <w:rFonts w:hint="eastAsia" w:ascii="Arial" w:hAnsi="Arial" w:cs="Arial"/>
                <w:color w:val="auto"/>
                <w:highlight w:val="none"/>
                <w:lang w:val="en-US" w:eastAsia="zh-CN"/>
              </w:rPr>
              <w:t>0.191</w:t>
            </w:r>
            <w:r>
              <w:rPr>
                <w:rFonts w:hint="default" w:ascii="Arial" w:hAnsi="Arial" w:eastAsia="宋体" w:cs="Arial"/>
                <w:color w:val="auto"/>
                <w:highlight w:val="none"/>
                <w:lang w:val="en-US" w:eastAsia="zh-CN"/>
              </w:rPr>
              <w:t>平方</w:t>
            </w:r>
          </w:p>
          <w:p w14:paraId="0BF65C14">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3、味能楼：3.3 ×1.6+2×1.7=</w:t>
            </w:r>
            <w:r>
              <w:rPr>
                <w:rFonts w:hint="eastAsia" w:ascii="Arial" w:hAnsi="Arial" w:cs="Arial"/>
                <w:color w:val="auto"/>
                <w:highlight w:val="none"/>
                <w:lang w:val="en-US" w:eastAsia="zh-CN"/>
              </w:rPr>
              <w:t>8.68</w:t>
            </w:r>
            <w:r>
              <w:rPr>
                <w:rFonts w:hint="default" w:ascii="Arial" w:hAnsi="Arial" w:eastAsia="宋体" w:cs="Arial"/>
                <w:color w:val="auto"/>
                <w:highlight w:val="none"/>
                <w:lang w:val="en-US" w:eastAsia="zh-CN"/>
              </w:rPr>
              <w:t>平方</w:t>
            </w:r>
          </w:p>
          <w:p w14:paraId="4C4AB4E0">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4、两间办公室</w:t>
            </w:r>
            <w:r>
              <w:rPr>
                <w:rFonts w:hint="eastAsia" w:ascii="Arial" w:hAnsi="Arial" w:cs="Arial"/>
                <w:color w:val="auto"/>
                <w:highlight w:val="none"/>
                <w:lang w:val="en-US" w:eastAsia="zh-CN"/>
              </w:rPr>
              <w:t>：</w:t>
            </w:r>
            <w:r>
              <w:rPr>
                <w:rFonts w:hint="default" w:ascii="Arial" w:hAnsi="Arial" w:eastAsia="宋体" w:cs="Arial"/>
                <w:color w:val="auto"/>
                <w:highlight w:val="none"/>
                <w:lang w:val="en-US" w:eastAsia="zh-CN"/>
              </w:rPr>
              <w:t>6㎡</w:t>
            </w:r>
          </w:p>
          <w:p w14:paraId="6D088087">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5、1.8厚灰色铝材三轨道型材、安装金刚纱网、5+5中空钢化玻璃人工安装及材料辅料</w:t>
            </w:r>
          </w:p>
          <w:p w14:paraId="44BEECC2">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三、增加立柱1根</w:t>
            </w:r>
          </w:p>
          <w:p w14:paraId="6EDD180D">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咖啡实训室跟面点室隔墙处封闭处理、1.8厚灰色铝材150*150规格、人工安装及材料辅料。</w:t>
            </w:r>
          </w:p>
          <w:p w14:paraId="16878A6A">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四、更换窗户后部分损坏墙面修补：损坏处墙面及顶面腻子乳胶漆修补。</w:t>
            </w:r>
          </w:p>
          <w:p w14:paraId="7EB21613">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五、安装大教室主电箱1项：明装电箱及空开（照明1P、插座、空调2P、烤箱等大概率设备3P、主空开4P）。</w:t>
            </w:r>
          </w:p>
          <w:p w14:paraId="6FDF1FFB">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六、安装小教室电箱1项：明装电箱及空开（照明1P、插座、空调2P、烤箱等大概率设备3P、主空开4P）</w:t>
            </w:r>
          </w:p>
          <w:p w14:paraId="724F4650">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七、电路安装144㎡：</w:t>
            </w:r>
          </w:p>
          <w:p w14:paraId="41DE90A8">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1、含线管、管件、电线及安装.</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2、所有线路横平竖直铺设，按实际建筑面积结算</w:t>
            </w:r>
            <w:r>
              <w:rPr>
                <w:rFonts w:hint="eastAsia" w:ascii="Arial" w:hAnsi="Arial" w:cs="Arial"/>
                <w:color w:val="auto"/>
                <w:highlight w:val="none"/>
                <w:lang w:val="en-US" w:eastAsia="zh-CN"/>
              </w:rPr>
              <w:t>。</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3、管内不得有接头</w:t>
            </w:r>
            <w:r>
              <w:rPr>
                <w:rFonts w:hint="eastAsia" w:ascii="Arial" w:hAnsi="Arial" w:cs="Arial"/>
                <w:color w:val="auto"/>
                <w:highlight w:val="none"/>
                <w:lang w:val="en-US" w:eastAsia="zh-CN"/>
              </w:rPr>
              <w:t>，</w:t>
            </w:r>
            <w:r>
              <w:rPr>
                <w:rFonts w:hint="default" w:ascii="Arial" w:hAnsi="Arial" w:eastAsia="宋体" w:cs="Arial"/>
                <w:color w:val="auto"/>
                <w:highlight w:val="none"/>
                <w:lang w:val="en-US" w:eastAsia="zh-CN"/>
              </w:rPr>
              <w:t>分线处用分线盒</w:t>
            </w:r>
            <w:r>
              <w:rPr>
                <w:rFonts w:hint="eastAsia" w:ascii="Arial" w:hAnsi="Arial" w:cs="Arial"/>
                <w:color w:val="auto"/>
                <w:highlight w:val="none"/>
                <w:lang w:val="en-US" w:eastAsia="zh-CN"/>
              </w:rPr>
              <w:t>，</w:t>
            </w:r>
            <w:r>
              <w:rPr>
                <w:rFonts w:hint="default" w:ascii="Arial" w:hAnsi="Arial" w:eastAsia="宋体" w:cs="Arial"/>
                <w:color w:val="auto"/>
                <w:highlight w:val="none"/>
                <w:lang w:val="en-US" w:eastAsia="zh-CN"/>
              </w:rPr>
              <w:t>阻燃管</w:t>
            </w:r>
            <w:r>
              <w:rPr>
                <w:rFonts w:hint="eastAsia" w:ascii="Arial" w:hAnsi="Arial" w:cs="Arial"/>
                <w:color w:val="auto"/>
                <w:highlight w:val="none"/>
                <w:lang w:val="en-US" w:eastAsia="zh-CN"/>
              </w:rPr>
              <w:t>。</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4、普通照明线路1.5mm</w:t>
            </w:r>
            <w:r>
              <w:rPr>
                <w:rFonts w:hint="eastAsia" w:ascii="Arial" w:hAnsi="Arial" w:cs="Arial"/>
                <w:color w:val="auto"/>
                <w:highlight w:val="none"/>
                <w:lang w:val="en-US" w:eastAsia="zh-CN"/>
              </w:rPr>
              <w:t>，</w:t>
            </w:r>
            <w:r>
              <w:rPr>
                <w:rFonts w:hint="default" w:ascii="Arial" w:hAnsi="Arial" w:eastAsia="宋体" w:cs="Arial"/>
                <w:color w:val="auto"/>
                <w:highlight w:val="none"/>
                <w:lang w:val="en-US" w:eastAsia="zh-CN"/>
              </w:rPr>
              <w:t>插座线路2.5mm、空调线路4mm、烤箱等设备6mm</w:t>
            </w:r>
          </w:p>
          <w:p w14:paraId="6F0C4836">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八、开关插座安装2项：开关插座：安全设计：防触电保护门设计细致，儿童误触风险更低，"两层儿童保护门防止儿童误插"。材质工艺：采用拜耳阻燃材质，内部铜件使用精铜镀镍工艺。</w:t>
            </w:r>
          </w:p>
          <w:p w14:paraId="5EF098B2">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九、灯具安装28个：150mm×1200mm×30mm规格LED长条灯</w:t>
            </w:r>
          </w:p>
          <w:p w14:paraId="6BC9D46C">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十、瓷砖铺贴144㎡：</w:t>
            </w:r>
          </w:p>
          <w:p w14:paraId="37BA0A56">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1.325水泥</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2.铺设地板专用沙</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3.使用800×800规格</w:t>
            </w:r>
          </w:p>
          <w:p w14:paraId="02B6789A">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十一、贴砖地脚线62m：</w:t>
            </w:r>
          </w:p>
          <w:p w14:paraId="7AD091D6">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1.325水泥</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2.铺设地板专用沙。</w:t>
            </w:r>
          </w:p>
          <w:p w14:paraId="5E87B468">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十二、腻子乳胶漆350㎡：</w:t>
            </w:r>
          </w:p>
          <w:p w14:paraId="06AC8E7B">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1.原有腻子表面清理干净</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2.腻子粉刮两遍</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3.灯光打磨</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4.乳胶漆净味二合一滚涂2遍。</w:t>
            </w:r>
          </w:p>
          <w:p w14:paraId="4A101F75">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十三、垃圾清运费及卫生清理1项</w:t>
            </w:r>
            <w:r>
              <w:rPr>
                <w:rFonts w:hint="eastAsia" w:ascii="Arial" w:hAnsi="Arial" w:cs="Arial"/>
                <w:color w:val="auto"/>
                <w:highlight w:val="none"/>
                <w:lang w:val="en-US" w:eastAsia="zh-CN"/>
              </w:rPr>
              <w:t>：</w:t>
            </w:r>
          </w:p>
          <w:p w14:paraId="3B472C05">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施工垃圾装袋下楼清运校外费用及人工清理卫生</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十四、脚手架租赁费1项：</w:t>
            </w:r>
          </w:p>
          <w:p w14:paraId="165E60A1">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现场5米高需要脚手架高空作业</w:t>
            </w:r>
          </w:p>
          <w:p w14:paraId="40BD029F">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十五、安装雨棚46㎡：</w:t>
            </w:r>
          </w:p>
          <w:p w14:paraId="0CA4C842">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15米长2米宽制作雨棚、使用4*4不锈钢方管做支架、1.0厚不锈钢板做面、人工安装及材料。</w:t>
            </w:r>
          </w:p>
          <w:p w14:paraId="0A6B73CB">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十六、增加自来水增压泵1项：增加实训室自来水增压泵</w:t>
            </w:r>
          </w:p>
        </w:tc>
        <w:tc>
          <w:tcPr>
            <w:tcW w:w="1121" w:type="dxa"/>
            <w:tcBorders>
              <w:top w:val="single" w:color="auto" w:sz="4" w:space="0"/>
              <w:left w:val="single" w:color="auto" w:sz="4" w:space="0"/>
              <w:bottom w:val="single" w:color="auto" w:sz="4" w:space="0"/>
              <w:right w:val="single" w:color="auto" w:sz="4" w:space="0"/>
            </w:tcBorders>
            <w:noWrap w:val="0"/>
            <w:vAlign w:val="center"/>
          </w:tcPr>
          <w:p w14:paraId="67D95C4D">
            <w:pPr>
              <w:keepNext w:val="0"/>
              <w:keepLines w:val="0"/>
              <w:widowControl/>
              <w:suppressLineNumbers w:val="0"/>
              <w:jc w:val="center"/>
              <w:textAlignment w:val="center"/>
              <w:rPr>
                <w:rFonts w:hint="default" w:ascii="Arial" w:hAnsi="Arial" w:cs="Arial"/>
                <w:color w:val="auto"/>
                <w:sz w:val="21"/>
                <w:szCs w:val="21"/>
                <w:highlight w:val="none"/>
                <w:lang w:val="en-US" w:eastAsia="zh-CN"/>
              </w:rPr>
            </w:pPr>
            <w:r>
              <w:rPr>
                <w:rFonts w:hint="default" w:ascii="Arial" w:hAnsi="Arial" w:eastAsia="宋体" w:cs="Arial"/>
                <w:i w:val="0"/>
                <w:iCs w:val="0"/>
                <w:color w:val="000000"/>
                <w:kern w:val="0"/>
                <w:sz w:val="21"/>
                <w:szCs w:val="21"/>
                <w:highlight w:val="none"/>
                <w:u w:val="none"/>
                <w:lang w:val="en-US" w:eastAsia="zh-CN" w:bidi="ar"/>
              </w:rPr>
              <w:t xml:space="preserve">163300.00 </w:t>
            </w:r>
          </w:p>
        </w:tc>
      </w:tr>
      <w:tr w14:paraId="65F1E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jc w:val="center"/>
        </w:trPr>
        <w:tc>
          <w:tcPr>
            <w:tcW w:w="475" w:type="dxa"/>
            <w:tcBorders>
              <w:top w:val="single" w:color="auto" w:sz="4" w:space="0"/>
              <w:left w:val="single" w:color="auto" w:sz="4" w:space="0"/>
              <w:bottom w:val="single" w:color="auto" w:sz="4" w:space="0"/>
              <w:right w:val="single" w:color="auto" w:sz="4" w:space="0"/>
            </w:tcBorders>
            <w:noWrap w:val="0"/>
            <w:vAlign w:val="center"/>
          </w:tcPr>
          <w:p w14:paraId="08BD9A9B">
            <w:pPr>
              <w:keepNext w:val="0"/>
              <w:keepLines w:val="0"/>
              <w:widowControl/>
              <w:suppressLineNumbers w:val="0"/>
              <w:jc w:val="center"/>
              <w:textAlignment w:val="center"/>
              <w:rPr>
                <w:rFonts w:hint="default" w:ascii="Arial" w:hAnsi="Arial" w:eastAsia="宋体" w:cs="Arial"/>
                <w:b/>
                <w:bCs/>
                <w:color w:val="auto"/>
                <w:szCs w:val="21"/>
                <w:highlight w:val="none"/>
              </w:rPr>
            </w:pPr>
            <w:r>
              <w:rPr>
                <w:rFonts w:hint="default" w:ascii="Arial" w:hAnsi="Arial" w:eastAsia="宋体" w:cs="Arial"/>
                <w:i w:val="0"/>
                <w:iCs w:val="0"/>
                <w:color w:val="000000"/>
                <w:kern w:val="0"/>
                <w:sz w:val="21"/>
                <w:szCs w:val="21"/>
                <w:highlight w:val="none"/>
                <w:u w:val="none"/>
                <w:lang w:val="en-US" w:eastAsia="zh-CN" w:bidi="ar"/>
              </w:rPr>
              <w:t>7</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679F16CD">
            <w:pPr>
              <w:keepNext w:val="0"/>
              <w:keepLines w:val="0"/>
              <w:widowControl/>
              <w:suppressLineNumbers w:val="0"/>
              <w:jc w:val="center"/>
              <w:textAlignment w:val="center"/>
              <w:rPr>
                <w:rFonts w:hint="default" w:ascii="Arial" w:hAnsi="Arial" w:eastAsia="宋体" w:cs="Arial"/>
                <w:bCs/>
                <w:color w:val="auto"/>
                <w:szCs w:val="21"/>
                <w:highlight w:val="none"/>
                <w:lang w:val="en-US" w:eastAsia="zh-CN"/>
              </w:rPr>
            </w:pPr>
            <w:r>
              <w:rPr>
                <w:rFonts w:hint="default" w:ascii="Arial" w:hAnsi="Arial" w:eastAsia="宋体" w:cs="Arial"/>
                <w:i w:val="0"/>
                <w:iCs w:val="0"/>
                <w:color w:val="000000"/>
                <w:kern w:val="0"/>
                <w:sz w:val="21"/>
                <w:szCs w:val="21"/>
                <w:highlight w:val="none"/>
                <w:u w:val="none"/>
                <w:lang w:val="en-US" w:eastAsia="zh-CN" w:bidi="ar"/>
              </w:rPr>
              <w:t>六门冰箱</w:t>
            </w:r>
          </w:p>
        </w:tc>
        <w:tc>
          <w:tcPr>
            <w:tcW w:w="775" w:type="dxa"/>
            <w:tcBorders>
              <w:top w:val="single" w:color="auto" w:sz="4" w:space="0"/>
              <w:left w:val="single" w:color="auto" w:sz="4" w:space="0"/>
              <w:bottom w:val="single" w:color="auto" w:sz="4" w:space="0"/>
              <w:right w:val="single" w:color="auto" w:sz="4" w:space="0"/>
            </w:tcBorders>
            <w:noWrap w:val="0"/>
            <w:vAlign w:val="center"/>
          </w:tcPr>
          <w:p w14:paraId="7A7BA1C0">
            <w:pPr>
              <w:keepNext w:val="0"/>
              <w:keepLines w:val="0"/>
              <w:widowControl/>
              <w:suppressLineNumbers w:val="0"/>
              <w:jc w:val="center"/>
              <w:textAlignment w:val="center"/>
              <w:rPr>
                <w:rFonts w:hint="default" w:ascii="Arial" w:hAnsi="Arial" w:eastAsia="宋体" w:cs="Arial"/>
                <w:bCs/>
                <w:color w:val="auto"/>
                <w:szCs w:val="21"/>
                <w:highlight w:val="none"/>
              </w:rPr>
            </w:pPr>
            <w:r>
              <w:rPr>
                <w:rFonts w:hint="default" w:ascii="Arial" w:hAnsi="Arial" w:eastAsia="宋体" w:cs="Arial"/>
                <w:bCs/>
                <w:color w:val="auto"/>
                <w:szCs w:val="21"/>
                <w:highlight w:val="none"/>
              </w:rPr>
              <w:t>工业</w:t>
            </w:r>
          </w:p>
        </w:tc>
        <w:tc>
          <w:tcPr>
            <w:tcW w:w="65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1721A43">
            <w:pPr>
              <w:keepNext w:val="0"/>
              <w:keepLines w:val="0"/>
              <w:widowControl/>
              <w:suppressLineNumbers w:val="0"/>
              <w:jc w:val="center"/>
              <w:textAlignment w:val="center"/>
              <w:rPr>
                <w:rFonts w:hint="default" w:ascii="Arial" w:hAnsi="Arial" w:eastAsia="宋体" w:cs="Arial"/>
                <w:bCs/>
                <w:color w:val="auto"/>
                <w:kern w:val="2"/>
                <w:sz w:val="21"/>
                <w:szCs w:val="21"/>
                <w:highlight w:val="none"/>
                <w:lang w:val="en-US" w:eastAsia="zh-CN" w:bidi="ar-SA"/>
              </w:rPr>
            </w:pPr>
            <w:r>
              <w:rPr>
                <w:rFonts w:hint="default" w:ascii="Arial" w:hAnsi="Arial" w:eastAsia="宋体" w:cs="Arial"/>
                <w:i w:val="0"/>
                <w:iCs w:val="0"/>
                <w:color w:val="000000"/>
                <w:kern w:val="0"/>
                <w:sz w:val="21"/>
                <w:szCs w:val="21"/>
                <w:highlight w:val="none"/>
                <w:u w:val="none"/>
                <w:lang w:val="en-US" w:eastAsia="zh-CN" w:bidi="ar"/>
              </w:rPr>
              <w:t>8</w:t>
            </w:r>
          </w:p>
        </w:tc>
        <w:tc>
          <w:tcPr>
            <w:tcW w:w="647" w:type="dxa"/>
            <w:tcBorders>
              <w:top w:val="single" w:color="auto" w:sz="4" w:space="0"/>
              <w:left w:val="single" w:color="auto" w:sz="4" w:space="0"/>
              <w:bottom w:val="single" w:color="auto" w:sz="4" w:space="0"/>
              <w:right w:val="single" w:color="auto" w:sz="4" w:space="0"/>
            </w:tcBorders>
            <w:noWrap w:val="0"/>
            <w:vAlign w:val="center"/>
          </w:tcPr>
          <w:p w14:paraId="1B30D467">
            <w:pPr>
              <w:keepNext w:val="0"/>
              <w:keepLines w:val="0"/>
              <w:widowControl/>
              <w:suppressLineNumbers w:val="0"/>
              <w:jc w:val="center"/>
              <w:textAlignment w:val="center"/>
              <w:rPr>
                <w:rFonts w:hint="default" w:ascii="Arial" w:hAnsi="Arial" w:eastAsia="宋体" w:cs="Arial"/>
                <w:bCs/>
                <w:color w:val="auto"/>
                <w:szCs w:val="21"/>
                <w:highlight w:val="none"/>
                <w:lang w:val="en-US" w:eastAsia="zh-CN"/>
              </w:rPr>
            </w:pPr>
            <w:r>
              <w:rPr>
                <w:rFonts w:hint="default" w:ascii="Arial" w:hAnsi="Arial" w:eastAsia="宋体" w:cs="Arial"/>
                <w:i w:val="0"/>
                <w:iCs w:val="0"/>
                <w:color w:val="000000"/>
                <w:kern w:val="0"/>
                <w:sz w:val="21"/>
                <w:szCs w:val="21"/>
                <w:highlight w:val="none"/>
                <w:u w:val="none"/>
                <w:lang w:val="en-US" w:eastAsia="zh-CN" w:bidi="ar"/>
              </w:rPr>
              <w:t>台</w:t>
            </w:r>
          </w:p>
        </w:tc>
        <w:tc>
          <w:tcPr>
            <w:tcW w:w="5174" w:type="dxa"/>
            <w:tcBorders>
              <w:top w:val="single" w:color="auto" w:sz="4" w:space="0"/>
              <w:left w:val="single" w:color="auto" w:sz="4" w:space="0"/>
              <w:bottom w:val="single" w:color="auto" w:sz="4" w:space="0"/>
              <w:right w:val="single" w:color="auto" w:sz="4" w:space="0"/>
            </w:tcBorders>
            <w:noWrap w:val="0"/>
            <w:vAlign w:val="top"/>
          </w:tcPr>
          <w:p w14:paraId="59A61187">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1、制冷方式：直冷</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2、规格：1800*680*1930mm</w:t>
            </w:r>
            <w:r>
              <w:rPr>
                <w:rFonts w:hint="eastAsia" w:ascii="Arial" w:hAnsi="Arial" w:eastAsia="宋体" w:cs="Arial"/>
                <w:color w:val="auto"/>
                <w:highlight w:val="none"/>
                <w:lang w:val="en-US" w:eastAsia="zh-CN"/>
              </w:rPr>
              <w:t>±30mm</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3、功率：约380W/220V</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4、温度范围： 冷藏-5～﹢5°C、冷冻-15～-5°C</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5、容量：</w:t>
            </w:r>
            <w:r>
              <w:rPr>
                <w:rFonts w:hint="eastAsia" w:ascii="Arial" w:hAnsi="Arial" w:cs="Arial"/>
                <w:color w:val="auto"/>
                <w:highlight w:val="none"/>
                <w:lang w:val="en-US" w:eastAsia="zh-CN"/>
              </w:rPr>
              <w:t>≥</w:t>
            </w:r>
            <w:r>
              <w:rPr>
                <w:rFonts w:hint="default" w:ascii="Arial" w:hAnsi="Arial" w:eastAsia="宋体" w:cs="Arial"/>
                <w:color w:val="auto"/>
                <w:highlight w:val="none"/>
                <w:lang w:val="en-US" w:eastAsia="zh-CN"/>
              </w:rPr>
              <w:t>1200L</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6、优质压缩机，制冷强劲，全铜管蒸发器及制冷管，经久耐用，永不内漏；</w:t>
            </w:r>
          </w:p>
        </w:tc>
        <w:tc>
          <w:tcPr>
            <w:tcW w:w="1121" w:type="dxa"/>
            <w:tcBorders>
              <w:top w:val="single" w:color="auto" w:sz="4" w:space="0"/>
              <w:left w:val="single" w:color="auto" w:sz="4" w:space="0"/>
              <w:bottom w:val="single" w:color="auto" w:sz="4" w:space="0"/>
              <w:right w:val="single" w:color="auto" w:sz="4" w:space="0"/>
            </w:tcBorders>
            <w:noWrap w:val="0"/>
            <w:vAlign w:val="center"/>
          </w:tcPr>
          <w:p w14:paraId="454055E2">
            <w:pPr>
              <w:keepNext w:val="0"/>
              <w:keepLines w:val="0"/>
              <w:widowControl/>
              <w:suppressLineNumbers w:val="0"/>
              <w:jc w:val="center"/>
              <w:textAlignment w:val="center"/>
              <w:rPr>
                <w:rFonts w:hint="default" w:ascii="Arial" w:hAnsi="Arial" w:cs="Arial"/>
                <w:color w:val="auto"/>
                <w:sz w:val="21"/>
                <w:szCs w:val="21"/>
                <w:highlight w:val="none"/>
                <w:lang w:val="en-US" w:eastAsia="zh-CN"/>
              </w:rPr>
            </w:pPr>
            <w:r>
              <w:rPr>
                <w:rFonts w:hint="default" w:ascii="Arial" w:hAnsi="Arial" w:eastAsia="宋体" w:cs="Arial"/>
                <w:i w:val="0"/>
                <w:iCs w:val="0"/>
                <w:color w:val="000000"/>
                <w:kern w:val="0"/>
                <w:sz w:val="21"/>
                <w:szCs w:val="21"/>
                <w:highlight w:val="none"/>
                <w:u w:val="none"/>
                <w:lang w:val="en-US" w:eastAsia="zh-CN" w:bidi="ar"/>
              </w:rPr>
              <w:t xml:space="preserve">5500.00 </w:t>
            </w:r>
          </w:p>
        </w:tc>
      </w:tr>
      <w:tr w14:paraId="0B446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jc w:val="center"/>
        </w:trPr>
        <w:tc>
          <w:tcPr>
            <w:tcW w:w="475" w:type="dxa"/>
            <w:tcBorders>
              <w:top w:val="single" w:color="auto" w:sz="4" w:space="0"/>
              <w:left w:val="single" w:color="auto" w:sz="4" w:space="0"/>
              <w:bottom w:val="single" w:color="auto" w:sz="4" w:space="0"/>
              <w:right w:val="single" w:color="auto" w:sz="4" w:space="0"/>
            </w:tcBorders>
            <w:noWrap w:val="0"/>
            <w:vAlign w:val="center"/>
          </w:tcPr>
          <w:p w14:paraId="3B38219C">
            <w:pPr>
              <w:keepNext w:val="0"/>
              <w:keepLines w:val="0"/>
              <w:widowControl/>
              <w:suppressLineNumbers w:val="0"/>
              <w:jc w:val="center"/>
              <w:textAlignment w:val="center"/>
              <w:rPr>
                <w:rFonts w:hint="default" w:ascii="Arial" w:hAnsi="Arial" w:eastAsia="宋体" w:cs="Arial"/>
                <w:b/>
                <w:bCs/>
                <w:color w:val="auto"/>
                <w:szCs w:val="21"/>
                <w:highlight w:val="none"/>
              </w:rPr>
            </w:pPr>
            <w:r>
              <w:rPr>
                <w:rFonts w:hint="default" w:ascii="Arial" w:hAnsi="Arial" w:eastAsia="宋体" w:cs="Arial"/>
                <w:i w:val="0"/>
                <w:iCs w:val="0"/>
                <w:color w:val="000000"/>
                <w:kern w:val="0"/>
                <w:sz w:val="21"/>
                <w:szCs w:val="21"/>
                <w:highlight w:val="none"/>
                <w:u w:val="none"/>
                <w:lang w:val="en-US" w:eastAsia="zh-CN" w:bidi="ar"/>
              </w:rPr>
              <w:t>8</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61C3AA47">
            <w:pPr>
              <w:keepNext w:val="0"/>
              <w:keepLines w:val="0"/>
              <w:widowControl/>
              <w:suppressLineNumbers w:val="0"/>
              <w:jc w:val="center"/>
              <w:textAlignment w:val="center"/>
              <w:rPr>
                <w:rFonts w:hint="default" w:ascii="Arial" w:hAnsi="Arial" w:eastAsia="宋体" w:cs="Arial"/>
                <w:bCs/>
                <w:color w:val="auto"/>
                <w:szCs w:val="21"/>
                <w:highlight w:val="none"/>
                <w:lang w:val="en-US" w:eastAsia="zh-CN"/>
              </w:rPr>
            </w:pPr>
            <w:r>
              <w:rPr>
                <w:rFonts w:hint="default" w:ascii="Arial" w:hAnsi="Arial" w:eastAsia="宋体" w:cs="Arial"/>
                <w:i w:val="0"/>
                <w:iCs w:val="0"/>
                <w:color w:val="000000"/>
                <w:kern w:val="0"/>
                <w:sz w:val="21"/>
                <w:szCs w:val="21"/>
                <w:highlight w:val="none"/>
                <w:u w:val="none"/>
                <w:lang w:val="en-US" w:eastAsia="zh-CN" w:bidi="ar"/>
              </w:rPr>
              <w:t>储物箱</w:t>
            </w:r>
          </w:p>
        </w:tc>
        <w:tc>
          <w:tcPr>
            <w:tcW w:w="775" w:type="dxa"/>
            <w:tcBorders>
              <w:top w:val="single" w:color="auto" w:sz="4" w:space="0"/>
              <w:left w:val="single" w:color="auto" w:sz="4" w:space="0"/>
              <w:bottom w:val="single" w:color="auto" w:sz="4" w:space="0"/>
              <w:right w:val="single" w:color="auto" w:sz="4" w:space="0"/>
            </w:tcBorders>
            <w:noWrap w:val="0"/>
            <w:vAlign w:val="center"/>
          </w:tcPr>
          <w:p w14:paraId="31FE12A7">
            <w:pPr>
              <w:keepNext w:val="0"/>
              <w:keepLines w:val="0"/>
              <w:widowControl/>
              <w:suppressLineNumbers w:val="0"/>
              <w:jc w:val="center"/>
              <w:textAlignment w:val="center"/>
              <w:rPr>
                <w:rFonts w:hint="default" w:ascii="Arial" w:hAnsi="Arial" w:eastAsia="宋体" w:cs="Arial"/>
                <w:bCs/>
                <w:color w:val="auto"/>
                <w:szCs w:val="21"/>
                <w:highlight w:val="none"/>
              </w:rPr>
            </w:pPr>
            <w:r>
              <w:rPr>
                <w:rFonts w:hint="default" w:ascii="Arial" w:hAnsi="Arial" w:eastAsia="宋体" w:cs="Arial"/>
                <w:bCs/>
                <w:color w:val="auto"/>
                <w:szCs w:val="21"/>
                <w:highlight w:val="none"/>
              </w:rPr>
              <w:t>工业</w:t>
            </w:r>
          </w:p>
        </w:tc>
        <w:tc>
          <w:tcPr>
            <w:tcW w:w="65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009FF25">
            <w:pPr>
              <w:keepNext w:val="0"/>
              <w:keepLines w:val="0"/>
              <w:widowControl/>
              <w:suppressLineNumbers w:val="0"/>
              <w:jc w:val="center"/>
              <w:textAlignment w:val="center"/>
              <w:rPr>
                <w:rFonts w:hint="default" w:ascii="Arial" w:hAnsi="Arial" w:eastAsia="宋体" w:cs="Arial"/>
                <w:bCs/>
                <w:color w:val="auto"/>
                <w:kern w:val="2"/>
                <w:sz w:val="21"/>
                <w:szCs w:val="21"/>
                <w:highlight w:val="none"/>
                <w:lang w:val="en-US" w:eastAsia="zh-CN" w:bidi="ar-SA"/>
              </w:rPr>
            </w:pPr>
            <w:r>
              <w:rPr>
                <w:rFonts w:hint="default" w:ascii="Arial" w:hAnsi="Arial" w:eastAsia="宋体" w:cs="Arial"/>
                <w:i w:val="0"/>
                <w:iCs w:val="0"/>
                <w:color w:val="000000"/>
                <w:kern w:val="0"/>
                <w:sz w:val="21"/>
                <w:szCs w:val="21"/>
                <w:highlight w:val="none"/>
                <w:u w:val="none"/>
                <w:lang w:val="en-US" w:eastAsia="zh-CN" w:bidi="ar"/>
              </w:rPr>
              <w:t>5</w:t>
            </w:r>
          </w:p>
        </w:tc>
        <w:tc>
          <w:tcPr>
            <w:tcW w:w="647" w:type="dxa"/>
            <w:tcBorders>
              <w:top w:val="single" w:color="auto" w:sz="4" w:space="0"/>
              <w:left w:val="single" w:color="auto" w:sz="4" w:space="0"/>
              <w:bottom w:val="single" w:color="auto" w:sz="4" w:space="0"/>
              <w:right w:val="single" w:color="auto" w:sz="4" w:space="0"/>
            </w:tcBorders>
            <w:noWrap w:val="0"/>
            <w:vAlign w:val="center"/>
          </w:tcPr>
          <w:p w14:paraId="3A488903">
            <w:pPr>
              <w:keepNext w:val="0"/>
              <w:keepLines w:val="0"/>
              <w:widowControl/>
              <w:suppressLineNumbers w:val="0"/>
              <w:jc w:val="center"/>
              <w:textAlignment w:val="center"/>
              <w:rPr>
                <w:rFonts w:hint="default" w:ascii="Arial" w:hAnsi="Arial" w:eastAsia="宋体" w:cs="Arial"/>
                <w:bCs/>
                <w:color w:val="auto"/>
                <w:szCs w:val="21"/>
                <w:highlight w:val="none"/>
                <w:lang w:val="en-US" w:eastAsia="zh-CN"/>
              </w:rPr>
            </w:pPr>
            <w:r>
              <w:rPr>
                <w:rFonts w:hint="default" w:ascii="Arial" w:hAnsi="Arial" w:eastAsia="宋体" w:cs="Arial"/>
                <w:i w:val="0"/>
                <w:iCs w:val="0"/>
                <w:color w:val="000000"/>
                <w:kern w:val="0"/>
                <w:sz w:val="21"/>
                <w:szCs w:val="21"/>
                <w:highlight w:val="none"/>
                <w:u w:val="none"/>
                <w:lang w:val="en-US" w:eastAsia="zh-CN" w:bidi="ar"/>
              </w:rPr>
              <w:t>个</w:t>
            </w:r>
          </w:p>
        </w:tc>
        <w:tc>
          <w:tcPr>
            <w:tcW w:w="5174" w:type="dxa"/>
            <w:tcBorders>
              <w:top w:val="single" w:color="auto" w:sz="4" w:space="0"/>
              <w:left w:val="single" w:color="auto" w:sz="4" w:space="0"/>
              <w:bottom w:val="single" w:color="auto" w:sz="4" w:space="0"/>
              <w:right w:val="single" w:color="auto" w:sz="4" w:space="0"/>
            </w:tcBorders>
            <w:noWrap w:val="0"/>
            <w:vAlign w:val="top"/>
          </w:tcPr>
          <w:p w14:paraId="288AF3FB">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 xml:space="preserve">1、规格：1200*500*1800mm±20mm                                                                                                 </w:t>
            </w:r>
          </w:p>
          <w:p w14:paraId="766B353D">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2、选用201#不锈钢板材制作；</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3、工作台面板采用1.0板制造，配可调高度子弹脚；</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4、层板采用0.8mm不锈钢磨砂贴塑板。</w:t>
            </w:r>
          </w:p>
        </w:tc>
        <w:tc>
          <w:tcPr>
            <w:tcW w:w="1121" w:type="dxa"/>
            <w:tcBorders>
              <w:top w:val="single" w:color="auto" w:sz="4" w:space="0"/>
              <w:left w:val="single" w:color="auto" w:sz="4" w:space="0"/>
              <w:bottom w:val="single" w:color="auto" w:sz="4" w:space="0"/>
              <w:right w:val="single" w:color="auto" w:sz="4" w:space="0"/>
            </w:tcBorders>
            <w:noWrap w:val="0"/>
            <w:vAlign w:val="center"/>
          </w:tcPr>
          <w:p w14:paraId="005684A6">
            <w:pPr>
              <w:keepNext w:val="0"/>
              <w:keepLines w:val="0"/>
              <w:widowControl/>
              <w:suppressLineNumbers w:val="0"/>
              <w:jc w:val="center"/>
              <w:textAlignment w:val="center"/>
              <w:rPr>
                <w:rFonts w:hint="default" w:ascii="Arial" w:hAnsi="Arial" w:cs="Arial"/>
                <w:color w:val="auto"/>
                <w:sz w:val="21"/>
                <w:szCs w:val="21"/>
                <w:highlight w:val="none"/>
                <w:lang w:val="en-US" w:eastAsia="zh-CN"/>
              </w:rPr>
            </w:pPr>
            <w:r>
              <w:rPr>
                <w:rFonts w:hint="default" w:ascii="Arial" w:hAnsi="Arial" w:eastAsia="宋体" w:cs="Arial"/>
                <w:i w:val="0"/>
                <w:iCs w:val="0"/>
                <w:color w:val="000000"/>
                <w:kern w:val="0"/>
                <w:sz w:val="21"/>
                <w:szCs w:val="21"/>
                <w:highlight w:val="none"/>
                <w:u w:val="none"/>
                <w:lang w:val="en-US" w:eastAsia="zh-CN" w:bidi="ar"/>
              </w:rPr>
              <w:t xml:space="preserve">1950.00 </w:t>
            </w:r>
          </w:p>
        </w:tc>
      </w:tr>
      <w:tr w14:paraId="12491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jc w:val="center"/>
        </w:trPr>
        <w:tc>
          <w:tcPr>
            <w:tcW w:w="475" w:type="dxa"/>
            <w:tcBorders>
              <w:top w:val="single" w:color="auto" w:sz="4" w:space="0"/>
              <w:left w:val="single" w:color="auto" w:sz="4" w:space="0"/>
              <w:bottom w:val="single" w:color="auto" w:sz="4" w:space="0"/>
              <w:right w:val="single" w:color="auto" w:sz="4" w:space="0"/>
            </w:tcBorders>
            <w:noWrap w:val="0"/>
            <w:vAlign w:val="center"/>
          </w:tcPr>
          <w:p w14:paraId="1FEFB212">
            <w:pPr>
              <w:keepNext w:val="0"/>
              <w:keepLines w:val="0"/>
              <w:widowControl/>
              <w:suppressLineNumbers w:val="0"/>
              <w:jc w:val="center"/>
              <w:textAlignment w:val="center"/>
              <w:rPr>
                <w:rFonts w:hint="default" w:ascii="Arial" w:hAnsi="Arial" w:eastAsia="宋体" w:cs="Arial"/>
                <w:b/>
                <w:bCs/>
                <w:color w:val="auto"/>
                <w:szCs w:val="21"/>
                <w:highlight w:val="none"/>
              </w:rPr>
            </w:pPr>
            <w:r>
              <w:rPr>
                <w:rFonts w:hint="default" w:ascii="Arial" w:hAnsi="Arial" w:eastAsia="宋体" w:cs="Arial"/>
                <w:i w:val="0"/>
                <w:iCs w:val="0"/>
                <w:color w:val="000000"/>
                <w:kern w:val="0"/>
                <w:sz w:val="21"/>
                <w:szCs w:val="21"/>
                <w:highlight w:val="none"/>
                <w:u w:val="none"/>
                <w:lang w:val="en-US" w:eastAsia="zh-CN" w:bidi="ar"/>
              </w:rPr>
              <w:t>9</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13D83977">
            <w:pPr>
              <w:keepNext w:val="0"/>
              <w:keepLines w:val="0"/>
              <w:widowControl/>
              <w:suppressLineNumbers w:val="0"/>
              <w:jc w:val="center"/>
              <w:textAlignment w:val="center"/>
              <w:rPr>
                <w:rFonts w:hint="default" w:ascii="Arial" w:hAnsi="Arial" w:eastAsia="宋体" w:cs="Arial"/>
                <w:bCs/>
                <w:color w:val="auto"/>
                <w:szCs w:val="21"/>
                <w:highlight w:val="none"/>
                <w:lang w:val="en-US" w:eastAsia="zh-CN"/>
              </w:rPr>
            </w:pPr>
            <w:r>
              <w:rPr>
                <w:rFonts w:hint="default" w:ascii="Arial" w:hAnsi="Arial" w:eastAsia="宋体" w:cs="Arial"/>
                <w:i w:val="0"/>
                <w:iCs w:val="0"/>
                <w:color w:val="000000"/>
                <w:kern w:val="0"/>
                <w:sz w:val="21"/>
                <w:szCs w:val="21"/>
                <w:highlight w:val="none"/>
                <w:u w:val="none"/>
                <w:lang w:val="en-US" w:eastAsia="zh-CN" w:bidi="ar"/>
              </w:rPr>
              <w:t>双门晾鸭机</w:t>
            </w:r>
          </w:p>
        </w:tc>
        <w:tc>
          <w:tcPr>
            <w:tcW w:w="775" w:type="dxa"/>
            <w:tcBorders>
              <w:top w:val="single" w:color="auto" w:sz="4" w:space="0"/>
              <w:left w:val="single" w:color="auto" w:sz="4" w:space="0"/>
              <w:bottom w:val="single" w:color="auto" w:sz="4" w:space="0"/>
              <w:right w:val="single" w:color="auto" w:sz="4" w:space="0"/>
            </w:tcBorders>
            <w:noWrap w:val="0"/>
            <w:vAlign w:val="center"/>
          </w:tcPr>
          <w:p w14:paraId="3D5F7BCA">
            <w:pPr>
              <w:keepNext w:val="0"/>
              <w:keepLines w:val="0"/>
              <w:widowControl/>
              <w:suppressLineNumbers w:val="0"/>
              <w:jc w:val="center"/>
              <w:textAlignment w:val="center"/>
              <w:rPr>
                <w:rFonts w:hint="default" w:ascii="Arial" w:hAnsi="Arial" w:eastAsia="宋体" w:cs="Arial"/>
                <w:bCs/>
                <w:color w:val="auto"/>
                <w:szCs w:val="21"/>
                <w:highlight w:val="none"/>
              </w:rPr>
            </w:pPr>
            <w:r>
              <w:rPr>
                <w:rFonts w:hint="default" w:ascii="Arial" w:hAnsi="Arial" w:eastAsia="宋体" w:cs="Arial"/>
                <w:bCs/>
                <w:color w:val="auto"/>
                <w:szCs w:val="21"/>
                <w:highlight w:val="none"/>
              </w:rPr>
              <w:t>工业</w:t>
            </w:r>
          </w:p>
        </w:tc>
        <w:tc>
          <w:tcPr>
            <w:tcW w:w="65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9B45F94">
            <w:pPr>
              <w:keepNext w:val="0"/>
              <w:keepLines w:val="0"/>
              <w:widowControl/>
              <w:suppressLineNumbers w:val="0"/>
              <w:jc w:val="center"/>
              <w:textAlignment w:val="center"/>
              <w:rPr>
                <w:rFonts w:hint="default" w:ascii="Arial" w:hAnsi="Arial" w:eastAsia="宋体" w:cs="Arial"/>
                <w:bCs/>
                <w:color w:val="auto"/>
                <w:kern w:val="2"/>
                <w:sz w:val="21"/>
                <w:szCs w:val="21"/>
                <w:highlight w:val="none"/>
                <w:lang w:val="en-US" w:eastAsia="zh-CN" w:bidi="ar-SA"/>
              </w:rPr>
            </w:pPr>
            <w:r>
              <w:rPr>
                <w:rFonts w:hint="default" w:ascii="Arial" w:hAnsi="Arial" w:eastAsia="宋体" w:cs="Arial"/>
                <w:i w:val="0"/>
                <w:iCs w:val="0"/>
                <w:color w:val="000000"/>
                <w:kern w:val="0"/>
                <w:sz w:val="21"/>
                <w:szCs w:val="21"/>
                <w:highlight w:val="none"/>
                <w:u w:val="none"/>
                <w:lang w:val="en-US" w:eastAsia="zh-CN" w:bidi="ar"/>
              </w:rPr>
              <w:drawing>
                <wp:anchor distT="0" distB="0" distL="114300" distR="114300" simplePos="0" relativeHeight="251672576" behindDoc="0" locked="0" layoutInCell="1" allowOverlap="1">
                  <wp:simplePos x="0" y="0"/>
                  <wp:positionH relativeFrom="column">
                    <wp:posOffset>0</wp:posOffset>
                  </wp:positionH>
                  <wp:positionV relativeFrom="paragraph">
                    <wp:posOffset>0</wp:posOffset>
                  </wp:positionV>
                  <wp:extent cx="6350" cy="6350"/>
                  <wp:effectExtent l="0" t="0" r="0" b="0"/>
                  <wp:wrapNone/>
                  <wp:docPr id="31" name="图片_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_24"/>
                          <pic:cNvPicPr>
                            <a:picLocks noChangeAspect="1"/>
                          </pic:cNvPicPr>
                        </pic:nvPicPr>
                        <pic:blipFill>
                          <a:blip r:embed="rId11" r:link="rId12"/>
                          <a:stretch>
                            <a:fillRect/>
                          </a:stretch>
                        </pic:blipFill>
                        <pic:spPr>
                          <a:xfrm>
                            <a:off x="5486400" y="1962150"/>
                            <a:ext cx="6350" cy="6350"/>
                          </a:xfrm>
                          <a:prstGeom prst="rect">
                            <a:avLst/>
                          </a:prstGeom>
                          <a:noFill/>
                          <a:ln w="9525">
                            <a:noFill/>
                          </a:ln>
                        </pic:spPr>
                      </pic:pic>
                    </a:graphicData>
                  </a:graphic>
                </wp:anchor>
              </w:drawing>
            </w:r>
            <w:r>
              <w:rPr>
                <w:rFonts w:hint="default" w:ascii="Arial" w:hAnsi="Arial" w:eastAsia="宋体" w:cs="Arial"/>
                <w:i w:val="0"/>
                <w:iCs w:val="0"/>
                <w:color w:val="000000"/>
                <w:kern w:val="0"/>
                <w:sz w:val="21"/>
                <w:szCs w:val="21"/>
                <w:highlight w:val="none"/>
                <w:u w:val="none"/>
                <w:lang w:val="en-US" w:eastAsia="zh-CN" w:bidi="ar"/>
              </w:rPr>
              <w:t>1</w:t>
            </w:r>
          </w:p>
        </w:tc>
        <w:tc>
          <w:tcPr>
            <w:tcW w:w="647" w:type="dxa"/>
            <w:tcBorders>
              <w:top w:val="single" w:color="auto" w:sz="4" w:space="0"/>
              <w:left w:val="single" w:color="auto" w:sz="4" w:space="0"/>
              <w:bottom w:val="single" w:color="auto" w:sz="4" w:space="0"/>
              <w:right w:val="single" w:color="auto" w:sz="4" w:space="0"/>
            </w:tcBorders>
            <w:noWrap w:val="0"/>
            <w:vAlign w:val="center"/>
          </w:tcPr>
          <w:p w14:paraId="18C3C443">
            <w:pPr>
              <w:keepNext w:val="0"/>
              <w:keepLines w:val="0"/>
              <w:widowControl/>
              <w:suppressLineNumbers w:val="0"/>
              <w:jc w:val="center"/>
              <w:textAlignment w:val="center"/>
              <w:rPr>
                <w:rFonts w:hint="default" w:ascii="Arial" w:hAnsi="Arial" w:eastAsia="宋体" w:cs="Arial"/>
                <w:bCs/>
                <w:color w:val="auto"/>
                <w:szCs w:val="21"/>
                <w:highlight w:val="none"/>
                <w:lang w:val="en-US" w:eastAsia="zh-CN"/>
              </w:rPr>
            </w:pPr>
            <w:r>
              <w:rPr>
                <w:rFonts w:hint="default" w:ascii="Arial" w:hAnsi="Arial" w:eastAsia="宋体" w:cs="Arial"/>
                <w:i w:val="0"/>
                <w:iCs w:val="0"/>
                <w:color w:val="000000"/>
                <w:kern w:val="0"/>
                <w:sz w:val="21"/>
                <w:szCs w:val="21"/>
                <w:highlight w:val="none"/>
                <w:u w:val="none"/>
                <w:lang w:val="en-US" w:eastAsia="zh-CN" w:bidi="ar"/>
              </w:rPr>
              <w:t>台</w:t>
            </w:r>
          </w:p>
        </w:tc>
        <w:tc>
          <w:tcPr>
            <w:tcW w:w="5174" w:type="dxa"/>
            <w:tcBorders>
              <w:top w:val="single" w:color="auto" w:sz="4" w:space="0"/>
              <w:left w:val="single" w:color="auto" w:sz="4" w:space="0"/>
              <w:bottom w:val="single" w:color="auto" w:sz="4" w:space="0"/>
              <w:right w:val="single" w:color="auto" w:sz="4" w:space="0"/>
            </w:tcBorders>
            <w:noWrap w:val="0"/>
            <w:vAlign w:val="top"/>
          </w:tcPr>
          <w:p w14:paraId="3CE4C640">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1</w:t>
            </w:r>
            <w:r>
              <w:rPr>
                <w:rFonts w:hint="eastAsia" w:ascii="Arial" w:hAnsi="Arial" w:cs="Arial"/>
                <w:color w:val="auto"/>
                <w:highlight w:val="none"/>
                <w:lang w:val="en-US" w:eastAsia="zh-CN"/>
              </w:rPr>
              <w:t>、</w:t>
            </w:r>
            <w:r>
              <w:rPr>
                <w:rFonts w:hint="default" w:ascii="Arial" w:hAnsi="Arial" w:eastAsia="宋体" w:cs="Arial"/>
                <w:color w:val="auto"/>
                <w:highlight w:val="none"/>
                <w:lang w:val="en-US" w:eastAsia="zh-CN"/>
              </w:rPr>
              <w:t>尺寸：1260*700*2050</w:t>
            </w:r>
            <w:r>
              <w:rPr>
                <w:rFonts w:hint="eastAsia" w:ascii="Arial" w:hAnsi="Arial" w:eastAsia="宋体" w:cs="Arial"/>
                <w:color w:val="auto"/>
                <w:highlight w:val="none"/>
                <w:lang w:val="en-US" w:eastAsia="zh-CN"/>
              </w:rPr>
              <w:t>mm</w:t>
            </w:r>
            <w:r>
              <w:rPr>
                <w:rFonts w:hint="default" w:ascii="Arial" w:hAnsi="Arial" w:eastAsia="宋体" w:cs="Arial"/>
                <w:color w:val="auto"/>
                <w:highlight w:val="none"/>
                <w:lang w:val="en-US" w:eastAsia="zh-CN"/>
              </w:rPr>
              <w:t xml:space="preserve">±20mm </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2</w:t>
            </w:r>
            <w:r>
              <w:rPr>
                <w:rFonts w:hint="eastAsia" w:ascii="Arial" w:hAnsi="Arial" w:cs="Arial"/>
                <w:color w:val="auto"/>
                <w:highlight w:val="none"/>
                <w:lang w:val="en-US" w:eastAsia="zh-CN"/>
              </w:rPr>
              <w:t>、</w:t>
            </w:r>
            <w:r>
              <w:rPr>
                <w:rFonts w:hint="default" w:ascii="Arial" w:hAnsi="Arial" w:eastAsia="宋体" w:cs="Arial"/>
                <w:color w:val="auto"/>
                <w:highlight w:val="none"/>
                <w:lang w:val="en-US" w:eastAsia="zh-CN"/>
              </w:rPr>
              <w:t>集冷、热风干、快速除湿、解冷、冷藏保鲜功能于一体；</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3、电压/总功率约：220V/2150W。</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4、智能操控面板，温度范围约：5℃～20℃,</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5、双层中空玻璃，加厚不锈钢机身，高密度发泡层</w:t>
            </w:r>
          </w:p>
        </w:tc>
        <w:tc>
          <w:tcPr>
            <w:tcW w:w="1121" w:type="dxa"/>
            <w:tcBorders>
              <w:top w:val="single" w:color="auto" w:sz="4" w:space="0"/>
              <w:left w:val="single" w:color="auto" w:sz="4" w:space="0"/>
              <w:bottom w:val="single" w:color="auto" w:sz="4" w:space="0"/>
              <w:right w:val="single" w:color="auto" w:sz="4" w:space="0"/>
            </w:tcBorders>
            <w:noWrap w:val="0"/>
            <w:vAlign w:val="center"/>
          </w:tcPr>
          <w:p w14:paraId="4B0451BB">
            <w:pPr>
              <w:keepNext w:val="0"/>
              <w:keepLines w:val="0"/>
              <w:widowControl/>
              <w:suppressLineNumbers w:val="0"/>
              <w:jc w:val="center"/>
              <w:textAlignment w:val="center"/>
              <w:rPr>
                <w:rFonts w:hint="default" w:ascii="Arial" w:hAnsi="Arial" w:cs="Arial"/>
                <w:color w:val="auto"/>
                <w:sz w:val="21"/>
                <w:szCs w:val="21"/>
                <w:highlight w:val="none"/>
                <w:lang w:val="en-US" w:eastAsia="zh-CN"/>
              </w:rPr>
            </w:pPr>
            <w:r>
              <w:rPr>
                <w:rFonts w:hint="default" w:ascii="Arial" w:hAnsi="Arial" w:eastAsia="宋体" w:cs="Arial"/>
                <w:i w:val="0"/>
                <w:iCs w:val="0"/>
                <w:color w:val="000000"/>
                <w:kern w:val="0"/>
                <w:sz w:val="21"/>
                <w:szCs w:val="21"/>
                <w:highlight w:val="none"/>
                <w:u w:val="none"/>
                <w:lang w:val="en-US" w:eastAsia="zh-CN" w:bidi="ar"/>
              </w:rPr>
              <w:t xml:space="preserve">8200.00 </w:t>
            </w:r>
          </w:p>
        </w:tc>
      </w:tr>
      <w:tr w14:paraId="04F84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jc w:val="center"/>
        </w:trPr>
        <w:tc>
          <w:tcPr>
            <w:tcW w:w="475" w:type="dxa"/>
            <w:tcBorders>
              <w:top w:val="single" w:color="auto" w:sz="4" w:space="0"/>
              <w:left w:val="single" w:color="auto" w:sz="4" w:space="0"/>
              <w:bottom w:val="single" w:color="auto" w:sz="4" w:space="0"/>
              <w:right w:val="single" w:color="auto" w:sz="4" w:space="0"/>
            </w:tcBorders>
            <w:noWrap w:val="0"/>
            <w:vAlign w:val="center"/>
          </w:tcPr>
          <w:p w14:paraId="299B4C68">
            <w:pPr>
              <w:keepNext w:val="0"/>
              <w:keepLines w:val="0"/>
              <w:widowControl/>
              <w:suppressLineNumbers w:val="0"/>
              <w:jc w:val="center"/>
              <w:textAlignment w:val="center"/>
              <w:rPr>
                <w:rFonts w:hint="default" w:ascii="Arial" w:hAnsi="Arial" w:eastAsia="宋体" w:cs="Arial"/>
                <w:b/>
                <w:bCs/>
                <w:color w:val="auto"/>
                <w:szCs w:val="21"/>
                <w:highlight w:val="none"/>
              </w:rPr>
            </w:pPr>
            <w:r>
              <w:rPr>
                <w:rFonts w:hint="default" w:ascii="Arial" w:hAnsi="Arial" w:eastAsia="宋体" w:cs="Arial"/>
                <w:i w:val="0"/>
                <w:iCs w:val="0"/>
                <w:color w:val="000000"/>
                <w:kern w:val="0"/>
                <w:sz w:val="21"/>
                <w:szCs w:val="21"/>
                <w:highlight w:val="none"/>
                <w:u w:val="none"/>
                <w:lang w:val="en-US" w:eastAsia="zh-CN" w:bidi="ar"/>
              </w:rPr>
              <w:t>10</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5685AA17">
            <w:pPr>
              <w:keepNext w:val="0"/>
              <w:keepLines w:val="0"/>
              <w:widowControl/>
              <w:suppressLineNumbers w:val="0"/>
              <w:jc w:val="center"/>
              <w:textAlignment w:val="center"/>
              <w:rPr>
                <w:rFonts w:hint="default" w:ascii="Arial" w:hAnsi="Arial" w:eastAsia="宋体" w:cs="Arial"/>
                <w:bCs/>
                <w:color w:val="auto"/>
                <w:szCs w:val="21"/>
                <w:highlight w:val="none"/>
                <w:lang w:val="en-US" w:eastAsia="zh-CN"/>
              </w:rPr>
            </w:pPr>
            <w:r>
              <w:rPr>
                <w:rFonts w:hint="default" w:ascii="Arial" w:hAnsi="Arial" w:eastAsia="宋体" w:cs="Arial"/>
                <w:i w:val="0"/>
                <w:iCs w:val="0"/>
                <w:color w:val="000000"/>
                <w:kern w:val="0"/>
                <w:sz w:val="21"/>
                <w:szCs w:val="21"/>
                <w:highlight w:val="none"/>
                <w:u w:val="none"/>
                <w:lang w:val="en-US" w:eastAsia="zh-CN" w:bidi="ar"/>
              </w:rPr>
              <w:t>和面机</w:t>
            </w:r>
          </w:p>
        </w:tc>
        <w:tc>
          <w:tcPr>
            <w:tcW w:w="775" w:type="dxa"/>
            <w:tcBorders>
              <w:top w:val="single" w:color="auto" w:sz="4" w:space="0"/>
              <w:left w:val="single" w:color="auto" w:sz="4" w:space="0"/>
              <w:bottom w:val="single" w:color="auto" w:sz="4" w:space="0"/>
              <w:right w:val="single" w:color="auto" w:sz="4" w:space="0"/>
            </w:tcBorders>
            <w:noWrap w:val="0"/>
            <w:vAlign w:val="center"/>
          </w:tcPr>
          <w:p w14:paraId="19E08707">
            <w:pPr>
              <w:keepNext w:val="0"/>
              <w:keepLines w:val="0"/>
              <w:widowControl/>
              <w:suppressLineNumbers w:val="0"/>
              <w:jc w:val="center"/>
              <w:textAlignment w:val="center"/>
              <w:rPr>
                <w:rFonts w:hint="default" w:ascii="Arial" w:hAnsi="Arial" w:eastAsia="宋体" w:cs="Arial"/>
                <w:bCs/>
                <w:color w:val="auto"/>
                <w:szCs w:val="21"/>
                <w:highlight w:val="none"/>
              </w:rPr>
            </w:pPr>
            <w:r>
              <w:rPr>
                <w:rFonts w:hint="default" w:ascii="Arial" w:hAnsi="Arial" w:eastAsia="宋体" w:cs="Arial"/>
                <w:bCs/>
                <w:color w:val="auto"/>
                <w:szCs w:val="21"/>
                <w:highlight w:val="none"/>
              </w:rPr>
              <w:t>工业</w:t>
            </w:r>
          </w:p>
        </w:tc>
        <w:tc>
          <w:tcPr>
            <w:tcW w:w="65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46E0F23">
            <w:pPr>
              <w:keepNext w:val="0"/>
              <w:keepLines w:val="0"/>
              <w:widowControl/>
              <w:suppressLineNumbers w:val="0"/>
              <w:jc w:val="center"/>
              <w:textAlignment w:val="center"/>
              <w:rPr>
                <w:rFonts w:hint="default" w:ascii="Arial" w:hAnsi="Arial" w:eastAsia="宋体" w:cs="Arial"/>
                <w:bCs/>
                <w:color w:val="auto"/>
                <w:kern w:val="2"/>
                <w:sz w:val="21"/>
                <w:szCs w:val="21"/>
                <w:highlight w:val="none"/>
                <w:lang w:val="en-US" w:eastAsia="zh-CN" w:bidi="ar-SA"/>
              </w:rPr>
            </w:pPr>
            <w:r>
              <w:rPr>
                <w:rFonts w:hint="default" w:ascii="Arial" w:hAnsi="Arial" w:eastAsia="宋体" w:cs="Arial"/>
                <w:i w:val="0"/>
                <w:iCs w:val="0"/>
                <w:color w:val="000000"/>
                <w:kern w:val="0"/>
                <w:sz w:val="21"/>
                <w:szCs w:val="21"/>
                <w:highlight w:val="none"/>
                <w:u w:val="none"/>
                <w:lang w:val="en-US" w:eastAsia="zh-CN" w:bidi="ar"/>
              </w:rPr>
              <w:t>2</w:t>
            </w:r>
          </w:p>
        </w:tc>
        <w:tc>
          <w:tcPr>
            <w:tcW w:w="647" w:type="dxa"/>
            <w:tcBorders>
              <w:top w:val="single" w:color="auto" w:sz="4" w:space="0"/>
              <w:left w:val="single" w:color="auto" w:sz="4" w:space="0"/>
              <w:bottom w:val="single" w:color="auto" w:sz="4" w:space="0"/>
              <w:right w:val="single" w:color="auto" w:sz="4" w:space="0"/>
            </w:tcBorders>
            <w:noWrap w:val="0"/>
            <w:vAlign w:val="center"/>
          </w:tcPr>
          <w:p w14:paraId="22972C6C">
            <w:pPr>
              <w:keepNext w:val="0"/>
              <w:keepLines w:val="0"/>
              <w:widowControl/>
              <w:suppressLineNumbers w:val="0"/>
              <w:jc w:val="center"/>
              <w:textAlignment w:val="center"/>
              <w:rPr>
                <w:rFonts w:hint="default" w:ascii="Arial" w:hAnsi="Arial" w:eastAsia="宋体" w:cs="Arial"/>
                <w:bCs/>
                <w:color w:val="auto"/>
                <w:szCs w:val="21"/>
                <w:highlight w:val="none"/>
                <w:lang w:val="en-US" w:eastAsia="zh-CN"/>
              </w:rPr>
            </w:pPr>
            <w:r>
              <w:rPr>
                <w:rFonts w:hint="default" w:ascii="Arial" w:hAnsi="Arial" w:eastAsia="宋体" w:cs="Arial"/>
                <w:i w:val="0"/>
                <w:iCs w:val="0"/>
                <w:color w:val="000000"/>
                <w:kern w:val="0"/>
                <w:sz w:val="21"/>
                <w:szCs w:val="21"/>
                <w:highlight w:val="none"/>
                <w:u w:val="none"/>
                <w:lang w:val="en-US" w:eastAsia="zh-CN" w:bidi="ar"/>
              </w:rPr>
              <w:t>台</w:t>
            </w:r>
          </w:p>
        </w:tc>
        <w:tc>
          <w:tcPr>
            <w:tcW w:w="5174" w:type="dxa"/>
            <w:tcBorders>
              <w:top w:val="single" w:color="auto" w:sz="4" w:space="0"/>
              <w:left w:val="single" w:color="auto" w:sz="4" w:space="0"/>
              <w:bottom w:val="single" w:color="auto" w:sz="4" w:space="0"/>
              <w:right w:val="single" w:color="auto" w:sz="4" w:space="0"/>
            </w:tcBorders>
            <w:noWrap w:val="0"/>
            <w:vAlign w:val="top"/>
          </w:tcPr>
          <w:p w14:paraId="13647A02">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规格约：480*850*910mm±</w:t>
            </w:r>
            <w:r>
              <w:rPr>
                <w:rFonts w:hint="eastAsia" w:ascii="Arial" w:hAnsi="Arial" w:eastAsia="宋体" w:cs="Arial"/>
                <w:color w:val="auto"/>
                <w:highlight w:val="none"/>
                <w:lang w:val="en-US" w:eastAsia="zh-CN"/>
              </w:rPr>
              <w:t>1</w:t>
            </w:r>
            <w:r>
              <w:rPr>
                <w:rFonts w:hint="default" w:ascii="Arial" w:hAnsi="Arial" w:eastAsia="宋体" w:cs="Arial"/>
                <w:color w:val="auto"/>
                <w:highlight w:val="none"/>
                <w:lang w:val="en-US" w:eastAsia="zh-CN"/>
              </w:rPr>
              <w:t xml:space="preserve">0mm </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1.功率/电压：2.2kw/220V</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2.容量(L)</w:t>
            </w:r>
            <w:r>
              <w:rPr>
                <w:rFonts w:hint="eastAsia" w:ascii="Arial" w:hAnsi="Arial" w:cs="Arial"/>
                <w:color w:val="auto"/>
                <w:highlight w:val="none"/>
                <w:lang w:val="en-US" w:eastAsia="zh-CN"/>
              </w:rPr>
              <w:t>：</w:t>
            </w:r>
            <w:r>
              <w:rPr>
                <w:rFonts w:hint="default" w:ascii="Arial" w:hAnsi="Arial" w:eastAsia="宋体" w:cs="Arial"/>
                <w:color w:val="auto"/>
                <w:highlight w:val="none"/>
                <w:lang w:val="en-US" w:eastAsia="zh-CN"/>
              </w:rPr>
              <w:t>40</w:t>
            </w:r>
            <w:r>
              <w:rPr>
                <w:rFonts w:hint="eastAsia" w:ascii="Arial" w:hAnsi="Arial" w:eastAsia="宋体" w:cs="Arial"/>
                <w:color w:val="auto"/>
                <w:highlight w:val="none"/>
                <w:lang w:val="en-US" w:eastAsia="zh-CN"/>
              </w:rPr>
              <w:t>±5</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3.和面量（KG)</w:t>
            </w:r>
            <w:r>
              <w:rPr>
                <w:rFonts w:hint="eastAsia" w:ascii="Arial" w:hAnsi="Arial" w:cs="Arial"/>
                <w:color w:val="auto"/>
                <w:highlight w:val="none"/>
                <w:lang w:val="en-US" w:eastAsia="zh-CN"/>
              </w:rPr>
              <w:t>：</w:t>
            </w:r>
            <w:r>
              <w:rPr>
                <w:rFonts w:hint="default" w:ascii="Arial" w:hAnsi="Arial" w:eastAsia="宋体" w:cs="Arial"/>
                <w:color w:val="auto"/>
                <w:highlight w:val="none"/>
                <w:lang w:val="en-US" w:eastAsia="zh-CN"/>
              </w:rPr>
              <w:t>16</w:t>
            </w:r>
            <w:r>
              <w:rPr>
                <w:rFonts w:hint="eastAsia" w:ascii="Arial" w:hAnsi="Arial" w:eastAsia="宋体" w:cs="Arial"/>
                <w:color w:val="auto"/>
                <w:highlight w:val="none"/>
                <w:lang w:val="en-US" w:eastAsia="zh-CN"/>
              </w:rPr>
              <w:t>±5</w:t>
            </w:r>
            <w:r>
              <w:rPr>
                <w:rFonts w:hint="default" w:ascii="Arial" w:hAnsi="Arial" w:eastAsia="宋体" w:cs="Arial"/>
                <w:color w:val="auto"/>
                <w:highlight w:val="none"/>
                <w:lang w:val="en-US" w:eastAsia="zh-CN"/>
              </w:rPr>
              <w:t xml:space="preserve">                        </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4.料桶转速（r/min)：</w:t>
            </w:r>
            <w:r>
              <w:rPr>
                <w:rFonts w:hint="eastAsia" w:ascii="Arial" w:hAnsi="Arial" w:cs="Arial"/>
                <w:color w:val="auto"/>
                <w:highlight w:val="none"/>
                <w:lang w:val="en-US" w:eastAsia="zh-CN"/>
              </w:rPr>
              <w:t>≥</w:t>
            </w:r>
            <w:r>
              <w:rPr>
                <w:rFonts w:hint="default" w:ascii="Arial" w:hAnsi="Arial" w:eastAsia="宋体" w:cs="Arial"/>
                <w:color w:val="auto"/>
                <w:highlight w:val="none"/>
                <w:lang w:val="en-US" w:eastAsia="zh-CN"/>
              </w:rPr>
              <w:t>22/12</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5.搅拌器转速（r/min）：</w:t>
            </w:r>
            <w:r>
              <w:rPr>
                <w:rFonts w:hint="eastAsia" w:ascii="Arial" w:hAnsi="Arial" w:cs="Arial"/>
                <w:color w:val="auto"/>
                <w:highlight w:val="none"/>
                <w:lang w:val="en-US" w:eastAsia="zh-CN"/>
              </w:rPr>
              <w:t>≥</w:t>
            </w:r>
            <w:r>
              <w:rPr>
                <w:rFonts w:hint="default" w:ascii="Arial" w:hAnsi="Arial" w:eastAsia="宋体" w:cs="Arial"/>
                <w:color w:val="auto"/>
                <w:highlight w:val="none"/>
                <w:lang w:val="en-US" w:eastAsia="zh-CN"/>
              </w:rPr>
              <w:t>220/120</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6</w:t>
            </w:r>
            <w:r>
              <w:rPr>
                <w:rFonts w:hint="eastAsia" w:ascii="Arial" w:hAnsi="Arial" w:cs="Arial"/>
                <w:color w:val="auto"/>
                <w:highlight w:val="none"/>
                <w:lang w:val="en-US" w:eastAsia="zh-CN"/>
              </w:rPr>
              <w:t>.</w:t>
            </w:r>
            <w:r>
              <w:rPr>
                <w:rFonts w:hint="default" w:ascii="Arial" w:hAnsi="Arial" w:eastAsia="宋体" w:cs="Arial"/>
                <w:color w:val="auto"/>
                <w:highlight w:val="none"/>
                <w:lang w:val="en-US" w:eastAsia="zh-CN"/>
              </w:rPr>
              <w:t>齿轮传动</w:t>
            </w:r>
            <w:r>
              <w:rPr>
                <w:rFonts w:hint="eastAsia" w:ascii="Arial" w:hAnsi="Arial" w:eastAsia="宋体" w:cs="Arial"/>
                <w:color w:val="auto"/>
                <w:highlight w:val="none"/>
                <w:lang w:val="en-US" w:eastAsia="zh-CN"/>
              </w:rPr>
              <w:t>、</w:t>
            </w:r>
            <w:r>
              <w:rPr>
                <w:rFonts w:hint="default" w:ascii="Arial" w:hAnsi="Arial" w:eastAsia="宋体" w:cs="Arial"/>
                <w:color w:val="auto"/>
                <w:highlight w:val="none"/>
                <w:lang w:val="en-US" w:eastAsia="zh-CN"/>
              </w:rPr>
              <w:t>快速慢速一键切换；安全防护罩，盖开停机；防滑橡胶脚垫，防震防水；特设过载保护功能，国标铜线电机</w:t>
            </w:r>
            <w:r>
              <w:rPr>
                <w:rFonts w:hint="eastAsia" w:ascii="Arial" w:hAnsi="Arial" w:eastAsia="宋体" w:cs="Arial"/>
                <w:color w:val="auto"/>
                <w:highlight w:val="none"/>
                <w:lang w:val="en-US" w:eastAsia="zh-CN"/>
              </w:rPr>
              <w:t>。</w:t>
            </w:r>
          </w:p>
        </w:tc>
        <w:tc>
          <w:tcPr>
            <w:tcW w:w="1121" w:type="dxa"/>
            <w:tcBorders>
              <w:top w:val="single" w:color="auto" w:sz="4" w:space="0"/>
              <w:left w:val="single" w:color="auto" w:sz="4" w:space="0"/>
              <w:bottom w:val="single" w:color="auto" w:sz="4" w:space="0"/>
              <w:right w:val="single" w:color="auto" w:sz="4" w:space="0"/>
            </w:tcBorders>
            <w:noWrap w:val="0"/>
            <w:vAlign w:val="center"/>
          </w:tcPr>
          <w:p w14:paraId="44B23023">
            <w:pPr>
              <w:keepNext w:val="0"/>
              <w:keepLines w:val="0"/>
              <w:widowControl/>
              <w:suppressLineNumbers w:val="0"/>
              <w:jc w:val="center"/>
              <w:textAlignment w:val="center"/>
              <w:rPr>
                <w:rFonts w:hint="default" w:ascii="Arial" w:hAnsi="Arial" w:cs="Arial"/>
                <w:color w:val="auto"/>
                <w:sz w:val="21"/>
                <w:szCs w:val="21"/>
                <w:highlight w:val="none"/>
                <w:lang w:val="en-US" w:eastAsia="zh-CN"/>
              </w:rPr>
            </w:pPr>
            <w:r>
              <w:rPr>
                <w:rFonts w:hint="default" w:ascii="Arial" w:hAnsi="Arial" w:eastAsia="宋体" w:cs="Arial"/>
                <w:i w:val="0"/>
                <w:iCs w:val="0"/>
                <w:color w:val="000000"/>
                <w:kern w:val="0"/>
                <w:sz w:val="21"/>
                <w:szCs w:val="21"/>
                <w:highlight w:val="none"/>
                <w:u w:val="none"/>
                <w:lang w:val="en-US" w:eastAsia="zh-CN" w:bidi="ar"/>
              </w:rPr>
              <w:t xml:space="preserve">6600.00 </w:t>
            </w:r>
          </w:p>
        </w:tc>
      </w:tr>
      <w:tr w14:paraId="496AB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jc w:val="center"/>
        </w:trPr>
        <w:tc>
          <w:tcPr>
            <w:tcW w:w="475" w:type="dxa"/>
            <w:tcBorders>
              <w:top w:val="single" w:color="auto" w:sz="4" w:space="0"/>
              <w:left w:val="single" w:color="auto" w:sz="4" w:space="0"/>
              <w:bottom w:val="single" w:color="auto" w:sz="4" w:space="0"/>
              <w:right w:val="single" w:color="auto" w:sz="4" w:space="0"/>
            </w:tcBorders>
            <w:noWrap w:val="0"/>
            <w:vAlign w:val="center"/>
          </w:tcPr>
          <w:p w14:paraId="24F316EF">
            <w:pPr>
              <w:keepNext w:val="0"/>
              <w:keepLines w:val="0"/>
              <w:widowControl/>
              <w:suppressLineNumbers w:val="0"/>
              <w:jc w:val="center"/>
              <w:textAlignment w:val="center"/>
              <w:rPr>
                <w:rFonts w:hint="default" w:ascii="Arial" w:hAnsi="Arial" w:eastAsia="宋体" w:cs="Arial"/>
                <w:b/>
                <w:bCs/>
                <w:color w:val="auto"/>
                <w:szCs w:val="21"/>
                <w:highlight w:val="none"/>
              </w:rPr>
            </w:pPr>
            <w:r>
              <w:rPr>
                <w:rFonts w:hint="default" w:ascii="Arial" w:hAnsi="Arial" w:eastAsia="宋体" w:cs="Arial"/>
                <w:i w:val="0"/>
                <w:iCs w:val="0"/>
                <w:color w:val="000000"/>
                <w:kern w:val="0"/>
                <w:sz w:val="21"/>
                <w:szCs w:val="21"/>
                <w:highlight w:val="none"/>
                <w:u w:val="none"/>
                <w:lang w:val="en-US" w:eastAsia="zh-CN" w:bidi="ar"/>
              </w:rPr>
              <w:t>11</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1CD19C92">
            <w:pPr>
              <w:keepNext w:val="0"/>
              <w:keepLines w:val="0"/>
              <w:widowControl/>
              <w:suppressLineNumbers w:val="0"/>
              <w:jc w:val="center"/>
              <w:textAlignment w:val="center"/>
              <w:rPr>
                <w:rFonts w:hint="default" w:ascii="Arial" w:hAnsi="Arial" w:eastAsia="宋体" w:cs="Arial"/>
                <w:bCs/>
                <w:color w:val="auto"/>
                <w:szCs w:val="21"/>
                <w:highlight w:val="none"/>
                <w:lang w:val="en-US" w:eastAsia="zh-CN"/>
              </w:rPr>
            </w:pPr>
            <w:r>
              <w:rPr>
                <w:rFonts w:hint="default" w:ascii="Arial" w:hAnsi="Arial" w:eastAsia="宋体" w:cs="Arial"/>
                <w:i w:val="0"/>
                <w:iCs w:val="0"/>
                <w:color w:val="000000"/>
                <w:kern w:val="0"/>
                <w:sz w:val="21"/>
                <w:szCs w:val="21"/>
                <w:highlight w:val="none"/>
                <w:u w:val="none"/>
                <w:lang w:val="en-US" w:eastAsia="zh-CN" w:bidi="ar"/>
              </w:rPr>
              <w:t>三层九盘烤箱</w:t>
            </w:r>
          </w:p>
        </w:tc>
        <w:tc>
          <w:tcPr>
            <w:tcW w:w="775" w:type="dxa"/>
            <w:tcBorders>
              <w:top w:val="single" w:color="auto" w:sz="4" w:space="0"/>
              <w:left w:val="single" w:color="auto" w:sz="4" w:space="0"/>
              <w:bottom w:val="single" w:color="auto" w:sz="4" w:space="0"/>
              <w:right w:val="single" w:color="auto" w:sz="4" w:space="0"/>
            </w:tcBorders>
            <w:noWrap w:val="0"/>
            <w:vAlign w:val="center"/>
          </w:tcPr>
          <w:p w14:paraId="11B6D520">
            <w:pPr>
              <w:keepNext w:val="0"/>
              <w:keepLines w:val="0"/>
              <w:widowControl/>
              <w:suppressLineNumbers w:val="0"/>
              <w:jc w:val="center"/>
              <w:textAlignment w:val="center"/>
              <w:rPr>
                <w:rFonts w:hint="default" w:ascii="Arial" w:hAnsi="Arial" w:eastAsia="宋体" w:cs="Arial"/>
                <w:bCs/>
                <w:color w:val="auto"/>
                <w:szCs w:val="21"/>
                <w:highlight w:val="none"/>
              </w:rPr>
            </w:pPr>
            <w:r>
              <w:rPr>
                <w:rFonts w:hint="default" w:ascii="Arial" w:hAnsi="Arial" w:eastAsia="宋体" w:cs="Arial"/>
                <w:bCs/>
                <w:color w:val="auto"/>
                <w:szCs w:val="21"/>
                <w:highlight w:val="none"/>
              </w:rPr>
              <w:t>工业</w:t>
            </w:r>
          </w:p>
        </w:tc>
        <w:tc>
          <w:tcPr>
            <w:tcW w:w="65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5A6B977">
            <w:pPr>
              <w:keepNext w:val="0"/>
              <w:keepLines w:val="0"/>
              <w:widowControl/>
              <w:suppressLineNumbers w:val="0"/>
              <w:jc w:val="center"/>
              <w:textAlignment w:val="center"/>
              <w:rPr>
                <w:rFonts w:hint="default" w:ascii="Arial" w:hAnsi="Arial" w:eastAsia="宋体" w:cs="Arial"/>
                <w:bCs/>
                <w:color w:val="auto"/>
                <w:kern w:val="2"/>
                <w:sz w:val="21"/>
                <w:szCs w:val="21"/>
                <w:highlight w:val="none"/>
                <w:lang w:val="en-US" w:eastAsia="zh-CN" w:bidi="ar-SA"/>
              </w:rPr>
            </w:pPr>
            <w:r>
              <w:rPr>
                <w:rFonts w:hint="default" w:ascii="Arial" w:hAnsi="Arial" w:eastAsia="宋体" w:cs="Arial"/>
                <w:i w:val="0"/>
                <w:iCs w:val="0"/>
                <w:color w:val="000000"/>
                <w:kern w:val="0"/>
                <w:sz w:val="21"/>
                <w:szCs w:val="21"/>
                <w:highlight w:val="none"/>
                <w:u w:val="none"/>
                <w:lang w:val="en-US" w:eastAsia="zh-CN" w:bidi="ar"/>
              </w:rPr>
              <w:t>2</w:t>
            </w:r>
          </w:p>
        </w:tc>
        <w:tc>
          <w:tcPr>
            <w:tcW w:w="647" w:type="dxa"/>
            <w:tcBorders>
              <w:top w:val="single" w:color="auto" w:sz="4" w:space="0"/>
              <w:left w:val="single" w:color="auto" w:sz="4" w:space="0"/>
              <w:bottom w:val="single" w:color="auto" w:sz="4" w:space="0"/>
              <w:right w:val="single" w:color="auto" w:sz="4" w:space="0"/>
            </w:tcBorders>
            <w:noWrap w:val="0"/>
            <w:vAlign w:val="center"/>
          </w:tcPr>
          <w:p w14:paraId="22B549FE">
            <w:pPr>
              <w:keepNext w:val="0"/>
              <w:keepLines w:val="0"/>
              <w:widowControl/>
              <w:suppressLineNumbers w:val="0"/>
              <w:jc w:val="center"/>
              <w:textAlignment w:val="center"/>
              <w:rPr>
                <w:rFonts w:hint="default" w:ascii="Arial" w:hAnsi="Arial" w:eastAsia="宋体" w:cs="Arial"/>
                <w:bCs/>
                <w:color w:val="auto"/>
                <w:szCs w:val="21"/>
                <w:highlight w:val="none"/>
                <w:lang w:val="en-US" w:eastAsia="zh-CN"/>
              </w:rPr>
            </w:pPr>
            <w:r>
              <w:rPr>
                <w:rFonts w:hint="default" w:ascii="Arial" w:hAnsi="Arial" w:eastAsia="宋体" w:cs="Arial"/>
                <w:i w:val="0"/>
                <w:iCs w:val="0"/>
                <w:color w:val="000000"/>
                <w:kern w:val="0"/>
                <w:sz w:val="21"/>
                <w:szCs w:val="21"/>
                <w:highlight w:val="none"/>
                <w:u w:val="none"/>
                <w:lang w:val="en-US" w:eastAsia="zh-CN" w:bidi="ar"/>
              </w:rPr>
              <w:t>个</w:t>
            </w:r>
          </w:p>
        </w:tc>
        <w:tc>
          <w:tcPr>
            <w:tcW w:w="5174" w:type="dxa"/>
            <w:tcBorders>
              <w:top w:val="single" w:color="auto" w:sz="4" w:space="0"/>
              <w:left w:val="single" w:color="auto" w:sz="4" w:space="0"/>
              <w:bottom w:val="single" w:color="auto" w:sz="4" w:space="0"/>
              <w:right w:val="single" w:color="auto" w:sz="4" w:space="0"/>
            </w:tcBorders>
            <w:noWrap w:val="0"/>
            <w:vAlign w:val="top"/>
          </w:tcPr>
          <w:p w14:paraId="01602DF0">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尺寸：1240*860*1515mm</w:t>
            </w:r>
            <w:r>
              <w:rPr>
                <w:rFonts w:hint="eastAsia" w:ascii="Arial" w:hAnsi="Arial" w:eastAsia="宋体" w:cs="Arial"/>
                <w:color w:val="auto"/>
                <w:highlight w:val="none"/>
                <w:lang w:val="en-US" w:eastAsia="zh-CN"/>
              </w:rPr>
              <w:t>±20mm</w:t>
            </w:r>
            <w:r>
              <w:rPr>
                <w:rFonts w:hint="default" w:ascii="Arial" w:hAnsi="Arial" w:eastAsia="宋体" w:cs="Arial"/>
                <w:color w:val="auto"/>
                <w:highlight w:val="none"/>
                <w:lang w:val="en-US" w:eastAsia="zh-CN"/>
              </w:rPr>
              <w:t>，加热热源</w:t>
            </w:r>
            <w:r>
              <w:rPr>
                <w:rFonts w:hint="eastAsia" w:ascii="Arial" w:hAnsi="Arial" w:cs="Arial"/>
                <w:color w:val="auto"/>
                <w:highlight w:val="none"/>
                <w:lang w:val="en-US" w:eastAsia="zh-CN"/>
              </w:rPr>
              <w:t>：</w:t>
            </w:r>
            <w:r>
              <w:rPr>
                <w:rFonts w:hint="default" w:ascii="Arial" w:hAnsi="Arial" w:eastAsia="宋体" w:cs="Arial"/>
                <w:color w:val="auto"/>
                <w:highlight w:val="none"/>
                <w:lang w:val="en-US" w:eastAsia="zh-CN"/>
              </w:rPr>
              <w:t>380V</w:t>
            </w:r>
            <w:r>
              <w:rPr>
                <w:rFonts w:hint="eastAsia" w:ascii="Arial" w:hAnsi="Arial" w:cs="Arial"/>
                <w:color w:val="auto"/>
                <w:highlight w:val="none"/>
                <w:lang w:val="en-US" w:eastAsia="zh-CN"/>
              </w:rPr>
              <w:t>；</w:t>
            </w:r>
            <w:r>
              <w:rPr>
                <w:rFonts w:hint="default" w:ascii="Arial" w:hAnsi="Arial" w:eastAsia="宋体" w:cs="Arial"/>
                <w:color w:val="auto"/>
                <w:highlight w:val="none"/>
                <w:lang w:val="en-US" w:eastAsia="zh-CN"/>
              </w:rPr>
              <w:t>功率：19.8kw</w:t>
            </w:r>
            <w:r>
              <w:rPr>
                <w:rFonts w:hint="default" w:ascii="Arial" w:hAnsi="Arial" w:eastAsia="宋体" w:cs="Arial"/>
                <w:color w:val="auto"/>
                <w:highlight w:val="none"/>
                <w:lang w:val="en-US" w:eastAsia="zh-CN"/>
              </w:rPr>
              <w:br w:type="textWrapping"/>
            </w:r>
            <w:r>
              <w:rPr>
                <w:rFonts w:hint="eastAsia" w:ascii="Arial" w:hAnsi="Arial" w:cs="Arial"/>
                <w:color w:val="auto"/>
                <w:highlight w:val="none"/>
                <w:lang w:val="en-US" w:eastAsia="zh-CN"/>
              </w:rPr>
              <w:t>双</w:t>
            </w:r>
            <w:r>
              <w:rPr>
                <w:rFonts w:hint="default" w:ascii="Arial" w:hAnsi="Arial" w:eastAsia="宋体" w:cs="Arial"/>
                <w:color w:val="auto"/>
                <w:highlight w:val="none"/>
                <w:lang w:val="en-US" w:eastAsia="zh-CN"/>
              </w:rPr>
              <w:t>玻璃可视窗，美观大方。</w:t>
            </w:r>
          </w:p>
        </w:tc>
        <w:tc>
          <w:tcPr>
            <w:tcW w:w="1121" w:type="dxa"/>
            <w:tcBorders>
              <w:top w:val="single" w:color="auto" w:sz="4" w:space="0"/>
              <w:left w:val="single" w:color="auto" w:sz="4" w:space="0"/>
              <w:bottom w:val="single" w:color="auto" w:sz="4" w:space="0"/>
              <w:right w:val="single" w:color="auto" w:sz="4" w:space="0"/>
            </w:tcBorders>
            <w:noWrap w:val="0"/>
            <w:vAlign w:val="center"/>
          </w:tcPr>
          <w:p w14:paraId="120B33B5">
            <w:pPr>
              <w:keepNext w:val="0"/>
              <w:keepLines w:val="0"/>
              <w:widowControl/>
              <w:suppressLineNumbers w:val="0"/>
              <w:jc w:val="center"/>
              <w:textAlignment w:val="center"/>
              <w:rPr>
                <w:rFonts w:hint="default" w:ascii="Arial" w:hAnsi="Arial" w:cs="Arial"/>
                <w:color w:val="auto"/>
                <w:sz w:val="21"/>
                <w:szCs w:val="21"/>
                <w:highlight w:val="none"/>
                <w:lang w:val="en-US" w:eastAsia="zh-CN"/>
              </w:rPr>
            </w:pPr>
            <w:r>
              <w:rPr>
                <w:rFonts w:hint="default" w:ascii="Arial" w:hAnsi="Arial" w:eastAsia="宋体" w:cs="Arial"/>
                <w:i w:val="0"/>
                <w:iCs w:val="0"/>
                <w:color w:val="000000"/>
                <w:kern w:val="0"/>
                <w:sz w:val="21"/>
                <w:szCs w:val="21"/>
                <w:highlight w:val="none"/>
                <w:u w:val="none"/>
                <w:lang w:val="en-US" w:eastAsia="zh-CN" w:bidi="ar"/>
              </w:rPr>
              <w:t xml:space="preserve">8100.00 </w:t>
            </w:r>
          </w:p>
        </w:tc>
      </w:tr>
      <w:tr w14:paraId="327A9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jc w:val="center"/>
        </w:trPr>
        <w:tc>
          <w:tcPr>
            <w:tcW w:w="475" w:type="dxa"/>
            <w:tcBorders>
              <w:top w:val="single" w:color="auto" w:sz="4" w:space="0"/>
              <w:left w:val="single" w:color="auto" w:sz="4" w:space="0"/>
              <w:bottom w:val="single" w:color="auto" w:sz="4" w:space="0"/>
              <w:right w:val="single" w:color="auto" w:sz="4" w:space="0"/>
            </w:tcBorders>
            <w:noWrap w:val="0"/>
            <w:vAlign w:val="center"/>
          </w:tcPr>
          <w:p w14:paraId="23DAFCBE">
            <w:pPr>
              <w:keepNext w:val="0"/>
              <w:keepLines w:val="0"/>
              <w:widowControl/>
              <w:suppressLineNumbers w:val="0"/>
              <w:jc w:val="center"/>
              <w:textAlignment w:val="center"/>
              <w:rPr>
                <w:rFonts w:hint="default" w:ascii="Arial" w:hAnsi="Arial" w:eastAsia="宋体" w:cs="Arial"/>
                <w:b/>
                <w:bCs/>
                <w:color w:val="auto"/>
                <w:szCs w:val="21"/>
                <w:highlight w:val="none"/>
              </w:rPr>
            </w:pPr>
            <w:r>
              <w:rPr>
                <w:rFonts w:hint="default" w:ascii="Arial" w:hAnsi="Arial" w:eastAsia="宋体" w:cs="Arial"/>
                <w:i w:val="0"/>
                <w:iCs w:val="0"/>
                <w:color w:val="000000"/>
                <w:kern w:val="0"/>
                <w:sz w:val="21"/>
                <w:szCs w:val="21"/>
                <w:highlight w:val="none"/>
                <w:u w:val="none"/>
                <w:lang w:val="en-US" w:eastAsia="zh-CN" w:bidi="ar"/>
              </w:rPr>
              <w:t>12</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24D9ECC8">
            <w:pPr>
              <w:keepNext w:val="0"/>
              <w:keepLines w:val="0"/>
              <w:widowControl/>
              <w:suppressLineNumbers w:val="0"/>
              <w:jc w:val="center"/>
              <w:textAlignment w:val="center"/>
              <w:rPr>
                <w:rFonts w:hint="default" w:ascii="Arial" w:hAnsi="Arial" w:eastAsia="宋体" w:cs="Arial"/>
                <w:bCs/>
                <w:color w:val="auto"/>
                <w:szCs w:val="21"/>
                <w:highlight w:val="none"/>
                <w:lang w:val="en-US" w:eastAsia="zh-CN"/>
              </w:rPr>
            </w:pPr>
            <w:r>
              <w:rPr>
                <w:rFonts w:hint="default" w:ascii="Arial" w:hAnsi="Arial" w:eastAsia="宋体" w:cs="Arial"/>
                <w:i w:val="0"/>
                <w:iCs w:val="0"/>
                <w:color w:val="000000"/>
                <w:kern w:val="0"/>
                <w:sz w:val="21"/>
                <w:szCs w:val="21"/>
                <w:highlight w:val="none"/>
                <w:u w:val="none"/>
                <w:lang w:val="en-US" w:eastAsia="zh-CN" w:bidi="ar"/>
              </w:rPr>
              <w:t>打蛋搅拌机</w:t>
            </w:r>
          </w:p>
        </w:tc>
        <w:tc>
          <w:tcPr>
            <w:tcW w:w="775" w:type="dxa"/>
            <w:tcBorders>
              <w:top w:val="single" w:color="auto" w:sz="4" w:space="0"/>
              <w:left w:val="single" w:color="auto" w:sz="4" w:space="0"/>
              <w:bottom w:val="single" w:color="auto" w:sz="4" w:space="0"/>
              <w:right w:val="single" w:color="auto" w:sz="4" w:space="0"/>
            </w:tcBorders>
            <w:noWrap w:val="0"/>
            <w:vAlign w:val="center"/>
          </w:tcPr>
          <w:p w14:paraId="6F7BEB16">
            <w:pPr>
              <w:keepNext w:val="0"/>
              <w:keepLines w:val="0"/>
              <w:widowControl/>
              <w:suppressLineNumbers w:val="0"/>
              <w:jc w:val="center"/>
              <w:textAlignment w:val="center"/>
              <w:rPr>
                <w:rFonts w:hint="default" w:ascii="Arial" w:hAnsi="Arial" w:eastAsia="宋体" w:cs="Arial"/>
                <w:bCs/>
                <w:color w:val="auto"/>
                <w:szCs w:val="21"/>
                <w:highlight w:val="none"/>
              </w:rPr>
            </w:pPr>
            <w:r>
              <w:rPr>
                <w:rFonts w:hint="default" w:ascii="Arial" w:hAnsi="Arial" w:eastAsia="宋体" w:cs="Arial"/>
                <w:bCs/>
                <w:color w:val="auto"/>
                <w:szCs w:val="21"/>
                <w:highlight w:val="none"/>
              </w:rPr>
              <w:t>工业</w:t>
            </w:r>
          </w:p>
        </w:tc>
        <w:tc>
          <w:tcPr>
            <w:tcW w:w="65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91C7BC8">
            <w:pPr>
              <w:keepNext w:val="0"/>
              <w:keepLines w:val="0"/>
              <w:widowControl/>
              <w:suppressLineNumbers w:val="0"/>
              <w:jc w:val="center"/>
              <w:textAlignment w:val="center"/>
              <w:rPr>
                <w:rFonts w:hint="default" w:ascii="Arial" w:hAnsi="Arial" w:eastAsia="宋体" w:cs="Arial"/>
                <w:bCs/>
                <w:color w:val="auto"/>
                <w:kern w:val="2"/>
                <w:sz w:val="21"/>
                <w:szCs w:val="21"/>
                <w:highlight w:val="none"/>
                <w:lang w:val="en-US" w:eastAsia="zh-CN" w:bidi="ar-SA"/>
              </w:rPr>
            </w:pPr>
            <w:r>
              <w:rPr>
                <w:rFonts w:hint="default" w:ascii="Arial" w:hAnsi="Arial" w:eastAsia="宋体" w:cs="Arial"/>
                <w:i w:val="0"/>
                <w:iCs w:val="0"/>
                <w:color w:val="000000"/>
                <w:kern w:val="0"/>
                <w:sz w:val="21"/>
                <w:szCs w:val="21"/>
                <w:highlight w:val="none"/>
                <w:u w:val="none"/>
                <w:lang w:val="en-US" w:eastAsia="zh-CN" w:bidi="ar"/>
              </w:rPr>
              <w:t>4</w:t>
            </w:r>
          </w:p>
        </w:tc>
        <w:tc>
          <w:tcPr>
            <w:tcW w:w="647" w:type="dxa"/>
            <w:tcBorders>
              <w:top w:val="single" w:color="auto" w:sz="4" w:space="0"/>
              <w:left w:val="single" w:color="auto" w:sz="4" w:space="0"/>
              <w:bottom w:val="single" w:color="auto" w:sz="4" w:space="0"/>
              <w:right w:val="single" w:color="auto" w:sz="4" w:space="0"/>
            </w:tcBorders>
            <w:noWrap w:val="0"/>
            <w:vAlign w:val="center"/>
          </w:tcPr>
          <w:p w14:paraId="3DFA1A53">
            <w:pPr>
              <w:keepNext w:val="0"/>
              <w:keepLines w:val="0"/>
              <w:widowControl/>
              <w:suppressLineNumbers w:val="0"/>
              <w:jc w:val="center"/>
              <w:textAlignment w:val="center"/>
              <w:rPr>
                <w:rFonts w:hint="default" w:ascii="Arial" w:hAnsi="Arial" w:eastAsia="宋体" w:cs="Arial"/>
                <w:bCs/>
                <w:color w:val="auto"/>
                <w:szCs w:val="21"/>
                <w:highlight w:val="none"/>
                <w:lang w:val="en-US" w:eastAsia="zh-CN"/>
              </w:rPr>
            </w:pPr>
            <w:r>
              <w:rPr>
                <w:rFonts w:hint="default" w:ascii="Arial" w:hAnsi="Arial" w:eastAsia="宋体" w:cs="Arial"/>
                <w:i w:val="0"/>
                <w:iCs w:val="0"/>
                <w:color w:val="000000"/>
                <w:kern w:val="0"/>
                <w:sz w:val="21"/>
                <w:szCs w:val="21"/>
                <w:highlight w:val="none"/>
                <w:u w:val="none"/>
                <w:lang w:val="en-US" w:eastAsia="zh-CN" w:bidi="ar"/>
              </w:rPr>
              <w:t>台</w:t>
            </w:r>
          </w:p>
        </w:tc>
        <w:tc>
          <w:tcPr>
            <w:tcW w:w="5174" w:type="dxa"/>
            <w:tcBorders>
              <w:top w:val="single" w:color="auto" w:sz="4" w:space="0"/>
              <w:left w:val="single" w:color="auto" w:sz="4" w:space="0"/>
              <w:bottom w:val="single" w:color="auto" w:sz="4" w:space="0"/>
              <w:right w:val="single" w:color="auto" w:sz="4" w:space="0"/>
            </w:tcBorders>
            <w:noWrap w:val="0"/>
            <w:vAlign w:val="top"/>
          </w:tcPr>
          <w:p w14:paraId="5F935F00">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规格约：553*455*766mm</w:t>
            </w:r>
            <w:r>
              <w:rPr>
                <w:rFonts w:hint="eastAsia"/>
                <w:highlight w:val="none"/>
                <w:lang w:val="en-US" w:eastAsia="zh-CN"/>
              </w:rPr>
              <w:t>±10mm</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1.功率/电压约：1.1kw/220V</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2.容量(L)</w:t>
            </w:r>
            <w:r>
              <w:rPr>
                <w:rFonts w:hint="eastAsia" w:ascii="Arial" w:hAnsi="Arial" w:eastAsia="宋体" w:cs="Arial"/>
                <w:color w:val="auto"/>
                <w:highlight w:val="none"/>
                <w:lang w:val="en-US" w:eastAsia="zh-CN"/>
              </w:rPr>
              <w:t>：</w:t>
            </w:r>
            <w:r>
              <w:rPr>
                <w:rFonts w:hint="default" w:ascii="Arial" w:hAnsi="Arial" w:eastAsia="宋体" w:cs="Arial"/>
                <w:color w:val="auto"/>
                <w:highlight w:val="none"/>
                <w:lang w:val="en-US" w:eastAsia="zh-CN"/>
              </w:rPr>
              <w:t>30</w:t>
            </w:r>
            <w:r>
              <w:rPr>
                <w:rFonts w:hint="eastAsia" w:ascii="Arial" w:hAnsi="Arial" w:eastAsia="宋体" w:cs="Arial"/>
                <w:color w:val="auto"/>
                <w:highlight w:val="none"/>
                <w:lang w:val="en-US" w:eastAsia="zh-CN"/>
              </w:rPr>
              <w:t>±5</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3.和面量（KG)</w:t>
            </w:r>
            <w:r>
              <w:rPr>
                <w:rFonts w:hint="eastAsia" w:ascii="Arial" w:hAnsi="Arial" w:eastAsia="宋体" w:cs="Arial"/>
                <w:color w:val="auto"/>
                <w:highlight w:val="none"/>
                <w:lang w:val="en-US" w:eastAsia="zh-CN"/>
              </w:rPr>
              <w:t>：</w:t>
            </w:r>
            <w:r>
              <w:rPr>
                <w:rFonts w:hint="default" w:ascii="Arial" w:hAnsi="Arial" w:eastAsia="宋体" w:cs="Arial"/>
                <w:color w:val="auto"/>
                <w:highlight w:val="none"/>
                <w:lang w:val="en-US" w:eastAsia="zh-CN"/>
              </w:rPr>
              <w:t>6</w:t>
            </w:r>
            <w:r>
              <w:rPr>
                <w:rFonts w:hint="eastAsia" w:ascii="Arial" w:hAnsi="Arial" w:eastAsia="宋体" w:cs="Arial"/>
                <w:color w:val="auto"/>
                <w:highlight w:val="none"/>
                <w:lang w:val="en-US" w:eastAsia="zh-CN"/>
              </w:rPr>
              <w:t>±5</w:t>
            </w:r>
            <w:r>
              <w:rPr>
                <w:rFonts w:hint="default" w:ascii="Arial" w:hAnsi="Arial" w:eastAsia="宋体" w:cs="Arial"/>
                <w:color w:val="auto"/>
                <w:highlight w:val="none"/>
                <w:lang w:val="en-US" w:eastAsia="zh-CN"/>
              </w:rPr>
              <w:t xml:space="preserve">                     </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4.搅拌器转速（r/min)</w:t>
            </w:r>
            <w:r>
              <w:rPr>
                <w:rFonts w:hint="eastAsia" w:ascii="Arial" w:hAnsi="Arial" w:cs="Arial"/>
                <w:color w:val="auto"/>
                <w:highlight w:val="none"/>
                <w:lang w:val="en-US" w:eastAsia="zh-CN"/>
              </w:rPr>
              <w:t>：</w:t>
            </w:r>
            <w:r>
              <w:rPr>
                <w:rFonts w:hint="default" w:ascii="Arial" w:hAnsi="Arial" w:eastAsia="宋体" w:cs="Arial"/>
                <w:color w:val="auto"/>
                <w:highlight w:val="none"/>
                <w:lang w:val="en-US" w:eastAsia="zh-CN"/>
              </w:rPr>
              <w:t>100/166/360</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5</w:t>
            </w:r>
            <w:r>
              <w:rPr>
                <w:rFonts w:hint="eastAsia" w:ascii="Arial" w:hAnsi="Arial" w:cs="Arial"/>
                <w:color w:val="auto"/>
                <w:highlight w:val="none"/>
                <w:lang w:val="en-US" w:eastAsia="zh-CN"/>
              </w:rPr>
              <w:t>.</w:t>
            </w:r>
            <w:r>
              <w:rPr>
                <w:rFonts w:hint="default" w:ascii="Arial" w:hAnsi="Arial" w:eastAsia="宋体" w:cs="Arial"/>
                <w:color w:val="auto"/>
                <w:highlight w:val="none"/>
                <w:lang w:val="en-US" w:eastAsia="zh-CN"/>
              </w:rPr>
              <w:t>齿轮传动；设快速中速慢速三种速度，可切换；配国标铜线电机。</w:t>
            </w:r>
          </w:p>
        </w:tc>
        <w:tc>
          <w:tcPr>
            <w:tcW w:w="1121" w:type="dxa"/>
            <w:tcBorders>
              <w:top w:val="single" w:color="auto" w:sz="4" w:space="0"/>
              <w:left w:val="single" w:color="auto" w:sz="4" w:space="0"/>
              <w:bottom w:val="single" w:color="auto" w:sz="4" w:space="0"/>
              <w:right w:val="single" w:color="auto" w:sz="4" w:space="0"/>
            </w:tcBorders>
            <w:noWrap w:val="0"/>
            <w:vAlign w:val="center"/>
          </w:tcPr>
          <w:p w14:paraId="160B4B11">
            <w:pPr>
              <w:keepNext w:val="0"/>
              <w:keepLines w:val="0"/>
              <w:widowControl/>
              <w:suppressLineNumbers w:val="0"/>
              <w:jc w:val="center"/>
              <w:textAlignment w:val="center"/>
              <w:rPr>
                <w:rFonts w:hint="default" w:ascii="Arial" w:hAnsi="Arial" w:cs="Arial"/>
                <w:color w:val="auto"/>
                <w:sz w:val="21"/>
                <w:szCs w:val="21"/>
                <w:highlight w:val="none"/>
                <w:lang w:val="en-US" w:eastAsia="zh-CN"/>
              </w:rPr>
            </w:pPr>
            <w:r>
              <w:rPr>
                <w:rFonts w:hint="default" w:ascii="Arial" w:hAnsi="Arial" w:eastAsia="宋体" w:cs="Arial"/>
                <w:i w:val="0"/>
                <w:iCs w:val="0"/>
                <w:color w:val="000000"/>
                <w:kern w:val="0"/>
                <w:sz w:val="21"/>
                <w:szCs w:val="21"/>
                <w:highlight w:val="none"/>
                <w:u w:val="none"/>
                <w:lang w:val="en-US" w:eastAsia="zh-CN" w:bidi="ar"/>
              </w:rPr>
              <w:t xml:space="preserve">4500.00 </w:t>
            </w:r>
          </w:p>
        </w:tc>
      </w:tr>
      <w:tr w14:paraId="6124F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jc w:val="center"/>
        </w:trPr>
        <w:tc>
          <w:tcPr>
            <w:tcW w:w="475" w:type="dxa"/>
            <w:tcBorders>
              <w:top w:val="single" w:color="auto" w:sz="4" w:space="0"/>
              <w:left w:val="single" w:color="auto" w:sz="4" w:space="0"/>
              <w:bottom w:val="single" w:color="auto" w:sz="4" w:space="0"/>
              <w:right w:val="single" w:color="auto" w:sz="4" w:space="0"/>
            </w:tcBorders>
            <w:noWrap w:val="0"/>
            <w:vAlign w:val="center"/>
          </w:tcPr>
          <w:p w14:paraId="5BFF9F46">
            <w:pPr>
              <w:keepNext w:val="0"/>
              <w:keepLines w:val="0"/>
              <w:widowControl/>
              <w:suppressLineNumbers w:val="0"/>
              <w:jc w:val="center"/>
              <w:textAlignment w:val="center"/>
              <w:rPr>
                <w:rFonts w:hint="default" w:ascii="Arial" w:hAnsi="Arial" w:eastAsia="宋体" w:cs="Arial"/>
                <w:b/>
                <w:bCs/>
                <w:color w:val="auto"/>
                <w:szCs w:val="21"/>
                <w:highlight w:val="none"/>
              </w:rPr>
            </w:pPr>
            <w:r>
              <w:rPr>
                <w:rFonts w:hint="default" w:ascii="Arial" w:hAnsi="Arial" w:eastAsia="宋体" w:cs="Arial"/>
                <w:i w:val="0"/>
                <w:iCs w:val="0"/>
                <w:color w:val="000000"/>
                <w:kern w:val="0"/>
                <w:sz w:val="21"/>
                <w:szCs w:val="21"/>
                <w:highlight w:val="none"/>
                <w:u w:val="none"/>
                <w:lang w:val="en-US" w:eastAsia="zh-CN" w:bidi="ar"/>
              </w:rPr>
              <w:t>13</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78C2B8C8">
            <w:pPr>
              <w:keepNext w:val="0"/>
              <w:keepLines w:val="0"/>
              <w:widowControl/>
              <w:suppressLineNumbers w:val="0"/>
              <w:jc w:val="center"/>
              <w:textAlignment w:val="center"/>
              <w:rPr>
                <w:rFonts w:hint="default" w:ascii="Arial" w:hAnsi="Arial" w:eastAsia="宋体" w:cs="Arial"/>
                <w:bCs/>
                <w:color w:val="auto"/>
                <w:szCs w:val="21"/>
                <w:highlight w:val="none"/>
                <w:lang w:val="en-US" w:eastAsia="zh-CN"/>
              </w:rPr>
            </w:pPr>
            <w:r>
              <w:rPr>
                <w:rFonts w:hint="default" w:ascii="Arial" w:hAnsi="Arial" w:eastAsia="宋体" w:cs="Arial"/>
                <w:i w:val="0"/>
                <w:iCs w:val="0"/>
                <w:color w:val="000000"/>
                <w:kern w:val="0"/>
                <w:sz w:val="21"/>
                <w:szCs w:val="21"/>
                <w:highlight w:val="none"/>
                <w:u w:val="none"/>
                <w:lang w:val="en-US" w:eastAsia="zh-CN" w:bidi="ar"/>
              </w:rPr>
              <w:t>不粘烤盘</w:t>
            </w:r>
          </w:p>
        </w:tc>
        <w:tc>
          <w:tcPr>
            <w:tcW w:w="775" w:type="dxa"/>
            <w:tcBorders>
              <w:top w:val="single" w:color="auto" w:sz="4" w:space="0"/>
              <w:left w:val="single" w:color="auto" w:sz="4" w:space="0"/>
              <w:bottom w:val="single" w:color="auto" w:sz="4" w:space="0"/>
              <w:right w:val="single" w:color="auto" w:sz="4" w:space="0"/>
            </w:tcBorders>
            <w:noWrap w:val="0"/>
            <w:vAlign w:val="center"/>
          </w:tcPr>
          <w:p w14:paraId="3E16ADC6">
            <w:pPr>
              <w:keepNext w:val="0"/>
              <w:keepLines w:val="0"/>
              <w:widowControl/>
              <w:suppressLineNumbers w:val="0"/>
              <w:jc w:val="center"/>
              <w:textAlignment w:val="center"/>
              <w:rPr>
                <w:rFonts w:hint="default" w:ascii="Arial" w:hAnsi="Arial" w:eastAsia="宋体" w:cs="Arial"/>
                <w:bCs/>
                <w:color w:val="auto"/>
                <w:szCs w:val="21"/>
                <w:highlight w:val="none"/>
              </w:rPr>
            </w:pPr>
            <w:r>
              <w:rPr>
                <w:rFonts w:hint="default" w:ascii="Arial" w:hAnsi="Arial" w:eastAsia="宋体" w:cs="Arial"/>
                <w:bCs/>
                <w:color w:val="auto"/>
                <w:szCs w:val="21"/>
                <w:highlight w:val="none"/>
              </w:rPr>
              <w:t>工业</w:t>
            </w:r>
          </w:p>
        </w:tc>
        <w:tc>
          <w:tcPr>
            <w:tcW w:w="65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F07FDA4">
            <w:pPr>
              <w:keepNext w:val="0"/>
              <w:keepLines w:val="0"/>
              <w:widowControl/>
              <w:suppressLineNumbers w:val="0"/>
              <w:jc w:val="center"/>
              <w:textAlignment w:val="center"/>
              <w:rPr>
                <w:rFonts w:hint="default" w:ascii="Arial" w:hAnsi="Arial" w:eastAsia="宋体" w:cs="Arial"/>
                <w:bCs/>
                <w:color w:val="auto"/>
                <w:kern w:val="2"/>
                <w:sz w:val="21"/>
                <w:szCs w:val="21"/>
                <w:highlight w:val="none"/>
                <w:lang w:val="en-US" w:eastAsia="zh-CN" w:bidi="ar-SA"/>
              </w:rPr>
            </w:pPr>
            <w:r>
              <w:rPr>
                <w:rFonts w:hint="default" w:ascii="Arial" w:hAnsi="Arial" w:eastAsia="宋体" w:cs="Arial"/>
                <w:i w:val="0"/>
                <w:iCs w:val="0"/>
                <w:color w:val="000000"/>
                <w:kern w:val="0"/>
                <w:sz w:val="21"/>
                <w:szCs w:val="21"/>
                <w:highlight w:val="none"/>
                <w:u w:val="none"/>
                <w:lang w:val="en-US" w:eastAsia="zh-CN" w:bidi="ar"/>
              </w:rPr>
              <w:t>100</w:t>
            </w:r>
          </w:p>
        </w:tc>
        <w:tc>
          <w:tcPr>
            <w:tcW w:w="647" w:type="dxa"/>
            <w:tcBorders>
              <w:top w:val="single" w:color="auto" w:sz="4" w:space="0"/>
              <w:left w:val="single" w:color="auto" w:sz="4" w:space="0"/>
              <w:bottom w:val="single" w:color="auto" w:sz="4" w:space="0"/>
              <w:right w:val="single" w:color="auto" w:sz="4" w:space="0"/>
            </w:tcBorders>
            <w:noWrap w:val="0"/>
            <w:vAlign w:val="center"/>
          </w:tcPr>
          <w:p w14:paraId="2C2ACC9C">
            <w:pPr>
              <w:keepNext w:val="0"/>
              <w:keepLines w:val="0"/>
              <w:widowControl/>
              <w:suppressLineNumbers w:val="0"/>
              <w:jc w:val="center"/>
              <w:textAlignment w:val="center"/>
              <w:rPr>
                <w:rFonts w:hint="default" w:ascii="Arial" w:hAnsi="Arial" w:eastAsia="宋体" w:cs="Arial"/>
                <w:bCs/>
                <w:color w:val="auto"/>
                <w:szCs w:val="21"/>
                <w:highlight w:val="none"/>
                <w:lang w:val="en-US" w:eastAsia="zh-CN"/>
              </w:rPr>
            </w:pPr>
            <w:r>
              <w:rPr>
                <w:rFonts w:hint="default" w:ascii="Arial" w:hAnsi="Arial" w:eastAsia="宋体" w:cs="Arial"/>
                <w:i w:val="0"/>
                <w:iCs w:val="0"/>
                <w:color w:val="000000"/>
                <w:kern w:val="0"/>
                <w:sz w:val="21"/>
                <w:szCs w:val="21"/>
                <w:highlight w:val="none"/>
                <w:u w:val="none"/>
                <w:lang w:val="en-US" w:eastAsia="zh-CN" w:bidi="ar"/>
              </w:rPr>
              <w:t>个</w:t>
            </w:r>
          </w:p>
        </w:tc>
        <w:tc>
          <w:tcPr>
            <w:tcW w:w="5174" w:type="dxa"/>
            <w:tcBorders>
              <w:top w:val="single" w:color="auto" w:sz="4" w:space="0"/>
              <w:left w:val="single" w:color="auto" w:sz="4" w:space="0"/>
              <w:bottom w:val="single" w:color="auto" w:sz="4" w:space="0"/>
              <w:right w:val="single" w:color="auto" w:sz="4" w:space="0"/>
            </w:tcBorders>
            <w:noWrap w:val="0"/>
            <w:vAlign w:val="top"/>
          </w:tcPr>
          <w:p w14:paraId="3BE8BFB6">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（不用油纸）40×60cm</w:t>
            </w:r>
          </w:p>
        </w:tc>
        <w:tc>
          <w:tcPr>
            <w:tcW w:w="1121" w:type="dxa"/>
            <w:tcBorders>
              <w:top w:val="single" w:color="auto" w:sz="4" w:space="0"/>
              <w:left w:val="single" w:color="auto" w:sz="4" w:space="0"/>
              <w:bottom w:val="single" w:color="auto" w:sz="4" w:space="0"/>
              <w:right w:val="single" w:color="auto" w:sz="4" w:space="0"/>
            </w:tcBorders>
            <w:noWrap w:val="0"/>
            <w:vAlign w:val="center"/>
          </w:tcPr>
          <w:p w14:paraId="5D789CF1">
            <w:pPr>
              <w:keepNext w:val="0"/>
              <w:keepLines w:val="0"/>
              <w:widowControl/>
              <w:suppressLineNumbers w:val="0"/>
              <w:jc w:val="center"/>
              <w:textAlignment w:val="center"/>
              <w:rPr>
                <w:rFonts w:hint="default" w:ascii="Arial" w:hAnsi="Arial" w:cs="Arial"/>
                <w:color w:val="auto"/>
                <w:sz w:val="21"/>
                <w:szCs w:val="21"/>
                <w:highlight w:val="none"/>
                <w:lang w:val="en-US" w:eastAsia="zh-CN"/>
              </w:rPr>
            </w:pPr>
            <w:r>
              <w:rPr>
                <w:rFonts w:hint="default" w:ascii="Arial" w:hAnsi="Arial" w:eastAsia="宋体" w:cs="Arial"/>
                <w:i w:val="0"/>
                <w:iCs w:val="0"/>
                <w:color w:val="000000"/>
                <w:kern w:val="0"/>
                <w:sz w:val="21"/>
                <w:szCs w:val="21"/>
                <w:highlight w:val="none"/>
                <w:u w:val="none"/>
                <w:lang w:val="en-US" w:eastAsia="zh-CN" w:bidi="ar"/>
              </w:rPr>
              <w:t xml:space="preserve">70.00 </w:t>
            </w:r>
          </w:p>
        </w:tc>
      </w:tr>
      <w:tr w14:paraId="58201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jc w:val="center"/>
        </w:trPr>
        <w:tc>
          <w:tcPr>
            <w:tcW w:w="475" w:type="dxa"/>
            <w:tcBorders>
              <w:top w:val="single" w:color="auto" w:sz="4" w:space="0"/>
              <w:left w:val="single" w:color="auto" w:sz="4" w:space="0"/>
              <w:bottom w:val="single" w:color="auto" w:sz="4" w:space="0"/>
              <w:right w:val="single" w:color="auto" w:sz="4" w:space="0"/>
            </w:tcBorders>
            <w:noWrap w:val="0"/>
            <w:vAlign w:val="center"/>
          </w:tcPr>
          <w:p w14:paraId="41F5879D">
            <w:pPr>
              <w:keepNext w:val="0"/>
              <w:keepLines w:val="0"/>
              <w:widowControl/>
              <w:suppressLineNumbers w:val="0"/>
              <w:jc w:val="center"/>
              <w:textAlignment w:val="center"/>
              <w:rPr>
                <w:rFonts w:hint="default" w:ascii="Arial" w:hAnsi="Arial" w:eastAsia="宋体" w:cs="Arial"/>
                <w:b/>
                <w:bCs/>
                <w:color w:val="auto"/>
                <w:szCs w:val="21"/>
                <w:highlight w:val="none"/>
              </w:rPr>
            </w:pPr>
            <w:r>
              <w:rPr>
                <w:rFonts w:hint="default" w:ascii="Arial" w:hAnsi="Arial" w:eastAsia="宋体" w:cs="Arial"/>
                <w:i w:val="0"/>
                <w:iCs w:val="0"/>
                <w:color w:val="000000"/>
                <w:kern w:val="0"/>
                <w:sz w:val="21"/>
                <w:szCs w:val="21"/>
                <w:highlight w:val="none"/>
                <w:u w:val="none"/>
                <w:lang w:val="en-US" w:eastAsia="zh-CN" w:bidi="ar"/>
              </w:rPr>
              <w:t>14</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5C7148E8">
            <w:pPr>
              <w:keepNext w:val="0"/>
              <w:keepLines w:val="0"/>
              <w:widowControl/>
              <w:suppressLineNumbers w:val="0"/>
              <w:jc w:val="center"/>
              <w:textAlignment w:val="center"/>
              <w:rPr>
                <w:rFonts w:hint="default" w:ascii="Arial" w:hAnsi="Arial" w:eastAsia="宋体" w:cs="Arial"/>
                <w:bCs/>
                <w:color w:val="auto"/>
                <w:szCs w:val="21"/>
                <w:highlight w:val="none"/>
                <w:lang w:val="en-US" w:eastAsia="zh-CN"/>
              </w:rPr>
            </w:pPr>
            <w:r>
              <w:rPr>
                <w:rFonts w:hint="default" w:ascii="Arial" w:hAnsi="Arial" w:eastAsia="宋体" w:cs="Arial"/>
                <w:i w:val="0"/>
                <w:iCs w:val="0"/>
                <w:color w:val="000000"/>
                <w:kern w:val="0"/>
                <w:sz w:val="21"/>
                <w:szCs w:val="21"/>
                <w:highlight w:val="none"/>
                <w:u w:val="none"/>
                <w:lang w:val="en-US" w:eastAsia="zh-CN" w:bidi="ar"/>
              </w:rPr>
              <w:t>制冰机</w:t>
            </w:r>
          </w:p>
        </w:tc>
        <w:tc>
          <w:tcPr>
            <w:tcW w:w="775" w:type="dxa"/>
            <w:tcBorders>
              <w:top w:val="single" w:color="auto" w:sz="4" w:space="0"/>
              <w:left w:val="single" w:color="auto" w:sz="4" w:space="0"/>
              <w:bottom w:val="single" w:color="auto" w:sz="4" w:space="0"/>
              <w:right w:val="single" w:color="auto" w:sz="4" w:space="0"/>
            </w:tcBorders>
            <w:noWrap w:val="0"/>
            <w:vAlign w:val="center"/>
          </w:tcPr>
          <w:p w14:paraId="0022022D">
            <w:pPr>
              <w:keepNext w:val="0"/>
              <w:keepLines w:val="0"/>
              <w:widowControl/>
              <w:suppressLineNumbers w:val="0"/>
              <w:jc w:val="center"/>
              <w:textAlignment w:val="center"/>
              <w:rPr>
                <w:rFonts w:hint="default" w:ascii="Arial" w:hAnsi="Arial" w:eastAsia="宋体" w:cs="Arial"/>
                <w:bCs/>
                <w:color w:val="auto"/>
                <w:szCs w:val="21"/>
                <w:highlight w:val="none"/>
              </w:rPr>
            </w:pPr>
            <w:r>
              <w:rPr>
                <w:rFonts w:hint="default" w:ascii="Arial" w:hAnsi="Arial" w:eastAsia="宋体" w:cs="Arial"/>
                <w:bCs/>
                <w:color w:val="auto"/>
                <w:szCs w:val="21"/>
                <w:highlight w:val="none"/>
              </w:rPr>
              <w:t>工业</w:t>
            </w:r>
          </w:p>
        </w:tc>
        <w:tc>
          <w:tcPr>
            <w:tcW w:w="65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5EE550D">
            <w:pPr>
              <w:keepNext w:val="0"/>
              <w:keepLines w:val="0"/>
              <w:widowControl/>
              <w:suppressLineNumbers w:val="0"/>
              <w:jc w:val="center"/>
              <w:textAlignment w:val="center"/>
              <w:rPr>
                <w:rFonts w:hint="default" w:ascii="Arial" w:hAnsi="Arial" w:eastAsia="宋体" w:cs="Arial"/>
                <w:bCs/>
                <w:color w:val="auto"/>
                <w:kern w:val="2"/>
                <w:sz w:val="21"/>
                <w:szCs w:val="21"/>
                <w:highlight w:val="none"/>
                <w:lang w:val="en-US" w:eastAsia="zh-CN" w:bidi="ar-SA"/>
              </w:rPr>
            </w:pPr>
            <w:r>
              <w:rPr>
                <w:rFonts w:hint="default" w:ascii="Arial" w:hAnsi="Arial" w:eastAsia="宋体" w:cs="Arial"/>
                <w:i w:val="0"/>
                <w:iCs w:val="0"/>
                <w:color w:val="000000"/>
                <w:kern w:val="0"/>
                <w:sz w:val="21"/>
                <w:szCs w:val="21"/>
                <w:highlight w:val="none"/>
                <w:u w:val="none"/>
                <w:lang w:val="en-US" w:eastAsia="zh-CN" w:bidi="ar"/>
              </w:rPr>
              <w:t>2</w:t>
            </w:r>
          </w:p>
        </w:tc>
        <w:tc>
          <w:tcPr>
            <w:tcW w:w="647" w:type="dxa"/>
            <w:tcBorders>
              <w:top w:val="single" w:color="auto" w:sz="4" w:space="0"/>
              <w:left w:val="single" w:color="auto" w:sz="4" w:space="0"/>
              <w:bottom w:val="single" w:color="auto" w:sz="4" w:space="0"/>
              <w:right w:val="single" w:color="auto" w:sz="4" w:space="0"/>
            </w:tcBorders>
            <w:noWrap w:val="0"/>
            <w:vAlign w:val="center"/>
          </w:tcPr>
          <w:p w14:paraId="70E94E01">
            <w:pPr>
              <w:keepNext w:val="0"/>
              <w:keepLines w:val="0"/>
              <w:widowControl/>
              <w:suppressLineNumbers w:val="0"/>
              <w:jc w:val="center"/>
              <w:textAlignment w:val="center"/>
              <w:rPr>
                <w:rFonts w:hint="default" w:ascii="Arial" w:hAnsi="Arial" w:eastAsia="宋体" w:cs="Arial"/>
                <w:bCs/>
                <w:color w:val="auto"/>
                <w:szCs w:val="21"/>
                <w:highlight w:val="none"/>
                <w:lang w:val="en-US" w:eastAsia="zh-CN"/>
              </w:rPr>
            </w:pPr>
            <w:r>
              <w:rPr>
                <w:rFonts w:hint="default" w:ascii="Arial" w:hAnsi="Arial" w:eastAsia="宋体" w:cs="Arial"/>
                <w:i w:val="0"/>
                <w:iCs w:val="0"/>
                <w:color w:val="000000"/>
                <w:kern w:val="0"/>
                <w:sz w:val="21"/>
                <w:szCs w:val="21"/>
                <w:highlight w:val="none"/>
                <w:u w:val="none"/>
                <w:lang w:val="en-US" w:eastAsia="zh-CN" w:bidi="ar"/>
              </w:rPr>
              <w:t>台</w:t>
            </w:r>
          </w:p>
        </w:tc>
        <w:tc>
          <w:tcPr>
            <w:tcW w:w="5174" w:type="dxa"/>
            <w:tcBorders>
              <w:top w:val="single" w:color="auto" w:sz="4" w:space="0"/>
              <w:left w:val="single" w:color="auto" w:sz="4" w:space="0"/>
              <w:bottom w:val="single" w:color="auto" w:sz="4" w:space="0"/>
              <w:right w:val="single" w:color="auto" w:sz="4" w:space="0"/>
            </w:tcBorders>
            <w:noWrap w:val="0"/>
            <w:vAlign w:val="top"/>
          </w:tcPr>
          <w:p w14:paraId="02E4C5C0">
            <w:pPr>
              <w:pStyle w:val="20"/>
              <w:keepNext w:val="0"/>
              <w:keepLines w:val="0"/>
              <w:pageBreakBefore w:val="0"/>
              <w:widowControl w:val="0"/>
              <w:numPr>
                <w:ilvl w:val="0"/>
                <w:numId w:val="4"/>
              </w:numPr>
              <w:kinsoku/>
              <w:wordWrap/>
              <w:overflowPunct/>
              <w:topLinePunct w:val="0"/>
              <w:autoSpaceDE/>
              <w:autoSpaceDN/>
              <w:bidi w:val="0"/>
              <w:adjustRightInd/>
              <w:snapToGrid/>
              <w:spacing w:after="0" w:line="400" w:lineRule="exact"/>
              <w:textAlignment w:val="auto"/>
              <w:rPr>
                <w:rFonts w:hint="eastAsia"/>
                <w:highlight w:val="none"/>
                <w:lang w:val="en-US" w:eastAsia="zh-CN"/>
              </w:rPr>
            </w:pPr>
            <w:r>
              <w:rPr>
                <w:rFonts w:hint="default" w:ascii="Arial" w:hAnsi="Arial" w:eastAsia="宋体" w:cs="Arial"/>
                <w:color w:val="auto"/>
                <w:highlight w:val="none"/>
                <w:lang w:val="en-US" w:eastAsia="zh-CN"/>
              </w:rPr>
              <w:t>尺寸</w:t>
            </w:r>
            <w:r>
              <w:rPr>
                <w:rFonts w:hint="eastAsia" w:ascii="Arial" w:hAnsi="Arial" w:cs="Arial"/>
                <w:color w:val="auto"/>
                <w:highlight w:val="none"/>
                <w:lang w:val="en-US" w:eastAsia="zh-CN"/>
              </w:rPr>
              <w:t>：</w:t>
            </w:r>
            <w:r>
              <w:rPr>
                <w:rFonts w:hint="default" w:ascii="Arial" w:hAnsi="Arial" w:eastAsia="宋体" w:cs="Arial"/>
                <w:color w:val="auto"/>
                <w:highlight w:val="none"/>
                <w:lang w:val="en-US" w:eastAsia="zh-CN"/>
              </w:rPr>
              <w:t>500*400*840mm</w:t>
            </w:r>
            <w:r>
              <w:rPr>
                <w:rFonts w:hint="eastAsia" w:ascii="Arial" w:hAnsi="Arial" w:eastAsia="宋体" w:cs="Arial"/>
                <w:color w:val="auto"/>
                <w:highlight w:val="none"/>
                <w:lang w:val="en-US" w:eastAsia="zh-CN"/>
              </w:rPr>
              <w:t>±10mm</w:t>
            </w:r>
          </w:p>
          <w:p w14:paraId="51558A6E">
            <w:pPr>
              <w:pStyle w:val="20"/>
              <w:keepNext w:val="0"/>
              <w:keepLines w:val="0"/>
              <w:pageBreakBefore w:val="0"/>
              <w:widowControl w:val="0"/>
              <w:numPr>
                <w:ilvl w:val="0"/>
                <w:numId w:val="4"/>
              </w:numPr>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冰块形状</w:t>
            </w:r>
            <w:r>
              <w:rPr>
                <w:rFonts w:hint="eastAsia" w:ascii="Arial" w:hAnsi="Arial" w:cs="Arial"/>
                <w:color w:val="auto"/>
                <w:highlight w:val="none"/>
                <w:lang w:val="en-US" w:eastAsia="zh-CN"/>
              </w:rPr>
              <w:t>：</w:t>
            </w:r>
            <w:r>
              <w:rPr>
                <w:rFonts w:hint="default" w:ascii="Arial" w:hAnsi="Arial" w:eastAsia="宋体" w:cs="Arial"/>
                <w:color w:val="auto"/>
                <w:highlight w:val="none"/>
                <w:lang w:val="en-US" w:eastAsia="zh-CN"/>
              </w:rPr>
              <w:t>方块冰</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3、日产冰量</w:t>
            </w:r>
            <w:r>
              <w:rPr>
                <w:rFonts w:hint="eastAsia" w:ascii="Arial" w:hAnsi="Arial" w:cs="Arial"/>
                <w:color w:val="auto"/>
                <w:highlight w:val="none"/>
                <w:lang w:val="en-US" w:eastAsia="zh-CN"/>
              </w:rPr>
              <w:t>：</w:t>
            </w:r>
            <w:r>
              <w:rPr>
                <w:rFonts w:hint="eastAsia"/>
                <w:highlight w:val="none"/>
                <w:lang w:val="en-US" w:eastAsia="zh-CN"/>
              </w:rPr>
              <w:t>≥</w:t>
            </w:r>
            <w:r>
              <w:rPr>
                <w:rFonts w:hint="default" w:ascii="Arial" w:hAnsi="Arial" w:eastAsia="宋体" w:cs="Arial"/>
                <w:color w:val="auto"/>
                <w:highlight w:val="none"/>
                <w:lang w:val="en-US" w:eastAsia="zh-CN"/>
              </w:rPr>
              <w:t>32kg</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4、储冰量</w:t>
            </w:r>
            <w:r>
              <w:rPr>
                <w:rFonts w:hint="eastAsia" w:ascii="Arial" w:hAnsi="Arial" w:cs="Arial"/>
                <w:color w:val="auto"/>
                <w:highlight w:val="none"/>
                <w:lang w:val="en-US" w:eastAsia="zh-CN"/>
              </w:rPr>
              <w:t>：</w:t>
            </w:r>
            <w:r>
              <w:rPr>
                <w:rFonts w:hint="eastAsia"/>
                <w:highlight w:val="none"/>
                <w:lang w:val="en-US" w:eastAsia="zh-CN"/>
              </w:rPr>
              <w:t>≥</w:t>
            </w:r>
            <w:r>
              <w:rPr>
                <w:rFonts w:hint="default" w:ascii="Arial" w:hAnsi="Arial" w:eastAsia="宋体" w:cs="Arial"/>
                <w:color w:val="auto"/>
                <w:highlight w:val="none"/>
                <w:lang w:val="en-US" w:eastAsia="zh-CN"/>
              </w:rPr>
              <w:t>20kg</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5、功率</w:t>
            </w:r>
            <w:r>
              <w:rPr>
                <w:rFonts w:hint="eastAsia" w:ascii="Arial" w:hAnsi="Arial" w:cs="Arial"/>
                <w:color w:val="auto"/>
                <w:highlight w:val="none"/>
                <w:lang w:val="en-US" w:eastAsia="zh-CN"/>
              </w:rPr>
              <w:t>：</w:t>
            </w:r>
            <w:r>
              <w:rPr>
                <w:rFonts w:hint="default" w:ascii="Arial" w:hAnsi="Arial" w:eastAsia="宋体" w:cs="Arial"/>
                <w:color w:val="auto"/>
                <w:highlight w:val="none"/>
                <w:lang w:val="en-US" w:eastAsia="zh-CN"/>
              </w:rPr>
              <w:t>220V/260W</w:t>
            </w:r>
            <w:r>
              <w:rPr>
                <w:rFonts w:hint="eastAsia" w:ascii="Arial" w:hAnsi="Arial" w:cs="Arial"/>
                <w:color w:val="auto"/>
                <w:highlight w:val="none"/>
                <w:lang w:val="en-US" w:eastAsia="zh-CN"/>
              </w:rPr>
              <w:t>、</w:t>
            </w:r>
            <w:r>
              <w:rPr>
                <w:rFonts w:hint="default" w:ascii="Arial" w:hAnsi="Arial" w:eastAsia="宋体" w:cs="Arial"/>
                <w:color w:val="auto"/>
                <w:highlight w:val="none"/>
                <w:lang w:val="en-US" w:eastAsia="zh-CN"/>
              </w:rPr>
              <w:t>冷凝方式</w:t>
            </w:r>
            <w:r>
              <w:rPr>
                <w:rFonts w:hint="eastAsia" w:ascii="Arial" w:hAnsi="Arial" w:cs="Arial"/>
                <w:color w:val="auto"/>
                <w:highlight w:val="none"/>
                <w:lang w:val="en-US" w:eastAsia="zh-CN"/>
              </w:rPr>
              <w:t>：</w:t>
            </w:r>
            <w:r>
              <w:rPr>
                <w:rFonts w:hint="default" w:ascii="Arial" w:hAnsi="Arial" w:eastAsia="宋体" w:cs="Arial"/>
                <w:color w:val="auto"/>
                <w:highlight w:val="none"/>
                <w:lang w:val="en-US" w:eastAsia="zh-CN"/>
              </w:rPr>
              <w:t>风冷</w:t>
            </w:r>
          </w:p>
        </w:tc>
        <w:tc>
          <w:tcPr>
            <w:tcW w:w="1121" w:type="dxa"/>
            <w:tcBorders>
              <w:top w:val="single" w:color="auto" w:sz="4" w:space="0"/>
              <w:left w:val="single" w:color="auto" w:sz="4" w:space="0"/>
              <w:bottom w:val="single" w:color="auto" w:sz="4" w:space="0"/>
              <w:right w:val="single" w:color="auto" w:sz="4" w:space="0"/>
            </w:tcBorders>
            <w:noWrap w:val="0"/>
            <w:vAlign w:val="center"/>
          </w:tcPr>
          <w:p w14:paraId="639893A3">
            <w:pPr>
              <w:keepNext w:val="0"/>
              <w:keepLines w:val="0"/>
              <w:widowControl/>
              <w:suppressLineNumbers w:val="0"/>
              <w:jc w:val="center"/>
              <w:textAlignment w:val="center"/>
              <w:rPr>
                <w:rFonts w:hint="default" w:ascii="Arial" w:hAnsi="Arial" w:cs="Arial"/>
                <w:color w:val="auto"/>
                <w:sz w:val="21"/>
                <w:szCs w:val="21"/>
                <w:highlight w:val="none"/>
                <w:lang w:val="en-US" w:eastAsia="zh-CN"/>
              </w:rPr>
            </w:pPr>
            <w:r>
              <w:rPr>
                <w:rFonts w:hint="default" w:ascii="Arial" w:hAnsi="Arial" w:eastAsia="宋体" w:cs="Arial"/>
                <w:i w:val="0"/>
                <w:iCs w:val="0"/>
                <w:color w:val="000000"/>
                <w:kern w:val="0"/>
                <w:sz w:val="21"/>
                <w:szCs w:val="21"/>
                <w:highlight w:val="none"/>
                <w:u w:val="none"/>
                <w:lang w:val="en-US" w:eastAsia="zh-CN" w:bidi="ar"/>
              </w:rPr>
              <w:t xml:space="preserve">4200.00 </w:t>
            </w:r>
          </w:p>
        </w:tc>
      </w:tr>
      <w:tr w14:paraId="335E5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jc w:val="center"/>
        </w:trPr>
        <w:tc>
          <w:tcPr>
            <w:tcW w:w="475" w:type="dxa"/>
            <w:tcBorders>
              <w:top w:val="single" w:color="auto" w:sz="4" w:space="0"/>
              <w:left w:val="single" w:color="auto" w:sz="4" w:space="0"/>
              <w:bottom w:val="single" w:color="auto" w:sz="4" w:space="0"/>
              <w:right w:val="single" w:color="auto" w:sz="4" w:space="0"/>
            </w:tcBorders>
            <w:noWrap w:val="0"/>
            <w:vAlign w:val="center"/>
          </w:tcPr>
          <w:p w14:paraId="7B1A31DF">
            <w:pPr>
              <w:keepNext w:val="0"/>
              <w:keepLines w:val="0"/>
              <w:widowControl/>
              <w:suppressLineNumbers w:val="0"/>
              <w:jc w:val="center"/>
              <w:textAlignment w:val="center"/>
              <w:rPr>
                <w:rFonts w:hint="default" w:ascii="Arial" w:hAnsi="Arial" w:eastAsia="宋体" w:cs="Arial"/>
                <w:b/>
                <w:bCs/>
                <w:color w:val="auto"/>
                <w:szCs w:val="21"/>
                <w:highlight w:val="none"/>
              </w:rPr>
            </w:pPr>
            <w:r>
              <w:rPr>
                <w:rFonts w:hint="default" w:ascii="Arial" w:hAnsi="Arial" w:eastAsia="宋体" w:cs="Arial"/>
                <w:i w:val="0"/>
                <w:iCs w:val="0"/>
                <w:color w:val="000000"/>
                <w:kern w:val="0"/>
                <w:sz w:val="21"/>
                <w:szCs w:val="21"/>
                <w:highlight w:val="none"/>
                <w:u w:val="none"/>
                <w:lang w:val="en-US" w:eastAsia="zh-CN" w:bidi="ar"/>
              </w:rPr>
              <w:t>15</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03F53A69">
            <w:pPr>
              <w:keepNext w:val="0"/>
              <w:keepLines w:val="0"/>
              <w:widowControl/>
              <w:suppressLineNumbers w:val="0"/>
              <w:jc w:val="center"/>
              <w:textAlignment w:val="center"/>
              <w:rPr>
                <w:rFonts w:hint="default" w:ascii="Arial" w:hAnsi="Arial" w:eastAsia="宋体" w:cs="Arial"/>
                <w:bCs/>
                <w:color w:val="auto"/>
                <w:szCs w:val="21"/>
                <w:highlight w:val="none"/>
                <w:lang w:val="en-US" w:eastAsia="zh-CN"/>
              </w:rPr>
            </w:pPr>
            <w:r>
              <w:rPr>
                <w:rFonts w:hint="default" w:ascii="Arial" w:hAnsi="Arial" w:eastAsia="宋体" w:cs="Arial"/>
                <w:i w:val="0"/>
                <w:iCs w:val="0"/>
                <w:color w:val="000000"/>
                <w:kern w:val="0"/>
                <w:sz w:val="21"/>
                <w:szCs w:val="21"/>
                <w:highlight w:val="none"/>
                <w:u w:val="none"/>
                <w:lang w:val="en-US" w:eastAsia="zh-CN" w:bidi="ar"/>
              </w:rPr>
              <w:t>西式开酥机</w:t>
            </w:r>
          </w:p>
        </w:tc>
        <w:tc>
          <w:tcPr>
            <w:tcW w:w="775" w:type="dxa"/>
            <w:tcBorders>
              <w:top w:val="single" w:color="auto" w:sz="4" w:space="0"/>
              <w:left w:val="single" w:color="auto" w:sz="4" w:space="0"/>
              <w:bottom w:val="single" w:color="auto" w:sz="4" w:space="0"/>
              <w:right w:val="single" w:color="auto" w:sz="4" w:space="0"/>
            </w:tcBorders>
            <w:noWrap w:val="0"/>
            <w:vAlign w:val="center"/>
          </w:tcPr>
          <w:p w14:paraId="18E0261E">
            <w:pPr>
              <w:keepNext w:val="0"/>
              <w:keepLines w:val="0"/>
              <w:widowControl/>
              <w:suppressLineNumbers w:val="0"/>
              <w:jc w:val="center"/>
              <w:textAlignment w:val="center"/>
              <w:rPr>
                <w:rFonts w:hint="default" w:ascii="Arial" w:hAnsi="Arial" w:eastAsia="宋体" w:cs="Arial"/>
                <w:bCs/>
                <w:color w:val="auto"/>
                <w:szCs w:val="21"/>
                <w:highlight w:val="none"/>
              </w:rPr>
            </w:pPr>
            <w:r>
              <w:rPr>
                <w:rFonts w:hint="default" w:ascii="Arial" w:hAnsi="Arial" w:eastAsia="宋体" w:cs="Arial"/>
                <w:bCs/>
                <w:color w:val="auto"/>
                <w:szCs w:val="21"/>
                <w:highlight w:val="none"/>
              </w:rPr>
              <w:t>工业</w:t>
            </w:r>
          </w:p>
        </w:tc>
        <w:tc>
          <w:tcPr>
            <w:tcW w:w="65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75E7CF4">
            <w:pPr>
              <w:keepNext w:val="0"/>
              <w:keepLines w:val="0"/>
              <w:widowControl/>
              <w:suppressLineNumbers w:val="0"/>
              <w:jc w:val="center"/>
              <w:textAlignment w:val="center"/>
              <w:rPr>
                <w:rFonts w:hint="default" w:ascii="Arial" w:hAnsi="Arial" w:eastAsia="宋体" w:cs="Arial"/>
                <w:bCs/>
                <w:color w:val="auto"/>
                <w:kern w:val="2"/>
                <w:sz w:val="21"/>
                <w:szCs w:val="21"/>
                <w:highlight w:val="none"/>
                <w:lang w:val="en-US" w:eastAsia="zh-CN" w:bidi="ar-SA"/>
              </w:rPr>
            </w:pPr>
            <w:r>
              <w:rPr>
                <w:rFonts w:hint="default" w:ascii="Arial" w:hAnsi="Arial" w:eastAsia="宋体" w:cs="Arial"/>
                <w:i w:val="0"/>
                <w:iCs w:val="0"/>
                <w:color w:val="000000"/>
                <w:kern w:val="0"/>
                <w:sz w:val="21"/>
                <w:szCs w:val="21"/>
                <w:highlight w:val="none"/>
                <w:u w:val="none"/>
                <w:lang w:val="en-US" w:eastAsia="zh-CN" w:bidi="ar"/>
              </w:rPr>
              <w:t>1</w:t>
            </w:r>
          </w:p>
        </w:tc>
        <w:tc>
          <w:tcPr>
            <w:tcW w:w="647" w:type="dxa"/>
            <w:tcBorders>
              <w:top w:val="single" w:color="auto" w:sz="4" w:space="0"/>
              <w:left w:val="single" w:color="auto" w:sz="4" w:space="0"/>
              <w:bottom w:val="single" w:color="auto" w:sz="4" w:space="0"/>
              <w:right w:val="single" w:color="auto" w:sz="4" w:space="0"/>
            </w:tcBorders>
            <w:noWrap w:val="0"/>
            <w:vAlign w:val="center"/>
          </w:tcPr>
          <w:p w14:paraId="2ADB0845">
            <w:pPr>
              <w:keepNext w:val="0"/>
              <w:keepLines w:val="0"/>
              <w:widowControl/>
              <w:suppressLineNumbers w:val="0"/>
              <w:jc w:val="center"/>
              <w:textAlignment w:val="center"/>
              <w:rPr>
                <w:rFonts w:hint="default" w:ascii="Arial" w:hAnsi="Arial" w:eastAsia="宋体" w:cs="Arial"/>
                <w:bCs/>
                <w:color w:val="auto"/>
                <w:szCs w:val="21"/>
                <w:highlight w:val="none"/>
                <w:lang w:val="en-US" w:eastAsia="zh-CN"/>
              </w:rPr>
            </w:pPr>
            <w:r>
              <w:rPr>
                <w:rFonts w:hint="default" w:ascii="Arial" w:hAnsi="Arial" w:eastAsia="宋体" w:cs="Arial"/>
                <w:i w:val="0"/>
                <w:iCs w:val="0"/>
                <w:color w:val="000000"/>
                <w:kern w:val="0"/>
                <w:sz w:val="21"/>
                <w:szCs w:val="21"/>
                <w:highlight w:val="none"/>
                <w:u w:val="none"/>
                <w:lang w:val="en-US" w:eastAsia="zh-CN" w:bidi="ar"/>
              </w:rPr>
              <w:t>台</w:t>
            </w:r>
          </w:p>
        </w:tc>
        <w:tc>
          <w:tcPr>
            <w:tcW w:w="5174" w:type="dxa"/>
            <w:tcBorders>
              <w:top w:val="single" w:color="auto" w:sz="4" w:space="0"/>
              <w:left w:val="single" w:color="auto" w:sz="4" w:space="0"/>
              <w:bottom w:val="single" w:color="auto" w:sz="4" w:space="0"/>
              <w:right w:val="single" w:color="auto" w:sz="4" w:space="0"/>
            </w:tcBorders>
            <w:noWrap w:val="0"/>
            <w:vAlign w:val="top"/>
          </w:tcPr>
          <w:p w14:paraId="51CDF410">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1、电压：220/380V</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2、功率：0.55kw</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3、切断厚度：50mm</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4、压辊长度：380mm</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5、外形尺寸：1700*850*950mm</w:t>
            </w:r>
            <w:r>
              <w:rPr>
                <w:rFonts w:hint="eastAsia" w:ascii="Arial" w:hAnsi="Arial" w:eastAsia="宋体" w:cs="Arial"/>
                <w:color w:val="auto"/>
                <w:highlight w:val="none"/>
                <w:lang w:val="en-US" w:eastAsia="zh-CN"/>
              </w:rPr>
              <w:t>±20mm</w:t>
            </w:r>
          </w:p>
        </w:tc>
        <w:tc>
          <w:tcPr>
            <w:tcW w:w="1121" w:type="dxa"/>
            <w:tcBorders>
              <w:top w:val="single" w:color="auto" w:sz="4" w:space="0"/>
              <w:left w:val="single" w:color="auto" w:sz="4" w:space="0"/>
              <w:bottom w:val="single" w:color="auto" w:sz="4" w:space="0"/>
              <w:right w:val="single" w:color="auto" w:sz="4" w:space="0"/>
            </w:tcBorders>
            <w:noWrap w:val="0"/>
            <w:vAlign w:val="center"/>
          </w:tcPr>
          <w:p w14:paraId="302A7D02">
            <w:pPr>
              <w:keepNext w:val="0"/>
              <w:keepLines w:val="0"/>
              <w:widowControl/>
              <w:suppressLineNumbers w:val="0"/>
              <w:jc w:val="center"/>
              <w:textAlignment w:val="center"/>
              <w:rPr>
                <w:rFonts w:hint="default" w:ascii="Arial" w:hAnsi="Arial" w:cs="Arial"/>
                <w:color w:val="auto"/>
                <w:sz w:val="21"/>
                <w:szCs w:val="21"/>
                <w:highlight w:val="none"/>
                <w:lang w:val="en-US" w:eastAsia="zh-CN"/>
              </w:rPr>
            </w:pPr>
            <w:r>
              <w:rPr>
                <w:rFonts w:hint="default" w:ascii="Arial" w:hAnsi="Arial" w:eastAsia="宋体" w:cs="Arial"/>
                <w:i w:val="0"/>
                <w:iCs w:val="0"/>
                <w:color w:val="000000"/>
                <w:kern w:val="0"/>
                <w:sz w:val="21"/>
                <w:szCs w:val="21"/>
                <w:highlight w:val="none"/>
                <w:u w:val="none"/>
                <w:lang w:val="en-US" w:eastAsia="zh-CN" w:bidi="ar"/>
              </w:rPr>
              <w:t xml:space="preserve">21000.00 </w:t>
            </w:r>
          </w:p>
        </w:tc>
      </w:tr>
      <w:tr w14:paraId="5BD91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jc w:val="center"/>
        </w:trPr>
        <w:tc>
          <w:tcPr>
            <w:tcW w:w="475" w:type="dxa"/>
            <w:tcBorders>
              <w:top w:val="single" w:color="auto" w:sz="4" w:space="0"/>
              <w:left w:val="single" w:color="auto" w:sz="4" w:space="0"/>
              <w:bottom w:val="single" w:color="auto" w:sz="4" w:space="0"/>
              <w:right w:val="single" w:color="auto" w:sz="4" w:space="0"/>
            </w:tcBorders>
            <w:noWrap w:val="0"/>
            <w:vAlign w:val="center"/>
          </w:tcPr>
          <w:p w14:paraId="4713089F">
            <w:pPr>
              <w:keepNext w:val="0"/>
              <w:keepLines w:val="0"/>
              <w:widowControl/>
              <w:suppressLineNumbers w:val="0"/>
              <w:jc w:val="center"/>
              <w:textAlignment w:val="center"/>
              <w:rPr>
                <w:rFonts w:hint="default" w:ascii="Arial" w:hAnsi="Arial" w:eastAsia="宋体" w:cs="Arial"/>
                <w:b/>
                <w:bCs/>
                <w:color w:val="auto"/>
                <w:szCs w:val="21"/>
                <w:highlight w:val="none"/>
              </w:rPr>
            </w:pPr>
            <w:r>
              <w:rPr>
                <w:rFonts w:hint="default" w:ascii="Arial" w:hAnsi="Arial" w:eastAsia="宋体" w:cs="Arial"/>
                <w:i w:val="0"/>
                <w:iCs w:val="0"/>
                <w:color w:val="000000"/>
                <w:kern w:val="0"/>
                <w:sz w:val="21"/>
                <w:szCs w:val="21"/>
                <w:highlight w:val="none"/>
                <w:u w:val="none"/>
                <w:lang w:val="en-US" w:eastAsia="zh-CN" w:bidi="ar"/>
              </w:rPr>
              <w:t>16</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3F732CD6">
            <w:pPr>
              <w:keepNext w:val="0"/>
              <w:keepLines w:val="0"/>
              <w:widowControl/>
              <w:suppressLineNumbers w:val="0"/>
              <w:jc w:val="center"/>
              <w:textAlignment w:val="center"/>
              <w:rPr>
                <w:rFonts w:hint="default" w:ascii="Arial" w:hAnsi="Arial" w:eastAsia="宋体" w:cs="Arial"/>
                <w:bCs/>
                <w:color w:val="auto"/>
                <w:szCs w:val="21"/>
                <w:highlight w:val="none"/>
                <w:lang w:val="en-US" w:eastAsia="zh-CN"/>
              </w:rPr>
            </w:pPr>
            <w:r>
              <w:rPr>
                <w:rFonts w:hint="default" w:ascii="Arial" w:hAnsi="Arial" w:eastAsia="宋体" w:cs="Arial"/>
                <w:i w:val="0"/>
                <w:iCs w:val="0"/>
                <w:color w:val="000000"/>
                <w:kern w:val="0"/>
                <w:sz w:val="21"/>
                <w:szCs w:val="21"/>
                <w:highlight w:val="none"/>
                <w:u w:val="none"/>
                <w:lang w:val="en-US" w:eastAsia="zh-CN" w:bidi="ar"/>
              </w:rPr>
              <w:t>急速冷冻箱</w:t>
            </w:r>
          </w:p>
        </w:tc>
        <w:tc>
          <w:tcPr>
            <w:tcW w:w="775" w:type="dxa"/>
            <w:tcBorders>
              <w:top w:val="single" w:color="auto" w:sz="4" w:space="0"/>
              <w:left w:val="single" w:color="auto" w:sz="4" w:space="0"/>
              <w:bottom w:val="single" w:color="auto" w:sz="4" w:space="0"/>
              <w:right w:val="single" w:color="auto" w:sz="4" w:space="0"/>
            </w:tcBorders>
            <w:noWrap w:val="0"/>
            <w:vAlign w:val="center"/>
          </w:tcPr>
          <w:p w14:paraId="13592977">
            <w:pPr>
              <w:keepNext w:val="0"/>
              <w:keepLines w:val="0"/>
              <w:widowControl/>
              <w:suppressLineNumbers w:val="0"/>
              <w:jc w:val="center"/>
              <w:textAlignment w:val="center"/>
              <w:rPr>
                <w:rFonts w:hint="default" w:ascii="Arial" w:hAnsi="Arial" w:eastAsia="宋体" w:cs="Arial"/>
                <w:bCs/>
                <w:color w:val="auto"/>
                <w:szCs w:val="21"/>
                <w:highlight w:val="none"/>
              </w:rPr>
            </w:pPr>
            <w:r>
              <w:rPr>
                <w:rFonts w:hint="default" w:ascii="Arial" w:hAnsi="Arial" w:eastAsia="宋体" w:cs="Arial"/>
                <w:bCs/>
                <w:color w:val="auto"/>
                <w:szCs w:val="21"/>
                <w:highlight w:val="none"/>
              </w:rPr>
              <w:t>工业</w:t>
            </w:r>
          </w:p>
        </w:tc>
        <w:tc>
          <w:tcPr>
            <w:tcW w:w="65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4BBC183">
            <w:pPr>
              <w:keepNext w:val="0"/>
              <w:keepLines w:val="0"/>
              <w:widowControl/>
              <w:suppressLineNumbers w:val="0"/>
              <w:jc w:val="center"/>
              <w:textAlignment w:val="center"/>
              <w:rPr>
                <w:rFonts w:hint="default" w:ascii="Arial" w:hAnsi="Arial" w:eastAsia="宋体" w:cs="Arial"/>
                <w:bCs/>
                <w:color w:val="auto"/>
                <w:kern w:val="2"/>
                <w:sz w:val="21"/>
                <w:szCs w:val="21"/>
                <w:highlight w:val="none"/>
                <w:lang w:val="en-US" w:eastAsia="zh-CN" w:bidi="ar-SA"/>
              </w:rPr>
            </w:pPr>
            <w:r>
              <w:rPr>
                <w:rFonts w:hint="default" w:ascii="Arial" w:hAnsi="Arial" w:eastAsia="宋体" w:cs="Arial"/>
                <w:i w:val="0"/>
                <w:iCs w:val="0"/>
                <w:color w:val="000000"/>
                <w:kern w:val="0"/>
                <w:sz w:val="21"/>
                <w:szCs w:val="21"/>
                <w:highlight w:val="none"/>
                <w:u w:val="none"/>
                <w:lang w:val="en-US" w:eastAsia="zh-CN" w:bidi="ar"/>
              </w:rPr>
              <w:t>1</w:t>
            </w:r>
          </w:p>
        </w:tc>
        <w:tc>
          <w:tcPr>
            <w:tcW w:w="647" w:type="dxa"/>
            <w:tcBorders>
              <w:top w:val="single" w:color="auto" w:sz="4" w:space="0"/>
              <w:left w:val="single" w:color="auto" w:sz="4" w:space="0"/>
              <w:bottom w:val="single" w:color="auto" w:sz="4" w:space="0"/>
              <w:right w:val="single" w:color="auto" w:sz="4" w:space="0"/>
            </w:tcBorders>
            <w:noWrap w:val="0"/>
            <w:vAlign w:val="center"/>
          </w:tcPr>
          <w:p w14:paraId="2817BC64">
            <w:pPr>
              <w:keepNext w:val="0"/>
              <w:keepLines w:val="0"/>
              <w:widowControl/>
              <w:suppressLineNumbers w:val="0"/>
              <w:jc w:val="center"/>
              <w:textAlignment w:val="center"/>
              <w:rPr>
                <w:rFonts w:hint="default" w:ascii="Arial" w:hAnsi="Arial" w:eastAsia="宋体" w:cs="Arial"/>
                <w:bCs/>
                <w:color w:val="auto"/>
                <w:szCs w:val="21"/>
                <w:highlight w:val="none"/>
                <w:lang w:val="en-US" w:eastAsia="zh-CN"/>
              </w:rPr>
            </w:pPr>
            <w:r>
              <w:rPr>
                <w:rFonts w:hint="default" w:ascii="Arial" w:hAnsi="Arial" w:eastAsia="宋体" w:cs="Arial"/>
                <w:i w:val="0"/>
                <w:iCs w:val="0"/>
                <w:color w:val="000000"/>
                <w:kern w:val="0"/>
                <w:sz w:val="21"/>
                <w:szCs w:val="21"/>
                <w:highlight w:val="none"/>
                <w:u w:val="none"/>
                <w:lang w:val="en-US" w:eastAsia="zh-CN" w:bidi="ar"/>
              </w:rPr>
              <w:t>台</w:t>
            </w:r>
          </w:p>
        </w:tc>
        <w:tc>
          <w:tcPr>
            <w:tcW w:w="5174" w:type="dxa"/>
            <w:tcBorders>
              <w:top w:val="single" w:color="auto" w:sz="4" w:space="0"/>
              <w:left w:val="single" w:color="auto" w:sz="4" w:space="0"/>
              <w:bottom w:val="single" w:color="auto" w:sz="4" w:space="0"/>
              <w:right w:val="single" w:color="auto" w:sz="4" w:space="0"/>
            </w:tcBorders>
            <w:noWrap w:val="0"/>
            <w:vAlign w:val="top"/>
          </w:tcPr>
          <w:p w14:paraId="4CC102F6">
            <w:pPr>
              <w:pStyle w:val="20"/>
              <w:keepNext w:val="0"/>
              <w:keepLines w:val="0"/>
              <w:pageBreakBefore w:val="0"/>
              <w:widowControl w:val="0"/>
              <w:numPr>
                <w:ilvl w:val="0"/>
                <w:numId w:val="5"/>
              </w:numPr>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容量：110L（5盘）</w:t>
            </w:r>
            <w:r>
              <w:rPr>
                <w:rFonts w:hint="eastAsia" w:ascii="Arial" w:hAnsi="Arial" w:eastAsia="宋体" w:cs="Arial"/>
                <w:color w:val="auto"/>
                <w:highlight w:val="none"/>
                <w:lang w:val="en-US" w:eastAsia="zh-CN"/>
              </w:rPr>
              <w:t>±</w:t>
            </w:r>
            <w:r>
              <w:rPr>
                <w:rFonts w:hint="default" w:ascii="Arial" w:hAnsi="Arial" w:eastAsia="宋体" w:cs="Arial"/>
                <w:color w:val="auto"/>
                <w:highlight w:val="none"/>
                <w:lang w:val="en-US" w:eastAsia="zh-CN"/>
              </w:rPr>
              <w:t>10L</w:t>
            </w:r>
          </w:p>
          <w:p w14:paraId="0EB49FE5">
            <w:pPr>
              <w:pStyle w:val="20"/>
              <w:keepNext w:val="0"/>
              <w:keepLines w:val="0"/>
              <w:pageBreakBefore w:val="0"/>
              <w:widowControl w:val="0"/>
              <w:numPr>
                <w:ilvl w:val="0"/>
                <w:numId w:val="0"/>
              </w:numPr>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2、功率：925W/220V</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3、温度范围：-40～+3°C</w:t>
            </w:r>
          </w:p>
        </w:tc>
        <w:tc>
          <w:tcPr>
            <w:tcW w:w="1121" w:type="dxa"/>
            <w:tcBorders>
              <w:top w:val="single" w:color="auto" w:sz="4" w:space="0"/>
              <w:left w:val="single" w:color="auto" w:sz="4" w:space="0"/>
              <w:bottom w:val="single" w:color="auto" w:sz="4" w:space="0"/>
              <w:right w:val="single" w:color="auto" w:sz="4" w:space="0"/>
            </w:tcBorders>
            <w:noWrap w:val="0"/>
            <w:vAlign w:val="center"/>
          </w:tcPr>
          <w:p w14:paraId="3737AA44">
            <w:pPr>
              <w:keepNext w:val="0"/>
              <w:keepLines w:val="0"/>
              <w:widowControl/>
              <w:suppressLineNumbers w:val="0"/>
              <w:jc w:val="center"/>
              <w:textAlignment w:val="center"/>
              <w:rPr>
                <w:rFonts w:hint="default" w:ascii="Arial" w:hAnsi="Arial" w:cs="Arial"/>
                <w:color w:val="auto"/>
                <w:sz w:val="21"/>
                <w:szCs w:val="21"/>
                <w:highlight w:val="none"/>
                <w:lang w:val="en-US" w:eastAsia="zh-CN"/>
              </w:rPr>
            </w:pPr>
            <w:r>
              <w:rPr>
                <w:rFonts w:hint="default" w:ascii="Arial" w:hAnsi="Arial" w:eastAsia="宋体" w:cs="Arial"/>
                <w:i w:val="0"/>
                <w:iCs w:val="0"/>
                <w:color w:val="000000"/>
                <w:kern w:val="0"/>
                <w:sz w:val="21"/>
                <w:szCs w:val="21"/>
                <w:highlight w:val="none"/>
                <w:u w:val="none"/>
                <w:lang w:val="en-US" w:eastAsia="zh-CN" w:bidi="ar"/>
              </w:rPr>
              <w:t xml:space="preserve">12800.00 </w:t>
            </w:r>
          </w:p>
        </w:tc>
      </w:tr>
      <w:tr w14:paraId="64D0C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jc w:val="center"/>
        </w:trPr>
        <w:tc>
          <w:tcPr>
            <w:tcW w:w="475" w:type="dxa"/>
            <w:tcBorders>
              <w:top w:val="single" w:color="auto" w:sz="4" w:space="0"/>
              <w:left w:val="single" w:color="auto" w:sz="4" w:space="0"/>
              <w:bottom w:val="single" w:color="auto" w:sz="4" w:space="0"/>
              <w:right w:val="single" w:color="auto" w:sz="4" w:space="0"/>
            </w:tcBorders>
            <w:noWrap w:val="0"/>
            <w:vAlign w:val="center"/>
          </w:tcPr>
          <w:p w14:paraId="4F072E47">
            <w:pPr>
              <w:keepNext w:val="0"/>
              <w:keepLines w:val="0"/>
              <w:widowControl/>
              <w:suppressLineNumbers w:val="0"/>
              <w:jc w:val="center"/>
              <w:textAlignment w:val="center"/>
              <w:rPr>
                <w:rFonts w:hint="default" w:ascii="Arial" w:hAnsi="Arial" w:eastAsia="宋体" w:cs="Arial"/>
                <w:b/>
                <w:bCs/>
                <w:color w:val="auto"/>
                <w:szCs w:val="21"/>
                <w:highlight w:val="none"/>
              </w:rPr>
            </w:pPr>
            <w:r>
              <w:rPr>
                <w:rFonts w:hint="default" w:ascii="Arial" w:hAnsi="Arial" w:eastAsia="宋体" w:cs="Arial"/>
                <w:i w:val="0"/>
                <w:iCs w:val="0"/>
                <w:color w:val="000000"/>
                <w:kern w:val="0"/>
                <w:sz w:val="21"/>
                <w:szCs w:val="21"/>
                <w:highlight w:val="none"/>
                <w:u w:val="none"/>
                <w:lang w:val="en-US" w:eastAsia="zh-CN" w:bidi="ar"/>
              </w:rPr>
              <w:t>17</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5AA9C389">
            <w:pPr>
              <w:keepNext w:val="0"/>
              <w:keepLines w:val="0"/>
              <w:widowControl/>
              <w:suppressLineNumbers w:val="0"/>
              <w:jc w:val="center"/>
              <w:textAlignment w:val="center"/>
              <w:rPr>
                <w:rFonts w:hint="default" w:ascii="Arial" w:hAnsi="Arial" w:eastAsia="宋体" w:cs="Arial"/>
                <w:bCs/>
                <w:color w:val="auto"/>
                <w:szCs w:val="21"/>
                <w:highlight w:val="none"/>
                <w:lang w:val="en-US" w:eastAsia="zh-CN"/>
              </w:rPr>
            </w:pPr>
            <w:r>
              <w:rPr>
                <w:rFonts w:hint="default" w:ascii="Arial" w:hAnsi="Arial" w:eastAsia="宋体" w:cs="Arial"/>
                <w:i w:val="0"/>
                <w:iCs w:val="0"/>
                <w:color w:val="000000"/>
                <w:kern w:val="0"/>
                <w:sz w:val="21"/>
                <w:szCs w:val="21"/>
                <w:highlight w:val="none"/>
                <w:u w:val="none"/>
                <w:lang w:val="en-US" w:eastAsia="zh-CN" w:bidi="ar"/>
              </w:rPr>
              <w:t>发酵箱</w:t>
            </w:r>
          </w:p>
        </w:tc>
        <w:tc>
          <w:tcPr>
            <w:tcW w:w="775" w:type="dxa"/>
            <w:tcBorders>
              <w:top w:val="single" w:color="auto" w:sz="4" w:space="0"/>
              <w:left w:val="single" w:color="auto" w:sz="4" w:space="0"/>
              <w:bottom w:val="single" w:color="auto" w:sz="4" w:space="0"/>
              <w:right w:val="single" w:color="auto" w:sz="4" w:space="0"/>
            </w:tcBorders>
            <w:noWrap w:val="0"/>
            <w:vAlign w:val="center"/>
          </w:tcPr>
          <w:p w14:paraId="2BA63F63">
            <w:pPr>
              <w:keepNext w:val="0"/>
              <w:keepLines w:val="0"/>
              <w:widowControl/>
              <w:suppressLineNumbers w:val="0"/>
              <w:jc w:val="center"/>
              <w:textAlignment w:val="center"/>
              <w:rPr>
                <w:rFonts w:hint="default" w:ascii="Arial" w:hAnsi="Arial" w:eastAsia="宋体" w:cs="Arial"/>
                <w:bCs/>
                <w:color w:val="auto"/>
                <w:szCs w:val="21"/>
                <w:highlight w:val="none"/>
              </w:rPr>
            </w:pPr>
            <w:r>
              <w:rPr>
                <w:rFonts w:hint="default" w:ascii="Arial" w:hAnsi="Arial" w:eastAsia="宋体" w:cs="Arial"/>
                <w:bCs/>
                <w:color w:val="auto"/>
                <w:szCs w:val="21"/>
                <w:highlight w:val="none"/>
              </w:rPr>
              <w:t>工业</w:t>
            </w:r>
          </w:p>
        </w:tc>
        <w:tc>
          <w:tcPr>
            <w:tcW w:w="65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79D3AC5">
            <w:pPr>
              <w:keepNext w:val="0"/>
              <w:keepLines w:val="0"/>
              <w:widowControl/>
              <w:suppressLineNumbers w:val="0"/>
              <w:jc w:val="center"/>
              <w:textAlignment w:val="center"/>
              <w:rPr>
                <w:rFonts w:hint="default" w:ascii="Arial" w:hAnsi="Arial" w:eastAsia="宋体" w:cs="Arial"/>
                <w:bCs/>
                <w:color w:val="auto"/>
                <w:kern w:val="2"/>
                <w:sz w:val="21"/>
                <w:szCs w:val="21"/>
                <w:highlight w:val="none"/>
                <w:lang w:val="en-US" w:eastAsia="zh-CN" w:bidi="ar-SA"/>
              </w:rPr>
            </w:pPr>
            <w:r>
              <w:rPr>
                <w:rFonts w:hint="default" w:ascii="Arial" w:hAnsi="Arial" w:eastAsia="宋体" w:cs="Arial"/>
                <w:i w:val="0"/>
                <w:iCs w:val="0"/>
                <w:color w:val="000000"/>
                <w:kern w:val="0"/>
                <w:sz w:val="21"/>
                <w:szCs w:val="21"/>
                <w:highlight w:val="none"/>
                <w:u w:val="none"/>
                <w:lang w:val="en-US" w:eastAsia="zh-CN" w:bidi="ar"/>
              </w:rPr>
              <w:t>3</w:t>
            </w:r>
          </w:p>
        </w:tc>
        <w:tc>
          <w:tcPr>
            <w:tcW w:w="647" w:type="dxa"/>
            <w:tcBorders>
              <w:top w:val="single" w:color="auto" w:sz="4" w:space="0"/>
              <w:left w:val="single" w:color="auto" w:sz="4" w:space="0"/>
              <w:bottom w:val="single" w:color="auto" w:sz="4" w:space="0"/>
              <w:right w:val="single" w:color="auto" w:sz="4" w:space="0"/>
            </w:tcBorders>
            <w:noWrap w:val="0"/>
            <w:vAlign w:val="center"/>
          </w:tcPr>
          <w:p w14:paraId="17D2C87D">
            <w:pPr>
              <w:keepNext w:val="0"/>
              <w:keepLines w:val="0"/>
              <w:widowControl/>
              <w:suppressLineNumbers w:val="0"/>
              <w:jc w:val="center"/>
              <w:textAlignment w:val="center"/>
              <w:rPr>
                <w:rFonts w:hint="default" w:ascii="Arial" w:hAnsi="Arial" w:eastAsia="宋体" w:cs="Arial"/>
                <w:bCs/>
                <w:color w:val="auto"/>
                <w:szCs w:val="21"/>
                <w:highlight w:val="none"/>
                <w:lang w:val="en-US" w:eastAsia="zh-CN"/>
              </w:rPr>
            </w:pPr>
            <w:r>
              <w:rPr>
                <w:rFonts w:hint="default" w:ascii="Arial" w:hAnsi="Arial" w:eastAsia="宋体" w:cs="Arial"/>
                <w:i w:val="0"/>
                <w:iCs w:val="0"/>
                <w:color w:val="000000"/>
                <w:kern w:val="0"/>
                <w:sz w:val="21"/>
                <w:szCs w:val="21"/>
                <w:highlight w:val="none"/>
                <w:u w:val="none"/>
                <w:lang w:val="en-US" w:eastAsia="zh-CN" w:bidi="ar"/>
              </w:rPr>
              <w:t>台</w:t>
            </w:r>
          </w:p>
        </w:tc>
        <w:tc>
          <w:tcPr>
            <w:tcW w:w="5174" w:type="dxa"/>
            <w:tcBorders>
              <w:top w:val="single" w:color="auto" w:sz="4" w:space="0"/>
              <w:left w:val="single" w:color="auto" w:sz="4" w:space="0"/>
              <w:bottom w:val="single" w:color="auto" w:sz="4" w:space="0"/>
              <w:right w:val="single" w:color="auto" w:sz="4" w:space="0"/>
            </w:tcBorders>
            <w:noWrap w:val="0"/>
            <w:vAlign w:val="top"/>
          </w:tcPr>
          <w:p w14:paraId="41B5B9A8">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1、容量</w:t>
            </w:r>
            <w:r>
              <w:rPr>
                <w:rFonts w:hint="eastAsia" w:ascii="Arial" w:hAnsi="Arial" w:cs="Arial"/>
                <w:color w:val="auto"/>
                <w:highlight w:val="none"/>
                <w:lang w:val="en-US" w:eastAsia="zh-CN"/>
              </w:rPr>
              <w:t>：</w:t>
            </w:r>
            <w:r>
              <w:rPr>
                <w:rFonts w:hint="default" w:ascii="Arial" w:hAnsi="Arial" w:eastAsia="宋体" w:cs="Arial"/>
                <w:color w:val="auto"/>
                <w:highlight w:val="none"/>
                <w:lang w:val="en-US" w:eastAsia="zh-CN"/>
              </w:rPr>
              <w:t>32盘</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2、烤盘尺寸</w:t>
            </w:r>
            <w:r>
              <w:rPr>
                <w:rFonts w:hint="eastAsia" w:ascii="Arial" w:hAnsi="Arial" w:cs="Arial"/>
                <w:color w:val="auto"/>
                <w:highlight w:val="none"/>
                <w:lang w:val="en-US" w:eastAsia="zh-CN"/>
              </w:rPr>
              <w:t>：</w:t>
            </w:r>
            <w:r>
              <w:rPr>
                <w:rFonts w:hint="default" w:ascii="Arial" w:hAnsi="Arial" w:eastAsia="宋体" w:cs="Arial"/>
                <w:color w:val="auto"/>
                <w:highlight w:val="none"/>
                <w:lang w:val="en-US" w:eastAsia="zh-CN"/>
              </w:rPr>
              <w:t>600*400mm</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3、温度范围</w:t>
            </w:r>
            <w:r>
              <w:rPr>
                <w:rFonts w:hint="eastAsia" w:ascii="Arial" w:hAnsi="Arial" w:cs="Arial"/>
                <w:color w:val="auto"/>
                <w:highlight w:val="none"/>
                <w:lang w:val="en-US" w:eastAsia="zh-CN"/>
              </w:rPr>
              <w:t>：</w:t>
            </w:r>
            <w:r>
              <w:rPr>
                <w:rFonts w:hint="default" w:ascii="Arial" w:hAnsi="Arial" w:eastAsia="宋体" w:cs="Arial"/>
                <w:color w:val="auto"/>
                <w:highlight w:val="none"/>
                <w:lang w:val="en-US" w:eastAsia="zh-CN"/>
              </w:rPr>
              <w:t>~50℃</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4、功率</w:t>
            </w:r>
            <w:r>
              <w:rPr>
                <w:rFonts w:hint="eastAsia" w:ascii="Arial" w:hAnsi="Arial" w:cs="Arial"/>
                <w:color w:val="auto"/>
                <w:highlight w:val="none"/>
                <w:lang w:val="en-US" w:eastAsia="zh-CN"/>
              </w:rPr>
              <w:t>：</w:t>
            </w:r>
            <w:r>
              <w:rPr>
                <w:rFonts w:hint="default" w:ascii="Arial" w:hAnsi="Arial" w:eastAsia="宋体" w:cs="Arial"/>
                <w:color w:val="auto"/>
                <w:highlight w:val="none"/>
                <w:lang w:val="en-US" w:eastAsia="zh-CN"/>
              </w:rPr>
              <w:t>1.5kw/220V/50HZ</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5、层高：80mm</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6、外形尺寸</w:t>
            </w:r>
            <w:r>
              <w:rPr>
                <w:rFonts w:hint="eastAsia" w:ascii="Arial" w:hAnsi="Arial" w:cs="Arial"/>
                <w:color w:val="auto"/>
                <w:highlight w:val="none"/>
                <w:lang w:val="en-US" w:eastAsia="zh-CN"/>
              </w:rPr>
              <w:t>：</w:t>
            </w:r>
            <w:r>
              <w:rPr>
                <w:rFonts w:hint="default" w:ascii="Arial" w:hAnsi="Arial" w:eastAsia="宋体" w:cs="Arial"/>
                <w:color w:val="auto"/>
                <w:highlight w:val="none"/>
                <w:lang w:val="en-US" w:eastAsia="zh-CN"/>
              </w:rPr>
              <w:t>1100*810*2030mm</w:t>
            </w:r>
            <w:r>
              <w:rPr>
                <w:rFonts w:hint="eastAsia" w:ascii="Arial" w:hAnsi="Arial" w:eastAsia="宋体" w:cs="Arial"/>
                <w:color w:val="auto"/>
                <w:highlight w:val="none"/>
                <w:lang w:val="en-US" w:eastAsia="zh-CN"/>
              </w:rPr>
              <w:t>±20mm</w:t>
            </w:r>
          </w:p>
        </w:tc>
        <w:tc>
          <w:tcPr>
            <w:tcW w:w="1121" w:type="dxa"/>
            <w:tcBorders>
              <w:top w:val="single" w:color="auto" w:sz="4" w:space="0"/>
              <w:left w:val="single" w:color="auto" w:sz="4" w:space="0"/>
              <w:bottom w:val="single" w:color="auto" w:sz="4" w:space="0"/>
              <w:right w:val="single" w:color="auto" w:sz="4" w:space="0"/>
            </w:tcBorders>
            <w:noWrap w:val="0"/>
            <w:vAlign w:val="center"/>
          </w:tcPr>
          <w:p w14:paraId="21A236D4">
            <w:pPr>
              <w:keepNext w:val="0"/>
              <w:keepLines w:val="0"/>
              <w:widowControl/>
              <w:suppressLineNumbers w:val="0"/>
              <w:jc w:val="center"/>
              <w:textAlignment w:val="center"/>
              <w:rPr>
                <w:rFonts w:hint="default" w:ascii="Arial" w:hAnsi="Arial" w:cs="Arial"/>
                <w:color w:val="auto"/>
                <w:sz w:val="21"/>
                <w:szCs w:val="21"/>
                <w:highlight w:val="none"/>
                <w:lang w:val="en-US" w:eastAsia="zh-CN"/>
              </w:rPr>
            </w:pPr>
            <w:r>
              <w:rPr>
                <w:rFonts w:hint="default" w:ascii="Arial" w:hAnsi="Arial" w:eastAsia="宋体" w:cs="Arial"/>
                <w:i w:val="0"/>
                <w:iCs w:val="0"/>
                <w:color w:val="000000"/>
                <w:kern w:val="0"/>
                <w:sz w:val="21"/>
                <w:szCs w:val="21"/>
                <w:highlight w:val="none"/>
                <w:u w:val="none"/>
                <w:lang w:val="en-US" w:eastAsia="zh-CN" w:bidi="ar"/>
              </w:rPr>
              <w:t xml:space="preserve">8500.00 </w:t>
            </w:r>
          </w:p>
        </w:tc>
      </w:tr>
      <w:tr w14:paraId="20BA0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jc w:val="center"/>
        </w:trPr>
        <w:tc>
          <w:tcPr>
            <w:tcW w:w="475" w:type="dxa"/>
            <w:tcBorders>
              <w:top w:val="single" w:color="auto" w:sz="4" w:space="0"/>
              <w:left w:val="single" w:color="auto" w:sz="4" w:space="0"/>
              <w:bottom w:val="single" w:color="auto" w:sz="4" w:space="0"/>
              <w:right w:val="single" w:color="auto" w:sz="4" w:space="0"/>
            </w:tcBorders>
            <w:noWrap w:val="0"/>
            <w:vAlign w:val="center"/>
          </w:tcPr>
          <w:p w14:paraId="7D417B48">
            <w:pPr>
              <w:keepNext w:val="0"/>
              <w:keepLines w:val="0"/>
              <w:widowControl/>
              <w:suppressLineNumbers w:val="0"/>
              <w:jc w:val="center"/>
              <w:textAlignment w:val="center"/>
              <w:rPr>
                <w:rFonts w:hint="default" w:ascii="Arial" w:hAnsi="Arial" w:eastAsia="宋体" w:cs="Arial"/>
                <w:b/>
                <w:bCs/>
                <w:color w:val="auto"/>
                <w:szCs w:val="21"/>
                <w:highlight w:val="none"/>
              </w:rPr>
            </w:pPr>
            <w:r>
              <w:rPr>
                <w:rFonts w:hint="default" w:ascii="Arial" w:hAnsi="Arial" w:eastAsia="宋体" w:cs="Arial"/>
                <w:i w:val="0"/>
                <w:iCs w:val="0"/>
                <w:color w:val="000000"/>
                <w:kern w:val="0"/>
                <w:sz w:val="21"/>
                <w:szCs w:val="21"/>
                <w:highlight w:val="none"/>
                <w:u w:val="none"/>
                <w:lang w:val="en-US" w:eastAsia="zh-CN" w:bidi="ar"/>
              </w:rPr>
              <w:t>18</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74C5C989">
            <w:pPr>
              <w:keepNext w:val="0"/>
              <w:keepLines w:val="0"/>
              <w:widowControl/>
              <w:suppressLineNumbers w:val="0"/>
              <w:jc w:val="center"/>
              <w:textAlignment w:val="center"/>
              <w:rPr>
                <w:rFonts w:hint="default" w:ascii="Arial" w:hAnsi="Arial" w:eastAsia="宋体" w:cs="Arial"/>
                <w:bCs/>
                <w:color w:val="auto"/>
                <w:szCs w:val="21"/>
                <w:highlight w:val="none"/>
                <w:lang w:val="en-US" w:eastAsia="zh-CN"/>
              </w:rPr>
            </w:pPr>
            <w:r>
              <w:rPr>
                <w:rFonts w:hint="default" w:ascii="Arial" w:hAnsi="Arial" w:eastAsia="宋体" w:cs="Arial"/>
                <w:i w:val="0"/>
                <w:iCs w:val="0"/>
                <w:color w:val="000000"/>
                <w:kern w:val="0"/>
                <w:sz w:val="21"/>
                <w:szCs w:val="21"/>
                <w:highlight w:val="none"/>
                <w:u w:val="none"/>
                <w:lang w:val="en-US" w:eastAsia="zh-CN" w:bidi="ar"/>
              </w:rPr>
              <w:t>转台</w:t>
            </w:r>
          </w:p>
        </w:tc>
        <w:tc>
          <w:tcPr>
            <w:tcW w:w="775" w:type="dxa"/>
            <w:tcBorders>
              <w:top w:val="single" w:color="auto" w:sz="4" w:space="0"/>
              <w:left w:val="single" w:color="auto" w:sz="4" w:space="0"/>
              <w:bottom w:val="single" w:color="auto" w:sz="4" w:space="0"/>
              <w:right w:val="single" w:color="auto" w:sz="4" w:space="0"/>
            </w:tcBorders>
            <w:noWrap w:val="0"/>
            <w:vAlign w:val="center"/>
          </w:tcPr>
          <w:p w14:paraId="0CA5E742">
            <w:pPr>
              <w:keepNext w:val="0"/>
              <w:keepLines w:val="0"/>
              <w:widowControl/>
              <w:suppressLineNumbers w:val="0"/>
              <w:jc w:val="center"/>
              <w:textAlignment w:val="center"/>
              <w:rPr>
                <w:rFonts w:hint="default" w:ascii="Arial" w:hAnsi="Arial" w:eastAsia="宋体" w:cs="Arial"/>
                <w:bCs/>
                <w:color w:val="auto"/>
                <w:szCs w:val="21"/>
                <w:highlight w:val="none"/>
              </w:rPr>
            </w:pPr>
            <w:r>
              <w:rPr>
                <w:rFonts w:hint="default" w:ascii="Arial" w:hAnsi="Arial" w:eastAsia="宋体" w:cs="Arial"/>
                <w:bCs/>
                <w:color w:val="auto"/>
                <w:szCs w:val="21"/>
                <w:highlight w:val="none"/>
              </w:rPr>
              <w:t>工业</w:t>
            </w:r>
          </w:p>
        </w:tc>
        <w:tc>
          <w:tcPr>
            <w:tcW w:w="65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C8B614D">
            <w:pPr>
              <w:keepNext w:val="0"/>
              <w:keepLines w:val="0"/>
              <w:widowControl/>
              <w:suppressLineNumbers w:val="0"/>
              <w:jc w:val="center"/>
              <w:textAlignment w:val="center"/>
              <w:rPr>
                <w:rFonts w:hint="default" w:ascii="Arial" w:hAnsi="Arial" w:eastAsia="宋体" w:cs="Arial"/>
                <w:bCs/>
                <w:color w:val="auto"/>
                <w:kern w:val="2"/>
                <w:sz w:val="21"/>
                <w:szCs w:val="21"/>
                <w:highlight w:val="none"/>
                <w:lang w:val="en-US" w:eastAsia="zh-CN" w:bidi="ar-SA"/>
              </w:rPr>
            </w:pPr>
            <w:r>
              <w:rPr>
                <w:rFonts w:hint="default" w:ascii="Arial" w:hAnsi="Arial" w:eastAsia="宋体" w:cs="Arial"/>
                <w:i w:val="0"/>
                <w:iCs w:val="0"/>
                <w:color w:val="000000"/>
                <w:kern w:val="0"/>
                <w:sz w:val="21"/>
                <w:szCs w:val="21"/>
                <w:highlight w:val="none"/>
                <w:u w:val="none"/>
                <w:lang w:val="en-US" w:eastAsia="zh-CN" w:bidi="ar"/>
              </w:rPr>
              <w:t>100</w:t>
            </w:r>
          </w:p>
        </w:tc>
        <w:tc>
          <w:tcPr>
            <w:tcW w:w="647" w:type="dxa"/>
            <w:tcBorders>
              <w:top w:val="single" w:color="auto" w:sz="4" w:space="0"/>
              <w:left w:val="single" w:color="auto" w:sz="4" w:space="0"/>
              <w:bottom w:val="single" w:color="auto" w:sz="4" w:space="0"/>
              <w:right w:val="single" w:color="auto" w:sz="4" w:space="0"/>
            </w:tcBorders>
            <w:noWrap w:val="0"/>
            <w:vAlign w:val="center"/>
          </w:tcPr>
          <w:p w14:paraId="42B4C0B8">
            <w:pPr>
              <w:keepNext w:val="0"/>
              <w:keepLines w:val="0"/>
              <w:widowControl/>
              <w:suppressLineNumbers w:val="0"/>
              <w:jc w:val="center"/>
              <w:textAlignment w:val="center"/>
              <w:rPr>
                <w:rFonts w:hint="default" w:ascii="Arial" w:hAnsi="Arial" w:eastAsia="宋体" w:cs="Arial"/>
                <w:bCs/>
                <w:color w:val="auto"/>
                <w:szCs w:val="21"/>
                <w:highlight w:val="none"/>
                <w:lang w:val="en-US" w:eastAsia="zh-CN"/>
              </w:rPr>
            </w:pPr>
            <w:r>
              <w:rPr>
                <w:rFonts w:hint="default" w:ascii="Arial" w:hAnsi="Arial" w:eastAsia="宋体" w:cs="Arial"/>
                <w:i w:val="0"/>
                <w:iCs w:val="0"/>
                <w:color w:val="000000"/>
                <w:kern w:val="0"/>
                <w:sz w:val="21"/>
                <w:szCs w:val="21"/>
                <w:highlight w:val="none"/>
                <w:u w:val="none"/>
                <w:lang w:val="en-US" w:eastAsia="zh-CN" w:bidi="ar"/>
              </w:rPr>
              <w:t>个</w:t>
            </w:r>
          </w:p>
        </w:tc>
        <w:tc>
          <w:tcPr>
            <w:tcW w:w="5174" w:type="dxa"/>
            <w:tcBorders>
              <w:top w:val="single" w:color="auto" w:sz="4" w:space="0"/>
              <w:left w:val="single" w:color="auto" w:sz="4" w:space="0"/>
              <w:bottom w:val="single" w:color="auto" w:sz="4" w:space="0"/>
              <w:right w:val="single" w:color="auto" w:sz="4" w:space="0"/>
            </w:tcBorders>
            <w:noWrap w:val="0"/>
            <w:vAlign w:val="top"/>
          </w:tcPr>
          <w:p w14:paraId="755B9105">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约10英寸，合金属裱花台。</w:t>
            </w:r>
          </w:p>
        </w:tc>
        <w:tc>
          <w:tcPr>
            <w:tcW w:w="1121" w:type="dxa"/>
            <w:tcBorders>
              <w:top w:val="single" w:color="auto" w:sz="4" w:space="0"/>
              <w:left w:val="single" w:color="auto" w:sz="4" w:space="0"/>
              <w:bottom w:val="single" w:color="auto" w:sz="4" w:space="0"/>
              <w:right w:val="single" w:color="auto" w:sz="4" w:space="0"/>
            </w:tcBorders>
            <w:noWrap w:val="0"/>
            <w:vAlign w:val="center"/>
          </w:tcPr>
          <w:p w14:paraId="10CB6A76">
            <w:pPr>
              <w:keepNext w:val="0"/>
              <w:keepLines w:val="0"/>
              <w:widowControl/>
              <w:suppressLineNumbers w:val="0"/>
              <w:jc w:val="center"/>
              <w:textAlignment w:val="center"/>
              <w:rPr>
                <w:rFonts w:hint="default" w:ascii="Arial" w:hAnsi="Arial" w:cs="Arial"/>
                <w:color w:val="auto"/>
                <w:sz w:val="21"/>
                <w:szCs w:val="21"/>
                <w:highlight w:val="none"/>
                <w:lang w:val="en-US" w:eastAsia="zh-CN"/>
              </w:rPr>
            </w:pPr>
            <w:r>
              <w:rPr>
                <w:rFonts w:hint="default" w:ascii="Arial" w:hAnsi="Arial" w:eastAsia="宋体" w:cs="Arial"/>
                <w:i w:val="0"/>
                <w:iCs w:val="0"/>
                <w:color w:val="000000"/>
                <w:kern w:val="0"/>
                <w:sz w:val="21"/>
                <w:szCs w:val="21"/>
                <w:highlight w:val="none"/>
                <w:u w:val="none"/>
                <w:lang w:val="en-US" w:eastAsia="zh-CN" w:bidi="ar"/>
              </w:rPr>
              <w:t xml:space="preserve">90.00 </w:t>
            </w:r>
          </w:p>
        </w:tc>
      </w:tr>
      <w:tr w14:paraId="1D199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jc w:val="center"/>
        </w:trPr>
        <w:tc>
          <w:tcPr>
            <w:tcW w:w="475" w:type="dxa"/>
            <w:tcBorders>
              <w:top w:val="single" w:color="auto" w:sz="4" w:space="0"/>
              <w:left w:val="single" w:color="auto" w:sz="4" w:space="0"/>
              <w:bottom w:val="single" w:color="auto" w:sz="4" w:space="0"/>
              <w:right w:val="single" w:color="auto" w:sz="4" w:space="0"/>
            </w:tcBorders>
            <w:noWrap w:val="0"/>
            <w:vAlign w:val="center"/>
          </w:tcPr>
          <w:p w14:paraId="1A5A580A">
            <w:pPr>
              <w:keepNext w:val="0"/>
              <w:keepLines w:val="0"/>
              <w:widowControl/>
              <w:suppressLineNumbers w:val="0"/>
              <w:jc w:val="center"/>
              <w:textAlignment w:val="center"/>
              <w:rPr>
                <w:rFonts w:hint="default" w:ascii="Arial" w:hAnsi="Arial" w:eastAsia="宋体" w:cs="Arial"/>
                <w:b/>
                <w:bCs/>
                <w:color w:val="auto"/>
                <w:szCs w:val="21"/>
                <w:highlight w:val="none"/>
              </w:rPr>
            </w:pPr>
            <w:r>
              <w:rPr>
                <w:rFonts w:hint="default" w:ascii="Arial" w:hAnsi="Arial" w:eastAsia="宋体" w:cs="Arial"/>
                <w:i w:val="0"/>
                <w:iCs w:val="0"/>
                <w:color w:val="000000"/>
                <w:kern w:val="0"/>
                <w:sz w:val="21"/>
                <w:szCs w:val="21"/>
                <w:highlight w:val="none"/>
                <w:u w:val="none"/>
                <w:lang w:val="en-US" w:eastAsia="zh-CN" w:bidi="ar"/>
              </w:rPr>
              <w:t>19</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56BEC751">
            <w:pPr>
              <w:keepNext w:val="0"/>
              <w:keepLines w:val="0"/>
              <w:widowControl/>
              <w:suppressLineNumbers w:val="0"/>
              <w:jc w:val="center"/>
              <w:textAlignment w:val="center"/>
              <w:rPr>
                <w:rFonts w:hint="default" w:ascii="Arial" w:hAnsi="Arial" w:eastAsia="宋体" w:cs="Arial"/>
                <w:bCs/>
                <w:color w:val="auto"/>
                <w:szCs w:val="21"/>
                <w:highlight w:val="none"/>
                <w:lang w:val="en-US" w:eastAsia="zh-CN"/>
              </w:rPr>
            </w:pPr>
            <w:r>
              <w:rPr>
                <w:rFonts w:hint="default" w:ascii="Arial" w:hAnsi="Arial" w:eastAsia="宋体" w:cs="Arial"/>
                <w:i w:val="0"/>
                <w:iCs w:val="0"/>
                <w:color w:val="000000"/>
                <w:kern w:val="0"/>
                <w:sz w:val="21"/>
                <w:szCs w:val="21"/>
                <w:highlight w:val="none"/>
                <w:u w:val="none"/>
                <w:lang w:val="en-US" w:eastAsia="zh-CN" w:bidi="ar"/>
              </w:rPr>
              <w:t>抹刀</w:t>
            </w:r>
          </w:p>
        </w:tc>
        <w:tc>
          <w:tcPr>
            <w:tcW w:w="775" w:type="dxa"/>
            <w:tcBorders>
              <w:top w:val="single" w:color="auto" w:sz="4" w:space="0"/>
              <w:left w:val="single" w:color="auto" w:sz="4" w:space="0"/>
              <w:bottom w:val="single" w:color="auto" w:sz="4" w:space="0"/>
              <w:right w:val="single" w:color="auto" w:sz="4" w:space="0"/>
            </w:tcBorders>
            <w:noWrap w:val="0"/>
            <w:vAlign w:val="center"/>
          </w:tcPr>
          <w:p w14:paraId="567F49C1">
            <w:pPr>
              <w:keepNext w:val="0"/>
              <w:keepLines w:val="0"/>
              <w:widowControl/>
              <w:suppressLineNumbers w:val="0"/>
              <w:jc w:val="center"/>
              <w:textAlignment w:val="center"/>
              <w:rPr>
                <w:rFonts w:hint="default" w:ascii="Arial" w:hAnsi="Arial" w:eastAsia="宋体" w:cs="Arial"/>
                <w:bCs/>
                <w:color w:val="auto"/>
                <w:szCs w:val="21"/>
                <w:highlight w:val="none"/>
              </w:rPr>
            </w:pPr>
            <w:r>
              <w:rPr>
                <w:rFonts w:hint="default" w:ascii="Arial" w:hAnsi="Arial" w:eastAsia="宋体" w:cs="Arial"/>
                <w:bCs/>
                <w:color w:val="auto"/>
                <w:szCs w:val="21"/>
                <w:highlight w:val="none"/>
              </w:rPr>
              <w:t>工业</w:t>
            </w:r>
          </w:p>
        </w:tc>
        <w:tc>
          <w:tcPr>
            <w:tcW w:w="65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6EB3747">
            <w:pPr>
              <w:keepNext w:val="0"/>
              <w:keepLines w:val="0"/>
              <w:widowControl/>
              <w:suppressLineNumbers w:val="0"/>
              <w:jc w:val="center"/>
              <w:textAlignment w:val="center"/>
              <w:rPr>
                <w:rFonts w:hint="default" w:ascii="Arial" w:hAnsi="Arial" w:eastAsia="宋体" w:cs="Arial"/>
                <w:bCs/>
                <w:color w:val="auto"/>
                <w:kern w:val="2"/>
                <w:sz w:val="21"/>
                <w:szCs w:val="21"/>
                <w:highlight w:val="none"/>
                <w:lang w:val="en-US" w:eastAsia="zh-CN" w:bidi="ar-SA"/>
              </w:rPr>
            </w:pPr>
            <w:r>
              <w:rPr>
                <w:rFonts w:hint="default" w:ascii="Arial" w:hAnsi="Arial" w:eastAsia="宋体" w:cs="Arial"/>
                <w:i w:val="0"/>
                <w:iCs w:val="0"/>
                <w:color w:val="000000"/>
                <w:kern w:val="0"/>
                <w:sz w:val="21"/>
                <w:szCs w:val="21"/>
                <w:highlight w:val="none"/>
                <w:u w:val="none"/>
                <w:lang w:val="en-US" w:eastAsia="zh-CN" w:bidi="ar"/>
              </w:rPr>
              <w:t>100</w:t>
            </w:r>
          </w:p>
        </w:tc>
        <w:tc>
          <w:tcPr>
            <w:tcW w:w="647" w:type="dxa"/>
            <w:tcBorders>
              <w:top w:val="single" w:color="auto" w:sz="4" w:space="0"/>
              <w:left w:val="single" w:color="auto" w:sz="4" w:space="0"/>
              <w:bottom w:val="single" w:color="auto" w:sz="4" w:space="0"/>
              <w:right w:val="single" w:color="auto" w:sz="4" w:space="0"/>
            </w:tcBorders>
            <w:noWrap w:val="0"/>
            <w:vAlign w:val="center"/>
          </w:tcPr>
          <w:p w14:paraId="7BD91574">
            <w:pPr>
              <w:keepNext w:val="0"/>
              <w:keepLines w:val="0"/>
              <w:widowControl/>
              <w:suppressLineNumbers w:val="0"/>
              <w:jc w:val="center"/>
              <w:textAlignment w:val="center"/>
              <w:rPr>
                <w:rFonts w:hint="default" w:ascii="Arial" w:hAnsi="Arial" w:eastAsia="宋体" w:cs="Arial"/>
                <w:bCs/>
                <w:color w:val="auto"/>
                <w:szCs w:val="21"/>
                <w:highlight w:val="none"/>
                <w:lang w:val="en-US" w:eastAsia="zh-CN"/>
              </w:rPr>
            </w:pPr>
            <w:r>
              <w:rPr>
                <w:rFonts w:hint="default" w:ascii="Arial" w:hAnsi="Arial" w:eastAsia="宋体" w:cs="Arial"/>
                <w:i w:val="0"/>
                <w:iCs w:val="0"/>
                <w:color w:val="000000"/>
                <w:kern w:val="0"/>
                <w:sz w:val="21"/>
                <w:szCs w:val="21"/>
                <w:highlight w:val="none"/>
                <w:u w:val="none"/>
                <w:lang w:val="en-US" w:eastAsia="zh-CN" w:bidi="ar"/>
              </w:rPr>
              <w:t>个</w:t>
            </w:r>
          </w:p>
        </w:tc>
        <w:tc>
          <w:tcPr>
            <w:tcW w:w="5174" w:type="dxa"/>
            <w:tcBorders>
              <w:top w:val="single" w:color="auto" w:sz="4" w:space="0"/>
              <w:left w:val="single" w:color="auto" w:sz="4" w:space="0"/>
              <w:bottom w:val="single" w:color="auto" w:sz="4" w:space="0"/>
              <w:right w:val="single" w:color="auto" w:sz="4" w:space="0"/>
            </w:tcBorders>
            <w:noWrap w:val="0"/>
            <w:vAlign w:val="center"/>
          </w:tcPr>
          <w:p w14:paraId="42854FA2">
            <w:pPr>
              <w:keepNext w:val="0"/>
              <w:keepLines w:val="0"/>
              <w:widowControl/>
              <w:suppressLineNumbers w:val="0"/>
              <w:jc w:val="left"/>
              <w:textAlignment w:val="center"/>
              <w:rPr>
                <w:rFonts w:hint="default" w:ascii="Arial" w:hAnsi="Arial" w:eastAsia="宋体" w:cs="Arial"/>
                <w:color w:val="auto"/>
                <w:kern w:val="2"/>
                <w:sz w:val="21"/>
                <w:szCs w:val="24"/>
                <w:highlight w:val="none"/>
                <w:lang w:val="en-US" w:eastAsia="zh-CN" w:bidi="ar-SA"/>
              </w:rPr>
            </w:pPr>
            <w:r>
              <w:rPr>
                <w:rFonts w:hint="eastAsia" w:ascii="Arial" w:hAnsi="Arial" w:eastAsia="宋体" w:cs="Arial"/>
                <w:color w:val="auto"/>
                <w:kern w:val="2"/>
                <w:sz w:val="21"/>
                <w:szCs w:val="24"/>
                <w:highlight w:val="none"/>
                <w:lang w:val="en-US" w:eastAsia="zh-CN" w:bidi="ar-SA"/>
              </w:rPr>
              <w:t>规格：10寸  材质：不锈钢</w:t>
            </w:r>
          </w:p>
        </w:tc>
        <w:tc>
          <w:tcPr>
            <w:tcW w:w="1121" w:type="dxa"/>
            <w:tcBorders>
              <w:top w:val="single" w:color="auto" w:sz="4" w:space="0"/>
              <w:left w:val="single" w:color="auto" w:sz="4" w:space="0"/>
              <w:bottom w:val="single" w:color="auto" w:sz="4" w:space="0"/>
              <w:right w:val="single" w:color="auto" w:sz="4" w:space="0"/>
            </w:tcBorders>
            <w:noWrap w:val="0"/>
            <w:vAlign w:val="center"/>
          </w:tcPr>
          <w:p w14:paraId="56355440">
            <w:pPr>
              <w:keepNext w:val="0"/>
              <w:keepLines w:val="0"/>
              <w:widowControl/>
              <w:suppressLineNumbers w:val="0"/>
              <w:jc w:val="center"/>
              <w:textAlignment w:val="center"/>
              <w:rPr>
                <w:rFonts w:hint="default" w:ascii="Arial" w:hAnsi="Arial" w:cs="Arial"/>
                <w:color w:val="auto"/>
                <w:sz w:val="21"/>
                <w:szCs w:val="21"/>
                <w:highlight w:val="none"/>
                <w:lang w:val="en-US" w:eastAsia="zh-CN"/>
              </w:rPr>
            </w:pPr>
            <w:r>
              <w:rPr>
                <w:rFonts w:hint="default" w:ascii="Arial" w:hAnsi="Arial" w:eastAsia="宋体" w:cs="Arial"/>
                <w:i w:val="0"/>
                <w:iCs w:val="0"/>
                <w:color w:val="000000"/>
                <w:kern w:val="0"/>
                <w:sz w:val="21"/>
                <w:szCs w:val="21"/>
                <w:highlight w:val="none"/>
                <w:u w:val="none"/>
                <w:lang w:val="en-US" w:eastAsia="zh-CN" w:bidi="ar"/>
              </w:rPr>
              <w:t xml:space="preserve">22.00 </w:t>
            </w:r>
          </w:p>
        </w:tc>
      </w:tr>
      <w:tr w14:paraId="14C46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jc w:val="center"/>
        </w:trPr>
        <w:tc>
          <w:tcPr>
            <w:tcW w:w="475" w:type="dxa"/>
            <w:tcBorders>
              <w:top w:val="single" w:color="auto" w:sz="4" w:space="0"/>
              <w:left w:val="single" w:color="auto" w:sz="4" w:space="0"/>
              <w:bottom w:val="single" w:color="auto" w:sz="4" w:space="0"/>
              <w:right w:val="single" w:color="auto" w:sz="4" w:space="0"/>
            </w:tcBorders>
            <w:noWrap w:val="0"/>
            <w:vAlign w:val="center"/>
          </w:tcPr>
          <w:p w14:paraId="1FC537A3">
            <w:pPr>
              <w:keepNext w:val="0"/>
              <w:keepLines w:val="0"/>
              <w:widowControl/>
              <w:suppressLineNumbers w:val="0"/>
              <w:jc w:val="center"/>
              <w:textAlignment w:val="center"/>
              <w:rPr>
                <w:rFonts w:hint="default" w:ascii="Arial" w:hAnsi="Arial" w:eastAsia="宋体" w:cs="Arial"/>
                <w:b/>
                <w:bCs/>
                <w:color w:val="auto"/>
                <w:szCs w:val="21"/>
                <w:highlight w:val="none"/>
              </w:rPr>
            </w:pPr>
            <w:r>
              <w:rPr>
                <w:rFonts w:hint="default" w:ascii="Arial" w:hAnsi="Arial" w:eastAsia="宋体" w:cs="Arial"/>
                <w:i w:val="0"/>
                <w:iCs w:val="0"/>
                <w:color w:val="000000"/>
                <w:kern w:val="0"/>
                <w:sz w:val="21"/>
                <w:szCs w:val="21"/>
                <w:highlight w:val="none"/>
                <w:u w:val="none"/>
                <w:lang w:val="en-US" w:eastAsia="zh-CN" w:bidi="ar"/>
              </w:rPr>
              <w:t>20</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509D1945">
            <w:pPr>
              <w:keepNext w:val="0"/>
              <w:keepLines w:val="0"/>
              <w:widowControl/>
              <w:suppressLineNumbers w:val="0"/>
              <w:jc w:val="center"/>
              <w:textAlignment w:val="center"/>
              <w:rPr>
                <w:rFonts w:hint="default" w:ascii="Arial" w:hAnsi="Arial" w:eastAsia="宋体" w:cs="Arial"/>
                <w:bCs/>
                <w:color w:val="auto"/>
                <w:szCs w:val="21"/>
                <w:highlight w:val="none"/>
                <w:lang w:val="en-US" w:eastAsia="zh-CN"/>
              </w:rPr>
            </w:pPr>
            <w:r>
              <w:rPr>
                <w:rFonts w:hint="default" w:ascii="Arial" w:hAnsi="Arial" w:eastAsia="宋体" w:cs="Arial"/>
                <w:i w:val="0"/>
                <w:iCs w:val="0"/>
                <w:color w:val="000000"/>
                <w:kern w:val="0"/>
                <w:sz w:val="21"/>
                <w:szCs w:val="21"/>
                <w:highlight w:val="none"/>
                <w:u w:val="none"/>
                <w:lang w:val="en-US" w:eastAsia="zh-CN" w:bidi="ar"/>
              </w:rPr>
              <w:t>锯齿刀</w:t>
            </w:r>
          </w:p>
        </w:tc>
        <w:tc>
          <w:tcPr>
            <w:tcW w:w="775" w:type="dxa"/>
            <w:tcBorders>
              <w:top w:val="single" w:color="auto" w:sz="4" w:space="0"/>
              <w:left w:val="single" w:color="auto" w:sz="4" w:space="0"/>
              <w:bottom w:val="single" w:color="auto" w:sz="4" w:space="0"/>
              <w:right w:val="single" w:color="auto" w:sz="4" w:space="0"/>
            </w:tcBorders>
            <w:noWrap w:val="0"/>
            <w:vAlign w:val="center"/>
          </w:tcPr>
          <w:p w14:paraId="509A68AD">
            <w:pPr>
              <w:keepNext w:val="0"/>
              <w:keepLines w:val="0"/>
              <w:widowControl/>
              <w:suppressLineNumbers w:val="0"/>
              <w:jc w:val="center"/>
              <w:textAlignment w:val="center"/>
              <w:rPr>
                <w:rFonts w:hint="default" w:ascii="Arial" w:hAnsi="Arial" w:eastAsia="宋体" w:cs="Arial"/>
                <w:bCs/>
                <w:color w:val="auto"/>
                <w:szCs w:val="21"/>
                <w:highlight w:val="none"/>
              </w:rPr>
            </w:pPr>
            <w:r>
              <w:rPr>
                <w:rFonts w:hint="default" w:ascii="Arial" w:hAnsi="Arial" w:eastAsia="宋体" w:cs="Arial"/>
                <w:bCs/>
                <w:color w:val="auto"/>
                <w:szCs w:val="21"/>
                <w:highlight w:val="none"/>
              </w:rPr>
              <w:t>工业</w:t>
            </w:r>
          </w:p>
        </w:tc>
        <w:tc>
          <w:tcPr>
            <w:tcW w:w="65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52E7D27">
            <w:pPr>
              <w:keepNext w:val="0"/>
              <w:keepLines w:val="0"/>
              <w:widowControl/>
              <w:suppressLineNumbers w:val="0"/>
              <w:jc w:val="center"/>
              <w:textAlignment w:val="center"/>
              <w:rPr>
                <w:rFonts w:hint="default" w:ascii="Arial" w:hAnsi="Arial" w:eastAsia="宋体" w:cs="Arial"/>
                <w:bCs/>
                <w:color w:val="auto"/>
                <w:kern w:val="2"/>
                <w:sz w:val="21"/>
                <w:szCs w:val="21"/>
                <w:highlight w:val="none"/>
                <w:lang w:val="en-US" w:eastAsia="zh-CN" w:bidi="ar-SA"/>
              </w:rPr>
            </w:pPr>
            <w:r>
              <w:rPr>
                <w:rFonts w:hint="default" w:ascii="Arial" w:hAnsi="Arial" w:eastAsia="宋体" w:cs="Arial"/>
                <w:i w:val="0"/>
                <w:iCs w:val="0"/>
                <w:color w:val="000000"/>
                <w:kern w:val="0"/>
                <w:sz w:val="21"/>
                <w:szCs w:val="21"/>
                <w:highlight w:val="none"/>
                <w:u w:val="none"/>
                <w:lang w:val="en-US" w:eastAsia="zh-CN" w:bidi="ar"/>
              </w:rPr>
              <w:t>100</w:t>
            </w:r>
          </w:p>
        </w:tc>
        <w:tc>
          <w:tcPr>
            <w:tcW w:w="647" w:type="dxa"/>
            <w:tcBorders>
              <w:top w:val="single" w:color="auto" w:sz="4" w:space="0"/>
              <w:left w:val="single" w:color="auto" w:sz="4" w:space="0"/>
              <w:bottom w:val="single" w:color="auto" w:sz="4" w:space="0"/>
              <w:right w:val="single" w:color="auto" w:sz="4" w:space="0"/>
            </w:tcBorders>
            <w:noWrap w:val="0"/>
            <w:vAlign w:val="center"/>
          </w:tcPr>
          <w:p w14:paraId="262D719C">
            <w:pPr>
              <w:keepNext w:val="0"/>
              <w:keepLines w:val="0"/>
              <w:widowControl/>
              <w:suppressLineNumbers w:val="0"/>
              <w:jc w:val="center"/>
              <w:textAlignment w:val="center"/>
              <w:rPr>
                <w:rFonts w:hint="default" w:ascii="Arial" w:hAnsi="Arial" w:eastAsia="宋体" w:cs="Arial"/>
                <w:bCs/>
                <w:color w:val="auto"/>
                <w:szCs w:val="21"/>
                <w:highlight w:val="none"/>
                <w:lang w:val="en-US" w:eastAsia="zh-CN"/>
              </w:rPr>
            </w:pPr>
            <w:r>
              <w:rPr>
                <w:rFonts w:hint="default" w:ascii="Arial" w:hAnsi="Arial" w:eastAsia="宋体" w:cs="Arial"/>
                <w:i w:val="0"/>
                <w:iCs w:val="0"/>
                <w:color w:val="000000"/>
                <w:kern w:val="0"/>
                <w:sz w:val="21"/>
                <w:szCs w:val="21"/>
                <w:highlight w:val="none"/>
                <w:u w:val="none"/>
                <w:lang w:val="en-US" w:eastAsia="zh-CN" w:bidi="ar"/>
              </w:rPr>
              <w:t>个</w:t>
            </w:r>
          </w:p>
        </w:tc>
        <w:tc>
          <w:tcPr>
            <w:tcW w:w="5174" w:type="dxa"/>
            <w:tcBorders>
              <w:top w:val="single" w:color="auto" w:sz="4" w:space="0"/>
              <w:left w:val="single" w:color="auto" w:sz="4" w:space="0"/>
              <w:bottom w:val="single" w:color="auto" w:sz="4" w:space="0"/>
              <w:right w:val="single" w:color="auto" w:sz="4" w:space="0"/>
            </w:tcBorders>
            <w:noWrap w:val="0"/>
            <w:vAlign w:val="center"/>
          </w:tcPr>
          <w:p w14:paraId="0CB15F0B">
            <w:pPr>
              <w:keepNext w:val="0"/>
              <w:keepLines w:val="0"/>
              <w:widowControl/>
              <w:suppressLineNumbers w:val="0"/>
              <w:jc w:val="left"/>
              <w:textAlignment w:val="center"/>
              <w:rPr>
                <w:rFonts w:hint="default" w:ascii="Arial" w:hAnsi="Arial" w:eastAsia="宋体" w:cs="Arial"/>
                <w:color w:val="auto"/>
                <w:kern w:val="2"/>
                <w:sz w:val="21"/>
                <w:szCs w:val="24"/>
                <w:highlight w:val="none"/>
                <w:lang w:val="en-US" w:eastAsia="zh-CN" w:bidi="ar-SA"/>
              </w:rPr>
            </w:pPr>
            <w:r>
              <w:rPr>
                <w:rFonts w:hint="eastAsia" w:ascii="Arial" w:hAnsi="Arial" w:eastAsia="宋体" w:cs="Arial"/>
                <w:color w:val="auto"/>
                <w:kern w:val="2"/>
                <w:sz w:val="21"/>
                <w:szCs w:val="24"/>
                <w:highlight w:val="none"/>
                <w:lang w:val="en-US" w:eastAsia="zh-CN" w:bidi="ar-SA"/>
              </w:rPr>
              <w:t>规格：14寸  材质：不锈钢</w:t>
            </w:r>
          </w:p>
        </w:tc>
        <w:tc>
          <w:tcPr>
            <w:tcW w:w="1121" w:type="dxa"/>
            <w:tcBorders>
              <w:top w:val="single" w:color="auto" w:sz="4" w:space="0"/>
              <w:left w:val="single" w:color="auto" w:sz="4" w:space="0"/>
              <w:bottom w:val="single" w:color="auto" w:sz="4" w:space="0"/>
              <w:right w:val="single" w:color="auto" w:sz="4" w:space="0"/>
            </w:tcBorders>
            <w:noWrap w:val="0"/>
            <w:vAlign w:val="center"/>
          </w:tcPr>
          <w:p w14:paraId="245F1071">
            <w:pPr>
              <w:keepNext w:val="0"/>
              <w:keepLines w:val="0"/>
              <w:widowControl/>
              <w:suppressLineNumbers w:val="0"/>
              <w:jc w:val="center"/>
              <w:textAlignment w:val="center"/>
              <w:rPr>
                <w:rFonts w:hint="default" w:ascii="Arial" w:hAnsi="Arial" w:cs="Arial"/>
                <w:color w:val="auto"/>
                <w:sz w:val="21"/>
                <w:szCs w:val="21"/>
                <w:highlight w:val="none"/>
                <w:lang w:val="en-US" w:eastAsia="zh-CN"/>
              </w:rPr>
            </w:pPr>
            <w:r>
              <w:rPr>
                <w:rFonts w:hint="default" w:ascii="Arial" w:hAnsi="Arial" w:eastAsia="宋体" w:cs="Arial"/>
                <w:i w:val="0"/>
                <w:iCs w:val="0"/>
                <w:color w:val="000000"/>
                <w:kern w:val="0"/>
                <w:sz w:val="21"/>
                <w:szCs w:val="21"/>
                <w:highlight w:val="none"/>
                <w:u w:val="none"/>
                <w:lang w:val="en-US" w:eastAsia="zh-CN" w:bidi="ar"/>
              </w:rPr>
              <w:t xml:space="preserve">22.00 </w:t>
            </w:r>
          </w:p>
        </w:tc>
      </w:tr>
      <w:tr w14:paraId="16EFB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jc w:val="center"/>
        </w:trPr>
        <w:tc>
          <w:tcPr>
            <w:tcW w:w="475" w:type="dxa"/>
            <w:tcBorders>
              <w:top w:val="single" w:color="auto" w:sz="4" w:space="0"/>
              <w:left w:val="single" w:color="auto" w:sz="4" w:space="0"/>
              <w:bottom w:val="single" w:color="auto" w:sz="4" w:space="0"/>
              <w:right w:val="single" w:color="auto" w:sz="4" w:space="0"/>
            </w:tcBorders>
            <w:noWrap w:val="0"/>
            <w:vAlign w:val="center"/>
          </w:tcPr>
          <w:p w14:paraId="34FDD675">
            <w:pPr>
              <w:keepNext w:val="0"/>
              <w:keepLines w:val="0"/>
              <w:widowControl/>
              <w:suppressLineNumbers w:val="0"/>
              <w:jc w:val="center"/>
              <w:textAlignment w:val="center"/>
              <w:rPr>
                <w:rFonts w:hint="default" w:ascii="Arial" w:hAnsi="Arial" w:eastAsia="宋体" w:cs="Arial"/>
                <w:b/>
                <w:bCs/>
                <w:color w:val="auto"/>
                <w:szCs w:val="21"/>
                <w:highlight w:val="none"/>
              </w:rPr>
            </w:pPr>
            <w:r>
              <w:rPr>
                <w:rFonts w:hint="default" w:ascii="Arial" w:hAnsi="Arial" w:eastAsia="宋体" w:cs="Arial"/>
                <w:i w:val="0"/>
                <w:iCs w:val="0"/>
                <w:color w:val="000000"/>
                <w:kern w:val="0"/>
                <w:sz w:val="21"/>
                <w:szCs w:val="21"/>
                <w:highlight w:val="none"/>
                <w:u w:val="none"/>
                <w:lang w:val="en-US" w:eastAsia="zh-CN" w:bidi="ar"/>
              </w:rPr>
              <w:t>21</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2E0BA912">
            <w:pPr>
              <w:keepNext w:val="0"/>
              <w:keepLines w:val="0"/>
              <w:widowControl/>
              <w:suppressLineNumbers w:val="0"/>
              <w:jc w:val="center"/>
              <w:textAlignment w:val="center"/>
              <w:rPr>
                <w:rFonts w:hint="default" w:ascii="Arial" w:hAnsi="Arial" w:eastAsia="宋体" w:cs="Arial"/>
                <w:bCs/>
                <w:color w:val="auto"/>
                <w:szCs w:val="21"/>
                <w:highlight w:val="none"/>
                <w:lang w:val="en-US" w:eastAsia="zh-CN"/>
              </w:rPr>
            </w:pPr>
            <w:r>
              <w:rPr>
                <w:rFonts w:hint="default" w:ascii="Arial" w:hAnsi="Arial" w:eastAsia="宋体" w:cs="Arial"/>
                <w:i w:val="0"/>
                <w:iCs w:val="0"/>
                <w:color w:val="000000"/>
                <w:kern w:val="0"/>
                <w:sz w:val="21"/>
                <w:szCs w:val="21"/>
                <w:highlight w:val="none"/>
                <w:u w:val="none"/>
                <w:lang w:val="en-US" w:eastAsia="zh-CN" w:bidi="ar"/>
              </w:rPr>
              <w:t>6寸蛋糕模具</w:t>
            </w:r>
          </w:p>
        </w:tc>
        <w:tc>
          <w:tcPr>
            <w:tcW w:w="775" w:type="dxa"/>
            <w:tcBorders>
              <w:top w:val="single" w:color="auto" w:sz="4" w:space="0"/>
              <w:left w:val="single" w:color="auto" w:sz="4" w:space="0"/>
              <w:bottom w:val="single" w:color="auto" w:sz="4" w:space="0"/>
              <w:right w:val="single" w:color="auto" w:sz="4" w:space="0"/>
            </w:tcBorders>
            <w:noWrap w:val="0"/>
            <w:vAlign w:val="center"/>
          </w:tcPr>
          <w:p w14:paraId="19E2D3F8">
            <w:pPr>
              <w:keepNext w:val="0"/>
              <w:keepLines w:val="0"/>
              <w:widowControl/>
              <w:suppressLineNumbers w:val="0"/>
              <w:jc w:val="center"/>
              <w:textAlignment w:val="center"/>
              <w:rPr>
                <w:rFonts w:hint="default" w:ascii="Arial" w:hAnsi="Arial" w:eastAsia="宋体" w:cs="Arial"/>
                <w:bCs/>
                <w:color w:val="auto"/>
                <w:szCs w:val="21"/>
                <w:highlight w:val="none"/>
              </w:rPr>
            </w:pPr>
            <w:r>
              <w:rPr>
                <w:rFonts w:hint="default" w:ascii="Arial" w:hAnsi="Arial" w:eastAsia="宋体" w:cs="Arial"/>
                <w:bCs/>
                <w:color w:val="auto"/>
                <w:szCs w:val="21"/>
                <w:highlight w:val="none"/>
              </w:rPr>
              <w:t>工业</w:t>
            </w:r>
          </w:p>
        </w:tc>
        <w:tc>
          <w:tcPr>
            <w:tcW w:w="65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99D0AD5">
            <w:pPr>
              <w:keepNext w:val="0"/>
              <w:keepLines w:val="0"/>
              <w:widowControl/>
              <w:suppressLineNumbers w:val="0"/>
              <w:jc w:val="center"/>
              <w:textAlignment w:val="center"/>
              <w:rPr>
                <w:rFonts w:hint="default" w:ascii="Arial" w:hAnsi="Arial" w:eastAsia="宋体" w:cs="Arial"/>
                <w:bCs/>
                <w:color w:val="auto"/>
                <w:kern w:val="2"/>
                <w:sz w:val="21"/>
                <w:szCs w:val="21"/>
                <w:highlight w:val="none"/>
                <w:lang w:val="en-US" w:eastAsia="zh-CN" w:bidi="ar-SA"/>
              </w:rPr>
            </w:pPr>
            <w:r>
              <w:rPr>
                <w:rFonts w:hint="default" w:ascii="Arial" w:hAnsi="Arial" w:eastAsia="宋体" w:cs="Arial"/>
                <w:i w:val="0"/>
                <w:iCs w:val="0"/>
                <w:color w:val="000000"/>
                <w:kern w:val="0"/>
                <w:sz w:val="21"/>
                <w:szCs w:val="21"/>
                <w:highlight w:val="none"/>
                <w:u w:val="none"/>
                <w:lang w:val="en-US" w:eastAsia="zh-CN" w:bidi="ar"/>
              </w:rPr>
              <w:t>30</w:t>
            </w:r>
          </w:p>
        </w:tc>
        <w:tc>
          <w:tcPr>
            <w:tcW w:w="647" w:type="dxa"/>
            <w:tcBorders>
              <w:top w:val="single" w:color="auto" w:sz="4" w:space="0"/>
              <w:left w:val="single" w:color="auto" w:sz="4" w:space="0"/>
              <w:bottom w:val="single" w:color="auto" w:sz="4" w:space="0"/>
              <w:right w:val="single" w:color="auto" w:sz="4" w:space="0"/>
            </w:tcBorders>
            <w:noWrap w:val="0"/>
            <w:vAlign w:val="center"/>
          </w:tcPr>
          <w:p w14:paraId="38898FE2">
            <w:pPr>
              <w:keepNext w:val="0"/>
              <w:keepLines w:val="0"/>
              <w:widowControl/>
              <w:suppressLineNumbers w:val="0"/>
              <w:jc w:val="center"/>
              <w:textAlignment w:val="center"/>
              <w:rPr>
                <w:rFonts w:hint="default" w:ascii="Arial" w:hAnsi="Arial" w:eastAsia="宋体" w:cs="Arial"/>
                <w:bCs/>
                <w:color w:val="auto"/>
                <w:szCs w:val="21"/>
                <w:highlight w:val="none"/>
                <w:lang w:val="en-US" w:eastAsia="zh-CN"/>
              </w:rPr>
            </w:pPr>
            <w:r>
              <w:rPr>
                <w:rFonts w:hint="default" w:ascii="Arial" w:hAnsi="Arial" w:eastAsia="宋体" w:cs="Arial"/>
                <w:i w:val="0"/>
                <w:iCs w:val="0"/>
                <w:color w:val="000000"/>
                <w:kern w:val="0"/>
                <w:sz w:val="21"/>
                <w:szCs w:val="21"/>
                <w:highlight w:val="none"/>
                <w:u w:val="none"/>
                <w:lang w:val="en-US" w:eastAsia="zh-CN" w:bidi="ar"/>
              </w:rPr>
              <w:t>个</w:t>
            </w:r>
          </w:p>
        </w:tc>
        <w:tc>
          <w:tcPr>
            <w:tcW w:w="5174" w:type="dxa"/>
            <w:tcBorders>
              <w:top w:val="single" w:color="auto" w:sz="4" w:space="0"/>
              <w:left w:val="single" w:color="auto" w:sz="4" w:space="0"/>
              <w:bottom w:val="single" w:color="auto" w:sz="4" w:space="0"/>
              <w:right w:val="single" w:color="auto" w:sz="4" w:space="0"/>
            </w:tcBorders>
            <w:noWrap w:val="0"/>
            <w:vAlign w:val="center"/>
          </w:tcPr>
          <w:p w14:paraId="423A3C65">
            <w:pPr>
              <w:keepNext w:val="0"/>
              <w:keepLines w:val="0"/>
              <w:widowControl/>
              <w:suppressLineNumbers w:val="0"/>
              <w:jc w:val="left"/>
              <w:textAlignment w:val="center"/>
              <w:rPr>
                <w:rFonts w:hint="default" w:ascii="Arial" w:hAnsi="Arial" w:eastAsia="宋体" w:cs="Arial"/>
                <w:color w:val="auto"/>
                <w:kern w:val="2"/>
                <w:sz w:val="21"/>
                <w:szCs w:val="24"/>
                <w:highlight w:val="none"/>
                <w:lang w:val="en-US" w:eastAsia="zh-CN" w:bidi="ar-SA"/>
              </w:rPr>
            </w:pPr>
            <w:r>
              <w:rPr>
                <w:rFonts w:hint="eastAsia" w:ascii="Arial" w:hAnsi="Arial" w:eastAsia="宋体" w:cs="Arial"/>
                <w:color w:val="auto"/>
                <w:kern w:val="2"/>
                <w:sz w:val="21"/>
                <w:szCs w:val="24"/>
                <w:highlight w:val="none"/>
                <w:lang w:val="en-US" w:eastAsia="zh-CN" w:bidi="ar-SA"/>
              </w:rPr>
              <w:t>规格：活底/6寸 材质：铝合金</w:t>
            </w:r>
          </w:p>
        </w:tc>
        <w:tc>
          <w:tcPr>
            <w:tcW w:w="1121" w:type="dxa"/>
            <w:tcBorders>
              <w:top w:val="single" w:color="auto" w:sz="4" w:space="0"/>
              <w:left w:val="single" w:color="auto" w:sz="4" w:space="0"/>
              <w:bottom w:val="single" w:color="auto" w:sz="4" w:space="0"/>
              <w:right w:val="single" w:color="auto" w:sz="4" w:space="0"/>
            </w:tcBorders>
            <w:noWrap w:val="0"/>
            <w:vAlign w:val="center"/>
          </w:tcPr>
          <w:p w14:paraId="57D78909">
            <w:pPr>
              <w:keepNext w:val="0"/>
              <w:keepLines w:val="0"/>
              <w:widowControl/>
              <w:suppressLineNumbers w:val="0"/>
              <w:jc w:val="center"/>
              <w:textAlignment w:val="center"/>
              <w:rPr>
                <w:rFonts w:hint="default" w:ascii="Arial" w:hAnsi="Arial" w:cs="Arial"/>
                <w:color w:val="auto"/>
                <w:sz w:val="21"/>
                <w:szCs w:val="21"/>
                <w:highlight w:val="none"/>
                <w:lang w:val="en-US" w:eastAsia="zh-CN"/>
              </w:rPr>
            </w:pPr>
            <w:r>
              <w:rPr>
                <w:rFonts w:hint="default" w:ascii="Arial" w:hAnsi="Arial" w:eastAsia="宋体" w:cs="Arial"/>
                <w:i w:val="0"/>
                <w:iCs w:val="0"/>
                <w:color w:val="000000"/>
                <w:kern w:val="0"/>
                <w:sz w:val="21"/>
                <w:szCs w:val="21"/>
                <w:highlight w:val="none"/>
                <w:u w:val="none"/>
                <w:lang w:val="en-US" w:eastAsia="zh-CN" w:bidi="ar"/>
              </w:rPr>
              <w:t xml:space="preserve">26.00 </w:t>
            </w:r>
          </w:p>
        </w:tc>
      </w:tr>
      <w:tr w14:paraId="7B773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jc w:val="center"/>
        </w:trPr>
        <w:tc>
          <w:tcPr>
            <w:tcW w:w="475" w:type="dxa"/>
            <w:tcBorders>
              <w:top w:val="single" w:color="auto" w:sz="4" w:space="0"/>
              <w:left w:val="single" w:color="auto" w:sz="4" w:space="0"/>
              <w:bottom w:val="single" w:color="auto" w:sz="4" w:space="0"/>
              <w:right w:val="single" w:color="auto" w:sz="4" w:space="0"/>
            </w:tcBorders>
            <w:noWrap w:val="0"/>
            <w:vAlign w:val="center"/>
          </w:tcPr>
          <w:p w14:paraId="06848B52">
            <w:pPr>
              <w:keepNext w:val="0"/>
              <w:keepLines w:val="0"/>
              <w:widowControl/>
              <w:suppressLineNumbers w:val="0"/>
              <w:jc w:val="center"/>
              <w:textAlignment w:val="center"/>
              <w:rPr>
                <w:rFonts w:hint="default" w:ascii="Arial" w:hAnsi="Arial" w:eastAsia="宋体" w:cs="Arial"/>
                <w:b/>
                <w:bCs/>
                <w:color w:val="auto"/>
                <w:szCs w:val="21"/>
                <w:highlight w:val="none"/>
              </w:rPr>
            </w:pPr>
            <w:r>
              <w:rPr>
                <w:rFonts w:hint="default" w:ascii="Arial" w:hAnsi="Arial" w:eastAsia="宋体" w:cs="Arial"/>
                <w:i w:val="0"/>
                <w:iCs w:val="0"/>
                <w:color w:val="000000"/>
                <w:kern w:val="0"/>
                <w:sz w:val="21"/>
                <w:szCs w:val="21"/>
                <w:highlight w:val="none"/>
                <w:u w:val="none"/>
                <w:lang w:val="en-US" w:eastAsia="zh-CN" w:bidi="ar"/>
              </w:rPr>
              <w:t>22</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5A81B2EF">
            <w:pPr>
              <w:keepNext w:val="0"/>
              <w:keepLines w:val="0"/>
              <w:widowControl/>
              <w:suppressLineNumbers w:val="0"/>
              <w:jc w:val="center"/>
              <w:textAlignment w:val="center"/>
              <w:rPr>
                <w:rFonts w:hint="default" w:ascii="Arial" w:hAnsi="Arial" w:eastAsia="宋体" w:cs="Arial"/>
                <w:bCs/>
                <w:color w:val="auto"/>
                <w:szCs w:val="21"/>
                <w:highlight w:val="none"/>
                <w:lang w:val="en-US" w:eastAsia="zh-CN"/>
              </w:rPr>
            </w:pPr>
            <w:r>
              <w:rPr>
                <w:rFonts w:hint="default" w:ascii="Arial" w:hAnsi="Arial" w:eastAsia="宋体" w:cs="Arial"/>
                <w:i w:val="0"/>
                <w:iCs w:val="0"/>
                <w:color w:val="000000"/>
                <w:kern w:val="0"/>
                <w:sz w:val="21"/>
                <w:szCs w:val="21"/>
                <w:highlight w:val="none"/>
                <w:u w:val="none"/>
                <w:lang w:val="en-US" w:eastAsia="zh-CN" w:bidi="ar"/>
              </w:rPr>
              <w:t>8寸蛋糕模具</w:t>
            </w:r>
          </w:p>
        </w:tc>
        <w:tc>
          <w:tcPr>
            <w:tcW w:w="775" w:type="dxa"/>
            <w:tcBorders>
              <w:top w:val="single" w:color="auto" w:sz="4" w:space="0"/>
              <w:left w:val="single" w:color="auto" w:sz="4" w:space="0"/>
              <w:bottom w:val="single" w:color="auto" w:sz="4" w:space="0"/>
              <w:right w:val="single" w:color="auto" w:sz="4" w:space="0"/>
            </w:tcBorders>
            <w:noWrap w:val="0"/>
            <w:vAlign w:val="center"/>
          </w:tcPr>
          <w:p w14:paraId="02897760">
            <w:pPr>
              <w:keepNext w:val="0"/>
              <w:keepLines w:val="0"/>
              <w:widowControl/>
              <w:suppressLineNumbers w:val="0"/>
              <w:jc w:val="center"/>
              <w:textAlignment w:val="center"/>
              <w:rPr>
                <w:rFonts w:hint="default" w:ascii="Arial" w:hAnsi="Arial" w:eastAsia="宋体" w:cs="Arial"/>
                <w:bCs/>
                <w:color w:val="auto"/>
                <w:szCs w:val="21"/>
                <w:highlight w:val="none"/>
              </w:rPr>
            </w:pPr>
            <w:r>
              <w:rPr>
                <w:rFonts w:hint="default" w:ascii="Arial" w:hAnsi="Arial" w:eastAsia="宋体" w:cs="Arial"/>
                <w:bCs/>
                <w:color w:val="auto"/>
                <w:szCs w:val="21"/>
                <w:highlight w:val="none"/>
              </w:rPr>
              <w:t>工业</w:t>
            </w:r>
          </w:p>
        </w:tc>
        <w:tc>
          <w:tcPr>
            <w:tcW w:w="65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75FC0D7">
            <w:pPr>
              <w:keepNext w:val="0"/>
              <w:keepLines w:val="0"/>
              <w:widowControl/>
              <w:suppressLineNumbers w:val="0"/>
              <w:jc w:val="center"/>
              <w:textAlignment w:val="center"/>
              <w:rPr>
                <w:rFonts w:hint="default" w:ascii="Arial" w:hAnsi="Arial" w:eastAsia="宋体" w:cs="Arial"/>
                <w:bCs/>
                <w:color w:val="auto"/>
                <w:kern w:val="2"/>
                <w:sz w:val="21"/>
                <w:szCs w:val="21"/>
                <w:highlight w:val="none"/>
                <w:lang w:val="en-US" w:eastAsia="zh-CN" w:bidi="ar-SA"/>
              </w:rPr>
            </w:pPr>
            <w:r>
              <w:rPr>
                <w:rFonts w:hint="default" w:ascii="Arial" w:hAnsi="Arial" w:eastAsia="宋体" w:cs="Arial"/>
                <w:i w:val="0"/>
                <w:iCs w:val="0"/>
                <w:color w:val="000000"/>
                <w:kern w:val="0"/>
                <w:sz w:val="21"/>
                <w:szCs w:val="21"/>
                <w:highlight w:val="none"/>
                <w:u w:val="none"/>
                <w:lang w:val="en-US" w:eastAsia="zh-CN" w:bidi="ar"/>
              </w:rPr>
              <w:t>30</w:t>
            </w:r>
          </w:p>
        </w:tc>
        <w:tc>
          <w:tcPr>
            <w:tcW w:w="647" w:type="dxa"/>
            <w:tcBorders>
              <w:top w:val="single" w:color="auto" w:sz="4" w:space="0"/>
              <w:left w:val="single" w:color="auto" w:sz="4" w:space="0"/>
              <w:bottom w:val="single" w:color="auto" w:sz="4" w:space="0"/>
              <w:right w:val="single" w:color="auto" w:sz="4" w:space="0"/>
            </w:tcBorders>
            <w:noWrap w:val="0"/>
            <w:vAlign w:val="center"/>
          </w:tcPr>
          <w:p w14:paraId="57E5E497">
            <w:pPr>
              <w:keepNext w:val="0"/>
              <w:keepLines w:val="0"/>
              <w:widowControl/>
              <w:suppressLineNumbers w:val="0"/>
              <w:jc w:val="center"/>
              <w:textAlignment w:val="center"/>
              <w:rPr>
                <w:rFonts w:hint="default" w:ascii="Arial" w:hAnsi="Arial" w:eastAsia="宋体" w:cs="Arial"/>
                <w:bCs/>
                <w:color w:val="auto"/>
                <w:szCs w:val="21"/>
                <w:highlight w:val="none"/>
                <w:lang w:val="en-US" w:eastAsia="zh-CN"/>
              </w:rPr>
            </w:pPr>
            <w:r>
              <w:rPr>
                <w:rFonts w:hint="default" w:ascii="Arial" w:hAnsi="Arial" w:eastAsia="宋体" w:cs="Arial"/>
                <w:i w:val="0"/>
                <w:iCs w:val="0"/>
                <w:color w:val="000000"/>
                <w:kern w:val="0"/>
                <w:sz w:val="21"/>
                <w:szCs w:val="21"/>
                <w:highlight w:val="none"/>
                <w:u w:val="none"/>
                <w:lang w:val="en-US" w:eastAsia="zh-CN" w:bidi="ar"/>
              </w:rPr>
              <w:t>个</w:t>
            </w:r>
          </w:p>
        </w:tc>
        <w:tc>
          <w:tcPr>
            <w:tcW w:w="5174" w:type="dxa"/>
            <w:tcBorders>
              <w:top w:val="single" w:color="auto" w:sz="4" w:space="0"/>
              <w:left w:val="single" w:color="auto" w:sz="4" w:space="0"/>
              <w:bottom w:val="single" w:color="auto" w:sz="4" w:space="0"/>
              <w:right w:val="single" w:color="auto" w:sz="4" w:space="0"/>
            </w:tcBorders>
            <w:noWrap w:val="0"/>
            <w:vAlign w:val="center"/>
          </w:tcPr>
          <w:p w14:paraId="4FE5D6F2">
            <w:pPr>
              <w:keepNext w:val="0"/>
              <w:keepLines w:val="0"/>
              <w:widowControl/>
              <w:suppressLineNumbers w:val="0"/>
              <w:jc w:val="left"/>
              <w:textAlignment w:val="center"/>
              <w:rPr>
                <w:rFonts w:hint="default" w:ascii="Arial" w:hAnsi="Arial" w:eastAsia="宋体" w:cs="Arial"/>
                <w:color w:val="auto"/>
                <w:kern w:val="2"/>
                <w:sz w:val="21"/>
                <w:szCs w:val="24"/>
                <w:highlight w:val="none"/>
                <w:lang w:val="en-US" w:eastAsia="zh-CN" w:bidi="ar-SA"/>
              </w:rPr>
            </w:pPr>
            <w:r>
              <w:rPr>
                <w:rFonts w:hint="eastAsia" w:ascii="Arial" w:hAnsi="Arial" w:eastAsia="宋体" w:cs="Arial"/>
                <w:color w:val="auto"/>
                <w:kern w:val="2"/>
                <w:sz w:val="21"/>
                <w:szCs w:val="24"/>
                <w:highlight w:val="none"/>
                <w:lang w:val="en-US" w:eastAsia="zh-CN" w:bidi="ar-SA"/>
              </w:rPr>
              <w:t>规格：活底/8寸 材质：铝合金</w:t>
            </w:r>
          </w:p>
        </w:tc>
        <w:tc>
          <w:tcPr>
            <w:tcW w:w="1121" w:type="dxa"/>
            <w:tcBorders>
              <w:top w:val="single" w:color="auto" w:sz="4" w:space="0"/>
              <w:left w:val="single" w:color="auto" w:sz="4" w:space="0"/>
              <w:bottom w:val="single" w:color="auto" w:sz="4" w:space="0"/>
              <w:right w:val="single" w:color="auto" w:sz="4" w:space="0"/>
            </w:tcBorders>
            <w:noWrap w:val="0"/>
            <w:vAlign w:val="center"/>
          </w:tcPr>
          <w:p w14:paraId="20D17CCA">
            <w:pPr>
              <w:keepNext w:val="0"/>
              <w:keepLines w:val="0"/>
              <w:widowControl/>
              <w:suppressLineNumbers w:val="0"/>
              <w:jc w:val="center"/>
              <w:textAlignment w:val="center"/>
              <w:rPr>
                <w:rFonts w:hint="default" w:ascii="Arial" w:hAnsi="Arial" w:cs="Arial"/>
                <w:color w:val="auto"/>
                <w:sz w:val="21"/>
                <w:szCs w:val="21"/>
                <w:highlight w:val="none"/>
                <w:lang w:val="en-US" w:eastAsia="zh-CN"/>
              </w:rPr>
            </w:pPr>
            <w:r>
              <w:rPr>
                <w:rFonts w:hint="default" w:ascii="Arial" w:hAnsi="Arial" w:eastAsia="宋体" w:cs="Arial"/>
                <w:i w:val="0"/>
                <w:iCs w:val="0"/>
                <w:color w:val="000000"/>
                <w:kern w:val="0"/>
                <w:sz w:val="21"/>
                <w:szCs w:val="21"/>
                <w:highlight w:val="none"/>
                <w:u w:val="none"/>
                <w:lang w:val="en-US" w:eastAsia="zh-CN" w:bidi="ar"/>
              </w:rPr>
              <w:t xml:space="preserve">30.00 </w:t>
            </w:r>
          </w:p>
        </w:tc>
      </w:tr>
      <w:tr w14:paraId="007D6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jc w:val="center"/>
        </w:trPr>
        <w:tc>
          <w:tcPr>
            <w:tcW w:w="475" w:type="dxa"/>
            <w:tcBorders>
              <w:top w:val="single" w:color="auto" w:sz="4" w:space="0"/>
              <w:left w:val="single" w:color="auto" w:sz="4" w:space="0"/>
              <w:bottom w:val="single" w:color="auto" w:sz="4" w:space="0"/>
              <w:right w:val="single" w:color="auto" w:sz="4" w:space="0"/>
            </w:tcBorders>
            <w:noWrap w:val="0"/>
            <w:vAlign w:val="center"/>
          </w:tcPr>
          <w:p w14:paraId="027DD006">
            <w:pPr>
              <w:keepNext w:val="0"/>
              <w:keepLines w:val="0"/>
              <w:widowControl/>
              <w:suppressLineNumbers w:val="0"/>
              <w:jc w:val="center"/>
              <w:textAlignment w:val="center"/>
              <w:rPr>
                <w:rFonts w:hint="default" w:ascii="Arial" w:hAnsi="Arial" w:eastAsia="宋体" w:cs="Arial"/>
                <w:b/>
                <w:bCs/>
                <w:color w:val="auto"/>
                <w:szCs w:val="21"/>
                <w:highlight w:val="none"/>
              </w:rPr>
            </w:pPr>
            <w:r>
              <w:rPr>
                <w:rFonts w:hint="default" w:ascii="Arial" w:hAnsi="Arial" w:eastAsia="宋体" w:cs="Arial"/>
                <w:i w:val="0"/>
                <w:iCs w:val="0"/>
                <w:color w:val="000000"/>
                <w:kern w:val="0"/>
                <w:sz w:val="21"/>
                <w:szCs w:val="21"/>
                <w:highlight w:val="none"/>
                <w:u w:val="none"/>
                <w:lang w:val="en-US" w:eastAsia="zh-CN" w:bidi="ar"/>
              </w:rPr>
              <w:t>23</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7539273D">
            <w:pPr>
              <w:keepNext w:val="0"/>
              <w:keepLines w:val="0"/>
              <w:widowControl/>
              <w:suppressLineNumbers w:val="0"/>
              <w:jc w:val="center"/>
              <w:textAlignment w:val="center"/>
              <w:rPr>
                <w:rFonts w:hint="default" w:ascii="Arial" w:hAnsi="Arial" w:eastAsia="宋体" w:cs="Arial"/>
                <w:bCs/>
                <w:color w:val="auto"/>
                <w:szCs w:val="21"/>
                <w:highlight w:val="none"/>
                <w:lang w:val="en-US" w:eastAsia="zh-CN"/>
              </w:rPr>
            </w:pPr>
            <w:r>
              <w:rPr>
                <w:rFonts w:hint="default" w:ascii="Arial" w:hAnsi="Arial" w:eastAsia="宋体" w:cs="Arial"/>
                <w:i w:val="0"/>
                <w:iCs w:val="0"/>
                <w:color w:val="000000"/>
                <w:kern w:val="0"/>
                <w:sz w:val="21"/>
                <w:szCs w:val="21"/>
                <w:highlight w:val="none"/>
                <w:u w:val="none"/>
                <w:lang w:val="en-US" w:eastAsia="zh-CN" w:bidi="ar"/>
              </w:rPr>
              <w:t>蒸箱</w:t>
            </w:r>
          </w:p>
        </w:tc>
        <w:tc>
          <w:tcPr>
            <w:tcW w:w="775" w:type="dxa"/>
            <w:tcBorders>
              <w:top w:val="single" w:color="auto" w:sz="4" w:space="0"/>
              <w:left w:val="single" w:color="auto" w:sz="4" w:space="0"/>
              <w:bottom w:val="single" w:color="auto" w:sz="4" w:space="0"/>
              <w:right w:val="single" w:color="auto" w:sz="4" w:space="0"/>
            </w:tcBorders>
            <w:noWrap w:val="0"/>
            <w:vAlign w:val="center"/>
          </w:tcPr>
          <w:p w14:paraId="54E693E5">
            <w:pPr>
              <w:keepNext w:val="0"/>
              <w:keepLines w:val="0"/>
              <w:widowControl/>
              <w:suppressLineNumbers w:val="0"/>
              <w:jc w:val="center"/>
              <w:textAlignment w:val="center"/>
              <w:rPr>
                <w:rFonts w:hint="default" w:ascii="Arial" w:hAnsi="Arial" w:eastAsia="宋体" w:cs="Arial"/>
                <w:bCs/>
                <w:color w:val="auto"/>
                <w:szCs w:val="21"/>
                <w:highlight w:val="none"/>
              </w:rPr>
            </w:pPr>
            <w:r>
              <w:rPr>
                <w:rFonts w:hint="default" w:ascii="Arial" w:hAnsi="Arial" w:eastAsia="宋体" w:cs="Arial"/>
                <w:bCs/>
                <w:color w:val="auto"/>
                <w:szCs w:val="21"/>
                <w:highlight w:val="none"/>
              </w:rPr>
              <w:t>工业</w:t>
            </w:r>
          </w:p>
        </w:tc>
        <w:tc>
          <w:tcPr>
            <w:tcW w:w="65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15C0D0E">
            <w:pPr>
              <w:keepNext w:val="0"/>
              <w:keepLines w:val="0"/>
              <w:widowControl/>
              <w:suppressLineNumbers w:val="0"/>
              <w:jc w:val="center"/>
              <w:textAlignment w:val="center"/>
              <w:rPr>
                <w:rFonts w:hint="default" w:ascii="Arial" w:hAnsi="Arial" w:eastAsia="宋体" w:cs="Arial"/>
                <w:bCs/>
                <w:color w:val="auto"/>
                <w:kern w:val="2"/>
                <w:sz w:val="21"/>
                <w:szCs w:val="21"/>
                <w:highlight w:val="none"/>
                <w:lang w:val="en-US" w:eastAsia="zh-CN" w:bidi="ar-SA"/>
              </w:rPr>
            </w:pPr>
            <w:r>
              <w:rPr>
                <w:rFonts w:hint="default" w:ascii="Arial" w:hAnsi="Arial" w:eastAsia="宋体" w:cs="Arial"/>
                <w:i w:val="0"/>
                <w:iCs w:val="0"/>
                <w:color w:val="000000"/>
                <w:kern w:val="0"/>
                <w:sz w:val="21"/>
                <w:szCs w:val="21"/>
                <w:highlight w:val="none"/>
                <w:u w:val="none"/>
                <w:lang w:val="en-US" w:eastAsia="zh-CN" w:bidi="ar"/>
              </w:rPr>
              <w:t>3</w:t>
            </w:r>
          </w:p>
        </w:tc>
        <w:tc>
          <w:tcPr>
            <w:tcW w:w="647" w:type="dxa"/>
            <w:tcBorders>
              <w:top w:val="single" w:color="auto" w:sz="4" w:space="0"/>
              <w:left w:val="single" w:color="auto" w:sz="4" w:space="0"/>
              <w:bottom w:val="single" w:color="auto" w:sz="4" w:space="0"/>
              <w:right w:val="single" w:color="auto" w:sz="4" w:space="0"/>
            </w:tcBorders>
            <w:noWrap w:val="0"/>
            <w:vAlign w:val="center"/>
          </w:tcPr>
          <w:p w14:paraId="0543C115">
            <w:pPr>
              <w:keepNext w:val="0"/>
              <w:keepLines w:val="0"/>
              <w:widowControl/>
              <w:suppressLineNumbers w:val="0"/>
              <w:jc w:val="center"/>
              <w:textAlignment w:val="center"/>
              <w:rPr>
                <w:rFonts w:hint="default" w:ascii="Arial" w:hAnsi="Arial" w:eastAsia="宋体" w:cs="Arial"/>
                <w:bCs/>
                <w:color w:val="auto"/>
                <w:szCs w:val="21"/>
                <w:highlight w:val="none"/>
                <w:lang w:val="en-US" w:eastAsia="zh-CN"/>
              </w:rPr>
            </w:pPr>
            <w:r>
              <w:rPr>
                <w:rFonts w:hint="default" w:ascii="Arial" w:hAnsi="Arial" w:eastAsia="宋体" w:cs="Arial"/>
                <w:i w:val="0"/>
                <w:iCs w:val="0"/>
                <w:color w:val="000000"/>
                <w:kern w:val="0"/>
                <w:sz w:val="21"/>
                <w:szCs w:val="21"/>
                <w:highlight w:val="none"/>
                <w:u w:val="none"/>
                <w:lang w:val="en-US" w:eastAsia="zh-CN" w:bidi="ar"/>
              </w:rPr>
              <w:t>台</w:t>
            </w:r>
          </w:p>
        </w:tc>
        <w:tc>
          <w:tcPr>
            <w:tcW w:w="5174" w:type="dxa"/>
            <w:tcBorders>
              <w:top w:val="single" w:color="auto" w:sz="4" w:space="0"/>
              <w:left w:val="single" w:color="auto" w:sz="4" w:space="0"/>
              <w:bottom w:val="single" w:color="auto" w:sz="4" w:space="0"/>
              <w:right w:val="single" w:color="auto" w:sz="4" w:space="0"/>
            </w:tcBorders>
            <w:noWrap w:val="0"/>
            <w:vAlign w:val="center"/>
          </w:tcPr>
          <w:p w14:paraId="717FD07A">
            <w:pPr>
              <w:keepNext w:val="0"/>
              <w:keepLines w:val="0"/>
              <w:widowControl/>
              <w:suppressLineNumbers w:val="0"/>
              <w:jc w:val="left"/>
              <w:textAlignment w:val="center"/>
              <w:rPr>
                <w:rFonts w:hint="default" w:ascii="Arial" w:hAnsi="Arial" w:eastAsia="宋体" w:cs="Arial"/>
                <w:color w:val="auto"/>
                <w:kern w:val="2"/>
                <w:sz w:val="21"/>
                <w:szCs w:val="24"/>
                <w:highlight w:val="none"/>
                <w:lang w:val="en-US" w:eastAsia="zh-CN" w:bidi="ar-SA"/>
              </w:rPr>
            </w:pPr>
            <w:r>
              <w:rPr>
                <w:rFonts w:hint="eastAsia" w:ascii="Arial" w:hAnsi="Arial" w:eastAsia="宋体" w:cs="Arial"/>
                <w:color w:val="auto"/>
                <w:kern w:val="2"/>
                <w:sz w:val="21"/>
                <w:szCs w:val="24"/>
                <w:highlight w:val="none"/>
                <w:lang w:val="en-US" w:eastAsia="zh-CN" w:bidi="ar-SA"/>
              </w:rPr>
              <w:t>尺寸：1470*650*1440mm</w:t>
            </w:r>
            <w:r>
              <w:rPr>
                <w:rFonts w:hint="eastAsia" w:ascii="Arial" w:hAnsi="Arial" w:eastAsia="宋体" w:cs="Arial"/>
                <w:color w:val="auto"/>
                <w:highlight w:val="none"/>
                <w:lang w:val="en-US" w:eastAsia="zh-CN"/>
              </w:rPr>
              <w:t>±20mm</w:t>
            </w:r>
            <w:r>
              <w:rPr>
                <w:rFonts w:hint="eastAsia" w:ascii="Arial" w:hAnsi="Arial" w:eastAsia="宋体" w:cs="Arial"/>
                <w:color w:val="auto"/>
                <w:kern w:val="2"/>
                <w:sz w:val="21"/>
                <w:szCs w:val="24"/>
                <w:highlight w:val="none"/>
                <w:lang w:val="en-US" w:eastAsia="zh-CN" w:bidi="ar-SA"/>
              </w:rPr>
              <w:br w:type="textWrapping"/>
            </w:r>
            <w:r>
              <w:rPr>
                <w:rFonts w:hint="eastAsia" w:ascii="Arial" w:hAnsi="Arial" w:eastAsia="宋体" w:cs="Arial"/>
                <w:color w:val="auto"/>
                <w:kern w:val="2"/>
                <w:sz w:val="21"/>
                <w:szCs w:val="24"/>
                <w:highlight w:val="none"/>
                <w:lang w:val="en-US" w:eastAsia="zh-CN" w:bidi="ar-SA"/>
              </w:rPr>
              <w:t>功率：12+12KW/380V</w:t>
            </w:r>
            <w:r>
              <w:rPr>
                <w:rFonts w:hint="eastAsia" w:ascii="Arial" w:hAnsi="Arial" w:eastAsia="宋体" w:cs="Arial"/>
                <w:color w:val="auto"/>
                <w:kern w:val="2"/>
                <w:sz w:val="21"/>
                <w:szCs w:val="24"/>
                <w:highlight w:val="none"/>
                <w:lang w:val="en-US" w:eastAsia="zh-CN" w:bidi="ar-SA"/>
              </w:rPr>
              <w:br w:type="textWrapping"/>
            </w:r>
            <w:r>
              <w:rPr>
                <w:rFonts w:hint="eastAsia" w:ascii="Arial" w:hAnsi="Arial" w:eastAsia="宋体" w:cs="Arial"/>
                <w:color w:val="auto"/>
                <w:kern w:val="2"/>
                <w:sz w:val="21"/>
                <w:szCs w:val="24"/>
                <w:highlight w:val="none"/>
                <w:lang w:val="en-US" w:eastAsia="zh-CN" w:bidi="ar-SA"/>
              </w:rPr>
              <w:t>托盘数：12+12层</w:t>
            </w:r>
            <w:r>
              <w:rPr>
                <w:rFonts w:hint="eastAsia" w:ascii="Arial" w:hAnsi="Arial" w:eastAsia="宋体" w:cs="Arial"/>
                <w:color w:val="auto"/>
                <w:kern w:val="2"/>
                <w:sz w:val="21"/>
                <w:szCs w:val="24"/>
                <w:highlight w:val="none"/>
                <w:lang w:val="en-US" w:eastAsia="zh-CN" w:bidi="ar-SA"/>
              </w:rPr>
              <w:br w:type="textWrapping"/>
            </w:r>
            <w:r>
              <w:rPr>
                <w:rFonts w:hint="eastAsia" w:ascii="Arial" w:hAnsi="Arial" w:eastAsia="宋体" w:cs="Arial"/>
                <w:color w:val="auto"/>
                <w:kern w:val="2"/>
                <w:sz w:val="21"/>
                <w:szCs w:val="24"/>
                <w:highlight w:val="none"/>
                <w:lang w:val="en-US" w:eastAsia="zh-CN" w:bidi="ar-SA"/>
              </w:rPr>
              <w:t>电热、蒸汽两用蒸饭柜；进口不锈钢板；加厚整体环保发泡层；机制防滑支承条；自动进水；机制饭盆；定时器装置；缺水保护装置；</w:t>
            </w:r>
          </w:p>
        </w:tc>
        <w:tc>
          <w:tcPr>
            <w:tcW w:w="1121" w:type="dxa"/>
            <w:tcBorders>
              <w:top w:val="single" w:color="auto" w:sz="4" w:space="0"/>
              <w:left w:val="single" w:color="auto" w:sz="4" w:space="0"/>
              <w:bottom w:val="single" w:color="auto" w:sz="4" w:space="0"/>
              <w:right w:val="single" w:color="auto" w:sz="4" w:space="0"/>
            </w:tcBorders>
            <w:noWrap w:val="0"/>
            <w:vAlign w:val="center"/>
          </w:tcPr>
          <w:p w14:paraId="79A16938">
            <w:pPr>
              <w:keepNext w:val="0"/>
              <w:keepLines w:val="0"/>
              <w:widowControl/>
              <w:suppressLineNumbers w:val="0"/>
              <w:jc w:val="center"/>
              <w:textAlignment w:val="center"/>
              <w:rPr>
                <w:rFonts w:hint="default" w:ascii="Arial" w:hAnsi="Arial" w:cs="Arial"/>
                <w:color w:val="auto"/>
                <w:sz w:val="21"/>
                <w:szCs w:val="21"/>
                <w:highlight w:val="none"/>
                <w:lang w:val="en-US" w:eastAsia="zh-CN"/>
              </w:rPr>
            </w:pPr>
            <w:r>
              <w:rPr>
                <w:rFonts w:hint="default" w:ascii="Arial" w:hAnsi="Arial" w:eastAsia="宋体" w:cs="Arial"/>
                <w:i w:val="0"/>
                <w:iCs w:val="0"/>
                <w:color w:val="000000"/>
                <w:kern w:val="0"/>
                <w:sz w:val="21"/>
                <w:szCs w:val="21"/>
                <w:highlight w:val="none"/>
                <w:u w:val="none"/>
                <w:lang w:val="en-US" w:eastAsia="zh-CN" w:bidi="ar"/>
              </w:rPr>
              <w:t xml:space="preserve">4500.00 </w:t>
            </w:r>
          </w:p>
        </w:tc>
      </w:tr>
      <w:tr w14:paraId="521E7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jc w:val="center"/>
        </w:trPr>
        <w:tc>
          <w:tcPr>
            <w:tcW w:w="475" w:type="dxa"/>
            <w:tcBorders>
              <w:top w:val="single" w:color="auto" w:sz="4" w:space="0"/>
              <w:left w:val="single" w:color="auto" w:sz="4" w:space="0"/>
              <w:bottom w:val="single" w:color="auto" w:sz="4" w:space="0"/>
              <w:right w:val="single" w:color="auto" w:sz="4" w:space="0"/>
            </w:tcBorders>
            <w:noWrap w:val="0"/>
            <w:vAlign w:val="center"/>
          </w:tcPr>
          <w:p w14:paraId="4562A11F">
            <w:pPr>
              <w:keepNext w:val="0"/>
              <w:keepLines w:val="0"/>
              <w:widowControl/>
              <w:suppressLineNumbers w:val="0"/>
              <w:jc w:val="center"/>
              <w:textAlignment w:val="center"/>
              <w:rPr>
                <w:rFonts w:hint="default" w:ascii="Arial" w:hAnsi="Arial" w:eastAsia="宋体" w:cs="Arial"/>
                <w:b/>
                <w:bCs/>
                <w:color w:val="auto"/>
                <w:szCs w:val="21"/>
                <w:highlight w:val="none"/>
              </w:rPr>
            </w:pPr>
            <w:r>
              <w:rPr>
                <w:rFonts w:hint="default" w:ascii="Arial" w:hAnsi="Arial" w:eastAsia="宋体" w:cs="Arial"/>
                <w:i w:val="0"/>
                <w:iCs w:val="0"/>
                <w:color w:val="000000"/>
                <w:kern w:val="0"/>
                <w:sz w:val="21"/>
                <w:szCs w:val="21"/>
                <w:highlight w:val="none"/>
                <w:u w:val="none"/>
                <w:lang w:val="en-US" w:eastAsia="zh-CN" w:bidi="ar"/>
              </w:rPr>
              <w:t>24</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0BE5BB0C">
            <w:pPr>
              <w:keepNext w:val="0"/>
              <w:keepLines w:val="0"/>
              <w:widowControl/>
              <w:suppressLineNumbers w:val="0"/>
              <w:jc w:val="center"/>
              <w:textAlignment w:val="center"/>
              <w:rPr>
                <w:rFonts w:hint="default" w:ascii="Arial" w:hAnsi="Arial" w:eastAsia="宋体" w:cs="Arial"/>
                <w:bCs/>
                <w:color w:val="auto"/>
                <w:szCs w:val="21"/>
                <w:highlight w:val="none"/>
                <w:lang w:val="en-US" w:eastAsia="zh-CN"/>
              </w:rPr>
            </w:pPr>
            <w:r>
              <w:rPr>
                <w:rFonts w:hint="default" w:ascii="Arial" w:hAnsi="Arial" w:eastAsia="宋体" w:cs="Arial"/>
                <w:i w:val="0"/>
                <w:iCs w:val="0"/>
                <w:color w:val="000000"/>
                <w:kern w:val="0"/>
                <w:sz w:val="21"/>
                <w:szCs w:val="21"/>
                <w:highlight w:val="none"/>
                <w:u w:val="none"/>
                <w:lang w:val="en-US" w:eastAsia="zh-CN" w:bidi="ar"/>
              </w:rPr>
              <w:t>系统集成</w:t>
            </w:r>
          </w:p>
        </w:tc>
        <w:tc>
          <w:tcPr>
            <w:tcW w:w="775" w:type="dxa"/>
            <w:tcBorders>
              <w:top w:val="single" w:color="auto" w:sz="4" w:space="0"/>
              <w:left w:val="single" w:color="auto" w:sz="4" w:space="0"/>
              <w:bottom w:val="single" w:color="auto" w:sz="4" w:space="0"/>
              <w:right w:val="single" w:color="auto" w:sz="4" w:space="0"/>
            </w:tcBorders>
            <w:noWrap w:val="0"/>
            <w:vAlign w:val="center"/>
          </w:tcPr>
          <w:p w14:paraId="584B2825">
            <w:pPr>
              <w:keepNext w:val="0"/>
              <w:keepLines w:val="0"/>
              <w:widowControl/>
              <w:suppressLineNumbers w:val="0"/>
              <w:jc w:val="center"/>
              <w:textAlignment w:val="center"/>
              <w:rPr>
                <w:rFonts w:hint="default" w:ascii="Arial" w:hAnsi="Arial" w:eastAsia="宋体" w:cs="Arial"/>
                <w:bCs/>
                <w:color w:val="auto"/>
                <w:szCs w:val="21"/>
                <w:highlight w:val="none"/>
              </w:rPr>
            </w:pPr>
            <w:r>
              <w:rPr>
                <w:rFonts w:hint="default" w:ascii="Arial" w:hAnsi="Arial" w:eastAsia="宋体" w:cs="Arial"/>
                <w:bCs/>
                <w:color w:val="auto"/>
                <w:szCs w:val="21"/>
                <w:highlight w:val="none"/>
              </w:rPr>
              <w:t>软件和信息技术服务业</w:t>
            </w:r>
          </w:p>
        </w:tc>
        <w:tc>
          <w:tcPr>
            <w:tcW w:w="65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D0CFCB6">
            <w:pPr>
              <w:keepNext w:val="0"/>
              <w:keepLines w:val="0"/>
              <w:widowControl/>
              <w:suppressLineNumbers w:val="0"/>
              <w:jc w:val="center"/>
              <w:textAlignment w:val="center"/>
              <w:rPr>
                <w:rFonts w:hint="default" w:ascii="Arial" w:hAnsi="Arial" w:eastAsia="宋体" w:cs="Arial"/>
                <w:bCs/>
                <w:color w:val="auto"/>
                <w:kern w:val="2"/>
                <w:sz w:val="21"/>
                <w:szCs w:val="21"/>
                <w:highlight w:val="none"/>
                <w:lang w:val="en-US" w:eastAsia="zh-CN" w:bidi="ar-SA"/>
              </w:rPr>
            </w:pPr>
            <w:r>
              <w:rPr>
                <w:rFonts w:hint="default" w:ascii="Arial" w:hAnsi="Arial" w:eastAsia="宋体" w:cs="Arial"/>
                <w:i w:val="0"/>
                <w:iCs w:val="0"/>
                <w:color w:val="000000"/>
                <w:kern w:val="0"/>
                <w:sz w:val="21"/>
                <w:szCs w:val="21"/>
                <w:highlight w:val="none"/>
                <w:u w:val="none"/>
                <w:lang w:val="en-US" w:eastAsia="zh-CN" w:bidi="ar"/>
              </w:rPr>
              <w:t>1</w:t>
            </w:r>
          </w:p>
        </w:tc>
        <w:tc>
          <w:tcPr>
            <w:tcW w:w="647" w:type="dxa"/>
            <w:tcBorders>
              <w:top w:val="single" w:color="auto" w:sz="4" w:space="0"/>
              <w:left w:val="single" w:color="auto" w:sz="4" w:space="0"/>
              <w:bottom w:val="single" w:color="auto" w:sz="4" w:space="0"/>
              <w:right w:val="single" w:color="auto" w:sz="4" w:space="0"/>
            </w:tcBorders>
            <w:noWrap w:val="0"/>
            <w:vAlign w:val="center"/>
          </w:tcPr>
          <w:p w14:paraId="1A6917EF">
            <w:pPr>
              <w:keepNext w:val="0"/>
              <w:keepLines w:val="0"/>
              <w:widowControl/>
              <w:suppressLineNumbers w:val="0"/>
              <w:jc w:val="center"/>
              <w:textAlignment w:val="center"/>
              <w:rPr>
                <w:rFonts w:hint="default" w:ascii="Arial" w:hAnsi="Arial" w:eastAsia="宋体" w:cs="Arial"/>
                <w:bCs/>
                <w:color w:val="auto"/>
                <w:szCs w:val="21"/>
                <w:highlight w:val="none"/>
                <w:lang w:val="en-US" w:eastAsia="zh-CN"/>
              </w:rPr>
            </w:pPr>
            <w:r>
              <w:rPr>
                <w:rFonts w:hint="default" w:ascii="Arial" w:hAnsi="Arial" w:eastAsia="宋体" w:cs="Arial"/>
                <w:i w:val="0"/>
                <w:iCs w:val="0"/>
                <w:color w:val="000000"/>
                <w:kern w:val="0"/>
                <w:sz w:val="21"/>
                <w:szCs w:val="21"/>
                <w:highlight w:val="none"/>
                <w:u w:val="none"/>
                <w:lang w:val="en-US" w:eastAsia="zh-CN" w:bidi="ar"/>
              </w:rPr>
              <w:t>项</w:t>
            </w:r>
          </w:p>
        </w:tc>
        <w:tc>
          <w:tcPr>
            <w:tcW w:w="5174" w:type="dxa"/>
            <w:tcBorders>
              <w:top w:val="single" w:color="auto" w:sz="4" w:space="0"/>
              <w:left w:val="single" w:color="auto" w:sz="4" w:space="0"/>
              <w:bottom w:val="single" w:color="auto" w:sz="4" w:space="0"/>
              <w:right w:val="single" w:color="auto" w:sz="4" w:space="0"/>
            </w:tcBorders>
            <w:noWrap w:val="0"/>
            <w:vAlign w:val="center"/>
          </w:tcPr>
          <w:p w14:paraId="47948770">
            <w:pPr>
              <w:keepNext w:val="0"/>
              <w:keepLines w:val="0"/>
              <w:widowControl/>
              <w:suppressLineNumbers w:val="0"/>
              <w:jc w:val="left"/>
              <w:textAlignment w:val="center"/>
              <w:rPr>
                <w:rFonts w:hint="default" w:ascii="Arial" w:hAnsi="Arial" w:eastAsia="宋体" w:cs="Arial"/>
                <w:color w:val="auto"/>
                <w:kern w:val="2"/>
                <w:sz w:val="21"/>
                <w:szCs w:val="24"/>
                <w:highlight w:val="none"/>
                <w:lang w:val="en-US" w:eastAsia="zh-CN" w:bidi="ar-SA"/>
              </w:rPr>
            </w:pPr>
            <w:r>
              <w:rPr>
                <w:rFonts w:hint="eastAsia" w:ascii="Arial" w:hAnsi="Arial" w:eastAsia="宋体" w:cs="Arial"/>
                <w:color w:val="auto"/>
                <w:kern w:val="2"/>
                <w:sz w:val="21"/>
                <w:szCs w:val="24"/>
                <w:highlight w:val="none"/>
                <w:lang w:val="en-US" w:eastAsia="zh-CN" w:bidi="ar-SA"/>
              </w:rPr>
              <w:t>包含本项目设备搬运及安装调试所需材料、人工费，包括5匹空调拉电到位</w:t>
            </w:r>
          </w:p>
        </w:tc>
        <w:tc>
          <w:tcPr>
            <w:tcW w:w="1121" w:type="dxa"/>
            <w:tcBorders>
              <w:top w:val="single" w:color="auto" w:sz="4" w:space="0"/>
              <w:left w:val="single" w:color="auto" w:sz="4" w:space="0"/>
              <w:bottom w:val="single" w:color="auto" w:sz="4" w:space="0"/>
              <w:right w:val="single" w:color="auto" w:sz="4" w:space="0"/>
            </w:tcBorders>
            <w:noWrap w:val="0"/>
            <w:vAlign w:val="center"/>
          </w:tcPr>
          <w:p w14:paraId="550272C7">
            <w:pPr>
              <w:keepNext w:val="0"/>
              <w:keepLines w:val="0"/>
              <w:widowControl/>
              <w:suppressLineNumbers w:val="0"/>
              <w:jc w:val="center"/>
              <w:textAlignment w:val="center"/>
              <w:rPr>
                <w:rFonts w:hint="default" w:ascii="Arial" w:hAnsi="Arial" w:cs="Arial"/>
                <w:color w:val="auto"/>
                <w:sz w:val="21"/>
                <w:szCs w:val="21"/>
                <w:highlight w:val="none"/>
                <w:lang w:val="en-US" w:eastAsia="zh-CN"/>
              </w:rPr>
            </w:pPr>
            <w:r>
              <w:rPr>
                <w:rFonts w:hint="default" w:ascii="Arial" w:hAnsi="Arial" w:eastAsia="宋体" w:cs="Arial"/>
                <w:i w:val="0"/>
                <w:iCs w:val="0"/>
                <w:color w:val="000000"/>
                <w:kern w:val="0"/>
                <w:sz w:val="21"/>
                <w:szCs w:val="21"/>
                <w:highlight w:val="none"/>
                <w:u w:val="none"/>
                <w:lang w:val="en-US" w:eastAsia="zh-CN" w:bidi="ar"/>
              </w:rPr>
              <w:t xml:space="preserve">16720.00 </w:t>
            </w:r>
          </w:p>
        </w:tc>
      </w:tr>
      <w:tr w14:paraId="69257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290" w:type="dxa"/>
            <w:gridSpan w:val="7"/>
            <w:tcBorders>
              <w:top w:val="single" w:color="auto" w:sz="4" w:space="0"/>
              <w:left w:val="single" w:color="auto" w:sz="4" w:space="0"/>
              <w:bottom w:val="single" w:color="auto" w:sz="4" w:space="0"/>
              <w:right w:val="single" w:color="auto" w:sz="4" w:space="0"/>
            </w:tcBorders>
            <w:noWrap w:val="0"/>
            <w:vAlign w:val="top"/>
          </w:tcPr>
          <w:p w14:paraId="46386D50">
            <w:pPr>
              <w:spacing w:line="360" w:lineRule="auto"/>
              <w:rPr>
                <w:rFonts w:hint="default" w:ascii="Arial" w:hAnsi="Arial" w:cs="Arial"/>
                <w:b/>
                <w:bCs/>
                <w:color w:val="auto"/>
                <w:szCs w:val="21"/>
                <w:highlight w:val="none"/>
              </w:rPr>
            </w:pPr>
            <w:r>
              <w:rPr>
                <w:rFonts w:hint="eastAsia" w:ascii="宋体" w:hAnsi="宋体"/>
                <w:color w:val="000000"/>
                <w:szCs w:val="21"/>
                <w:highlight w:val="none"/>
              </w:rPr>
              <w:t>▲</w:t>
            </w:r>
            <w:r>
              <w:rPr>
                <w:rFonts w:hint="default" w:ascii="Arial" w:hAnsi="Arial" w:cs="Arial"/>
                <w:b/>
                <w:bCs/>
                <w:color w:val="auto"/>
                <w:szCs w:val="21"/>
                <w:highlight w:val="none"/>
              </w:rPr>
              <w:t>二、商务要求</w:t>
            </w:r>
          </w:p>
        </w:tc>
      </w:tr>
      <w:tr w14:paraId="46456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21" w:type="dxa"/>
            <w:gridSpan w:val="2"/>
            <w:tcBorders>
              <w:top w:val="single" w:color="auto" w:sz="4" w:space="0"/>
              <w:left w:val="single" w:color="auto" w:sz="4" w:space="0"/>
              <w:bottom w:val="single" w:color="auto" w:sz="4" w:space="0"/>
              <w:right w:val="single" w:color="auto" w:sz="4" w:space="0"/>
            </w:tcBorders>
            <w:noWrap w:val="0"/>
            <w:vAlign w:val="center"/>
          </w:tcPr>
          <w:p w14:paraId="28C97058">
            <w:pPr>
              <w:keepNext w:val="0"/>
              <w:keepLines w:val="0"/>
              <w:suppressLineNumbers w:val="0"/>
              <w:snapToGrid w:val="0"/>
              <w:spacing w:before="0" w:beforeAutospacing="0" w:after="0" w:afterAutospacing="0" w:line="360" w:lineRule="auto"/>
              <w:ind w:left="0" w:leftChars="0" w:right="0" w:rightChars="0"/>
              <w:jc w:val="center"/>
              <w:rPr>
                <w:rFonts w:hint="default" w:ascii="Arial" w:hAnsi="Arial" w:eastAsia="宋体" w:cs="Arial"/>
                <w:color w:val="000000"/>
                <w:sz w:val="21"/>
                <w:szCs w:val="21"/>
                <w:highlight w:val="none"/>
                <w:lang w:val="en-US" w:eastAsia="zh-CN"/>
              </w:rPr>
            </w:pPr>
            <w:r>
              <w:rPr>
                <w:rFonts w:hint="eastAsia" w:ascii="Arial" w:hAnsi="Arial" w:cs="Arial"/>
                <w:color w:val="000000"/>
                <w:sz w:val="21"/>
                <w:szCs w:val="21"/>
                <w:highlight w:val="none"/>
                <w:lang w:val="en-US" w:eastAsia="zh-CN"/>
              </w:rPr>
              <w:t>响应报价</w:t>
            </w:r>
          </w:p>
        </w:tc>
        <w:tc>
          <w:tcPr>
            <w:tcW w:w="8369" w:type="dxa"/>
            <w:gridSpan w:val="5"/>
            <w:tcBorders>
              <w:top w:val="single" w:color="auto" w:sz="4" w:space="0"/>
              <w:left w:val="single" w:color="auto" w:sz="4" w:space="0"/>
              <w:bottom w:val="single" w:color="auto" w:sz="4" w:space="0"/>
              <w:right w:val="single" w:color="auto" w:sz="4" w:space="0"/>
            </w:tcBorders>
            <w:noWrap w:val="0"/>
            <w:vAlign w:val="center"/>
          </w:tcPr>
          <w:p w14:paraId="66AECAFB">
            <w:pPr>
              <w:keepNext w:val="0"/>
              <w:keepLines w:val="0"/>
              <w:suppressLineNumbers w:val="0"/>
              <w:snapToGrid w:val="0"/>
              <w:spacing w:before="0" w:beforeAutospacing="0" w:after="0" w:afterAutospacing="0" w:line="360" w:lineRule="auto"/>
              <w:ind w:left="0" w:leftChars="0" w:right="0" w:rightChars="0"/>
              <w:jc w:val="left"/>
              <w:rPr>
                <w:rFonts w:hint="default" w:ascii="Arial" w:hAnsi="Arial" w:cs="Arial"/>
                <w:sz w:val="21"/>
                <w:szCs w:val="21"/>
                <w:highlight w:val="none"/>
                <w:lang w:val="en-US" w:eastAsia="zh-CN"/>
              </w:rPr>
            </w:pPr>
            <w:r>
              <w:rPr>
                <w:rFonts w:hint="eastAsia" w:ascii="Arial" w:hAnsi="Arial" w:cs="Arial"/>
                <w:sz w:val="21"/>
                <w:szCs w:val="21"/>
                <w:highlight w:val="none"/>
                <w:lang w:val="en-US" w:eastAsia="zh-CN"/>
              </w:rPr>
              <w:t>响应</w:t>
            </w:r>
            <w:r>
              <w:rPr>
                <w:rFonts w:hint="default" w:ascii="Arial" w:hAnsi="Arial" w:cs="Arial"/>
                <w:sz w:val="21"/>
                <w:szCs w:val="21"/>
                <w:highlight w:val="none"/>
                <w:lang w:val="en-US" w:eastAsia="zh-CN"/>
              </w:rPr>
              <w:t>报价为采购人指定地点的现场交货价，包括：</w:t>
            </w:r>
          </w:p>
          <w:p w14:paraId="791C0536">
            <w:pPr>
              <w:keepNext w:val="0"/>
              <w:keepLines w:val="0"/>
              <w:suppressLineNumbers w:val="0"/>
              <w:snapToGrid w:val="0"/>
              <w:spacing w:before="0" w:beforeAutospacing="0" w:after="0" w:afterAutospacing="0" w:line="360" w:lineRule="auto"/>
              <w:ind w:left="0" w:leftChars="0" w:right="0" w:rightChars="0"/>
              <w:jc w:val="left"/>
              <w:rPr>
                <w:rFonts w:hint="default" w:ascii="Arial" w:hAnsi="Arial" w:cs="Arial"/>
                <w:sz w:val="21"/>
                <w:szCs w:val="21"/>
                <w:highlight w:val="none"/>
                <w:lang w:val="en-US" w:eastAsia="zh-CN"/>
              </w:rPr>
            </w:pPr>
            <w:r>
              <w:rPr>
                <w:rFonts w:hint="default" w:ascii="Arial" w:hAnsi="Arial" w:cs="Arial"/>
                <w:sz w:val="21"/>
                <w:szCs w:val="21"/>
                <w:highlight w:val="none"/>
                <w:lang w:val="en-US" w:eastAsia="zh-CN"/>
              </w:rPr>
              <w:t>（1）货物的价格；</w:t>
            </w:r>
          </w:p>
          <w:p w14:paraId="2971B0E7">
            <w:pPr>
              <w:keepNext w:val="0"/>
              <w:keepLines w:val="0"/>
              <w:suppressLineNumbers w:val="0"/>
              <w:snapToGrid w:val="0"/>
              <w:spacing w:before="0" w:beforeAutospacing="0" w:after="0" w:afterAutospacing="0" w:line="360" w:lineRule="auto"/>
              <w:ind w:left="0" w:leftChars="0" w:right="0" w:rightChars="0"/>
              <w:jc w:val="left"/>
              <w:rPr>
                <w:rFonts w:hint="default" w:ascii="Arial" w:hAnsi="Arial" w:cs="Arial"/>
                <w:sz w:val="21"/>
                <w:szCs w:val="21"/>
                <w:highlight w:val="none"/>
                <w:lang w:val="en-US" w:eastAsia="zh-CN"/>
              </w:rPr>
            </w:pPr>
            <w:r>
              <w:rPr>
                <w:rFonts w:hint="default" w:ascii="Arial" w:hAnsi="Arial" w:cs="Arial"/>
                <w:sz w:val="21"/>
                <w:szCs w:val="21"/>
                <w:highlight w:val="none"/>
                <w:lang w:val="en-US" w:eastAsia="zh-CN"/>
              </w:rPr>
              <w:t>（2）货物的标准附件、备品备件、专用工具的价格；</w:t>
            </w:r>
          </w:p>
          <w:p w14:paraId="26FE8B17">
            <w:pPr>
              <w:keepNext w:val="0"/>
              <w:keepLines w:val="0"/>
              <w:suppressLineNumbers w:val="0"/>
              <w:snapToGrid w:val="0"/>
              <w:spacing w:before="0" w:beforeAutospacing="0" w:after="0" w:afterAutospacing="0" w:line="360" w:lineRule="auto"/>
              <w:ind w:left="0" w:leftChars="0" w:right="0" w:rightChars="0"/>
              <w:jc w:val="left"/>
              <w:rPr>
                <w:rFonts w:hint="default" w:ascii="Arial" w:hAnsi="Arial" w:cs="Arial"/>
                <w:sz w:val="21"/>
                <w:szCs w:val="21"/>
                <w:highlight w:val="none"/>
                <w:lang w:val="en-US" w:eastAsia="zh-CN"/>
              </w:rPr>
            </w:pPr>
            <w:r>
              <w:rPr>
                <w:rFonts w:hint="default" w:ascii="Arial" w:hAnsi="Arial" w:cs="Arial"/>
                <w:sz w:val="21"/>
                <w:szCs w:val="21"/>
                <w:highlight w:val="none"/>
                <w:lang w:val="en-US" w:eastAsia="zh-CN"/>
              </w:rPr>
              <w:t>（3）运输、装卸、调试、培训、技术支持、售后服务等费用；</w:t>
            </w:r>
          </w:p>
          <w:p w14:paraId="2F100DCE">
            <w:pPr>
              <w:keepNext w:val="0"/>
              <w:keepLines w:val="0"/>
              <w:suppressLineNumbers w:val="0"/>
              <w:snapToGrid w:val="0"/>
              <w:spacing w:before="0" w:beforeAutospacing="0" w:after="0" w:afterAutospacing="0" w:line="360" w:lineRule="auto"/>
              <w:ind w:left="0" w:leftChars="0" w:right="0" w:rightChars="0"/>
              <w:jc w:val="left"/>
              <w:rPr>
                <w:rFonts w:hint="default" w:ascii="Arial" w:hAnsi="Arial" w:cs="Arial"/>
                <w:sz w:val="21"/>
                <w:szCs w:val="21"/>
                <w:highlight w:val="none"/>
                <w:lang w:val="en-US" w:eastAsia="zh-CN"/>
              </w:rPr>
            </w:pPr>
            <w:r>
              <w:rPr>
                <w:rFonts w:hint="default" w:ascii="Arial" w:hAnsi="Arial" w:cs="Arial"/>
                <w:sz w:val="21"/>
                <w:szCs w:val="21"/>
                <w:highlight w:val="none"/>
                <w:lang w:val="en-US" w:eastAsia="zh-CN"/>
              </w:rPr>
              <w:t>（4）必要的保险费用和各项税费；</w:t>
            </w:r>
          </w:p>
          <w:p w14:paraId="619A725F">
            <w:pPr>
              <w:keepNext w:val="0"/>
              <w:keepLines w:val="0"/>
              <w:suppressLineNumbers w:val="0"/>
              <w:snapToGrid w:val="0"/>
              <w:spacing w:before="0" w:beforeAutospacing="0" w:after="0" w:afterAutospacing="0" w:line="360" w:lineRule="auto"/>
              <w:ind w:left="0" w:leftChars="0" w:right="0" w:rightChars="0"/>
              <w:jc w:val="left"/>
              <w:rPr>
                <w:rFonts w:hint="default" w:ascii="Arial" w:hAnsi="Arial" w:cs="Arial"/>
                <w:sz w:val="21"/>
                <w:szCs w:val="21"/>
                <w:highlight w:val="none"/>
                <w:lang w:val="en-US" w:eastAsia="zh-CN"/>
              </w:rPr>
            </w:pPr>
            <w:r>
              <w:rPr>
                <w:rFonts w:hint="default" w:ascii="Arial" w:hAnsi="Arial" w:cs="Arial"/>
                <w:sz w:val="21"/>
                <w:szCs w:val="21"/>
                <w:highlight w:val="none"/>
                <w:lang w:val="en-US" w:eastAsia="zh-CN"/>
              </w:rPr>
              <w:t>（5）包括工程施工、安装费用。</w:t>
            </w:r>
          </w:p>
        </w:tc>
      </w:tr>
      <w:tr w14:paraId="76219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21" w:type="dxa"/>
            <w:gridSpan w:val="2"/>
            <w:tcBorders>
              <w:top w:val="single" w:color="auto" w:sz="4" w:space="0"/>
              <w:left w:val="single" w:color="auto" w:sz="4" w:space="0"/>
              <w:bottom w:val="single" w:color="auto" w:sz="4" w:space="0"/>
              <w:right w:val="single" w:color="auto" w:sz="4" w:space="0"/>
            </w:tcBorders>
            <w:noWrap w:val="0"/>
            <w:vAlign w:val="center"/>
          </w:tcPr>
          <w:p w14:paraId="406A4E8E">
            <w:pPr>
              <w:keepNext w:val="0"/>
              <w:keepLines w:val="0"/>
              <w:suppressLineNumbers w:val="0"/>
              <w:snapToGrid w:val="0"/>
              <w:spacing w:before="0" w:beforeAutospacing="0" w:after="0" w:afterAutospacing="0" w:line="360" w:lineRule="auto"/>
              <w:ind w:left="0" w:leftChars="0" w:right="0" w:rightChars="0"/>
              <w:jc w:val="center"/>
              <w:rPr>
                <w:rFonts w:hint="default" w:ascii="Arial" w:hAnsi="Arial" w:cs="Arial"/>
                <w:b/>
                <w:bCs/>
                <w:color w:val="auto"/>
                <w:szCs w:val="21"/>
                <w:highlight w:val="none"/>
              </w:rPr>
            </w:pPr>
            <w:r>
              <w:rPr>
                <w:rFonts w:hint="default" w:ascii="Arial" w:hAnsi="Arial" w:cs="Arial"/>
                <w:color w:val="000000"/>
                <w:sz w:val="21"/>
                <w:szCs w:val="21"/>
                <w:highlight w:val="none"/>
              </w:rPr>
              <w:t>质保期</w:t>
            </w:r>
          </w:p>
        </w:tc>
        <w:tc>
          <w:tcPr>
            <w:tcW w:w="8369" w:type="dxa"/>
            <w:gridSpan w:val="5"/>
            <w:tcBorders>
              <w:top w:val="single" w:color="auto" w:sz="4" w:space="0"/>
              <w:left w:val="single" w:color="auto" w:sz="4" w:space="0"/>
              <w:bottom w:val="single" w:color="auto" w:sz="4" w:space="0"/>
              <w:right w:val="single" w:color="auto" w:sz="4" w:space="0"/>
            </w:tcBorders>
            <w:noWrap w:val="0"/>
            <w:vAlign w:val="center"/>
          </w:tcPr>
          <w:p w14:paraId="34592484">
            <w:pPr>
              <w:keepNext w:val="0"/>
              <w:keepLines w:val="0"/>
              <w:suppressLineNumbers w:val="0"/>
              <w:snapToGrid w:val="0"/>
              <w:spacing w:before="0" w:beforeAutospacing="0" w:after="0" w:afterAutospacing="0" w:line="360" w:lineRule="auto"/>
              <w:ind w:left="0" w:leftChars="0" w:right="0" w:rightChars="0"/>
              <w:jc w:val="left"/>
              <w:rPr>
                <w:rFonts w:hint="default" w:ascii="Arial" w:hAnsi="Arial" w:cs="Arial"/>
                <w:color w:val="auto"/>
                <w:szCs w:val="21"/>
                <w:highlight w:val="none"/>
              </w:rPr>
            </w:pPr>
            <w:r>
              <w:rPr>
                <w:rFonts w:hint="default" w:ascii="Arial" w:hAnsi="Arial" w:cs="Arial"/>
                <w:sz w:val="21"/>
                <w:szCs w:val="21"/>
                <w:highlight w:val="none"/>
                <w:lang w:val="en-US" w:eastAsia="zh-CN"/>
              </w:rPr>
              <w:t>按国家有关产品三包规定执行</w:t>
            </w:r>
            <w:r>
              <w:rPr>
                <w:rFonts w:hint="eastAsia" w:ascii="Arial" w:hAnsi="Arial" w:cs="Arial"/>
                <w:sz w:val="21"/>
                <w:szCs w:val="21"/>
                <w:highlight w:val="none"/>
                <w:lang w:val="en-US" w:eastAsia="zh-CN"/>
              </w:rPr>
              <w:t>“</w:t>
            </w:r>
            <w:r>
              <w:rPr>
                <w:rFonts w:hint="default" w:ascii="Arial" w:hAnsi="Arial" w:cs="Arial"/>
                <w:sz w:val="21"/>
                <w:szCs w:val="21"/>
                <w:highlight w:val="none"/>
                <w:lang w:val="en-US" w:eastAsia="zh-CN"/>
              </w:rPr>
              <w:t>三包</w:t>
            </w:r>
            <w:r>
              <w:rPr>
                <w:rFonts w:hint="eastAsia" w:ascii="Arial" w:hAnsi="Arial" w:cs="Arial"/>
                <w:sz w:val="21"/>
                <w:szCs w:val="21"/>
                <w:highlight w:val="none"/>
                <w:lang w:val="en-US" w:eastAsia="zh-CN"/>
              </w:rPr>
              <w:t>”</w:t>
            </w:r>
            <w:r>
              <w:rPr>
                <w:rFonts w:hint="default" w:ascii="Arial" w:hAnsi="Arial" w:cs="Arial"/>
                <w:sz w:val="21"/>
                <w:szCs w:val="21"/>
                <w:highlight w:val="none"/>
                <w:lang w:val="en-US" w:eastAsia="zh-CN"/>
              </w:rPr>
              <w:t>，质保期：质保期不少于1年，质保期内故障时间顺延质保期。质保期到期后，双方可根据使用情况协商后续维保费用。</w:t>
            </w:r>
          </w:p>
        </w:tc>
      </w:tr>
      <w:tr w14:paraId="17E80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21" w:type="dxa"/>
            <w:gridSpan w:val="2"/>
            <w:tcBorders>
              <w:top w:val="single" w:color="auto" w:sz="4" w:space="0"/>
              <w:left w:val="single" w:color="auto" w:sz="4" w:space="0"/>
              <w:bottom w:val="single" w:color="auto" w:sz="4" w:space="0"/>
              <w:right w:val="single" w:color="auto" w:sz="4" w:space="0"/>
            </w:tcBorders>
            <w:noWrap w:val="0"/>
            <w:vAlign w:val="center"/>
          </w:tcPr>
          <w:p w14:paraId="2811A743">
            <w:pPr>
              <w:keepNext w:val="0"/>
              <w:keepLines w:val="0"/>
              <w:suppressLineNumbers w:val="0"/>
              <w:snapToGrid w:val="0"/>
              <w:spacing w:before="0" w:beforeAutospacing="0" w:after="0" w:afterAutospacing="0" w:line="360" w:lineRule="auto"/>
              <w:ind w:left="0" w:right="0"/>
              <w:jc w:val="center"/>
              <w:rPr>
                <w:rFonts w:hint="default" w:ascii="Arial" w:hAnsi="Arial" w:cs="Arial"/>
                <w:color w:val="000000"/>
                <w:sz w:val="21"/>
                <w:szCs w:val="21"/>
                <w:highlight w:val="none"/>
              </w:rPr>
            </w:pPr>
            <w:r>
              <w:rPr>
                <w:rFonts w:hint="default" w:ascii="Arial" w:hAnsi="Arial" w:cs="Arial"/>
                <w:color w:val="000000"/>
                <w:sz w:val="21"/>
                <w:szCs w:val="21"/>
                <w:highlight w:val="none"/>
              </w:rPr>
              <w:t>售后及技术服务</w:t>
            </w:r>
          </w:p>
          <w:p w14:paraId="6782E1E4">
            <w:pPr>
              <w:keepNext w:val="0"/>
              <w:keepLines w:val="0"/>
              <w:suppressLineNumbers w:val="0"/>
              <w:snapToGrid w:val="0"/>
              <w:spacing w:before="0" w:beforeAutospacing="0" w:after="0" w:afterAutospacing="0" w:line="360" w:lineRule="auto"/>
              <w:ind w:left="0" w:leftChars="0" w:right="0" w:rightChars="0"/>
              <w:jc w:val="center"/>
              <w:rPr>
                <w:rFonts w:hint="default" w:ascii="Arial" w:hAnsi="Arial" w:cs="Arial"/>
                <w:b/>
                <w:bCs/>
                <w:color w:val="auto"/>
                <w:szCs w:val="21"/>
                <w:highlight w:val="none"/>
              </w:rPr>
            </w:pPr>
            <w:r>
              <w:rPr>
                <w:rFonts w:hint="default" w:ascii="Arial" w:hAnsi="Arial" w:cs="Arial"/>
                <w:color w:val="000000"/>
                <w:sz w:val="21"/>
                <w:szCs w:val="21"/>
                <w:highlight w:val="none"/>
              </w:rPr>
              <w:t>要求</w:t>
            </w:r>
          </w:p>
        </w:tc>
        <w:tc>
          <w:tcPr>
            <w:tcW w:w="8369" w:type="dxa"/>
            <w:gridSpan w:val="5"/>
            <w:tcBorders>
              <w:top w:val="single" w:color="auto" w:sz="4" w:space="0"/>
              <w:left w:val="single" w:color="auto" w:sz="4" w:space="0"/>
              <w:bottom w:val="single" w:color="auto" w:sz="4" w:space="0"/>
              <w:right w:val="single" w:color="auto" w:sz="4" w:space="0"/>
            </w:tcBorders>
            <w:noWrap w:val="0"/>
            <w:vAlign w:val="center"/>
          </w:tcPr>
          <w:p w14:paraId="17B67296">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leftChars="0" w:right="0" w:rightChars="0"/>
              <w:jc w:val="left"/>
              <w:textAlignment w:val="auto"/>
              <w:rPr>
                <w:rFonts w:hint="default" w:ascii="Arial" w:hAnsi="Arial" w:cs="Arial"/>
                <w:color w:val="auto"/>
                <w:szCs w:val="21"/>
                <w:highlight w:val="none"/>
              </w:rPr>
            </w:pPr>
            <w:r>
              <w:rPr>
                <w:rFonts w:hint="default" w:ascii="Arial" w:hAnsi="Arial" w:cs="Arial"/>
                <w:color w:val="auto"/>
                <w:szCs w:val="21"/>
                <w:highlight w:val="none"/>
              </w:rPr>
              <w:t>提供7*24小时服务；</w:t>
            </w:r>
            <w:r>
              <w:rPr>
                <w:rFonts w:hint="eastAsia" w:ascii="Arial" w:hAnsi="Arial" w:cs="Arial"/>
                <w:color w:val="auto"/>
                <w:szCs w:val="21"/>
                <w:highlight w:val="none"/>
                <w:lang w:val="en-US" w:eastAsia="zh-CN"/>
              </w:rPr>
              <w:t>中标供应商</w:t>
            </w:r>
            <w:r>
              <w:rPr>
                <w:rFonts w:hint="default" w:ascii="Arial" w:hAnsi="Arial" w:cs="Arial"/>
                <w:color w:val="auto"/>
                <w:szCs w:val="21"/>
                <w:highlight w:val="none"/>
              </w:rPr>
              <w:t>接到故障通知后在</w:t>
            </w:r>
            <w:r>
              <w:rPr>
                <w:rFonts w:hint="default" w:ascii="Arial" w:hAnsi="Arial" w:cs="Arial"/>
                <w:color w:val="auto"/>
                <w:szCs w:val="21"/>
                <w:highlight w:val="none"/>
                <w:u w:val="single"/>
              </w:rPr>
              <w:t>2</w:t>
            </w:r>
            <w:r>
              <w:rPr>
                <w:rFonts w:hint="default" w:ascii="Arial" w:hAnsi="Arial" w:cs="Arial"/>
                <w:color w:val="auto"/>
                <w:szCs w:val="21"/>
                <w:highlight w:val="none"/>
              </w:rPr>
              <w:t>小时内到达采购人指定现场，在8小时内不能解决的，供应商须在一个工作日内提供与原设备技术参数要求相同或高于原设备技术参数要求的备用产品，以保证采购人的正常工作。</w:t>
            </w:r>
          </w:p>
        </w:tc>
      </w:tr>
      <w:tr w14:paraId="6AD18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1921" w:type="dxa"/>
            <w:gridSpan w:val="2"/>
            <w:tcBorders>
              <w:top w:val="single" w:color="auto" w:sz="4" w:space="0"/>
              <w:left w:val="single" w:color="auto" w:sz="4" w:space="0"/>
              <w:bottom w:val="single" w:color="auto" w:sz="4" w:space="0"/>
              <w:right w:val="single" w:color="auto" w:sz="4" w:space="0"/>
            </w:tcBorders>
            <w:noWrap w:val="0"/>
            <w:vAlign w:val="center"/>
          </w:tcPr>
          <w:p w14:paraId="612EF675">
            <w:pPr>
              <w:keepNext w:val="0"/>
              <w:keepLines w:val="0"/>
              <w:suppressLineNumbers w:val="0"/>
              <w:snapToGrid w:val="0"/>
              <w:spacing w:before="0" w:beforeAutospacing="0" w:after="0" w:afterAutospacing="0" w:line="360" w:lineRule="auto"/>
              <w:ind w:left="0" w:leftChars="0" w:right="0" w:rightChars="0"/>
              <w:jc w:val="center"/>
              <w:rPr>
                <w:rFonts w:hint="default" w:ascii="Arial" w:hAnsi="Arial" w:cs="Arial"/>
                <w:color w:val="auto"/>
                <w:szCs w:val="21"/>
                <w:highlight w:val="none"/>
              </w:rPr>
            </w:pPr>
            <w:r>
              <w:rPr>
                <w:rFonts w:hint="default" w:ascii="Arial" w:hAnsi="Arial" w:cs="Arial"/>
                <w:color w:val="000000"/>
                <w:sz w:val="21"/>
                <w:szCs w:val="21"/>
                <w:highlight w:val="none"/>
              </w:rPr>
              <w:t>交货时间及地点</w:t>
            </w:r>
          </w:p>
        </w:tc>
        <w:tc>
          <w:tcPr>
            <w:tcW w:w="8369" w:type="dxa"/>
            <w:gridSpan w:val="5"/>
            <w:tcBorders>
              <w:top w:val="single" w:color="auto" w:sz="4" w:space="0"/>
              <w:left w:val="single" w:color="auto" w:sz="4" w:space="0"/>
              <w:bottom w:val="single" w:color="auto" w:sz="4" w:space="0"/>
              <w:right w:val="single" w:color="auto" w:sz="4" w:space="0"/>
            </w:tcBorders>
            <w:noWrap w:val="0"/>
            <w:vAlign w:val="top"/>
          </w:tcPr>
          <w:p w14:paraId="69F56E9B">
            <w:pPr>
              <w:keepNext w:val="0"/>
              <w:keepLines w:val="0"/>
              <w:suppressLineNumbers w:val="0"/>
              <w:snapToGrid w:val="0"/>
              <w:spacing w:before="0" w:beforeAutospacing="0" w:after="0" w:afterAutospacing="0" w:line="360" w:lineRule="auto"/>
              <w:ind w:left="0" w:right="0"/>
              <w:jc w:val="left"/>
              <w:rPr>
                <w:rFonts w:hint="default" w:ascii="Arial" w:hAnsi="Arial" w:cs="Arial" w:eastAsiaTheme="minorEastAsia"/>
                <w:sz w:val="21"/>
                <w:szCs w:val="21"/>
                <w:highlight w:val="none"/>
              </w:rPr>
            </w:pPr>
            <w:r>
              <w:rPr>
                <w:rFonts w:hint="default" w:ascii="Arial" w:hAnsi="Arial" w:cs="Arial" w:eastAsiaTheme="minorEastAsia"/>
                <w:sz w:val="21"/>
                <w:szCs w:val="21"/>
                <w:highlight w:val="none"/>
              </w:rPr>
              <w:t>交货期：合同签订后第</w:t>
            </w:r>
            <w:r>
              <w:rPr>
                <w:rFonts w:hint="default" w:ascii="Arial" w:hAnsi="Arial" w:cs="Arial" w:eastAsiaTheme="minorEastAsia"/>
                <w:sz w:val="21"/>
                <w:szCs w:val="21"/>
                <w:highlight w:val="none"/>
                <w:lang w:val="en-US" w:eastAsia="zh-CN"/>
              </w:rPr>
              <w:t>60</w:t>
            </w:r>
            <w:r>
              <w:rPr>
                <w:rFonts w:hint="default" w:ascii="Arial" w:hAnsi="Arial" w:cs="Arial" w:eastAsiaTheme="minorEastAsia"/>
                <w:sz w:val="21"/>
                <w:szCs w:val="21"/>
                <w:highlight w:val="none"/>
              </w:rPr>
              <w:t>天内完成；</w:t>
            </w:r>
          </w:p>
          <w:p w14:paraId="0E267FD7">
            <w:pPr>
              <w:keepNext w:val="0"/>
              <w:keepLines w:val="0"/>
              <w:suppressLineNumbers w:val="0"/>
              <w:snapToGrid w:val="0"/>
              <w:spacing w:before="0" w:beforeAutospacing="0" w:after="0" w:afterAutospacing="0" w:line="360" w:lineRule="auto"/>
              <w:ind w:left="0" w:leftChars="0" w:right="0" w:rightChars="0"/>
              <w:jc w:val="left"/>
              <w:rPr>
                <w:rFonts w:hint="default" w:ascii="Arial" w:hAnsi="Arial" w:cs="Arial"/>
                <w:color w:val="auto"/>
                <w:szCs w:val="21"/>
                <w:highlight w:val="none"/>
              </w:rPr>
            </w:pPr>
            <w:r>
              <w:rPr>
                <w:rFonts w:hint="default" w:ascii="Arial" w:hAnsi="Arial" w:cs="Arial" w:eastAsiaTheme="minorEastAsia"/>
                <w:sz w:val="21"/>
                <w:szCs w:val="21"/>
                <w:highlight w:val="none"/>
              </w:rPr>
              <w:t>交货地点：</w:t>
            </w:r>
            <w:r>
              <w:rPr>
                <w:rFonts w:hint="default" w:ascii="Arial" w:hAnsi="Arial" w:cs="Arial" w:eastAsiaTheme="minorEastAsia"/>
                <w:sz w:val="21"/>
                <w:szCs w:val="21"/>
                <w:highlight w:val="none"/>
                <w:lang w:eastAsia="zh-CN"/>
              </w:rPr>
              <w:t>桂林</w:t>
            </w:r>
            <w:r>
              <w:rPr>
                <w:rFonts w:hint="default" w:ascii="Arial" w:hAnsi="Arial" w:cs="Arial" w:eastAsiaTheme="minorEastAsia"/>
                <w:sz w:val="21"/>
                <w:szCs w:val="21"/>
                <w:highlight w:val="none"/>
              </w:rPr>
              <w:t>市（</w:t>
            </w:r>
            <w:r>
              <w:rPr>
                <w:rFonts w:hint="default" w:ascii="Arial" w:hAnsi="Arial" w:cs="Arial" w:eastAsiaTheme="minorEastAsia"/>
                <w:sz w:val="21"/>
                <w:szCs w:val="21"/>
                <w:highlight w:val="none"/>
                <w:lang w:eastAsia="zh-CN"/>
              </w:rPr>
              <w:t>桂林市第二技工学校内</w:t>
            </w:r>
            <w:r>
              <w:rPr>
                <w:rFonts w:hint="default" w:ascii="Arial" w:hAnsi="Arial" w:cs="Arial" w:eastAsiaTheme="minorEastAsia"/>
                <w:sz w:val="21"/>
                <w:szCs w:val="21"/>
                <w:highlight w:val="none"/>
              </w:rPr>
              <w:t>）</w:t>
            </w:r>
          </w:p>
        </w:tc>
      </w:tr>
      <w:tr w14:paraId="7B858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921" w:type="dxa"/>
            <w:gridSpan w:val="2"/>
            <w:tcBorders>
              <w:top w:val="single" w:color="auto" w:sz="4" w:space="0"/>
              <w:left w:val="single" w:color="auto" w:sz="4" w:space="0"/>
              <w:bottom w:val="single" w:color="auto" w:sz="4" w:space="0"/>
              <w:right w:val="single" w:color="auto" w:sz="4" w:space="0"/>
            </w:tcBorders>
            <w:noWrap w:val="0"/>
            <w:vAlign w:val="center"/>
          </w:tcPr>
          <w:p w14:paraId="70754C9A">
            <w:pPr>
              <w:keepNext w:val="0"/>
              <w:keepLines w:val="0"/>
              <w:suppressLineNumbers w:val="0"/>
              <w:snapToGrid w:val="0"/>
              <w:spacing w:before="0" w:beforeAutospacing="0" w:after="0" w:afterAutospacing="0" w:line="360" w:lineRule="auto"/>
              <w:ind w:left="0" w:leftChars="0" w:right="0" w:rightChars="0"/>
              <w:jc w:val="center"/>
              <w:rPr>
                <w:rFonts w:hint="default" w:ascii="Arial" w:hAnsi="Arial" w:cs="Arial"/>
                <w:bCs/>
                <w:color w:val="auto"/>
                <w:kern w:val="0"/>
                <w:szCs w:val="21"/>
                <w:highlight w:val="none"/>
              </w:rPr>
            </w:pPr>
            <w:r>
              <w:rPr>
                <w:rFonts w:hint="default" w:ascii="Arial" w:hAnsi="Arial" w:cs="Arial"/>
                <w:color w:val="000000"/>
                <w:sz w:val="21"/>
                <w:szCs w:val="21"/>
                <w:highlight w:val="none"/>
              </w:rPr>
              <w:t>付款条件</w:t>
            </w:r>
          </w:p>
        </w:tc>
        <w:tc>
          <w:tcPr>
            <w:tcW w:w="8369" w:type="dxa"/>
            <w:gridSpan w:val="5"/>
            <w:tcBorders>
              <w:top w:val="single" w:color="auto" w:sz="4" w:space="0"/>
              <w:left w:val="single" w:color="auto" w:sz="4" w:space="0"/>
              <w:bottom w:val="single" w:color="auto" w:sz="4" w:space="0"/>
              <w:right w:val="single" w:color="auto" w:sz="4" w:space="0"/>
            </w:tcBorders>
            <w:noWrap w:val="0"/>
            <w:vAlign w:val="top"/>
          </w:tcPr>
          <w:p w14:paraId="4492D448">
            <w:pPr>
              <w:keepNext w:val="0"/>
              <w:keepLines w:val="0"/>
              <w:suppressLineNumbers w:val="0"/>
              <w:snapToGrid w:val="0"/>
              <w:spacing w:before="0" w:beforeAutospacing="0" w:after="0" w:afterAutospacing="0" w:line="360" w:lineRule="auto"/>
              <w:ind w:left="0" w:leftChars="0" w:right="0" w:rightChars="0"/>
              <w:jc w:val="left"/>
              <w:rPr>
                <w:rFonts w:hint="default" w:ascii="Arial" w:hAnsi="Arial" w:eastAsia="宋体" w:cs="Arial"/>
                <w:color w:val="auto"/>
                <w:highlight w:val="none"/>
                <w:lang w:val="en-US" w:eastAsia="zh-CN"/>
              </w:rPr>
            </w:pPr>
            <w:r>
              <w:rPr>
                <w:rFonts w:hint="default" w:ascii="Arial" w:hAnsi="Arial" w:eastAsia="宋体" w:cs="Arial"/>
                <w:color w:val="000000"/>
                <w:sz w:val="21"/>
                <w:szCs w:val="21"/>
                <w:highlight w:val="none"/>
                <w:lang w:val="en-US" w:eastAsia="zh-CN"/>
              </w:rPr>
              <w:t>合同签订后10个日历日内向供应商预付30%合同货款，项目完成并验收后10个工作日内一次性支付。每次付款前</w:t>
            </w:r>
            <w:r>
              <w:rPr>
                <w:rFonts w:hint="eastAsia" w:ascii="Arial" w:hAnsi="Arial" w:cs="Arial"/>
                <w:color w:val="000000"/>
                <w:sz w:val="21"/>
                <w:szCs w:val="21"/>
                <w:highlight w:val="none"/>
                <w:lang w:val="en-US" w:eastAsia="zh-CN"/>
              </w:rPr>
              <w:t>中标供应商</w:t>
            </w:r>
            <w:r>
              <w:rPr>
                <w:rFonts w:hint="default" w:ascii="Arial" w:hAnsi="Arial" w:eastAsia="宋体" w:cs="Arial"/>
                <w:color w:val="000000"/>
                <w:sz w:val="21"/>
                <w:szCs w:val="21"/>
                <w:highlight w:val="none"/>
                <w:lang w:val="en-US" w:eastAsia="zh-CN"/>
              </w:rPr>
              <w:t>开具相应发票给采购人。</w:t>
            </w:r>
          </w:p>
        </w:tc>
      </w:tr>
      <w:tr w14:paraId="410BF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921" w:type="dxa"/>
            <w:gridSpan w:val="2"/>
            <w:tcBorders>
              <w:top w:val="single" w:color="auto" w:sz="4" w:space="0"/>
              <w:left w:val="single" w:color="auto" w:sz="4" w:space="0"/>
              <w:bottom w:val="single" w:color="auto" w:sz="4" w:space="0"/>
              <w:right w:val="single" w:color="auto" w:sz="4" w:space="0"/>
            </w:tcBorders>
            <w:noWrap w:val="0"/>
            <w:vAlign w:val="center"/>
          </w:tcPr>
          <w:p w14:paraId="0983DE06">
            <w:pPr>
              <w:keepNext w:val="0"/>
              <w:keepLines w:val="0"/>
              <w:widowControl/>
              <w:suppressLineNumbers w:val="0"/>
              <w:spacing w:before="0" w:beforeAutospacing="0" w:after="0" w:afterAutospacing="0"/>
              <w:ind w:left="0" w:leftChars="0" w:right="0" w:rightChars="0"/>
              <w:jc w:val="center"/>
              <w:rPr>
                <w:rFonts w:hint="default" w:ascii="Arial" w:hAnsi="Arial" w:cs="Arial"/>
                <w:color w:val="000000"/>
                <w:sz w:val="21"/>
                <w:szCs w:val="21"/>
                <w:highlight w:val="none"/>
              </w:rPr>
            </w:pPr>
            <w:r>
              <w:rPr>
                <w:rFonts w:hint="default" w:ascii="Arial" w:hAnsi="Arial" w:cs="Arial"/>
                <w:kern w:val="0"/>
                <w:sz w:val="21"/>
                <w:szCs w:val="21"/>
                <w:highlight w:val="none"/>
              </w:rPr>
              <w:t>其它要求</w:t>
            </w:r>
          </w:p>
        </w:tc>
        <w:tc>
          <w:tcPr>
            <w:tcW w:w="8369" w:type="dxa"/>
            <w:gridSpan w:val="5"/>
            <w:tcBorders>
              <w:top w:val="single" w:color="auto" w:sz="4" w:space="0"/>
              <w:left w:val="single" w:color="auto" w:sz="4" w:space="0"/>
              <w:bottom w:val="single" w:color="auto" w:sz="4" w:space="0"/>
              <w:right w:val="single" w:color="auto" w:sz="4" w:space="0"/>
            </w:tcBorders>
            <w:noWrap w:val="0"/>
            <w:vAlign w:val="center"/>
          </w:tcPr>
          <w:p w14:paraId="75FD6B54">
            <w:pPr>
              <w:keepNext w:val="0"/>
              <w:keepLines w:val="0"/>
              <w:widowControl/>
              <w:suppressLineNumbers w:val="0"/>
              <w:spacing w:before="0" w:beforeAutospacing="0" w:after="0" w:afterAutospacing="0"/>
              <w:ind w:left="0" w:right="0"/>
              <w:rPr>
                <w:rFonts w:hint="default" w:ascii="Arial" w:hAnsi="Arial" w:cs="Arial"/>
                <w:kern w:val="0"/>
                <w:sz w:val="21"/>
                <w:szCs w:val="21"/>
                <w:highlight w:val="none"/>
              </w:rPr>
            </w:pPr>
            <w:r>
              <w:rPr>
                <w:rFonts w:hint="default" w:ascii="Arial" w:hAnsi="Arial" w:cs="Arial"/>
                <w:kern w:val="0"/>
                <w:sz w:val="21"/>
                <w:szCs w:val="21"/>
                <w:highlight w:val="none"/>
                <w:lang w:val="en-US" w:eastAsia="zh-CN"/>
              </w:rPr>
              <w:t>1</w:t>
            </w:r>
            <w:r>
              <w:rPr>
                <w:rFonts w:hint="default" w:ascii="Arial" w:hAnsi="Arial" w:cs="Arial"/>
                <w:kern w:val="0"/>
                <w:sz w:val="21"/>
                <w:szCs w:val="21"/>
                <w:highlight w:val="none"/>
              </w:rPr>
              <w:t>.采购范围内的货物含送货上门、安装调试合格、</w:t>
            </w:r>
            <w:r>
              <w:rPr>
                <w:rFonts w:hint="default" w:ascii="Arial" w:hAnsi="Arial" w:cs="Arial"/>
                <w:bCs/>
                <w:sz w:val="21"/>
                <w:szCs w:val="21"/>
                <w:highlight w:val="none"/>
              </w:rPr>
              <w:t>技术培训</w:t>
            </w:r>
            <w:r>
              <w:rPr>
                <w:rFonts w:hint="default" w:ascii="Arial" w:hAnsi="Arial" w:cs="Arial"/>
                <w:kern w:val="0"/>
                <w:sz w:val="21"/>
                <w:szCs w:val="21"/>
                <w:highlight w:val="none"/>
              </w:rPr>
              <w:t>。</w:t>
            </w:r>
          </w:p>
          <w:p w14:paraId="2E582A4C">
            <w:pPr>
              <w:keepNext w:val="0"/>
              <w:keepLines w:val="0"/>
              <w:widowControl/>
              <w:suppressLineNumbers w:val="0"/>
              <w:spacing w:before="0" w:beforeAutospacing="0" w:after="0" w:afterAutospacing="0"/>
              <w:ind w:left="0" w:right="0"/>
              <w:rPr>
                <w:rFonts w:hint="default" w:ascii="Arial" w:hAnsi="Arial" w:cs="Arial"/>
                <w:kern w:val="0"/>
                <w:sz w:val="21"/>
                <w:szCs w:val="21"/>
                <w:highlight w:val="none"/>
              </w:rPr>
            </w:pPr>
            <w:r>
              <w:rPr>
                <w:rFonts w:hint="default" w:ascii="Arial" w:hAnsi="Arial" w:cs="Arial"/>
                <w:kern w:val="0"/>
                <w:sz w:val="21"/>
                <w:szCs w:val="21"/>
                <w:highlight w:val="none"/>
                <w:lang w:val="en-US" w:eastAsia="zh-CN"/>
              </w:rPr>
              <w:t>2</w:t>
            </w:r>
            <w:r>
              <w:rPr>
                <w:rFonts w:hint="default" w:ascii="Arial" w:hAnsi="Arial" w:cs="Arial"/>
                <w:kern w:val="0"/>
                <w:sz w:val="21"/>
                <w:szCs w:val="21"/>
                <w:highlight w:val="none"/>
              </w:rPr>
              <w:t>.本项目政府采购预算金额为人民币</w:t>
            </w:r>
            <w:r>
              <w:rPr>
                <w:rFonts w:hint="eastAsia" w:ascii="Arial" w:hAnsi="Arial" w:cs="Arial"/>
                <w:b/>
                <w:bCs/>
                <w:sz w:val="21"/>
                <w:szCs w:val="21"/>
                <w:highlight w:val="none"/>
                <w:lang w:val="en-US" w:eastAsia="zh-CN"/>
              </w:rPr>
              <w:t>伍拾壹万肆仟贰佰肆拾元整</w:t>
            </w:r>
            <w:r>
              <w:rPr>
                <w:rFonts w:hint="default" w:ascii="Arial" w:hAnsi="Arial" w:cs="Arial"/>
                <w:b/>
                <w:bCs/>
                <w:sz w:val="21"/>
                <w:szCs w:val="21"/>
                <w:highlight w:val="none"/>
                <w:lang w:eastAsia="zh-CN"/>
              </w:rPr>
              <w:t>（¥</w:t>
            </w:r>
            <w:r>
              <w:rPr>
                <w:rFonts w:hint="eastAsia" w:ascii="Arial" w:hAnsi="Arial" w:cs="Arial"/>
                <w:b/>
                <w:bCs/>
                <w:sz w:val="21"/>
                <w:szCs w:val="21"/>
                <w:highlight w:val="none"/>
                <w:lang w:val="en-US" w:eastAsia="zh-CN"/>
              </w:rPr>
              <w:t>514240.00</w:t>
            </w:r>
            <w:r>
              <w:rPr>
                <w:rFonts w:hint="default" w:ascii="Arial" w:hAnsi="Arial" w:cs="Arial"/>
                <w:b/>
                <w:bCs/>
                <w:sz w:val="21"/>
                <w:szCs w:val="21"/>
                <w:highlight w:val="none"/>
                <w:lang w:eastAsia="zh-CN"/>
              </w:rPr>
              <w:t>元）</w:t>
            </w:r>
            <w:r>
              <w:rPr>
                <w:rFonts w:hint="default" w:ascii="Arial" w:hAnsi="Arial" w:cs="Arial"/>
                <w:b/>
                <w:bCs/>
                <w:kern w:val="0"/>
                <w:sz w:val="21"/>
                <w:szCs w:val="21"/>
                <w:highlight w:val="none"/>
              </w:rPr>
              <w:t>，</w:t>
            </w:r>
            <w:r>
              <w:rPr>
                <w:rFonts w:hint="default" w:ascii="Arial" w:hAnsi="Arial" w:cs="Arial"/>
                <w:kern w:val="0"/>
                <w:sz w:val="21"/>
                <w:szCs w:val="21"/>
                <w:highlight w:val="none"/>
              </w:rPr>
              <w:t>投标报价超出采购预算金额的将被视为无效投标。</w:t>
            </w:r>
          </w:p>
          <w:p w14:paraId="69D600E8">
            <w:pPr>
              <w:keepNext w:val="0"/>
              <w:keepLines w:val="0"/>
              <w:widowControl/>
              <w:suppressLineNumbers w:val="0"/>
              <w:spacing w:before="0" w:beforeAutospacing="0" w:after="0" w:afterAutospacing="0"/>
              <w:ind w:left="0" w:leftChars="0" w:right="0" w:rightChars="0"/>
              <w:rPr>
                <w:rFonts w:hint="default" w:ascii="Arial" w:hAnsi="Arial" w:cs="Arial"/>
                <w:sz w:val="21"/>
                <w:szCs w:val="21"/>
                <w:highlight w:val="none"/>
              </w:rPr>
            </w:pPr>
            <w:r>
              <w:rPr>
                <w:rFonts w:hint="eastAsia" w:ascii="Arial" w:hAnsi="Arial" w:cs="Arial"/>
                <w:kern w:val="0"/>
                <w:sz w:val="21"/>
                <w:szCs w:val="21"/>
                <w:highlight w:val="none"/>
                <w:lang w:val="en-US" w:eastAsia="zh-CN"/>
              </w:rPr>
              <w:t>3</w:t>
            </w:r>
            <w:r>
              <w:rPr>
                <w:rFonts w:hint="default" w:ascii="Arial" w:hAnsi="Arial" w:cs="Arial"/>
                <w:kern w:val="0"/>
                <w:sz w:val="21"/>
                <w:szCs w:val="21"/>
                <w:highlight w:val="none"/>
              </w:rPr>
              <w:t>.本</w:t>
            </w:r>
            <w:r>
              <w:rPr>
                <w:rFonts w:hint="default" w:ascii="Arial" w:hAnsi="Arial" w:cs="Arial"/>
                <w:kern w:val="0"/>
                <w:sz w:val="21"/>
                <w:szCs w:val="21"/>
                <w:highlight w:val="none"/>
                <w:lang w:val="en-US" w:eastAsia="zh-CN"/>
              </w:rPr>
              <w:t>项目</w:t>
            </w:r>
            <w:r>
              <w:rPr>
                <w:rFonts w:hint="default" w:ascii="Arial" w:hAnsi="Arial" w:cs="Arial"/>
                <w:kern w:val="0"/>
                <w:sz w:val="21"/>
                <w:szCs w:val="21"/>
                <w:highlight w:val="none"/>
              </w:rPr>
              <w:t>不接受进口产品（即通过中国海关报关验放进入中国境内且产自关境外的产品）参与投标，</w:t>
            </w:r>
            <w:r>
              <w:rPr>
                <w:rFonts w:hint="default" w:ascii="Arial" w:hAnsi="Arial" w:cs="Arial"/>
                <w:sz w:val="21"/>
                <w:szCs w:val="21"/>
                <w:highlight w:val="none"/>
              </w:rPr>
              <w:t>如有此类产品参与投标的作投标无效处理。</w:t>
            </w:r>
          </w:p>
          <w:p w14:paraId="5D4845B6">
            <w:pPr>
              <w:keepNext w:val="0"/>
              <w:keepLines w:val="0"/>
              <w:widowControl/>
              <w:suppressLineNumbers w:val="0"/>
              <w:spacing w:before="0" w:beforeAutospacing="0" w:after="0" w:afterAutospacing="0"/>
              <w:ind w:left="0" w:leftChars="0" w:right="0" w:rightChars="0"/>
              <w:rPr>
                <w:rFonts w:hint="default" w:ascii="Arial" w:hAnsi="Arial" w:eastAsia="宋体" w:cs="Arial"/>
                <w:color w:val="000000"/>
                <w:sz w:val="21"/>
                <w:szCs w:val="21"/>
                <w:highlight w:val="none"/>
                <w:lang w:val="en-US" w:eastAsia="zh-CN"/>
              </w:rPr>
            </w:pPr>
            <w:r>
              <w:rPr>
                <w:rFonts w:hint="eastAsia" w:ascii="Arial" w:hAnsi="Arial" w:cs="Arial"/>
                <w:b/>
                <w:bCs/>
                <w:sz w:val="21"/>
                <w:szCs w:val="21"/>
                <w:highlight w:val="none"/>
                <w:lang w:val="en-US" w:eastAsia="zh-CN"/>
              </w:rPr>
              <w:t>4.本分标“第1项  机房教学系统”为核心产品。</w:t>
            </w:r>
          </w:p>
        </w:tc>
      </w:tr>
    </w:tbl>
    <w:p w14:paraId="35A85BD9">
      <w:pPr>
        <w:numPr>
          <w:ilvl w:val="0"/>
          <w:numId w:val="0"/>
        </w:numPr>
        <w:rPr>
          <w:rFonts w:hint="default" w:ascii="Arial" w:hAnsi="Arial" w:eastAsia="宋体" w:cs="Arial"/>
          <w:b/>
          <w:bCs/>
          <w:highlight w:val="none"/>
          <w:lang w:val="en-US" w:eastAsia="zh-CN"/>
        </w:rPr>
      </w:pPr>
      <w:r>
        <w:rPr>
          <w:rFonts w:hint="default" w:ascii="Arial" w:hAnsi="Arial" w:cs="Arial"/>
          <w:b/>
          <w:bCs/>
          <w:highlight w:val="none"/>
        </w:rPr>
        <w:br w:type="page"/>
      </w:r>
      <w:r>
        <w:rPr>
          <w:rFonts w:hint="default" w:ascii="Arial" w:hAnsi="Arial" w:cs="Arial"/>
          <w:b/>
          <w:bCs/>
          <w:highlight w:val="none"/>
          <w:lang w:val="en-US" w:eastAsia="zh-CN"/>
        </w:rPr>
        <w:t>B分标：</w:t>
      </w:r>
    </w:p>
    <w:tbl>
      <w:tblPr>
        <w:tblStyle w:val="49"/>
        <w:tblW w:w="106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0"/>
        <w:gridCol w:w="1259"/>
        <w:gridCol w:w="792"/>
        <w:gridCol w:w="692"/>
        <w:gridCol w:w="549"/>
        <w:gridCol w:w="5574"/>
        <w:gridCol w:w="1121"/>
      </w:tblGrid>
      <w:tr w14:paraId="343FF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10617" w:type="dxa"/>
            <w:gridSpan w:val="7"/>
            <w:tcBorders>
              <w:top w:val="single" w:color="auto" w:sz="4" w:space="0"/>
              <w:left w:val="single" w:color="auto" w:sz="4" w:space="0"/>
              <w:bottom w:val="single" w:color="auto" w:sz="4" w:space="0"/>
              <w:right w:val="single" w:color="auto" w:sz="4" w:space="0"/>
            </w:tcBorders>
            <w:noWrap w:val="0"/>
            <w:vAlign w:val="top"/>
          </w:tcPr>
          <w:p w14:paraId="1B944F57">
            <w:pPr>
              <w:spacing w:line="360" w:lineRule="auto"/>
              <w:rPr>
                <w:rFonts w:hint="default" w:ascii="Arial" w:hAnsi="Arial" w:cs="Arial"/>
                <w:b/>
                <w:color w:val="auto"/>
                <w:szCs w:val="21"/>
                <w:highlight w:val="none"/>
              </w:rPr>
            </w:pPr>
            <w:r>
              <w:rPr>
                <w:rFonts w:hint="default" w:ascii="Arial" w:hAnsi="Arial" w:cs="Arial"/>
                <w:b/>
                <w:color w:val="auto"/>
                <w:szCs w:val="21"/>
                <w:highlight w:val="none"/>
              </w:rPr>
              <w:t>一、技术要求</w:t>
            </w:r>
          </w:p>
        </w:tc>
      </w:tr>
      <w:tr w14:paraId="4A3C5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630" w:type="dxa"/>
            <w:tcBorders>
              <w:top w:val="single" w:color="auto" w:sz="4" w:space="0"/>
              <w:left w:val="single" w:color="auto" w:sz="4" w:space="0"/>
              <w:bottom w:val="single" w:color="auto" w:sz="4" w:space="0"/>
              <w:right w:val="single" w:color="auto" w:sz="4" w:space="0"/>
            </w:tcBorders>
            <w:noWrap w:val="0"/>
            <w:vAlign w:val="center"/>
          </w:tcPr>
          <w:p w14:paraId="2C740861">
            <w:pPr>
              <w:jc w:val="center"/>
              <w:rPr>
                <w:rFonts w:hint="default" w:ascii="Arial" w:hAnsi="Arial" w:cs="Arial"/>
                <w:color w:val="auto"/>
                <w:szCs w:val="21"/>
                <w:highlight w:val="none"/>
              </w:rPr>
            </w:pPr>
            <w:r>
              <w:rPr>
                <w:rFonts w:hint="default" w:ascii="Arial" w:hAnsi="Arial" w:cs="Arial"/>
                <w:b/>
                <w:bCs/>
                <w:color w:val="auto"/>
                <w:szCs w:val="21"/>
                <w:highlight w:val="none"/>
              </w:rPr>
              <w:t>序号</w:t>
            </w:r>
          </w:p>
        </w:tc>
        <w:tc>
          <w:tcPr>
            <w:tcW w:w="1259" w:type="dxa"/>
            <w:tcBorders>
              <w:top w:val="single" w:color="auto" w:sz="4" w:space="0"/>
              <w:left w:val="single" w:color="auto" w:sz="4" w:space="0"/>
              <w:bottom w:val="single" w:color="auto" w:sz="4" w:space="0"/>
              <w:right w:val="single" w:color="auto" w:sz="4" w:space="0"/>
            </w:tcBorders>
            <w:noWrap w:val="0"/>
            <w:vAlign w:val="center"/>
          </w:tcPr>
          <w:p w14:paraId="4A404079">
            <w:pPr>
              <w:jc w:val="center"/>
              <w:rPr>
                <w:rFonts w:hint="default" w:ascii="Arial" w:hAnsi="Arial" w:cs="Arial"/>
                <w:color w:val="auto"/>
                <w:szCs w:val="21"/>
                <w:highlight w:val="none"/>
              </w:rPr>
            </w:pPr>
            <w:r>
              <w:rPr>
                <w:rFonts w:hint="default" w:ascii="Arial" w:hAnsi="Arial" w:cs="Arial"/>
                <w:b/>
                <w:bCs/>
                <w:color w:val="auto"/>
                <w:szCs w:val="21"/>
                <w:highlight w:val="none"/>
              </w:rPr>
              <w:t>标的名称</w:t>
            </w:r>
          </w:p>
        </w:tc>
        <w:tc>
          <w:tcPr>
            <w:tcW w:w="792" w:type="dxa"/>
            <w:tcBorders>
              <w:top w:val="single" w:color="auto" w:sz="4" w:space="0"/>
              <w:left w:val="single" w:color="auto" w:sz="4" w:space="0"/>
              <w:bottom w:val="single" w:color="auto" w:sz="4" w:space="0"/>
              <w:right w:val="single" w:color="auto" w:sz="4" w:space="0"/>
            </w:tcBorders>
            <w:noWrap w:val="0"/>
            <w:vAlign w:val="center"/>
          </w:tcPr>
          <w:p w14:paraId="6B2BF384">
            <w:pPr>
              <w:jc w:val="center"/>
              <w:rPr>
                <w:rFonts w:hint="eastAsia" w:ascii="Arial" w:hAnsi="Arial" w:eastAsia="宋体" w:cs="Arial"/>
                <w:b/>
                <w:bCs/>
                <w:color w:val="auto"/>
                <w:kern w:val="0"/>
                <w:szCs w:val="21"/>
                <w:highlight w:val="none"/>
                <w:lang w:val="en-US" w:eastAsia="zh-CN"/>
              </w:rPr>
            </w:pPr>
            <w:r>
              <w:rPr>
                <w:rFonts w:hint="eastAsia" w:ascii="Arial" w:hAnsi="Arial" w:cs="Arial"/>
                <w:b/>
                <w:bCs/>
                <w:color w:val="auto"/>
                <w:kern w:val="0"/>
                <w:szCs w:val="21"/>
                <w:highlight w:val="none"/>
                <w:lang w:val="en-US" w:eastAsia="zh-CN"/>
              </w:rPr>
              <w:t>所属行业</w:t>
            </w:r>
          </w:p>
        </w:tc>
        <w:tc>
          <w:tcPr>
            <w:tcW w:w="692" w:type="dxa"/>
            <w:tcBorders>
              <w:top w:val="single" w:color="auto" w:sz="4" w:space="0"/>
              <w:left w:val="single" w:color="auto" w:sz="4" w:space="0"/>
              <w:bottom w:val="single" w:color="auto" w:sz="4" w:space="0"/>
              <w:right w:val="single" w:color="auto" w:sz="4" w:space="0"/>
            </w:tcBorders>
            <w:noWrap w:val="0"/>
            <w:vAlign w:val="center"/>
          </w:tcPr>
          <w:p w14:paraId="5A67E75B">
            <w:pPr>
              <w:jc w:val="center"/>
              <w:rPr>
                <w:rFonts w:hint="default" w:ascii="Arial" w:hAnsi="Arial" w:cs="Arial"/>
                <w:color w:val="auto"/>
                <w:szCs w:val="21"/>
                <w:highlight w:val="none"/>
              </w:rPr>
            </w:pPr>
            <w:r>
              <w:rPr>
                <w:rFonts w:hint="default" w:ascii="Arial" w:hAnsi="Arial" w:cs="Arial"/>
                <w:b/>
                <w:bCs/>
                <w:color w:val="auto"/>
                <w:kern w:val="0"/>
                <w:szCs w:val="21"/>
                <w:highlight w:val="none"/>
              </w:rPr>
              <w:t>数量</w:t>
            </w:r>
          </w:p>
        </w:tc>
        <w:tc>
          <w:tcPr>
            <w:tcW w:w="549" w:type="dxa"/>
            <w:tcBorders>
              <w:top w:val="single" w:color="auto" w:sz="4" w:space="0"/>
              <w:left w:val="single" w:color="auto" w:sz="4" w:space="0"/>
              <w:bottom w:val="single" w:color="auto" w:sz="4" w:space="0"/>
              <w:right w:val="single" w:color="auto" w:sz="4" w:space="0"/>
            </w:tcBorders>
            <w:noWrap w:val="0"/>
            <w:vAlign w:val="center"/>
          </w:tcPr>
          <w:p w14:paraId="28DF854D">
            <w:pPr>
              <w:jc w:val="center"/>
              <w:rPr>
                <w:rFonts w:hint="default" w:ascii="Arial" w:hAnsi="Arial" w:cs="Arial"/>
                <w:color w:val="auto"/>
                <w:szCs w:val="21"/>
                <w:highlight w:val="none"/>
              </w:rPr>
            </w:pPr>
            <w:r>
              <w:rPr>
                <w:rFonts w:hint="default" w:ascii="Arial" w:hAnsi="Arial" w:cs="Arial"/>
                <w:b/>
                <w:bCs/>
                <w:color w:val="auto"/>
                <w:szCs w:val="21"/>
                <w:highlight w:val="none"/>
              </w:rPr>
              <w:t>单位</w:t>
            </w:r>
          </w:p>
        </w:tc>
        <w:tc>
          <w:tcPr>
            <w:tcW w:w="5574" w:type="dxa"/>
            <w:tcBorders>
              <w:top w:val="single" w:color="auto" w:sz="4" w:space="0"/>
              <w:left w:val="single" w:color="auto" w:sz="4" w:space="0"/>
              <w:bottom w:val="single" w:color="auto" w:sz="4" w:space="0"/>
              <w:right w:val="single" w:color="auto" w:sz="4" w:space="0"/>
            </w:tcBorders>
            <w:noWrap w:val="0"/>
            <w:vAlign w:val="center"/>
          </w:tcPr>
          <w:p w14:paraId="0DC2EABB">
            <w:pPr>
              <w:spacing w:line="360" w:lineRule="auto"/>
              <w:jc w:val="center"/>
              <w:rPr>
                <w:rFonts w:hint="default" w:ascii="Arial" w:hAnsi="Arial" w:cs="Arial"/>
                <w:color w:val="auto"/>
                <w:highlight w:val="none"/>
              </w:rPr>
            </w:pPr>
            <w:r>
              <w:rPr>
                <w:rFonts w:hint="default" w:ascii="Arial" w:hAnsi="Arial" w:cs="Arial"/>
                <w:b/>
                <w:bCs/>
                <w:color w:val="auto"/>
                <w:szCs w:val="21"/>
                <w:highlight w:val="none"/>
              </w:rPr>
              <w:t>技术要求</w:t>
            </w:r>
          </w:p>
        </w:tc>
        <w:tc>
          <w:tcPr>
            <w:tcW w:w="1121" w:type="dxa"/>
            <w:tcBorders>
              <w:top w:val="single" w:color="auto" w:sz="4" w:space="0"/>
              <w:left w:val="single" w:color="auto" w:sz="4" w:space="0"/>
              <w:bottom w:val="single" w:color="auto" w:sz="4" w:space="0"/>
              <w:right w:val="single" w:color="auto" w:sz="4" w:space="0"/>
            </w:tcBorders>
            <w:noWrap w:val="0"/>
            <w:vAlign w:val="center"/>
          </w:tcPr>
          <w:p w14:paraId="4E16DADB">
            <w:pPr>
              <w:spacing w:line="360" w:lineRule="auto"/>
              <w:jc w:val="center"/>
              <w:rPr>
                <w:rFonts w:hint="eastAsia" w:ascii="Arial" w:hAnsi="Arial" w:eastAsia="宋体" w:cs="Arial"/>
                <w:b/>
                <w:bCs/>
                <w:color w:val="auto"/>
                <w:szCs w:val="21"/>
                <w:highlight w:val="none"/>
                <w:lang w:val="en-US" w:eastAsia="zh-CN"/>
              </w:rPr>
            </w:pPr>
            <w:r>
              <w:rPr>
                <w:rFonts w:hint="eastAsia" w:ascii="Arial" w:hAnsi="Arial" w:cs="Arial"/>
                <w:b/>
                <w:bCs/>
                <w:color w:val="auto"/>
                <w:szCs w:val="21"/>
                <w:highlight w:val="none"/>
                <w:lang w:val="en-US" w:eastAsia="zh-CN"/>
              </w:rPr>
              <w:t>单价（元）</w:t>
            </w:r>
          </w:p>
        </w:tc>
      </w:tr>
      <w:tr w14:paraId="3E4F9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7" w:hRule="atLeast"/>
          <w:jc w:val="center"/>
        </w:trPr>
        <w:tc>
          <w:tcPr>
            <w:tcW w:w="630" w:type="dxa"/>
            <w:tcBorders>
              <w:top w:val="single" w:color="auto" w:sz="4" w:space="0"/>
              <w:left w:val="single" w:color="auto" w:sz="4" w:space="0"/>
              <w:bottom w:val="single" w:color="auto" w:sz="4" w:space="0"/>
              <w:right w:val="single" w:color="auto" w:sz="4" w:space="0"/>
            </w:tcBorders>
            <w:noWrap w:val="0"/>
            <w:vAlign w:val="center"/>
          </w:tcPr>
          <w:p w14:paraId="3EADCEB8">
            <w:pPr>
              <w:keepNext w:val="0"/>
              <w:keepLines w:val="0"/>
              <w:widowControl/>
              <w:suppressLineNumbers w:val="0"/>
              <w:jc w:val="center"/>
              <w:textAlignment w:val="center"/>
              <w:rPr>
                <w:rFonts w:hint="default" w:ascii="Arial" w:hAnsi="Arial" w:eastAsia="宋体" w:cs="Arial"/>
                <w:bCs/>
                <w:color w:val="auto"/>
                <w:szCs w:val="21"/>
                <w:highlight w:val="none"/>
              </w:rPr>
            </w:pPr>
            <w:r>
              <w:rPr>
                <w:rFonts w:hint="default" w:ascii="Arial" w:hAnsi="Arial" w:eastAsia="宋体" w:cs="Arial"/>
                <w:i w:val="0"/>
                <w:iCs w:val="0"/>
                <w:color w:val="000000"/>
                <w:kern w:val="0"/>
                <w:sz w:val="21"/>
                <w:szCs w:val="21"/>
                <w:highlight w:val="none"/>
                <w:u w:val="none"/>
                <w:lang w:val="en-US" w:eastAsia="zh-CN" w:bidi="ar"/>
              </w:rPr>
              <w:t>1</w:t>
            </w:r>
          </w:p>
        </w:tc>
        <w:tc>
          <w:tcPr>
            <w:tcW w:w="1259" w:type="dxa"/>
            <w:tcBorders>
              <w:top w:val="single" w:color="auto" w:sz="4" w:space="0"/>
              <w:left w:val="single" w:color="auto" w:sz="4" w:space="0"/>
              <w:bottom w:val="single" w:color="auto" w:sz="4" w:space="0"/>
              <w:right w:val="single" w:color="auto" w:sz="4" w:space="0"/>
            </w:tcBorders>
            <w:noWrap w:val="0"/>
            <w:vAlign w:val="center"/>
          </w:tcPr>
          <w:p w14:paraId="1A757080">
            <w:pPr>
              <w:keepNext w:val="0"/>
              <w:keepLines w:val="0"/>
              <w:widowControl/>
              <w:suppressLineNumbers w:val="0"/>
              <w:jc w:val="center"/>
              <w:textAlignment w:val="center"/>
              <w:rPr>
                <w:rFonts w:hint="default" w:ascii="Arial" w:hAnsi="Arial" w:eastAsia="宋体" w:cs="Arial"/>
                <w:b w:val="0"/>
                <w:bCs w:val="0"/>
                <w:color w:val="auto"/>
                <w:szCs w:val="21"/>
                <w:highlight w:val="none"/>
              </w:rPr>
            </w:pPr>
            <w:r>
              <w:rPr>
                <w:rFonts w:hint="eastAsia" w:ascii="宋体" w:hAnsi="宋体" w:eastAsia="宋体" w:cs="宋体"/>
                <w:b w:val="0"/>
                <w:bCs w:val="0"/>
                <w:i w:val="0"/>
                <w:iCs w:val="0"/>
                <w:color w:val="000000"/>
                <w:kern w:val="0"/>
                <w:sz w:val="21"/>
                <w:szCs w:val="21"/>
                <w:highlight w:val="none"/>
                <w:u w:val="none"/>
                <w:lang w:val="en-US" w:eastAsia="zh-CN" w:bidi="ar"/>
              </w:rPr>
              <w:t>教材建设出版及配套资源建设</w:t>
            </w:r>
          </w:p>
        </w:tc>
        <w:tc>
          <w:tcPr>
            <w:tcW w:w="792" w:type="dxa"/>
            <w:tcBorders>
              <w:top w:val="single" w:color="auto" w:sz="4" w:space="0"/>
              <w:left w:val="single" w:color="auto" w:sz="4" w:space="0"/>
              <w:bottom w:val="single" w:color="auto" w:sz="4" w:space="0"/>
              <w:right w:val="single" w:color="auto" w:sz="4" w:space="0"/>
            </w:tcBorders>
            <w:noWrap w:val="0"/>
            <w:vAlign w:val="center"/>
          </w:tcPr>
          <w:p w14:paraId="673FF2EB">
            <w:pPr>
              <w:keepNext w:val="0"/>
              <w:keepLines w:val="0"/>
              <w:widowControl/>
              <w:suppressLineNumbers w:val="0"/>
              <w:jc w:val="center"/>
              <w:textAlignment w:val="center"/>
              <w:rPr>
                <w:rFonts w:hint="default" w:ascii="Arial" w:hAnsi="Arial" w:eastAsia="宋体" w:cs="Arial"/>
                <w:b w:val="0"/>
                <w:bCs w:val="0"/>
                <w:i w:val="0"/>
                <w:iCs w:val="0"/>
                <w:color w:val="000000"/>
                <w:kern w:val="0"/>
                <w:sz w:val="21"/>
                <w:szCs w:val="21"/>
                <w:highlight w:val="none"/>
                <w:u w:val="none"/>
                <w:lang w:val="en-US" w:eastAsia="zh-CN" w:bidi="ar"/>
              </w:rPr>
            </w:pPr>
            <w:r>
              <w:rPr>
                <w:rFonts w:hint="default" w:ascii="Arial" w:hAnsi="Arial" w:eastAsia="宋体" w:cs="Arial"/>
                <w:b w:val="0"/>
                <w:bCs w:val="0"/>
                <w:i w:val="0"/>
                <w:iCs w:val="0"/>
                <w:color w:val="000000"/>
                <w:kern w:val="0"/>
                <w:sz w:val="21"/>
                <w:szCs w:val="21"/>
                <w:highlight w:val="none"/>
                <w:u w:val="none"/>
                <w:lang w:val="en-US" w:eastAsia="zh-CN" w:bidi="ar"/>
              </w:rPr>
              <w:t>其他未列明行业</w:t>
            </w:r>
          </w:p>
        </w:tc>
        <w:tc>
          <w:tcPr>
            <w:tcW w:w="692" w:type="dxa"/>
            <w:tcBorders>
              <w:top w:val="single" w:color="auto" w:sz="4" w:space="0"/>
              <w:left w:val="single" w:color="auto" w:sz="4" w:space="0"/>
              <w:bottom w:val="single" w:color="auto" w:sz="4" w:space="0"/>
              <w:right w:val="single" w:color="auto" w:sz="4" w:space="0"/>
            </w:tcBorders>
            <w:noWrap w:val="0"/>
            <w:vAlign w:val="center"/>
          </w:tcPr>
          <w:p w14:paraId="5828C74F">
            <w:pPr>
              <w:keepNext w:val="0"/>
              <w:keepLines w:val="0"/>
              <w:widowControl/>
              <w:suppressLineNumbers w:val="0"/>
              <w:jc w:val="center"/>
              <w:textAlignment w:val="center"/>
              <w:rPr>
                <w:rFonts w:hint="default" w:ascii="Arial" w:hAnsi="Arial" w:eastAsia="宋体" w:cs="Arial"/>
                <w:b w:val="0"/>
                <w:bCs w:val="0"/>
                <w:color w:val="auto"/>
                <w:szCs w:val="21"/>
                <w:highlight w:val="none"/>
              </w:rPr>
            </w:pPr>
            <w:r>
              <w:rPr>
                <w:rFonts w:hint="default" w:ascii="Arial" w:hAnsi="Arial" w:eastAsia="宋体" w:cs="Arial"/>
                <w:b w:val="0"/>
                <w:bCs w:val="0"/>
                <w:i w:val="0"/>
                <w:iCs w:val="0"/>
                <w:color w:val="000000"/>
                <w:kern w:val="0"/>
                <w:sz w:val="21"/>
                <w:szCs w:val="21"/>
                <w:highlight w:val="none"/>
                <w:u w:val="none"/>
                <w:lang w:val="en-US" w:eastAsia="zh-CN" w:bidi="ar"/>
              </w:rPr>
              <w:t>1</w:t>
            </w:r>
          </w:p>
        </w:tc>
        <w:tc>
          <w:tcPr>
            <w:tcW w:w="549" w:type="dxa"/>
            <w:tcBorders>
              <w:top w:val="single" w:color="auto" w:sz="4" w:space="0"/>
              <w:left w:val="single" w:color="auto" w:sz="4" w:space="0"/>
              <w:bottom w:val="single" w:color="auto" w:sz="4" w:space="0"/>
              <w:right w:val="single" w:color="auto" w:sz="4" w:space="0"/>
            </w:tcBorders>
            <w:noWrap w:val="0"/>
            <w:vAlign w:val="center"/>
          </w:tcPr>
          <w:p w14:paraId="5585C0D6">
            <w:pPr>
              <w:keepNext w:val="0"/>
              <w:keepLines w:val="0"/>
              <w:widowControl/>
              <w:suppressLineNumbers w:val="0"/>
              <w:jc w:val="center"/>
              <w:textAlignment w:val="center"/>
              <w:rPr>
                <w:rFonts w:hint="default" w:ascii="Arial" w:hAnsi="Arial" w:eastAsia="宋体" w:cs="Arial"/>
                <w:b w:val="0"/>
                <w:bCs w:val="0"/>
                <w:color w:val="auto"/>
                <w:szCs w:val="21"/>
                <w:highlight w:val="none"/>
                <w:lang w:eastAsia="zh-CN"/>
              </w:rPr>
            </w:pPr>
            <w:r>
              <w:rPr>
                <w:rFonts w:hint="default" w:ascii="Arial" w:hAnsi="Arial" w:eastAsia="宋体" w:cs="Arial"/>
                <w:b w:val="0"/>
                <w:bCs w:val="0"/>
                <w:i w:val="0"/>
                <w:iCs w:val="0"/>
                <w:color w:val="000000"/>
                <w:kern w:val="0"/>
                <w:sz w:val="21"/>
                <w:szCs w:val="21"/>
                <w:highlight w:val="none"/>
                <w:u w:val="none"/>
                <w:lang w:val="en-US" w:eastAsia="zh-CN" w:bidi="ar"/>
              </w:rPr>
              <w:t>项</w:t>
            </w:r>
          </w:p>
        </w:tc>
        <w:tc>
          <w:tcPr>
            <w:tcW w:w="5574"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4F5D78EC">
            <w:pPr>
              <w:keepNext w:val="0"/>
              <w:keepLines w:val="0"/>
              <w:widowControl/>
              <w:numPr>
                <w:ilvl w:val="0"/>
                <w:numId w:val="6"/>
              </w:numPr>
              <w:suppressLineNumbers w:val="0"/>
              <w:jc w:val="left"/>
              <w:textAlignment w:val="top"/>
              <w:rPr>
                <w:rFonts w:hint="default" w:ascii="Arial" w:hAnsi="Arial" w:eastAsia="宋体" w:cs="Arial"/>
                <w:b w:val="0"/>
                <w:bCs/>
                <w:color w:val="auto"/>
                <w:kern w:val="2"/>
                <w:sz w:val="21"/>
                <w:szCs w:val="21"/>
                <w:highlight w:val="none"/>
                <w:lang w:val="en-US" w:eastAsia="zh-CN" w:bidi="ar-SA"/>
              </w:rPr>
            </w:pPr>
            <w:r>
              <w:rPr>
                <w:rFonts w:hint="default" w:ascii="Arial" w:hAnsi="Arial" w:eastAsia="宋体" w:cs="Arial"/>
                <w:b w:val="0"/>
                <w:bCs/>
                <w:color w:val="auto"/>
                <w:kern w:val="2"/>
                <w:sz w:val="21"/>
                <w:szCs w:val="21"/>
                <w:highlight w:val="none"/>
                <w:lang w:val="en-US" w:eastAsia="zh-CN" w:bidi="ar-SA"/>
              </w:rPr>
              <w:t>《AI赋能电商网店美工》（暂定书名）教材开发与出版</w:t>
            </w:r>
            <w:r>
              <w:rPr>
                <w:rFonts w:hint="default" w:ascii="Arial" w:hAnsi="Arial" w:eastAsia="宋体" w:cs="Arial"/>
                <w:b w:val="0"/>
                <w:bCs/>
                <w:color w:val="auto"/>
                <w:kern w:val="2"/>
                <w:sz w:val="21"/>
                <w:szCs w:val="21"/>
                <w:highlight w:val="none"/>
                <w:lang w:val="en-US" w:eastAsia="zh-CN" w:bidi="ar-SA"/>
              </w:rPr>
              <w:br w:type="textWrapping"/>
            </w:r>
            <w:r>
              <w:rPr>
                <w:rFonts w:hint="default" w:ascii="Arial" w:hAnsi="Arial" w:eastAsia="宋体" w:cs="Arial"/>
                <w:b w:val="0"/>
                <w:bCs/>
                <w:color w:val="auto"/>
                <w:kern w:val="2"/>
                <w:sz w:val="21"/>
                <w:szCs w:val="21"/>
                <w:highlight w:val="none"/>
                <w:lang w:val="en-US" w:eastAsia="zh-CN" w:bidi="ar-SA"/>
              </w:rPr>
              <w:t>1.完成《AI赋能电商网店美工》教材的建设与出版。</w:t>
            </w:r>
            <w:r>
              <w:rPr>
                <w:rFonts w:hint="default" w:ascii="Arial" w:hAnsi="Arial" w:eastAsia="宋体" w:cs="Arial"/>
                <w:b w:val="0"/>
                <w:bCs/>
                <w:color w:val="auto"/>
                <w:kern w:val="2"/>
                <w:sz w:val="21"/>
                <w:szCs w:val="21"/>
                <w:highlight w:val="none"/>
                <w:lang w:val="en-US" w:eastAsia="zh-CN" w:bidi="ar-SA"/>
              </w:rPr>
              <w:br w:type="textWrapping"/>
            </w:r>
            <w:r>
              <w:rPr>
                <w:rFonts w:hint="default" w:ascii="Arial" w:hAnsi="Arial" w:eastAsia="宋体" w:cs="Arial"/>
                <w:b w:val="0"/>
                <w:bCs/>
                <w:color w:val="auto"/>
                <w:kern w:val="2"/>
                <w:sz w:val="21"/>
                <w:szCs w:val="21"/>
                <w:highlight w:val="none"/>
                <w:lang w:val="en-US" w:eastAsia="zh-CN" w:bidi="ar-SA"/>
              </w:rPr>
              <w:t>2.教材正式出版，提供</w:t>
            </w:r>
            <w:r>
              <w:rPr>
                <w:rFonts w:hint="eastAsia" w:ascii="Arial" w:hAnsi="Arial" w:eastAsia="宋体" w:cs="Arial"/>
                <w:b w:val="0"/>
                <w:bCs/>
                <w:color w:val="auto"/>
                <w:kern w:val="2"/>
                <w:sz w:val="21"/>
                <w:szCs w:val="21"/>
                <w:highlight w:val="none"/>
                <w:lang w:val="en-US" w:eastAsia="zh-CN" w:bidi="ar-SA"/>
              </w:rPr>
              <w:t>≥</w:t>
            </w:r>
            <w:r>
              <w:rPr>
                <w:rFonts w:hint="default" w:ascii="Arial" w:hAnsi="Arial" w:eastAsia="宋体" w:cs="Arial"/>
                <w:b w:val="0"/>
                <w:bCs/>
                <w:color w:val="auto"/>
                <w:kern w:val="2"/>
                <w:sz w:val="21"/>
                <w:szCs w:val="21"/>
                <w:highlight w:val="none"/>
                <w:lang w:val="en-US" w:eastAsia="zh-CN" w:bidi="ar-SA"/>
              </w:rPr>
              <w:t>5本样书。</w:t>
            </w:r>
            <w:r>
              <w:rPr>
                <w:rFonts w:hint="default" w:ascii="Arial" w:hAnsi="Arial" w:eastAsia="宋体" w:cs="Arial"/>
                <w:b w:val="0"/>
                <w:bCs/>
                <w:color w:val="auto"/>
                <w:kern w:val="2"/>
                <w:sz w:val="21"/>
                <w:szCs w:val="21"/>
                <w:highlight w:val="none"/>
                <w:lang w:val="en-US" w:eastAsia="zh-CN" w:bidi="ar-SA"/>
              </w:rPr>
              <w:br w:type="textWrapping"/>
            </w:r>
            <w:r>
              <w:rPr>
                <w:rFonts w:hint="default" w:ascii="Arial" w:hAnsi="Arial" w:eastAsia="宋体" w:cs="Arial"/>
                <w:b w:val="0"/>
                <w:bCs/>
                <w:color w:val="auto"/>
                <w:kern w:val="2"/>
                <w:sz w:val="21"/>
                <w:szCs w:val="21"/>
                <w:highlight w:val="none"/>
                <w:lang w:val="en-US" w:eastAsia="zh-CN" w:bidi="ar-SA"/>
              </w:rPr>
              <w:t>3.协助学校进行省级规划教材或国家级规划教材申报。</w:t>
            </w:r>
            <w:r>
              <w:rPr>
                <w:rFonts w:hint="default" w:ascii="Arial" w:hAnsi="Arial" w:eastAsia="宋体" w:cs="Arial"/>
                <w:b w:val="0"/>
                <w:bCs/>
                <w:color w:val="auto"/>
                <w:kern w:val="2"/>
                <w:sz w:val="21"/>
                <w:szCs w:val="21"/>
                <w:highlight w:val="none"/>
                <w:lang w:val="en-US" w:eastAsia="zh-CN" w:bidi="ar-SA"/>
              </w:rPr>
              <w:br w:type="textWrapping"/>
            </w:r>
            <w:r>
              <w:rPr>
                <w:rFonts w:hint="default" w:ascii="Arial" w:hAnsi="Arial" w:eastAsia="宋体" w:cs="Arial"/>
                <w:b w:val="0"/>
                <w:bCs/>
                <w:color w:val="auto"/>
                <w:kern w:val="2"/>
                <w:sz w:val="21"/>
                <w:szCs w:val="21"/>
                <w:highlight w:val="none"/>
                <w:lang w:val="en-US" w:eastAsia="zh-CN" w:bidi="ar-SA"/>
              </w:rPr>
              <w:t>4.书号：由</w:t>
            </w:r>
            <w:r>
              <w:rPr>
                <w:rFonts w:hint="eastAsia" w:ascii="Arial" w:hAnsi="Arial" w:cs="Arial"/>
                <w:b w:val="0"/>
                <w:bCs/>
                <w:color w:val="auto"/>
                <w:kern w:val="2"/>
                <w:sz w:val="21"/>
                <w:szCs w:val="21"/>
                <w:highlight w:val="none"/>
                <w:lang w:val="en-US" w:eastAsia="zh-CN" w:bidi="ar-SA"/>
              </w:rPr>
              <w:t>中标单位</w:t>
            </w:r>
            <w:r>
              <w:rPr>
                <w:rFonts w:hint="default" w:ascii="Arial" w:hAnsi="Arial" w:eastAsia="宋体" w:cs="Arial"/>
                <w:b w:val="0"/>
                <w:bCs/>
                <w:color w:val="auto"/>
                <w:kern w:val="2"/>
                <w:sz w:val="21"/>
                <w:szCs w:val="21"/>
                <w:highlight w:val="none"/>
                <w:lang w:val="en-US" w:eastAsia="zh-CN" w:bidi="ar-SA"/>
              </w:rPr>
              <w:t>负责教材解决出版、发行的全流程工作。</w:t>
            </w:r>
            <w:r>
              <w:rPr>
                <w:rFonts w:hint="default" w:ascii="Arial" w:hAnsi="Arial" w:eastAsia="宋体" w:cs="Arial"/>
                <w:b w:val="0"/>
                <w:bCs/>
                <w:color w:val="auto"/>
                <w:kern w:val="2"/>
                <w:sz w:val="21"/>
                <w:szCs w:val="21"/>
                <w:highlight w:val="none"/>
                <w:lang w:val="en-US" w:eastAsia="zh-CN" w:bidi="ar-SA"/>
              </w:rPr>
              <w:br w:type="textWrapping"/>
            </w:r>
            <w:r>
              <w:rPr>
                <w:rFonts w:hint="default" w:ascii="Arial" w:hAnsi="Arial" w:eastAsia="宋体" w:cs="Arial"/>
                <w:b w:val="0"/>
                <w:bCs/>
                <w:color w:val="auto"/>
                <w:kern w:val="2"/>
                <w:sz w:val="21"/>
                <w:szCs w:val="21"/>
                <w:highlight w:val="none"/>
                <w:lang w:val="en-US" w:eastAsia="zh-CN" w:bidi="ar-SA"/>
              </w:rPr>
              <w:t>5.质量要求：教材质量标准（差错率、印装质量）需严格控制在国家标准范围内，按精品教材的标准进行制作出版。</w:t>
            </w:r>
            <w:r>
              <w:rPr>
                <w:rFonts w:hint="default" w:ascii="Arial" w:hAnsi="Arial" w:eastAsia="宋体" w:cs="Arial"/>
                <w:b w:val="0"/>
                <w:bCs/>
                <w:color w:val="auto"/>
                <w:kern w:val="2"/>
                <w:sz w:val="21"/>
                <w:szCs w:val="21"/>
                <w:highlight w:val="none"/>
                <w:lang w:val="en-US" w:eastAsia="zh-CN" w:bidi="ar-SA"/>
              </w:rPr>
              <w:br w:type="textWrapping"/>
            </w:r>
            <w:r>
              <w:rPr>
                <w:rFonts w:hint="default" w:ascii="Arial" w:hAnsi="Arial" w:eastAsia="宋体" w:cs="Arial"/>
                <w:b w:val="0"/>
                <w:bCs/>
                <w:color w:val="auto"/>
                <w:kern w:val="2"/>
                <w:sz w:val="21"/>
                <w:szCs w:val="21"/>
                <w:highlight w:val="none"/>
                <w:lang w:val="en-US" w:eastAsia="zh-CN" w:bidi="ar-SA"/>
              </w:rPr>
              <w:t>6.严格按照采购人时间进度安排作业，保证按时按质完成出版及发行工作。</w:t>
            </w:r>
            <w:r>
              <w:rPr>
                <w:rFonts w:hint="default" w:ascii="Arial" w:hAnsi="Arial" w:eastAsia="宋体" w:cs="Arial"/>
                <w:b w:val="0"/>
                <w:bCs/>
                <w:color w:val="auto"/>
                <w:kern w:val="2"/>
                <w:sz w:val="21"/>
                <w:szCs w:val="21"/>
                <w:highlight w:val="none"/>
                <w:lang w:val="en-US" w:eastAsia="zh-CN" w:bidi="ar-SA"/>
              </w:rPr>
              <w:br w:type="textWrapping"/>
            </w:r>
            <w:r>
              <w:rPr>
                <w:rFonts w:hint="default" w:ascii="Arial" w:hAnsi="Arial" w:eastAsia="宋体" w:cs="Arial"/>
                <w:b w:val="0"/>
                <w:bCs/>
                <w:color w:val="auto"/>
                <w:kern w:val="2"/>
                <w:sz w:val="21"/>
                <w:szCs w:val="21"/>
                <w:highlight w:val="none"/>
                <w:lang w:val="en-US" w:eastAsia="zh-CN" w:bidi="ar-SA"/>
              </w:rPr>
              <w:t>7.印刷要求：封面设计由</w:t>
            </w:r>
            <w:r>
              <w:rPr>
                <w:rFonts w:hint="eastAsia" w:ascii="Arial" w:hAnsi="Arial" w:cs="Arial"/>
                <w:b w:val="0"/>
                <w:bCs/>
                <w:color w:val="auto"/>
                <w:kern w:val="2"/>
                <w:sz w:val="21"/>
                <w:szCs w:val="21"/>
                <w:highlight w:val="none"/>
                <w:lang w:val="en-US" w:eastAsia="zh-CN" w:bidi="ar-SA"/>
              </w:rPr>
              <w:t>中标单位</w:t>
            </w:r>
            <w:r>
              <w:rPr>
                <w:rFonts w:hint="default" w:ascii="Arial" w:hAnsi="Arial" w:eastAsia="宋体" w:cs="Arial"/>
                <w:b w:val="0"/>
                <w:bCs/>
                <w:color w:val="auto"/>
                <w:kern w:val="2"/>
                <w:sz w:val="21"/>
                <w:szCs w:val="21"/>
                <w:highlight w:val="none"/>
                <w:lang w:val="en-US" w:eastAsia="zh-CN" w:bidi="ar-SA"/>
              </w:rPr>
              <w:t>设计，并交采购人确认。</w:t>
            </w:r>
            <w:r>
              <w:rPr>
                <w:rFonts w:hint="default" w:ascii="Arial" w:hAnsi="Arial" w:eastAsia="宋体" w:cs="Arial"/>
                <w:b w:val="0"/>
                <w:bCs/>
                <w:color w:val="auto"/>
                <w:kern w:val="2"/>
                <w:sz w:val="21"/>
                <w:szCs w:val="21"/>
                <w:highlight w:val="none"/>
                <w:lang w:val="en-US" w:eastAsia="zh-CN" w:bidi="ar-SA"/>
              </w:rPr>
              <w:br w:type="textWrapping"/>
            </w:r>
            <w:r>
              <w:rPr>
                <w:rFonts w:hint="default" w:ascii="Arial" w:hAnsi="Arial" w:eastAsia="宋体" w:cs="Arial"/>
                <w:b w:val="0"/>
                <w:bCs/>
                <w:color w:val="auto"/>
                <w:kern w:val="2"/>
                <w:sz w:val="21"/>
                <w:szCs w:val="21"/>
                <w:highlight w:val="none"/>
                <w:lang w:val="en-US" w:eastAsia="zh-CN" w:bidi="ar-SA"/>
              </w:rPr>
              <w:t>8.开本：16开（185mm×260mm）。</w:t>
            </w:r>
            <w:r>
              <w:rPr>
                <w:rFonts w:hint="default" w:ascii="Arial" w:hAnsi="Arial" w:eastAsia="宋体" w:cs="Arial"/>
                <w:b w:val="0"/>
                <w:bCs/>
                <w:color w:val="auto"/>
                <w:kern w:val="2"/>
                <w:sz w:val="21"/>
                <w:szCs w:val="21"/>
                <w:highlight w:val="none"/>
                <w:lang w:val="en-US" w:eastAsia="zh-CN" w:bidi="ar-SA"/>
              </w:rPr>
              <w:br w:type="textWrapping"/>
            </w:r>
            <w:r>
              <w:rPr>
                <w:rFonts w:hint="default" w:ascii="Arial" w:hAnsi="Arial" w:eastAsia="宋体" w:cs="Arial"/>
                <w:b w:val="0"/>
                <w:bCs/>
                <w:color w:val="auto"/>
                <w:kern w:val="2"/>
                <w:sz w:val="21"/>
                <w:szCs w:val="21"/>
                <w:highlight w:val="none"/>
                <w:lang w:val="en-US" w:eastAsia="zh-CN" w:bidi="ar-SA"/>
              </w:rPr>
              <w:t>9.装订方式：平膜胶订。</w:t>
            </w:r>
            <w:r>
              <w:rPr>
                <w:rFonts w:hint="default" w:ascii="Arial" w:hAnsi="Arial" w:eastAsia="宋体" w:cs="Arial"/>
                <w:b w:val="0"/>
                <w:bCs/>
                <w:color w:val="auto"/>
                <w:kern w:val="2"/>
                <w:sz w:val="21"/>
                <w:szCs w:val="21"/>
                <w:highlight w:val="none"/>
                <w:lang w:val="en-US" w:eastAsia="zh-CN" w:bidi="ar-SA"/>
              </w:rPr>
              <w:br w:type="textWrapping"/>
            </w:r>
            <w:r>
              <w:rPr>
                <w:rFonts w:hint="default" w:ascii="Arial" w:hAnsi="Arial" w:eastAsia="宋体" w:cs="Arial"/>
                <w:b w:val="0"/>
                <w:bCs/>
                <w:color w:val="auto"/>
                <w:kern w:val="2"/>
                <w:sz w:val="21"/>
                <w:szCs w:val="21"/>
                <w:highlight w:val="none"/>
                <w:lang w:val="en-US" w:eastAsia="zh-CN" w:bidi="ar-SA"/>
              </w:rPr>
              <w:t>10.质量要求：文字编校须达到国家新闻出版署制定的图书编校质量标准；印刷装订须采用正规、稳定的服务商，质量须达到国家相关质量标准。</w:t>
            </w:r>
            <w:r>
              <w:rPr>
                <w:rFonts w:hint="default" w:ascii="Arial" w:hAnsi="Arial" w:eastAsia="宋体" w:cs="Arial"/>
                <w:b w:val="0"/>
                <w:bCs/>
                <w:color w:val="auto"/>
                <w:kern w:val="2"/>
                <w:sz w:val="21"/>
                <w:szCs w:val="21"/>
                <w:highlight w:val="none"/>
                <w:lang w:val="en-US" w:eastAsia="zh-CN" w:bidi="ar-SA"/>
              </w:rPr>
              <w:br w:type="textWrapping"/>
            </w:r>
            <w:r>
              <w:rPr>
                <w:rFonts w:hint="default" w:ascii="Arial" w:hAnsi="Arial" w:eastAsia="宋体" w:cs="Arial"/>
                <w:b w:val="0"/>
                <w:bCs/>
                <w:color w:val="auto"/>
                <w:kern w:val="2"/>
                <w:sz w:val="21"/>
                <w:szCs w:val="21"/>
                <w:highlight w:val="none"/>
                <w:lang w:val="en-US" w:eastAsia="zh-CN" w:bidi="ar-SA"/>
              </w:rPr>
              <w:t>11.教材出版发行后，</w:t>
            </w:r>
            <w:r>
              <w:rPr>
                <w:rFonts w:hint="eastAsia" w:ascii="Arial" w:hAnsi="Arial" w:cs="Arial"/>
                <w:b w:val="0"/>
                <w:bCs/>
                <w:color w:val="auto"/>
                <w:kern w:val="2"/>
                <w:sz w:val="21"/>
                <w:szCs w:val="21"/>
                <w:highlight w:val="none"/>
                <w:lang w:val="en-US" w:eastAsia="zh-CN" w:bidi="ar-SA"/>
              </w:rPr>
              <w:t>中标单位</w:t>
            </w:r>
            <w:r>
              <w:rPr>
                <w:rFonts w:hint="default" w:ascii="Arial" w:hAnsi="Arial" w:eastAsia="宋体" w:cs="Arial"/>
                <w:b w:val="0"/>
                <w:bCs/>
                <w:color w:val="auto"/>
                <w:kern w:val="2"/>
                <w:sz w:val="21"/>
                <w:szCs w:val="21"/>
                <w:highlight w:val="none"/>
                <w:lang w:val="en-US" w:eastAsia="zh-CN" w:bidi="ar-SA"/>
              </w:rPr>
              <w:t>配合采购人的验收，并做好教材的宣传、推广工作。</w:t>
            </w:r>
            <w:r>
              <w:rPr>
                <w:rFonts w:hint="default" w:ascii="Arial" w:hAnsi="Arial" w:eastAsia="宋体" w:cs="Arial"/>
                <w:b w:val="0"/>
                <w:bCs/>
                <w:color w:val="auto"/>
                <w:kern w:val="2"/>
                <w:sz w:val="21"/>
                <w:szCs w:val="21"/>
                <w:highlight w:val="none"/>
                <w:lang w:val="en-US" w:eastAsia="zh-CN" w:bidi="ar-SA"/>
              </w:rPr>
              <w:br w:type="textWrapping"/>
            </w:r>
            <w:r>
              <w:rPr>
                <w:rFonts w:hint="default" w:ascii="Arial" w:hAnsi="Arial" w:eastAsia="宋体" w:cs="Arial"/>
                <w:b w:val="0"/>
                <w:bCs/>
                <w:color w:val="auto"/>
                <w:kern w:val="2"/>
                <w:sz w:val="21"/>
                <w:szCs w:val="21"/>
                <w:highlight w:val="none"/>
                <w:lang w:val="en-US" w:eastAsia="zh-CN" w:bidi="ar-SA"/>
              </w:rPr>
              <w:t>12.教材版权归采购人所有，经授权方可再次出版。</w:t>
            </w:r>
            <w:r>
              <w:rPr>
                <w:rFonts w:hint="default" w:ascii="Arial" w:hAnsi="Arial" w:eastAsia="宋体" w:cs="Arial"/>
                <w:b w:val="0"/>
                <w:bCs/>
                <w:color w:val="auto"/>
                <w:kern w:val="2"/>
                <w:sz w:val="21"/>
                <w:szCs w:val="21"/>
                <w:highlight w:val="none"/>
                <w:lang w:val="en-US" w:eastAsia="zh-CN" w:bidi="ar-SA"/>
              </w:rPr>
              <w:br w:type="textWrapping"/>
            </w:r>
            <w:r>
              <w:rPr>
                <w:rFonts w:hint="default" w:ascii="Arial" w:hAnsi="Arial" w:eastAsia="宋体" w:cs="Arial"/>
                <w:b w:val="0"/>
                <w:bCs/>
                <w:color w:val="auto"/>
                <w:kern w:val="2"/>
                <w:sz w:val="21"/>
                <w:szCs w:val="21"/>
                <w:highlight w:val="none"/>
                <w:lang w:val="en-US" w:eastAsia="zh-CN" w:bidi="ar-SA"/>
              </w:rPr>
              <w:t>13.根据要出版的内容选题，选择合适的内容出版，提供专业的三审三校服务，确保教材内容不触碰政治和专业知识错误的红线。</w:t>
            </w:r>
            <w:r>
              <w:rPr>
                <w:rFonts w:hint="default" w:ascii="Arial" w:hAnsi="Arial" w:eastAsia="宋体" w:cs="Arial"/>
                <w:b w:val="0"/>
                <w:bCs/>
                <w:color w:val="auto"/>
                <w:kern w:val="2"/>
                <w:sz w:val="21"/>
                <w:szCs w:val="21"/>
                <w:highlight w:val="none"/>
                <w:lang w:val="en-US" w:eastAsia="zh-CN" w:bidi="ar-SA"/>
              </w:rPr>
              <w:br w:type="textWrapping"/>
            </w:r>
            <w:r>
              <w:rPr>
                <w:rFonts w:hint="default" w:ascii="Arial" w:hAnsi="Arial" w:eastAsia="宋体" w:cs="Arial"/>
                <w:b w:val="0"/>
                <w:bCs/>
                <w:color w:val="auto"/>
                <w:kern w:val="2"/>
                <w:sz w:val="21"/>
                <w:szCs w:val="21"/>
                <w:highlight w:val="none"/>
                <w:lang w:val="en-US" w:eastAsia="zh-CN" w:bidi="ar-SA"/>
              </w:rPr>
              <w:t>14.提供ISBN号，保护知识产权，教材经由出版社专业编辑审校后出版，教材提供国家正规的ISBN号，保护教材的内容知识产权。</w:t>
            </w:r>
            <w:r>
              <w:rPr>
                <w:rFonts w:hint="default" w:ascii="Arial" w:hAnsi="Arial" w:eastAsia="宋体" w:cs="Arial"/>
                <w:b w:val="0"/>
                <w:bCs/>
                <w:color w:val="auto"/>
                <w:kern w:val="2"/>
                <w:sz w:val="21"/>
                <w:szCs w:val="21"/>
                <w:highlight w:val="none"/>
                <w:lang w:val="en-US" w:eastAsia="zh-CN" w:bidi="ar-SA"/>
              </w:rPr>
              <w:br w:type="textWrapping"/>
            </w:r>
            <w:r>
              <w:rPr>
                <w:rFonts w:hint="default" w:ascii="Arial" w:hAnsi="Arial" w:eastAsia="宋体" w:cs="Arial"/>
                <w:b w:val="0"/>
                <w:bCs/>
                <w:color w:val="auto"/>
                <w:kern w:val="2"/>
                <w:sz w:val="21"/>
                <w:szCs w:val="21"/>
                <w:highlight w:val="none"/>
                <w:lang w:val="en-US" w:eastAsia="zh-CN" w:bidi="ar-SA"/>
              </w:rPr>
              <w:t>15.样书审核：每种教材印刷前，需要采购人审查，经采购人审查合格后，方可进行印刷，否则采购人有权中止合同，同时要求</w:t>
            </w:r>
            <w:r>
              <w:rPr>
                <w:rFonts w:hint="eastAsia" w:ascii="Arial" w:hAnsi="Arial" w:cs="Arial"/>
                <w:b w:val="0"/>
                <w:bCs/>
                <w:color w:val="auto"/>
                <w:kern w:val="2"/>
                <w:sz w:val="21"/>
                <w:szCs w:val="21"/>
                <w:highlight w:val="none"/>
                <w:lang w:val="en-US" w:eastAsia="zh-CN" w:bidi="ar-SA"/>
              </w:rPr>
              <w:t>中标供应商</w:t>
            </w:r>
            <w:r>
              <w:rPr>
                <w:rFonts w:hint="default" w:ascii="Arial" w:hAnsi="Arial" w:eastAsia="宋体" w:cs="Arial"/>
                <w:b w:val="0"/>
                <w:bCs/>
                <w:color w:val="auto"/>
                <w:kern w:val="2"/>
                <w:sz w:val="21"/>
                <w:szCs w:val="21"/>
                <w:highlight w:val="none"/>
                <w:lang w:val="en-US" w:eastAsia="zh-CN" w:bidi="ar-SA"/>
              </w:rPr>
              <w:t>赔偿损失。</w:t>
            </w:r>
            <w:r>
              <w:rPr>
                <w:rFonts w:hint="default" w:ascii="Arial" w:hAnsi="Arial" w:eastAsia="宋体" w:cs="Arial"/>
                <w:b w:val="0"/>
                <w:bCs/>
                <w:color w:val="auto"/>
                <w:kern w:val="2"/>
                <w:sz w:val="21"/>
                <w:szCs w:val="21"/>
                <w:highlight w:val="none"/>
                <w:lang w:val="en-US" w:eastAsia="zh-CN" w:bidi="ar-SA"/>
              </w:rPr>
              <w:br w:type="textWrapping"/>
            </w:r>
            <w:r>
              <w:rPr>
                <w:rFonts w:hint="default" w:ascii="Arial" w:hAnsi="Arial" w:eastAsia="宋体" w:cs="Arial"/>
                <w:b w:val="0"/>
                <w:bCs/>
                <w:color w:val="auto"/>
                <w:kern w:val="2"/>
                <w:sz w:val="21"/>
                <w:szCs w:val="21"/>
                <w:highlight w:val="none"/>
                <w:lang w:val="en-US" w:eastAsia="zh-CN" w:bidi="ar-SA"/>
              </w:rPr>
              <w:t>16.本项目工作内容包括审稿、编辑加工、版式设计、排版、校对、书号申请、封面设计、印刷装订、出版发行、物流运输等。</w:t>
            </w:r>
            <w:r>
              <w:rPr>
                <w:rFonts w:hint="default" w:ascii="Arial" w:hAnsi="Arial" w:eastAsia="宋体" w:cs="Arial"/>
                <w:b w:val="0"/>
                <w:bCs/>
                <w:color w:val="auto"/>
                <w:kern w:val="2"/>
                <w:sz w:val="21"/>
                <w:szCs w:val="21"/>
                <w:highlight w:val="none"/>
                <w:lang w:val="en-US" w:eastAsia="zh-CN" w:bidi="ar-SA"/>
              </w:rPr>
              <w:br w:type="textWrapping"/>
            </w:r>
            <w:r>
              <w:rPr>
                <w:rFonts w:hint="default" w:ascii="Arial" w:hAnsi="Arial" w:eastAsia="宋体" w:cs="Arial"/>
                <w:b w:val="0"/>
                <w:bCs/>
                <w:color w:val="auto"/>
                <w:kern w:val="2"/>
                <w:sz w:val="21"/>
                <w:szCs w:val="21"/>
                <w:highlight w:val="none"/>
                <w:lang w:val="en-US" w:eastAsia="zh-CN" w:bidi="ar-SA"/>
              </w:rPr>
              <w:t>二、配套课程资源建设</w:t>
            </w:r>
          </w:p>
          <w:p w14:paraId="76BCB12F">
            <w:pPr>
              <w:keepNext w:val="0"/>
              <w:keepLines w:val="0"/>
              <w:widowControl/>
              <w:numPr>
                <w:ilvl w:val="0"/>
                <w:numId w:val="0"/>
              </w:numPr>
              <w:suppressLineNumbers w:val="0"/>
              <w:jc w:val="left"/>
              <w:textAlignment w:val="top"/>
              <w:rPr>
                <w:rFonts w:hint="default" w:ascii="Arial" w:hAnsi="Arial" w:eastAsia="宋体" w:cs="Arial"/>
                <w:b w:val="0"/>
                <w:bCs/>
                <w:color w:val="auto"/>
                <w:kern w:val="2"/>
                <w:sz w:val="21"/>
                <w:szCs w:val="21"/>
                <w:highlight w:val="none"/>
                <w:lang w:val="en-US" w:eastAsia="zh-CN" w:bidi="ar-SA"/>
              </w:rPr>
            </w:pPr>
            <w:r>
              <w:rPr>
                <w:rFonts w:hint="default" w:ascii="Arial" w:hAnsi="Arial" w:eastAsia="宋体" w:cs="Arial"/>
                <w:b w:val="0"/>
                <w:bCs/>
                <w:color w:val="auto"/>
                <w:kern w:val="2"/>
                <w:sz w:val="21"/>
                <w:szCs w:val="21"/>
                <w:highlight w:val="none"/>
                <w:lang w:val="en-US" w:eastAsia="zh-CN" w:bidi="ar-SA"/>
              </w:rPr>
              <w:t>1.配套视频微课数量：视频微课数量</w:t>
            </w:r>
            <w:r>
              <w:rPr>
                <w:rFonts w:hint="eastAsia" w:ascii="Arial" w:hAnsi="Arial" w:eastAsia="宋体" w:cs="Arial"/>
                <w:b w:val="0"/>
                <w:bCs/>
                <w:color w:val="auto"/>
                <w:kern w:val="2"/>
                <w:sz w:val="21"/>
                <w:szCs w:val="21"/>
                <w:highlight w:val="none"/>
                <w:lang w:val="en-US" w:eastAsia="zh-CN" w:bidi="ar-SA"/>
              </w:rPr>
              <w:t>≥</w:t>
            </w:r>
            <w:r>
              <w:rPr>
                <w:rFonts w:hint="default" w:ascii="Arial" w:hAnsi="Arial" w:eastAsia="宋体" w:cs="Arial"/>
                <w:b w:val="0"/>
                <w:bCs/>
                <w:color w:val="auto"/>
                <w:kern w:val="2"/>
                <w:sz w:val="21"/>
                <w:szCs w:val="21"/>
                <w:highlight w:val="none"/>
                <w:lang w:val="en-US" w:eastAsia="zh-CN" w:bidi="ar-SA"/>
              </w:rPr>
              <w:t>10个；每个视频时长根据上课内容确定，原则上为每个视频时长 5～10 分钟。视频压缩格式：包含字幕的 MP4 格式，视频码流率：1024Kbps - 2500Kbps；视频分辨率：同一门课程各节视频的视频分辨率必须统一，设定为</w:t>
            </w:r>
            <w:r>
              <w:rPr>
                <w:rFonts w:hint="eastAsia" w:ascii="Arial" w:hAnsi="Arial" w:cs="Arial"/>
                <w:b w:val="0"/>
                <w:bCs/>
                <w:color w:val="auto"/>
                <w:kern w:val="2"/>
                <w:sz w:val="21"/>
                <w:szCs w:val="21"/>
                <w:highlight w:val="none"/>
                <w:lang w:val="en-US" w:eastAsia="zh-CN" w:bidi="ar-SA"/>
              </w:rPr>
              <w:t>≥</w:t>
            </w:r>
            <w:r>
              <w:rPr>
                <w:rFonts w:hint="default" w:ascii="Arial" w:hAnsi="Arial" w:eastAsia="宋体" w:cs="Arial"/>
                <w:b w:val="0"/>
                <w:bCs/>
                <w:color w:val="auto"/>
                <w:kern w:val="2"/>
                <w:sz w:val="21"/>
                <w:szCs w:val="21"/>
                <w:highlight w:val="none"/>
                <w:lang w:val="en-US" w:eastAsia="zh-CN" w:bidi="ar-SA"/>
              </w:rPr>
              <w:t xml:space="preserve">1920×1080 视频画幅宽高比。                                                                                                  </w:t>
            </w:r>
          </w:p>
          <w:p w14:paraId="7B83F7C4">
            <w:pPr>
              <w:keepNext w:val="0"/>
              <w:keepLines w:val="0"/>
              <w:widowControl/>
              <w:numPr>
                <w:ilvl w:val="0"/>
                <w:numId w:val="0"/>
              </w:numPr>
              <w:suppressLineNumbers w:val="0"/>
              <w:jc w:val="left"/>
              <w:textAlignment w:val="top"/>
              <w:rPr>
                <w:rFonts w:hint="default" w:ascii="Arial" w:hAnsi="Arial" w:eastAsia="宋体" w:cs="Arial"/>
                <w:b w:val="0"/>
                <w:bCs/>
                <w:color w:val="auto"/>
                <w:kern w:val="2"/>
                <w:sz w:val="21"/>
                <w:szCs w:val="21"/>
                <w:highlight w:val="none"/>
                <w:lang w:val="en-US" w:eastAsia="zh-CN" w:bidi="ar-SA"/>
              </w:rPr>
            </w:pPr>
            <w:r>
              <w:rPr>
                <w:rFonts w:hint="default" w:ascii="Arial" w:hAnsi="Arial" w:eastAsia="宋体" w:cs="Arial"/>
                <w:b w:val="0"/>
                <w:bCs/>
                <w:color w:val="auto"/>
                <w:kern w:val="2"/>
                <w:sz w:val="21"/>
                <w:szCs w:val="21"/>
                <w:highlight w:val="none"/>
                <w:lang w:val="en-US" w:eastAsia="zh-CN" w:bidi="ar-SA"/>
              </w:rPr>
              <w:t>2.教学课件设计与制作。设计的教学课件</w:t>
            </w:r>
            <w:r>
              <w:rPr>
                <w:rFonts w:hint="eastAsia" w:ascii="Arial" w:hAnsi="Arial" w:eastAsia="宋体" w:cs="Arial"/>
                <w:b w:val="0"/>
                <w:bCs/>
                <w:color w:val="auto"/>
                <w:kern w:val="2"/>
                <w:sz w:val="21"/>
                <w:szCs w:val="21"/>
                <w:highlight w:val="none"/>
                <w:lang w:val="en-US" w:eastAsia="zh-CN" w:bidi="ar-SA"/>
              </w:rPr>
              <w:t>≥</w:t>
            </w:r>
            <w:r>
              <w:rPr>
                <w:rFonts w:hint="default" w:ascii="Arial" w:hAnsi="Arial" w:eastAsia="宋体" w:cs="Arial"/>
                <w:b w:val="0"/>
                <w:bCs/>
                <w:color w:val="auto"/>
                <w:kern w:val="2"/>
                <w:sz w:val="21"/>
                <w:szCs w:val="21"/>
                <w:highlight w:val="none"/>
                <w:lang w:val="en-US" w:eastAsia="zh-CN" w:bidi="ar-SA"/>
              </w:rPr>
              <w:t>10个，每个教学课件</w:t>
            </w:r>
            <w:r>
              <w:rPr>
                <w:rFonts w:hint="eastAsia" w:ascii="Arial" w:hAnsi="Arial" w:eastAsia="宋体" w:cs="Arial"/>
                <w:b w:val="0"/>
                <w:bCs/>
                <w:color w:val="auto"/>
                <w:kern w:val="2"/>
                <w:sz w:val="21"/>
                <w:szCs w:val="21"/>
                <w:highlight w:val="none"/>
                <w:lang w:val="en-US" w:eastAsia="zh-CN" w:bidi="ar-SA"/>
              </w:rPr>
              <w:t>≥</w:t>
            </w:r>
            <w:r>
              <w:rPr>
                <w:rFonts w:hint="default" w:ascii="Arial" w:hAnsi="Arial" w:eastAsia="宋体" w:cs="Arial"/>
                <w:b w:val="0"/>
                <w:bCs/>
                <w:color w:val="auto"/>
                <w:kern w:val="2"/>
                <w:sz w:val="21"/>
                <w:szCs w:val="21"/>
                <w:highlight w:val="none"/>
                <w:lang w:val="en-US" w:eastAsia="zh-CN" w:bidi="ar-SA"/>
              </w:rPr>
              <w:t>15页教学内容，总页数</w:t>
            </w:r>
            <w:r>
              <w:rPr>
                <w:rFonts w:hint="eastAsia" w:ascii="Arial" w:hAnsi="Arial" w:eastAsia="宋体" w:cs="Arial"/>
                <w:b w:val="0"/>
                <w:bCs/>
                <w:color w:val="auto"/>
                <w:kern w:val="2"/>
                <w:sz w:val="21"/>
                <w:szCs w:val="21"/>
                <w:highlight w:val="none"/>
                <w:lang w:val="en-US" w:eastAsia="zh-CN" w:bidi="ar-SA"/>
              </w:rPr>
              <w:t>≥</w:t>
            </w:r>
            <w:r>
              <w:rPr>
                <w:rFonts w:hint="default" w:ascii="Arial" w:hAnsi="Arial" w:eastAsia="宋体" w:cs="Arial"/>
                <w:b w:val="0"/>
                <w:bCs/>
                <w:color w:val="auto"/>
                <w:kern w:val="2"/>
                <w:sz w:val="21"/>
                <w:szCs w:val="21"/>
                <w:highlight w:val="none"/>
                <w:lang w:val="en-US" w:eastAsia="zh-CN" w:bidi="ar-SA"/>
              </w:rPr>
              <w:t>300页。面设置要求符合高清格式比例（16：9）取材合理，信息量大，集文字、图形、图像、声音以及视频等多种媒体元素于一体。课件设计与制作，结构合理，易于操作，且与文字教材相互补充。</w:t>
            </w:r>
          </w:p>
          <w:p w14:paraId="485CEE27">
            <w:pPr>
              <w:keepNext w:val="0"/>
              <w:keepLines w:val="0"/>
              <w:widowControl/>
              <w:numPr>
                <w:ilvl w:val="0"/>
                <w:numId w:val="0"/>
              </w:numPr>
              <w:suppressLineNumbers w:val="0"/>
              <w:jc w:val="left"/>
              <w:textAlignment w:val="top"/>
              <w:rPr>
                <w:rFonts w:hint="default" w:ascii="Arial" w:hAnsi="Arial" w:eastAsia="宋体" w:cs="Arial"/>
                <w:b w:val="0"/>
                <w:bCs/>
                <w:color w:val="auto"/>
                <w:kern w:val="2"/>
                <w:sz w:val="21"/>
                <w:szCs w:val="21"/>
                <w:highlight w:val="none"/>
                <w:lang w:val="en-US" w:eastAsia="zh-CN" w:bidi="ar-SA"/>
              </w:rPr>
            </w:pPr>
            <w:r>
              <w:rPr>
                <w:rFonts w:hint="default" w:ascii="Arial" w:hAnsi="Arial" w:eastAsia="宋体" w:cs="Arial"/>
                <w:b w:val="0"/>
                <w:bCs/>
                <w:color w:val="auto"/>
                <w:kern w:val="2"/>
                <w:sz w:val="21"/>
                <w:szCs w:val="21"/>
                <w:highlight w:val="none"/>
                <w:lang w:val="en-US" w:eastAsia="zh-CN" w:bidi="ar-SA"/>
              </w:rPr>
              <w:t>3.配套考核测试习题设计与制作：设计</w:t>
            </w:r>
            <w:r>
              <w:rPr>
                <w:rFonts w:hint="eastAsia" w:ascii="Arial" w:hAnsi="Arial" w:eastAsia="宋体" w:cs="Arial"/>
                <w:b w:val="0"/>
                <w:bCs/>
                <w:color w:val="auto"/>
                <w:kern w:val="2"/>
                <w:sz w:val="21"/>
                <w:szCs w:val="21"/>
                <w:highlight w:val="none"/>
                <w:lang w:val="en-US" w:eastAsia="zh-CN" w:bidi="ar-SA"/>
              </w:rPr>
              <w:t>≥</w:t>
            </w:r>
            <w:r>
              <w:rPr>
                <w:rFonts w:hint="default" w:ascii="Arial" w:hAnsi="Arial" w:eastAsia="宋体" w:cs="Arial"/>
                <w:b w:val="0"/>
                <w:bCs/>
                <w:color w:val="auto"/>
                <w:kern w:val="2"/>
                <w:sz w:val="21"/>
                <w:szCs w:val="21"/>
                <w:highlight w:val="none"/>
                <w:lang w:val="en-US" w:eastAsia="zh-CN" w:bidi="ar-SA"/>
              </w:rPr>
              <w:t>10套课后习题，每任务</w:t>
            </w:r>
            <w:r>
              <w:rPr>
                <w:rFonts w:hint="eastAsia" w:ascii="Arial" w:hAnsi="Arial" w:eastAsia="宋体" w:cs="Arial"/>
                <w:b w:val="0"/>
                <w:bCs/>
                <w:color w:val="auto"/>
                <w:kern w:val="2"/>
                <w:sz w:val="21"/>
                <w:szCs w:val="21"/>
                <w:highlight w:val="none"/>
                <w:lang w:val="en-US" w:eastAsia="zh-CN" w:bidi="ar-SA"/>
              </w:rPr>
              <w:t>≥</w:t>
            </w:r>
            <w:r>
              <w:rPr>
                <w:rFonts w:hint="default" w:ascii="Arial" w:hAnsi="Arial" w:eastAsia="宋体" w:cs="Arial"/>
                <w:b w:val="0"/>
                <w:bCs/>
                <w:color w:val="auto"/>
                <w:kern w:val="2"/>
                <w:sz w:val="21"/>
                <w:szCs w:val="21"/>
                <w:highlight w:val="none"/>
                <w:lang w:val="en-US" w:eastAsia="zh-CN" w:bidi="ar-SA"/>
              </w:rPr>
              <w:t>2套，一共</w:t>
            </w:r>
            <w:r>
              <w:rPr>
                <w:rFonts w:hint="eastAsia" w:ascii="Arial" w:hAnsi="Arial" w:eastAsia="宋体" w:cs="Arial"/>
                <w:b w:val="0"/>
                <w:bCs/>
                <w:color w:val="auto"/>
                <w:kern w:val="2"/>
                <w:sz w:val="21"/>
                <w:szCs w:val="21"/>
                <w:highlight w:val="none"/>
                <w:lang w:val="en-US" w:eastAsia="zh-CN" w:bidi="ar-SA"/>
              </w:rPr>
              <w:t>≥</w:t>
            </w:r>
            <w:r>
              <w:rPr>
                <w:rFonts w:hint="default" w:ascii="Arial" w:hAnsi="Arial" w:eastAsia="宋体" w:cs="Arial"/>
                <w:b w:val="0"/>
                <w:bCs/>
                <w:color w:val="auto"/>
                <w:kern w:val="2"/>
                <w:sz w:val="21"/>
                <w:szCs w:val="21"/>
                <w:highlight w:val="none"/>
                <w:lang w:val="en-US" w:eastAsia="zh-CN" w:bidi="ar-SA"/>
              </w:rPr>
              <w:t>10套，每套</w:t>
            </w:r>
            <w:r>
              <w:rPr>
                <w:rFonts w:hint="eastAsia" w:ascii="Arial" w:hAnsi="Arial" w:eastAsia="宋体" w:cs="Arial"/>
                <w:b w:val="0"/>
                <w:bCs/>
                <w:color w:val="auto"/>
                <w:kern w:val="2"/>
                <w:sz w:val="21"/>
                <w:szCs w:val="21"/>
                <w:highlight w:val="none"/>
                <w:lang w:val="en-US" w:eastAsia="zh-CN" w:bidi="ar-SA"/>
              </w:rPr>
              <w:t>≥</w:t>
            </w:r>
            <w:r>
              <w:rPr>
                <w:rFonts w:hint="default" w:ascii="Arial" w:hAnsi="Arial" w:eastAsia="宋体" w:cs="Arial"/>
                <w:b w:val="0"/>
                <w:bCs/>
                <w:color w:val="auto"/>
                <w:kern w:val="2"/>
                <w:sz w:val="21"/>
                <w:szCs w:val="21"/>
                <w:highlight w:val="none"/>
                <w:lang w:val="en-US" w:eastAsia="zh-CN" w:bidi="ar-SA"/>
              </w:rPr>
              <w:t>30题，一共</w:t>
            </w:r>
            <w:r>
              <w:rPr>
                <w:rFonts w:hint="eastAsia" w:ascii="Arial" w:hAnsi="Arial" w:eastAsia="宋体" w:cs="Arial"/>
                <w:b w:val="0"/>
                <w:bCs/>
                <w:color w:val="auto"/>
                <w:kern w:val="2"/>
                <w:sz w:val="21"/>
                <w:szCs w:val="21"/>
                <w:highlight w:val="none"/>
                <w:lang w:val="en-US" w:eastAsia="zh-CN" w:bidi="ar-SA"/>
              </w:rPr>
              <w:t>≥</w:t>
            </w:r>
            <w:r>
              <w:rPr>
                <w:rFonts w:hint="default" w:ascii="Arial" w:hAnsi="Arial" w:eastAsia="宋体" w:cs="Arial"/>
                <w:b w:val="0"/>
                <w:bCs/>
                <w:color w:val="auto"/>
                <w:kern w:val="2"/>
                <w:sz w:val="21"/>
                <w:szCs w:val="21"/>
                <w:highlight w:val="none"/>
                <w:lang w:val="en-US" w:eastAsia="zh-CN" w:bidi="ar-SA"/>
              </w:rPr>
              <w:t>300题。习题主要考核教学内容对应的重难点知识点，题型包括单选、多选、判断、简答等多种类型</w:t>
            </w:r>
          </w:p>
          <w:p w14:paraId="43797D06">
            <w:pPr>
              <w:keepNext w:val="0"/>
              <w:keepLines w:val="0"/>
              <w:widowControl/>
              <w:numPr>
                <w:ilvl w:val="0"/>
                <w:numId w:val="0"/>
              </w:numPr>
              <w:suppressLineNumbers w:val="0"/>
              <w:jc w:val="left"/>
              <w:textAlignment w:val="top"/>
              <w:rPr>
                <w:rFonts w:hint="default" w:ascii="Arial" w:hAnsi="Arial" w:eastAsia="宋体" w:cs="Arial"/>
                <w:b w:val="0"/>
                <w:bCs/>
                <w:color w:val="auto"/>
                <w:kern w:val="2"/>
                <w:sz w:val="21"/>
                <w:szCs w:val="21"/>
                <w:highlight w:val="none"/>
                <w:lang w:val="en-US" w:eastAsia="zh-CN" w:bidi="ar-SA"/>
              </w:rPr>
            </w:pPr>
            <w:r>
              <w:rPr>
                <w:rFonts w:hint="default" w:ascii="Arial" w:hAnsi="Arial" w:eastAsia="宋体" w:cs="Arial"/>
                <w:b w:val="0"/>
                <w:bCs/>
                <w:color w:val="auto"/>
                <w:kern w:val="2"/>
                <w:sz w:val="21"/>
                <w:szCs w:val="21"/>
                <w:highlight w:val="none"/>
                <w:lang w:val="en-US" w:eastAsia="zh-CN" w:bidi="ar-SA"/>
              </w:rPr>
              <w:t>4.拓展学习资源设计与制作：拓展学习材料</w:t>
            </w:r>
            <w:r>
              <w:rPr>
                <w:rFonts w:hint="eastAsia" w:ascii="Arial" w:hAnsi="Arial" w:eastAsia="宋体" w:cs="Arial"/>
                <w:b w:val="0"/>
                <w:bCs/>
                <w:color w:val="auto"/>
                <w:kern w:val="2"/>
                <w:sz w:val="21"/>
                <w:szCs w:val="21"/>
                <w:highlight w:val="none"/>
                <w:lang w:val="en-US" w:eastAsia="zh-CN" w:bidi="ar-SA"/>
              </w:rPr>
              <w:t>≥</w:t>
            </w:r>
            <w:r>
              <w:rPr>
                <w:rFonts w:hint="default" w:ascii="Arial" w:hAnsi="Arial" w:eastAsia="宋体" w:cs="Arial"/>
                <w:b w:val="0"/>
                <w:bCs/>
                <w:color w:val="auto"/>
                <w:kern w:val="2"/>
                <w:sz w:val="21"/>
                <w:szCs w:val="21"/>
                <w:highlight w:val="none"/>
                <w:lang w:val="en-US" w:eastAsia="zh-CN" w:bidi="ar-SA"/>
              </w:rPr>
              <w:t>10份，与所学知识模块相关的拓展学习资源。给学生多方面的信息和刺激，调动学生多种感官，激发学生兴趣，使学生身临其境，在愉悦的情绪体验中增长知识、培养能力、陶冶情操，形成正确的态度和价值观。丰富课程资源类型，拓宽课程知识领域，增强知识的纵深度。</w:t>
            </w:r>
          </w:p>
          <w:p w14:paraId="551293DD">
            <w:pPr>
              <w:keepNext w:val="0"/>
              <w:keepLines w:val="0"/>
              <w:widowControl/>
              <w:numPr>
                <w:ilvl w:val="0"/>
                <w:numId w:val="0"/>
              </w:numPr>
              <w:suppressLineNumbers w:val="0"/>
              <w:jc w:val="left"/>
              <w:textAlignment w:val="top"/>
              <w:rPr>
                <w:rFonts w:hint="default" w:ascii="Arial" w:hAnsi="Arial" w:eastAsia="宋体" w:cs="Arial"/>
                <w:b w:val="0"/>
                <w:bCs/>
                <w:color w:val="auto"/>
                <w:kern w:val="2"/>
                <w:sz w:val="21"/>
                <w:szCs w:val="21"/>
                <w:highlight w:val="none"/>
                <w:lang w:val="en-US" w:eastAsia="zh-CN" w:bidi="ar-SA"/>
              </w:rPr>
            </w:pPr>
            <w:r>
              <w:rPr>
                <w:rFonts w:hint="default" w:ascii="Arial" w:hAnsi="Arial" w:eastAsia="宋体" w:cs="Arial"/>
                <w:b w:val="0"/>
                <w:bCs/>
                <w:color w:val="auto"/>
                <w:kern w:val="2"/>
                <w:sz w:val="21"/>
                <w:szCs w:val="21"/>
                <w:highlight w:val="none"/>
                <w:lang w:val="en-US" w:eastAsia="zh-CN" w:bidi="ar-SA"/>
              </w:rPr>
              <w:t>5.讨论/活动任务设计： 讨论/活动</w:t>
            </w:r>
            <w:r>
              <w:rPr>
                <w:rFonts w:hint="eastAsia" w:ascii="Arial" w:hAnsi="Arial" w:eastAsia="宋体" w:cs="Arial"/>
                <w:b w:val="0"/>
                <w:bCs/>
                <w:color w:val="auto"/>
                <w:kern w:val="2"/>
                <w:sz w:val="21"/>
                <w:szCs w:val="21"/>
                <w:highlight w:val="none"/>
                <w:lang w:val="en-US" w:eastAsia="zh-CN" w:bidi="ar-SA"/>
              </w:rPr>
              <w:t>≥</w:t>
            </w:r>
            <w:r>
              <w:rPr>
                <w:rFonts w:hint="default" w:ascii="Arial" w:hAnsi="Arial" w:eastAsia="宋体" w:cs="Arial"/>
                <w:b w:val="0"/>
                <w:bCs/>
                <w:color w:val="auto"/>
                <w:kern w:val="2"/>
                <w:sz w:val="21"/>
                <w:szCs w:val="21"/>
                <w:highlight w:val="none"/>
                <w:lang w:val="en-US" w:eastAsia="zh-CN" w:bidi="ar-SA"/>
              </w:rPr>
              <w:t>5套，包含各教学任务对应讨论/活动主题、活动要求、活动所需素材、案例、数据、活动过程中所涉及到的行业资料、图片、原始资料、课堂产出模板、路演规则、互动形式设计等内容。</w:t>
            </w:r>
          </w:p>
        </w:tc>
        <w:tc>
          <w:tcPr>
            <w:tcW w:w="1121" w:type="dxa"/>
            <w:tcBorders>
              <w:top w:val="single" w:color="auto" w:sz="4" w:space="0"/>
              <w:left w:val="single" w:color="auto" w:sz="4" w:space="0"/>
              <w:bottom w:val="single" w:color="auto" w:sz="4" w:space="0"/>
              <w:right w:val="single" w:color="auto" w:sz="4" w:space="0"/>
            </w:tcBorders>
            <w:noWrap w:val="0"/>
            <w:vAlign w:val="center"/>
          </w:tcPr>
          <w:p w14:paraId="7BFD0BEA">
            <w:pPr>
              <w:keepNext w:val="0"/>
              <w:keepLines w:val="0"/>
              <w:widowControl/>
              <w:suppressLineNumbers w:val="0"/>
              <w:jc w:val="center"/>
              <w:textAlignment w:val="center"/>
              <w:rPr>
                <w:rFonts w:hint="default" w:ascii="Arial" w:hAnsi="Arial" w:eastAsia="宋体" w:cs="Arial"/>
                <w:color w:val="auto"/>
                <w:sz w:val="21"/>
                <w:szCs w:val="21"/>
                <w:highlight w:val="none"/>
                <w:lang w:val="en-US" w:eastAsia="zh-CN"/>
              </w:rPr>
            </w:pPr>
            <w:r>
              <w:rPr>
                <w:rFonts w:hint="default" w:ascii="Arial" w:hAnsi="Arial" w:eastAsia="宋体" w:cs="Arial"/>
                <w:i w:val="0"/>
                <w:iCs w:val="0"/>
                <w:color w:val="000000"/>
                <w:kern w:val="0"/>
                <w:sz w:val="20"/>
                <w:szCs w:val="20"/>
                <w:highlight w:val="none"/>
                <w:u w:val="none"/>
                <w:lang w:val="en-US" w:eastAsia="zh-CN" w:bidi="ar"/>
              </w:rPr>
              <w:t xml:space="preserve">189000.00 </w:t>
            </w:r>
          </w:p>
        </w:tc>
      </w:tr>
      <w:tr w14:paraId="01716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jc w:val="center"/>
        </w:trPr>
        <w:tc>
          <w:tcPr>
            <w:tcW w:w="630" w:type="dxa"/>
            <w:tcBorders>
              <w:top w:val="single" w:color="auto" w:sz="4" w:space="0"/>
              <w:left w:val="single" w:color="auto" w:sz="4" w:space="0"/>
              <w:bottom w:val="single" w:color="auto" w:sz="4" w:space="0"/>
              <w:right w:val="single" w:color="auto" w:sz="4" w:space="0"/>
            </w:tcBorders>
            <w:noWrap w:val="0"/>
            <w:vAlign w:val="center"/>
          </w:tcPr>
          <w:p w14:paraId="4C5FF4D9">
            <w:pPr>
              <w:keepNext w:val="0"/>
              <w:keepLines w:val="0"/>
              <w:widowControl/>
              <w:suppressLineNumbers w:val="0"/>
              <w:jc w:val="center"/>
              <w:textAlignment w:val="center"/>
              <w:rPr>
                <w:rFonts w:hint="default" w:ascii="Arial" w:hAnsi="Arial" w:eastAsia="宋体" w:cs="Arial"/>
                <w:b/>
                <w:bCs/>
                <w:color w:val="auto"/>
                <w:szCs w:val="21"/>
                <w:highlight w:val="none"/>
              </w:rPr>
            </w:pPr>
            <w:r>
              <w:rPr>
                <w:rFonts w:hint="default" w:ascii="Arial" w:hAnsi="Arial" w:eastAsia="宋体" w:cs="Arial"/>
                <w:i w:val="0"/>
                <w:iCs w:val="0"/>
                <w:color w:val="000000"/>
                <w:kern w:val="0"/>
                <w:sz w:val="21"/>
                <w:szCs w:val="21"/>
                <w:highlight w:val="none"/>
                <w:u w:val="none"/>
                <w:lang w:val="en-US" w:eastAsia="zh-CN" w:bidi="ar"/>
              </w:rPr>
              <w:t>2</w:t>
            </w:r>
          </w:p>
        </w:tc>
        <w:tc>
          <w:tcPr>
            <w:tcW w:w="1259" w:type="dxa"/>
            <w:tcBorders>
              <w:top w:val="single" w:color="auto" w:sz="4" w:space="0"/>
              <w:left w:val="single" w:color="auto" w:sz="4" w:space="0"/>
              <w:bottom w:val="single" w:color="auto" w:sz="4" w:space="0"/>
              <w:right w:val="single" w:color="auto" w:sz="4" w:space="0"/>
            </w:tcBorders>
            <w:noWrap w:val="0"/>
            <w:vAlign w:val="center"/>
          </w:tcPr>
          <w:p w14:paraId="5B654967">
            <w:pPr>
              <w:keepNext w:val="0"/>
              <w:keepLines w:val="0"/>
              <w:widowControl/>
              <w:suppressLineNumbers w:val="0"/>
              <w:jc w:val="center"/>
              <w:textAlignment w:val="center"/>
              <w:rPr>
                <w:rFonts w:hint="default" w:ascii="Arial" w:hAnsi="Arial" w:eastAsia="宋体" w:cs="Arial"/>
                <w:b w:val="0"/>
                <w:bCs w:val="0"/>
                <w:color w:val="auto"/>
                <w:szCs w:val="21"/>
                <w:highlight w:val="none"/>
                <w:lang w:val="en-US" w:eastAsia="zh-CN"/>
              </w:rPr>
            </w:pPr>
            <w:r>
              <w:rPr>
                <w:rFonts w:hint="eastAsia" w:ascii="宋体" w:hAnsi="宋体" w:eastAsia="宋体" w:cs="宋体"/>
                <w:b w:val="0"/>
                <w:bCs w:val="0"/>
                <w:i w:val="0"/>
                <w:iCs w:val="0"/>
                <w:color w:val="000000"/>
                <w:kern w:val="0"/>
                <w:sz w:val="21"/>
                <w:szCs w:val="21"/>
                <w:highlight w:val="none"/>
                <w:u w:val="none"/>
                <w:lang w:val="en-US" w:eastAsia="zh-CN" w:bidi="ar"/>
              </w:rPr>
              <w:t>一体化教师培训</w:t>
            </w:r>
          </w:p>
        </w:tc>
        <w:tc>
          <w:tcPr>
            <w:tcW w:w="792" w:type="dxa"/>
            <w:tcBorders>
              <w:top w:val="single" w:color="auto" w:sz="4" w:space="0"/>
              <w:left w:val="single" w:color="auto" w:sz="4" w:space="0"/>
              <w:bottom w:val="single" w:color="auto" w:sz="4" w:space="0"/>
              <w:right w:val="single" w:color="auto" w:sz="4" w:space="0"/>
            </w:tcBorders>
            <w:noWrap w:val="0"/>
            <w:vAlign w:val="center"/>
          </w:tcPr>
          <w:p w14:paraId="5C143D7C">
            <w:pPr>
              <w:keepNext w:val="0"/>
              <w:keepLines w:val="0"/>
              <w:widowControl/>
              <w:suppressLineNumbers w:val="0"/>
              <w:jc w:val="center"/>
              <w:textAlignment w:val="center"/>
              <w:rPr>
                <w:rFonts w:hint="default" w:ascii="Arial" w:hAnsi="Arial" w:eastAsia="宋体" w:cs="Arial"/>
                <w:b w:val="0"/>
                <w:bCs w:val="0"/>
                <w:i w:val="0"/>
                <w:iCs w:val="0"/>
                <w:color w:val="000000"/>
                <w:kern w:val="0"/>
                <w:sz w:val="21"/>
                <w:szCs w:val="21"/>
                <w:highlight w:val="none"/>
                <w:u w:val="none"/>
                <w:lang w:val="en-US" w:eastAsia="zh-CN" w:bidi="ar"/>
              </w:rPr>
            </w:pPr>
            <w:r>
              <w:rPr>
                <w:rFonts w:hint="default" w:ascii="Arial" w:hAnsi="Arial" w:eastAsia="宋体" w:cs="Arial"/>
                <w:b w:val="0"/>
                <w:bCs w:val="0"/>
                <w:i w:val="0"/>
                <w:iCs w:val="0"/>
                <w:color w:val="000000"/>
                <w:kern w:val="0"/>
                <w:sz w:val="21"/>
                <w:szCs w:val="21"/>
                <w:highlight w:val="none"/>
                <w:u w:val="none"/>
                <w:lang w:val="en-US" w:eastAsia="zh-CN" w:bidi="ar"/>
              </w:rPr>
              <w:t>其他未列明行业</w:t>
            </w:r>
          </w:p>
        </w:tc>
        <w:tc>
          <w:tcPr>
            <w:tcW w:w="692" w:type="dxa"/>
            <w:tcBorders>
              <w:top w:val="single" w:color="auto" w:sz="4" w:space="0"/>
              <w:left w:val="single" w:color="auto" w:sz="4" w:space="0"/>
              <w:bottom w:val="single" w:color="auto" w:sz="4" w:space="0"/>
              <w:right w:val="single" w:color="auto" w:sz="4" w:space="0"/>
            </w:tcBorders>
            <w:noWrap w:val="0"/>
            <w:vAlign w:val="center"/>
          </w:tcPr>
          <w:p w14:paraId="4FFB8E6F">
            <w:pPr>
              <w:keepNext w:val="0"/>
              <w:keepLines w:val="0"/>
              <w:widowControl/>
              <w:suppressLineNumbers w:val="0"/>
              <w:jc w:val="center"/>
              <w:textAlignment w:val="center"/>
              <w:rPr>
                <w:rFonts w:hint="default" w:ascii="Arial" w:hAnsi="Arial" w:eastAsia="宋体" w:cs="Arial"/>
                <w:b w:val="0"/>
                <w:bCs w:val="0"/>
                <w:color w:val="auto"/>
                <w:szCs w:val="21"/>
                <w:highlight w:val="none"/>
              </w:rPr>
            </w:pPr>
            <w:r>
              <w:rPr>
                <w:rFonts w:hint="default" w:ascii="Arial" w:hAnsi="Arial" w:eastAsia="宋体" w:cs="Arial"/>
                <w:b w:val="0"/>
                <w:bCs w:val="0"/>
                <w:i w:val="0"/>
                <w:iCs w:val="0"/>
                <w:color w:val="000000"/>
                <w:kern w:val="0"/>
                <w:sz w:val="21"/>
                <w:szCs w:val="21"/>
                <w:highlight w:val="none"/>
                <w:u w:val="none"/>
                <w:lang w:val="en-US" w:eastAsia="zh-CN" w:bidi="ar"/>
              </w:rPr>
              <w:t>1</w:t>
            </w:r>
          </w:p>
        </w:tc>
        <w:tc>
          <w:tcPr>
            <w:tcW w:w="549" w:type="dxa"/>
            <w:tcBorders>
              <w:top w:val="single" w:color="auto" w:sz="4" w:space="0"/>
              <w:left w:val="single" w:color="auto" w:sz="4" w:space="0"/>
              <w:bottom w:val="single" w:color="auto" w:sz="4" w:space="0"/>
              <w:right w:val="single" w:color="auto" w:sz="4" w:space="0"/>
            </w:tcBorders>
            <w:noWrap w:val="0"/>
            <w:vAlign w:val="center"/>
          </w:tcPr>
          <w:p w14:paraId="23F3095D">
            <w:pPr>
              <w:keepNext w:val="0"/>
              <w:keepLines w:val="0"/>
              <w:widowControl/>
              <w:suppressLineNumbers w:val="0"/>
              <w:jc w:val="center"/>
              <w:textAlignment w:val="center"/>
              <w:rPr>
                <w:rFonts w:hint="default" w:ascii="Arial" w:hAnsi="Arial" w:eastAsia="宋体" w:cs="Arial"/>
                <w:b w:val="0"/>
                <w:bCs w:val="0"/>
                <w:color w:val="auto"/>
                <w:szCs w:val="21"/>
                <w:highlight w:val="none"/>
                <w:lang w:val="en-US" w:eastAsia="zh-CN"/>
              </w:rPr>
            </w:pPr>
            <w:r>
              <w:rPr>
                <w:rFonts w:hint="default" w:ascii="Arial" w:hAnsi="Arial" w:eastAsia="宋体" w:cs="Arial"/>
                <w:b w:val="0"/>
                <w:bCs w:val="0"/>
                <w:i w:val="0"/>
                <w:iCs w:val="0"/>
                <w:color w:val="000000"/>
                <w:kern w:val="0"/>
                <w:sz w:val="21"/>
                <w:szCs w:val="21"/>
                <w:highlight w:val="none"/>
                <w:u w:val="none"/>
                <w:lang w:val="en-US" w:eastAsia="zh-CN" w:bidi="ar"/>
              </w:rPr>
              <w:t>项</w:t>
            </w:r>
          </w:p>
        </w:tc>
        <w:tc>
          <w:tcPr>
            <w:tcW w:w="5574" w:type="dxa"/>
            <w:tcBorders>
              <w:top w:val="single" w:color="auto" w:sz="4" w:space="0"/>
              <w:left w:val="single" w:color="auto" w:sz="4" w:space="0"/>
              <w:bottom w:val="single" w:color="auto" w:sz="4" w:space="0"/>
              <w:right w:val="single" w:color="auto" w:sz="4" w:space="0"/>
            </w:tcBorders>
            <w:noWrap w:val="0"/>
            <w:vAlign w:val="top"/>
          </w:tcPr>
          <w:p w14:paraId="0FCF97CE">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一、服务内容</w:t>
            </w:r>
          </w:p>
          <w:p w14:paraId="6344FDAA">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选派</w:t>
            </w:r>
            <w:r>
              <w:rPr>
                <w:rFonts w:hint="eastAsia" w:ascii="Arial" w:hAnsi="Arial" w:cs="Arial"/>
                <w:color w:val="auto"/>
                <w:highlight w:val="none"/>
                <w:lang w:val="en-US" w:eastAsia="zh-CN"/>
              </w:rPr>
              <w:t>≥</w:t>
            </w:r>
            <w:r>
              <w:rPr>
                <w:rFonts w:hint="default" w:ascii="Arial" w:hAnsi="Arial" w:eastAsia="宋体" w:cs="Arial"/>
                <w:color w:val="auto"/>
                <w:highlight w:val="none"/>
                <w:lang w:val="en-US" w:eastAsia="zh-CN"/>
              </w:rPr>
              <w:t>10名在职教师，统一安排参与国家级工学一体化二级或三级师资培训，参训人员须全程完成规定培训课程，经考核通过后取得全国工学一体化师资资格证书。</w:t>
            </w:r>
          </w:p>
          <w:p w14:paraId="565C4C9D">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二、配套师资培训综合管理平台</w:t>
            </w:r>
          </w:p>
          <w:p w14:paraId="47E1ECA2">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本项目需配置一套师资培训综合管理平台用于外出培训过程管理和资源沉淀收集，平台必须支持电脑网页端登录和手机APP登录使用；验收时提供演示，</w:t>
            </w:r>
            <w:r>
              <w:rPr>
                <w:rFonts w:hint="eastAsia" w:ascii="Arial" w:hAnsi="Arial" w:cs="Arial"/>
                <w:color w:val="auto"/>
                <w:highlight w:val="none"/>
                <w:lang w:val="en-US" w:eastAsia="zh-CN"/>
              </w:rPr>
              <w:t>中标供应商</w:t>
            </w:r>
            <w:r>
              <w:rPr>
                <w:rFonts w:hint="default" w:ascii="Arial" w:hAnsi="Arial" w:eastAsia="宋体" w:cs="Arial"/>
                <w:color w:val="auto"/>
                <w:highlight w:val="none"/>
                <w:lang w:val="en-US" w:eastAsia="zh-CN"/>
              </w:rPr>
              <w:t>必须按照采购人要求演示师资培训综合管理平台功能，平台功能必须满足项目需求，否则采购人不予以验收通过</w:t>
            </w:r>
            <w:r>
              <w:rPr>
                <w:rFonts w:hint="default" w:ascii="Arial" w:hAnsi="Arial" w:eastAsia="宋体" w:cs="Arial"/>
                <w:b/>
                <w:bCs/>
                <w:color w:val="auto"/>
                <w:highlight w:val="none"/>
                <w:lang w:val="en-US" w:eastAsia="zh-CN"/>
              </w:rPr>
              <w:t>（供货</w:t>
            </w:r>
            <w:r>
              <w:rPr>
                <w:rFonts w:hint="eastAsia" w:ascii="Arial" w:hAnsi="Arial" w:cs="Arial"/>
                <w:b/>
                <w:bCs/>
                <w:color w:val="auto"/>
                <w:highlight w:val="none"/>
                <w:lang w:val="en-US" w:eastAsia="zh-CN"/>
              </w:rPr>
              <w:t>时</w:t>
            </w:r>
            <w:r>
              <w:rPr>
                <w:rFonts w:hint="default" w:ascii="Arial" w:hAnsi="Arial" w:eastAsia="宋体" w:cs="Arial"/>
                <w:b/>
                <w:bCs/>
                <w:color w:val="auto"/>
                <w:highlight w:val="none"/>
                <w:lang w:val="en-US" w:eastAsia="zh-CN"/>
              </w:rPr>
              <w:t>提供真实产品进行演示，不得使用原型页面、PPT演示稿或录屏、截图等方式）</w:t>
            </w:r>
            <w:r>
              <w:rPr>
                <w:rFonts w:hint="default" w:ascii="Arial" w:hAnsi="Arial" w:eastAsia="宋体" w:cs="Arial"/>
                <w:color w:val="auto"/>
                <w:highlight w:val="none"/>
                <w:lang w:val="en-US" w:eastAsia="zh-CN"/>
              </w:rPr>
              <w:t>。</w:t>
            </w:r>
          </w:p>
          <w:p w14:paraId="251674C9">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综合管理平台具体功能及要求如下：</w:t>
            </w:r>
          </w:p>
          <w:p w14:paraId="66DDADA0">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（1）登录：支持用户登录；支持两段式验证；支持登录白名单；支持用户修改登录密码；支持用户编辑昵称；</w:t>
            </w:r>
          </w:p>
          <w:p w14:paraId="7ABD78B8">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▲（2）培训管理：支持培训的添加、修改、行程设置；支持对培训的相关人员进行设置，包括辅导员、带队教师、组长；支持培训相关文件的上传、查看、下载；支持培训相关通知的发布；</w:t>
            </w:r>
            <w:r>
              <w:rPr>
                <w:rFonts w:hint="eastAsia" w:ascii="Arial" w:hAnsi="Arial" w:cs="Arial"/>
                <w:b/>
                <w:bCs/>
                <w:color w:val="auto"/>
                <w:highlight w:val="none"/>
                <w:lang w:val="en-US" w:eastAsia="zh-CN"/>
              </w:rPr>
              <w:t>【</w:t>
            </w:r>
            <w:r>
              <w:rPr>
                <w:rFonts w:hint="default" w:ascii="Arial" w:hAnsi="Arial" w:eastAsia="宋体" w:cs="Arial"/>
                <w:b/>
                <w:bCs/>
                <w:color w:val="auto"/>
                <w:highlight w:val="none"/>
                <w:lang w:val="en-US" w:eastAsia="zh-CN"/>
              </w:rPr>
              <w:t>投标时提供相关证明材料（包括但不限于彩页、官网和功能截图等）</w:t>
            </w:r>
            <w:r>
              <w:rPr>
                <w:rFonts w:hint="eastAsia" w:ascii="Arial" w:hAnsi="Arial" w:cs="Arial"/>
                <w:b/>
                <w:bCs/>
                <w:color w:val="auto"/>
                <w:highlight w:val="none"/>
                <w:lang w:val="en-US" w:eastAsia="zh-CN"/>
              </w:rPr>
              <w:t>】</w:t>
            </w:r>
            <w:r>
              <w:rPr>
                <w:rFonts w:hint="default" w:ascii="Arial" w:hAnsi="Arial" w:eastAsia="宋体" w:cs="Arial"/>
                <w:b/>
                <w:bCs/>
                <w:color w:val="auto"/>
                <w:highlight w:val="none"/>
                <w:lang w:val="en-US" w:eastAsia="zh-CN"/>
              </w:rPr>
              <w:br w:type="textWrapping"/>
            </w:r>
            <w:r>
              <w:rPr>
                <w:rFonts w:hint="default" w:ascii="Arial" w:hAnsi="Arial" w:eastAsia="宋体" w:cs="Arial"/>
                <w:color w:val="auto"/>
                <w:highlight w:val="none"/>
                <w:lang w:val="en-US" w:eastAsia="zh-CN"/>
              </w:rPr>
              <w:t>（3）课程管理：支持课程的添加、修改、删除，支持讲师进行课件资源的上传，包括视频、音频、PPT、文档；支持讲师设置课后作业，包括作业的添加、修改、删除，以及查看学员作业完成情况；支持学员查看、完成、提交作业；</w:t>
            </w:r>
          </w:p>
          <w:p w14:paraId="63B38A30">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▲（4）考勤管理：支持学员进行课程签到、请假、补卡、健康打卡操作； 支持对考勤的设置，包括时间、审批人员、抄送人员；支持对学员的考勤消息推送；支持相应管理人员对请假和补卡进行审批，并抄送相关人员；</w:t>
            </w:r>
            <w:r>
              <w:rPr>
                <w:rFonts w:hint="eastAsia" w:ascii="Arial" w:hAnsi="Arial" w:cs="Arial"/>
                <w:b/>
                <w:bCs/>
                <w:color w:val="auto"/>
                <w:highlight w:val="none"/>
                <w:lang w:val="en-US" w:eastAsia="zh-CN"/>
              </w:rPr>
              <w:t>【</w:t>
            </w:r>
            <w:r>
              <w:rPr>
                <w:rFonts w:hint="default" w:ascii="Arial" w:hAnsi="Arial" w:eastAsia="宋体" w:cs="Arial"/>
                <w:b/>
                <w:bCs/>
                <w:color w:val="auto"/>
                <w:highlight w:val="none"/>
                <w:lang w:val="en-US" w:eastAsia="zh-CN"/>
              </w:rPr>
              <w:t>投标时提供相关证明材料（包括但不限于彩页、官网和功能截图等）</w:t>
            </w:r>
            <w:r>
              <w:rPr>
                <w:rFonts w:hint="eastAsia" w:ascii="Arial" w:hAnsi="Arial" w:cs="Arial"/>
                <w:b/>
                <w:bCs/>
                <w:color w:val="auto"/>
                <w:highlight w:val="none"/>
                <w:lang w:val="en-US" w:eastAsia="zh-CN"/>
              </w:rPr>
              <w:t>】</w:t>
            </w:r>
            <w:r>
              <w:rPr>
                <w:rFonts w:hint="default" w:ascii="Arial" w:hAnsi="Arial" w:eastAsia="宋体" w:cs="Arial"/>
                <w:b/>
                <w:bCs/>
                <w:color w:val="auto"/>
                <w:highlight w:val="none"/>
                <w:lang w:val="en-US" w:eastAsia="zh-CN"/>
              </w:rPr>
              <w:br w:type="textWrapping"/>
            </w:r>
            <w:r>
              <w:rPr>
                <w:rFonts w:hint="default" w:ascii="Arial" w:hAnsi="Arial" w:eastAsia="宋体" w:cs="Arial"/>
                <w:color w:val="auto"/>
                <w:highlight w:val="none"/>
                <w:lang w:val="en-US" w:eastAsia="zh-CN"/>
              </w:rPr>
              <w:t>（5）评价管理</w:t>
            </w:r>
            <w:r>
              <w:rPr>
                <w:rFonts w:hint="eastAsia" w:ascii="Arial" w:hAnsi="Arial" w:eastAsia="宋体" w:cs="Arial"/>
                <w:color w:val="auto"/>
                <w:highlight w:val="none"/>
                <w:lang w:val="en-US" w:eastAsia="zh-CN"/>
              </w:rPr>
              <w:t>：</w:t>
            </w:r>
            <w:r>
              <w:rPr>
                <w:rFonts w:hint="default" w:ascii="Arial" w:hAnsi="Arial" w:eastAsia="宋体" w:cs="Arial"/>
                <w:color w:val="auto"/>
                <w:highlight w:val="none"/>
                <w:lang w:val="en-US" w:eastAsia="zh-CN"/>
              </w:rPr>
              <w:t>支持学员对培训、课程以及讲师的评价，支持后台统计评价并计算综合评分；</w:t>
            </w:r>
          </w:p>
          <w:p w14:paraId="4BCDE3C4">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▲（6）证书管理</w:t>
            </w:r>
            <w:r>
              <w:rPr>
                <w:rFonts w:hint="eastAsia" w:ascii="Arial" w:hAnsi="Arial" w:eastAsia="宋体" w:cs="Arial"/>
                <w:color w:val="auto"/>
                <w:highlight w:val="none"/>
                <w:lang w:val="en-US" w:eastAsia="zh-CN"/>
              </w:rPr>
              <w:t>：</w:t>
            </w:r>
            <w:r>
              <w:rPr>
                <w:rFonts w:hint="default" w:ascii="Arial" w:hAnsi="Arial" w:eastAsia="宋体" w:cs="Arial"/>
                <w:color w:val="auto"/>
                <w:highlight w:val="none"/>
                <w:lang w:val="en-US" w:eastAsia="zh-CN"/>
              </w:rPr>
              <w:t>支持统计学员成绩并根据成绩生成证书，后台管理证书，前台APP支持查看、下载功能；</w:t>
            </w:r>
            <w:r>
              <w:rPr>
                <w:rFonts w:hint="eastAsia" w:ascii="Arial" w:hAnsi="Arial" w:cs="Arial"/>
                <w:b/>
                <w:bCs/>
                <w:color w:val="auto"/>
                <w:highlight w:val="none"/>
                <w:lang w:val="en-US" w:eastAsia="zh-CN"/>
              </w:rPr>
              <w:t>【</w:t>
            </w:r>
            <w:r>
              <w:rPr>
                <w:rFonts w:hint="default" w:ascii="Arial" w:hAnsi="Arial" w:eastAsia="宋体" w:cs="Arial"/>
                <w:b/>
                <w:bCs/>
                <w:color w:val="auto"/>
                <w:highlight w:val="none"/>
                <w:lang w:val="en-US" w:eastAsia="zh-CN"/>
              </w:rPr>
              <w:t>投标时提供相关证明材料（包括但不限于彩页、官网和功能截图等）</w:t>
            </w:r>
            <w:r>
              <w:rPr>
                <w:rFonts w:hint="eastAsia" w:ascii="Arial" w:hAnsi="Arial" w:cs="Arial"/>
                <w:b/>
                <w:bCs/>
                <w:color w:val="auto"/>
                <w:highlight w:val="none"/>
                <w:lang w:val="en-US" w:eastAsia="zh-CN"/>
              </w:rPr>
              <w:t>】</w:t>
            </w:r>
            <w:r>
              <w:rPr>
                <w:rFonts w:hint="default" w:ascii="Arial" w:hAnsi="Arial" w:eastAsia="宋体" w:cs="Arial"/>
                <w:b/>
                <w:bCs/>
                <w:color w:val="auto"/>
                <w:highlight w:val="none"/>
                <w:lang w:val="en-US" w:eastAsia="zh-CN"/>
              </w:rPr>
              <w:br w:type="textWrapping"/>
            </w:r>
            <w:r>
              <w:rPr>
                <w:rFonts w:hint="default" w:ascii="Arial" w:hAnsi="Arial" w:eastAsia="宋体" w:cs="Arial"/>
                <w:color w:val="auto"/>
                <w:highlight w:val="none"/>
                <w:lang w:val="en-US" w:eastAsia="zh-CN"/>
              </w:rPr>
              <w:t>（7）用户管理</w:t>
            </w:r>
            <w:r>
              <w:rPr>
                <w:rFonts w:hint="eastAsia" w:ascii="Arial" w:hAnsi="Arial" w:eastAsia="宋体" w:cs="Arial"/>
                <w:color w:val="auto"/>
                <w:highlight w:val="none"/>
                <w:lang w:val="en-US" w:eastAsia="zh-CN"/>
              </w:rPr>
              <w:t>：</w:t>
            </w:r>
            <w:r>
              <w:rPr>
                <w:rFonts w:hint="default" w:ascii="Arial" w:hAnsi="Arial" w:eastAsia="宋体" w:cs="Arial"/>
                <w:color w:val="auto"/>
                <w:highlight w:val="none"/>
                <w:lang w:val="en-US" w:eastAsia="zh-CN"/>
              </w:rPr>
              <w:t>支持用户的添加、修改、删除、导入、导出，支持多角色管理，支持灵活的权限设置，不同的用户根据角色获得不同的访问权限；支持定制角色；管理员可以在后台维护用户的名单，包含角色名单的</w:t>
            </w:r>
            <w:r>
              <w:rPr>
                <w:rFonts w:hint="eastAsia" w:ascii="Arial" w:hAnsi="Arial" w:eastAsia="宋体" w:cs="Arial"/>
                <w:color w:val="auto"/>
                <w:highlight w:val="none"/>
                <w:lang w:val="en-US" w:eastAsia="zh-CN"/>
              </w:rPr>
              <w:t>“</w:t>
            </w:r>
            <w:r>
              <w:rPr>
                <w:rFonts w:hint="default" w:ascii="Arial" w:hAnsi="Arial" w:eastAsia="宋体" w:cs="Arial"/>
                <w:color w:val="auto"/>
                <w:highlight w:val="none"/>
                <w:lang w:val="en-US" w:eastAsia="zh-CN"/>
              </w:rPr>
              <w:t>增删改查</w:t>
            </w:r>
            <w:r>
              <w:rPr>
                <w:rFonts w:hint="eastAsia" w:ascii="Arial" w:hAnsi="Arial" w:eastAsia="宋体" w:cs="Arial"/>
                <w:color w:val="auto"/>
                <w:highlight w:val="none"/>
                <w:lang w:val="en-US" w:eastAsia="zh-CN"/>
              </w:rPr>
              <w:t>”</w:t>
            </w:r>
            <w:r>
              <w:rPr>
                <w:rFonts w:hint="default" w:ascii="Arial" w:hAnsi="Arial" w:eastAsia="宋体" w:cs="Arial"/>
                <w:color w:val="auto"/>
                <w:highlight w:val="none"/>
                <w:lang w:val="en-US" w:eastAsia="zh-CN"/>
              </w:rPr>
              <w:t>操作，以及名单的批量导入导出；可以查看账号的登录日志，包含登录次数、登录 IP、登录地点。</w:t>
            </w:r>
          </w:p>
          <w:p w14:paraId="0CF2F1F0">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（8）项目开始实施前一周内供应商必须培训指导和协助教师完成平台APP的安装调试。</w:t>
            </w:r>
          </w:p>
          <w:p w14:paraId="1445FB4E">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三、服务成果：</w:t>
            </w:r>
          </w:p>
          <w:p w14:paraId="4BE25618">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1. 本专业高技能人才培训师资队伍建设工作方案。</w:t>
            </w:r>
          </w:p>
          <w:p w14:paraId="4E8D2C6C">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2. 本专业带头人培养方案。</w:t>
            </w:r>
          </w:p>
          <w:p w14:paraId="7B27E5FE">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3. 本专业带头人建设过程材料汇总。</w:t>
            </w:r>
          </w:p>
          <w:p w14:paraId="0B5D0F36">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4. 本专业带头人建设工作总结。</w:t>
            </w:r>
          </w:p>
          <w:p w14:paraId="6813CD17">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5. 本专业骨干教师培养方案。</w:t>
            </w:r>
          </w:p>
          <w:p w14:paraId="56CA6A29">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6. 本专业骨干教师建设过程材料汇总。</w:t>
            </w:r>
          </w:p>
          <w:p w14:paraId="43793BC8">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7. 本专业骨干教师建设工作总结。</w:t>
            </w:r>
          </w:p>
          <w:p w14:paraId="1C7DE0E7">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8. 本专业专业教师培养方案。</w:t>
            </w:r>
          </w:p>
          <w:p w14:paraId="0B97A833">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9. 本专业专业教师建设过程材料汇总。</w:t>
            </w:r>
          </w:p>
          <w:p w14:paraId="480970BF">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10. 本专业专业教师建设工作总结。</w:t>
            </w:r>
          </w:p>
          <w:p w14:paraId="36B64053">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11. 本专业兼职教师培养方案。</w:t>
            </w:r>
          </w:p>
          <w:p w14:paraId="7017646A">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12. 本专业兼职教师建设过程材料汇总。</w:t>
            </w:r>
          </w:p>
          <w:p w14:paraId="5CA51CF5">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13. 本专业兼职教师建设工作总结。</w:t>
            </w:r>
          </w:p>
        </w:tc>
        <w:tc>
          <w:tcPr>
            <w:tcW w:w="1121" w:type="dxa"/>
            <w:tcBorders>
              <w:top w:val="single" w:color="auto" w:sz="4" w:space="0"/>
              <w:left w:val="single" w:color="auto" w:sz="4" w:space="0"/>
              <w:bottom w:val="single" w:color="auto" w:sz="4" w:space="0"/>
              <w:right w:val="single" w:color="auto" w:sz="4" w:space="0"/>
            </w:tcBorders>
            <w:noWrap w:val="0"/>
            <w:vAlign w:val="center"/>
          </w:tcPr>
          <w:p w14:paraId="55C089C7">
            <w:pPr>
              <w:keepNext w:val="0"/>
              <w:keepLines w:val="0"/>
              <w:widowControl/>
              <w:suppressLineNumbers w:val="0"/>
              <w:jc w:val="center"/>
              <w:textAlignment w:val="center"/>
              <w:rPr>
                <w:rFonts w:hint="default" w:ascii="Arial" w:hAnsi="Arial" w:eastAsia="宋体" w:cs="Arial"/>
                <w:color w:val="auto"/>
                <w:sz w:val="21"/>
                <w:szCs w:val="21"/>
                <w:highlight w:val="none"/>
                <w:lang w:val="en-US" w:eastAsia="zh-CN"/>
              </w:rPr>
            </w:pPr>
            <w:r>
              <w:rPr>
                <w:rFonts w:hint="default" w:ascii="Arial" w:hAnsi="Arial" w:eastAsia="宋体" w:cs="Arial"/>
                <w:i w:val="0"/>
                <w:iCs w:val="0"/>
                <w:color w:val="000000"/>
                <w:kern w:val="0"/>
                <w:sz w:val="20"/>
                <w:szCs w:val="20"/>
                <w:highlight w:val="none"/>
                <w:u w:val="none"/>
                <w:lang w:val="en-US" w:eastAsia="zh-CN" w:bidi="ar"/>
              </w:rPr>
              <w:t xml:space="preserve">134660.00 </w:t>
            </w:r>
          </w:p>
        </w:tc>
      </w:tr>
      <w:tr w14:paraId="67804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jc w:val="center"/>
        </w:trPr>
        <w:tc>
          <w:tcPr>
            <w:tcW w:w="630" w:type="dxa"/>
            <w:tcBorders>
              <w:top w:val="single" w:color="auto" w:sz="4" w:space="0"/>
              <w:left w:val="single" w:color="auto" w:sz="4" w:space="0"/>
              <w:bottom w:val="single" w:color="auto" w:sz="4" w:space="0"/>
              <w:right w:val="single" w:color="auto" w:sz="4" w:space="0"/>
            </w:tcBorders>
            <w:noWrap w:val="0"/>
            <w:vAlign w:val="center"/>
          </w:tcPr>
          <w:p w14:paraId="42BFE45E">
            <w:pPr>
              <w:keepNext w:val="0"/>
              <w:keepLines w:val="0"/>
              <w:widowControl/>
              <w:suppressLineNumbers w:val="0"/>
              <w:jc w:val="center"/>
              <w:textAlignment w:val="center"/>
              <w:rPr>
                <w:rFonts w:hint="default" w:ascii="Arial" w:hAnsi="Arial" w:eastAsia="宋体" w:cs="Arial"/>
                <w:b/>
                <w:bCs/>
                <w:color w:val="auto"/>
                <w:szCs w:val="21"/>
                <w:highlight w:val="none"/>
              </w:rPr>
            </w:pPr>
            <w:r>
              <w:rPr>
                <w:rFonts w:hint="default" w:ascii="Arial" w:hAnsi="Arial" w:eastAsia="宋体" w:cs="Arial"/>
                <w:i w:val="0"/>
                <w:iCs w:val="0"/>
                <w:color w:val="000000"/>
                <w:kern w:val="0"/>
                <w:sz w:val="21"/>
                <w:szCs w:val="21"/>
                <w:highlight w:val="none"/>
                <w:u w:val="none"/>
                <w:lang w:val="en-US" w:eastAsia="zh-CN" w:bidi="ar"/>
              </w:rPr>
              <w:t>3</w:t>
            </w:r>
          </w:p>
        </w:tc>
        <w:tc>
          <w:tcPr>
            <w:tcW w:w="1259" w:type="dxa"/>
            <w:tcBorders>
              <w:top w:val="single" w:color="auto" w:sz="4" w:space="0"/>
              <w:left w:val="single" w:color="auto" w:sz="4" w:space="0"/>
              <w:bottom w:val="single" w:color="auto" w:sz="4" w:space="0"/>
              <w:right w:val="single" w:color="auto" w:sz="4" w:space="0"/>
            </w:tcBorders>
            <w:noWrap w:val="0"/>
            <w:vAlign w:val="center"/>
          </w:tcPr>
          <w:p w14:paraId="71FE9C42">
            <w:pPr>
              <w:keepNext w:val="0"/>
              <w:keepLines w:val="0"/>
              <w:widowControl/>
              <w:suppressLineNumbers w:val="0"/>
              <w:jc w:val="center"/>
              <w:textAlignment w:val="center"/>
              <w:rPr>
                <w:rFonts w:hint="default" w:ascii="Arial" w:hAnsi="Arial" w:eastAsia="宋体" w:cs="Arial"/>
                <w:b w:val="0"/>
                <w:bCs w:val="0"/>
                <w:color w:val="auto"/>
                <w:szCs w:val="21"/>
                <w:highlight w:val="none"/>
                <w:lang w:val="en-US" w:eastAsia="zh-CN"/>
              </w:rPr>
            </w:pPr>
            <w:r>
              <w:rPr>
                <w:rFonts w:hint="eastAsia" w:ascii="宋体" w:hAnsi="宋体" w:eastAsia="宋体" w:cs="宋体"/>
                <w:b w:val="0"/>
                <w:bCs w:val="0"/>
                <w:i w:val="0"/>
                <w:iCs w:val="0"/>
                <w:color w:val="000000"/>
                <w:kern w:val="0"/>
                <w:sz w:val="21"/>
                <w:szCs w:val="21"/>
                <w:highlight w:val="none"/>
                <w:u w:val="none"/>
                <w:lang w:val="en-US" w:eastAsia="zh-CN" w:bidi="ar"/>
              </w:rPr>
              <w:t>创新高技能人才培训模式</w:t>
            </w:r>
          </w:p>
        </w:tc>
        <w:tc>
          <w:tcPr>
            <w:tcW w:w="792" w:type="dxa"/>
            <w:tcBorders>
              <w:top w:val="single" w:color="auto" w:sz="4" w:space="0"/>
              <w:left w:val="single" w:color="auto" w:sz="4" w:space="0"/>
              <w:bottom w:val="single" w:color="auto" w:sz="4" w:space="0"/>
              <w:right w:val="single" w:color="auto" w:sz="4" w:space="0"/>
            </w:tcBorders>
            <w:noWrap w:val="0"/>
            <w:vAlign w:val="center"/>
          </w:tcPr>
          <w:p w14:paraId="42805F5F">
            <w:pPr>
              <w:keepNext w:val="0"/>
              <w:keepLines w:val="0"/>
              <w:widowControl/>
              <w:suppressLineNumbers w:val="0"/>
              <w:jc w:val="center"/>
              <w:textAlignment w:val="center"/>
              <w:rPr>
                <w:rFonts w:hint="default" w:ascii="Arial" w:hAnsi="Arial" w:eastAsia="宋体" w:cs="Arial"/>
                <w:b w:val="0"/>
                <w:bCs w:val="0"/>
                <w:i w:val="0"/>
                <w:iCs w:val="0"/>
                <w:color w:val="000000"/>
                <w:kern w:val="0"/>
                <w:sz w:val="21"/>
                <w:szCs w:val="21"/>
                <w:highlight w:val="none"/>
                <w:u w:val="none"/>
                <w:lang w:val="en-US" w:eastAsia="zh-CN" w:bidi="ar"/>
              </w:rPr>
            </w:pPr>
            <w:r>
              <w:rPr>
                <w:rFonts w:hint="default" w:ascii="Arial" w:hAnsi="Arial" w:eastAsia="宋体" w:cs="Arial"/>
                <w:b w:val="0"/>
                <w:bCs w:val="0"/>
                <w:i w:val="0"/>
                <w:iCs w:val="0"/>
                <w:color w:val="000000"/>
                <w:kern w:val="0"/>
                <w:sz w:val="21"/>
                <w:szCs w:val="21"/>
                <w:highlight w:val="none"/>
                <w:u w:val="none"/>
                <w:lang w:val="en-US" w:eastAsia="zh-CN" w:bidi="ar"/>
              </w:rPr>
              <w:t>其他未列明行业</w:t>
            </w:r>
          </w:p>
        </w:tc>
        <w:tc>
          <w:tcPr>
            <w:tcW w:w="692" w:type="dxa"/>
            <w:tcBorders>
              <w:top w:val="single" w:color="auto" w:sz="4" w:space="0"/>
              <w:left w:val="single" w:color="auto" w:sz="4" w:space="0"/>
              <w:bottom w:val="single" w:color="auto" w:sz="4" w:space="0"/>
              <w:right w:val="single" w:color="auto" w:sz="4" w:space="0"/>
            </w:tcBorders>
            <w:noWrap w:val="0"/>
            <w:vAlign w:val="center"/>
          </w:tcPr>
          <w:p w14:paraId="72CD3257">
            <w:pPr>
              <w:keepNext w:val="0"/>
              <w:keepLines w:val="0"/>
              <w:widowControl/>
              <w:suppressLineNumbers w:val="0"/>
              <w:jc w:val="center"/>
              <w:textAlignment w:val="center"/>
              <w:rPr>
                <w:rFonts w:hint="default" w:ascii="Arial" w:hAnsi="Arial" w:eastAsia="宋体" w:cs="Arial"/>
                <w:b w:val="0"/>
                <w:bCs w:val="0"/>
                <w:color w:val="auto"/>
                <w:szCs w:val="21"/>
                <w:highlight w:val="none"/>
              </w:rPr>
            </w:pPr>
            <w:r>
              <w:rPr>
                <w:rFonts w:hint="eastAsia" w:ascii="Arial" w:hAnsi="Arial" w:cs="Arial"/>
                <w:b w:val="0"/>
                <w:bCs w:val="0"/>
                <w:i w:val="0"/>
                <w:iCs w:val="0"/>
                <w:color w:val="000000"/>
                <w:kern w:val="0"/>
                <w:sz w:val="21"/>
                <w:szCs w:val="21"/>
                <w:highlight w:val="none"/>
                <w:u w:val="none"/>
                <w:lang w:val="en-US" w:eastAsia="zh-CN" w:bidi="ar"/>
              </w:rPr>
              <w:t>2</w:t>
            </w:r>
          </w:p>
        </w:tc>
        <w:tc>
          <w:tcPr>
            <w:tcW w:w="549" w:type="dxa"/>
            <w:tcBorders>
              <w:top w:val="single" w:color="auto" w:sz="4" w:space="0"/>
              <w:left w:val="single" w:color="auto" w:sz="4" w:space="0"/>
              <w:bottom w:val="single" w:color="auto" w:sz="4" w:space="0"/>
              <w:right w:val="single" w:color="auto" w:sz="4" w:space="0"/>
            </w:tcBorders>
            <w:noWrap w:val="0"/>
            <w:vAlign w:val="center"/>
          </w:tcPr>
          <w:p w14:paraId="660A273F">
            <w:pPr>
              <w:keepNext w:val="0"/>
              <w:keepLines w:val="0"/>
              <w:widowControl/>
              <w:suppressLineNumbers w:val="0"/>
              <w:jc w:val="center"/>
              <w:textAlignment w:val="center"/>
              <w:rPr>
                <w:rFonts w:hint="default" w:ascii="Arial" w:hAnsi="Arial" w:eastAsia="宋体" w:cs="Arial"/>
                <w:b w:val="0"/>
                <w:bCs w:val="0"/>
                <w:color w:val="auto"/>
                <w:szCs w:val="21"/>
                <w:highlight w:val="none"/>
                <w:lang w:val="en-US" w:eastAsia="zh-CN"/>
              </w:rPr>
            </w:pPr>
            <w:r>
              <w:rPr>
                <w:rFonts w:hint="eastAsia" w:ascii="Arial" w:hAnsi="Arial" w:cs="Arial"/>
                <w:b w:val="0"/>
                <w:bCs w:val="0"/>
                <w:i w:val="0"/>
                <w:iCs w:val="0"/>
                <w:color w:val="000000"/>
                <w:kern w:val="0"/>
                <w:sz w:val="21"/>
                <w:szCs w:val="21"/>
                <w:highlight w:val="none"/>
                <w:u w:val="none"/>
                <w:lang w:val="en-US" w:eastAsia="zh-CN" w:bidi="ar"/>
              </w:rPr>
              <w:t>项</w:t>
            </w:r>
          </w:p>
        </w:tc>
        <w:tc>
          <w:tcPr>
            <w:tcW w:w="5574" w:type="dxa"/>
            <w:tcBorders>
              <w:top w:val="single" w:color="auto" w:sz="4" w:space="0"/>
              <w:left w:val="single" w:color="auto" w:sz="4" w:space="0"/>
              <w:bottom w:val="single" w:color="auto" w:sz="4" w:space="0"/>
              <w:right w:val="single" w:color="auto" w:sz="4" w:space="0"/>
            </w:tcBorders>
            <w:noWrap w:val="0"/>
            <w:vAlign w:val="top"/>
          </w:tcPr>
          <w:p w14:paraId="1C44C5D9">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一、内涵建设服务总体要求：</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1）服务内容包括：根据学校2025年桂林市级高技能人才培训基地项目涉及的电子商务、烹饪二个专业（以下简称二个专业）的建设要求，成立二个专业校企合作专家委员会，召开相关会议，完善项目组织与管理改革、人才培养模式创新、课程改革、校企合作、建设材料汇总并提炼工作经验等。</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（2）服务验收要求：必须满足学校2025年桂林市级高技能人才培训基地项目的对专业内涵建设的各项要求，保障项目完成后，达到验收合格标准。</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二、项目组织与管理改革 1项：</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（1）服务要求</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设置项目专门组织机构，人员分工明确，责任到人。健全制度，运行规范，项目档案及相关资料完整。</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（2）服务内容</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1.协助学校成立项目组织机构，并制定有关项目建设的管理办法及建设资金管理办法。</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2.协助二个专业根据《建设方案》完成各项目组具体任务分解表。</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3.协助学校完善相关管理制度。</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4.协助并完成各专业项目档案。</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（3）必须提交的服务成果</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1. 学校有关项目建设的管理办法。</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2. 学校有关项目建设资金的管理办法。</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3. 各项目组成员具体建设任务分工表。</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4. 学校相关培训管理制度。</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5. 学校相关风险管理制度。</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 xml:space="preserve"> 三、人才培养模式创新 1项</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（1）服务要求</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 xml:space="preserve">  坚持工学结合的人才培训模式，以科学定位为立足点，优化培训层次结构，以对接产业为切入点，强化培训特色，适应区域产业需求，明晰人才培训目标，紧贴产业转型升级，优化产业结构布局，强化学员素质培养，改进培训教学过程。</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（2）服务内容</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1.协助并完成二个专业的岗位技能（能力）调研分析报告。</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2.通过召开实践专家访谈会，组织专家指导并提炼二个专业的典型工作任务。</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3.组织专家指导高技能人才培训模式、人才培训方案结构、人才培训方案编写的方法。</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4.协助并完成二个专业的高技能人才培训方案。</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5.协助并完成佐证材料的整理。</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（3）必须提交的服务成果</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1. 二个专业高技能人才培训模式工作方案。</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2. 二个专业岗位技能（能力）调研分析报告。</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3. 二个专业高技能人才培训方案（试行版）。</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4. 二个专业高技能人才培训方案修订说明。</w:t>
            </w:r>
          </w:p>
        </w:tc>
        <w:tc>
          <w:tcPr>
            <w:tcW w:w="1121" w:type="dxa"/>
            <w:tcBorders>
              <w:top w:val="single" w:color="auto" w:sz="4" w:space="0"/>
              <w:left w:val="single" w:color="auto" w:sz="4" w:space="0"/>
              <w:bottom w:val="single" w:color="auto" w:sz="4" w:space="0"/>
              <w:right w:val="single" w:color="auto" w:sz="4" w:space="0"/>
            </w:tcBorders>
            <w:noWrap w:val="0"/>
            <w:vAlign w:val="center"/>
          </w:tcPr>
          <w:p w14:paraId="146255DD">
            <w:pPr>
              <w:keepNext w:val="0"/>
              <w:keepLines w:val="0"/>
              <w:widowControl/>
              <w:suppressLineNumbers w:val="0"/>
              <w:jc w:val="center"/>
              <w:textAlignment w:val="center"/>
              <w:rPr>
                <w:rFonts w:hint="default" w:ascii="Arial" w:hAnsi="Arial" w:eastAsia="宋体" w:cs="Arial"/>
                <w:color w:val="auto"/>
                <w:sz w:val="21"/>
                <w:szCs w:val="21"/>
                <w:highlight w:val="none"/>
                <w:lang w:val="en-US" w:eastAsia="zh-CN"/>
              </w:rPr>
            </w:pPr>
            <w:r>
              <w:rPr>
                <w:rFonts w:hint="default" w:ascii="Arial" w:hAnsi="Arial" w:eastAsia="宋体" w:cs="Arial"/>
                <w:i w:val="0"/>
                <w:iCs w:val="0"/>
                <w:color w:val="000000"/>
                <w:kern w:val="0"/>
                <w:sz w:val="20"/>
                <w:szCs w:val="20"/>
                <w:highlight w:val="none"/>
                <w:u w:val="none"/>
                <w:lang w:val="en-US" w:eastAsia="zh-CN" w:bidi="ar"/>
              </w:rPr>
              <w:t xml:space="preserve">20000.00 </w:t>
            </w:r>
          </w:p>
        </w:tc>
      </w:tr>
      <w:tr w14:paraId="1B054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jc w:val="center"/>
        </w:trPr>
        <w:tc>
          <w:tcPr>
            <w:tcW w:w="630" w:type="dxa"/>
            <w:tcBorders>
              <w:top w:val="single" w:color="auto" w:sz="4" w:space="0"/>
              <w:left w:val="single" w:color="auto" w:sz="4" w:space="0"/>
              <w:bottom w:val="single" w:color="auto" w:sz="4" w:space="0"/>
              <w:right w:val="single" w:color="auto" w:sz="4" w:space="0"/>
            </w:tcBorders>
            <w:noWrap w:val="0"/>
            <w:vAlign w:val="center"/>
          </w:tcPr>
          <w:p w14:paraId="49010DF8">
            <w:pPr>
              <w:keepNext w:val="0"/>
              <w:keepLines w:val="0"/>
              <w:widowControl/>
              <w:suppressLineNumbers w:val="0"/>
              <w:jc w:val="center"/>
              <w:textAlignment w:val="center"/>
              <w:rPr>
                <w:rFonts w:hint="default" w:ascii="Arial" w:hAnsi="Arial" w:eastAsia="宋体" w:cs="Arial"/>
                <w:b/>
                <w:bCs/>
                <w:color w:val="auto"/>
                <w:szCs w:val="21"/>
                <w:highlight w:val="none"/>
              </w:rPr>
            </w:pPr>
            <w:r>
              <w:rPr>
                <w:rFonts w:hint="default" w:ascii="Arial" w:hAnsi="Arial" w:eastAsia="宋体" w:cs="Arial"/>
                <w:i w:val="0"/>
                <w:iCs w:val="0"/>
                <w:color w:val="000000"/>
                <w:kern w:val="0"/>
                <w:sz w:val="21"/>
                <w:szCs w:val="21"/>
                <w:highlight w:val="none"/>
                <w:u w:val="none"/>
                <w:lang w:val="en-US" w:eastAsia="zh-CN" w:bidi="ar"/>
              </w:rPr>
              <w:t>4</w:t>
            </w:r>
          </w:p>
        </w:tc>
        <w:tc>
          <w:tcPr>
            <w:tcW w:w="1259" w:type="dxa"/>
            <w:tcBorders>
              <w:top w:val="single" w:color="auto" w:sz="4" w:space="0"/>
              <w:left w:val="single" w:color="auto" w:sz="4" w:space="0"/>
              <w:bottom w:val="single" w:color="auto" w:sz="4" w:space="0"/>
              <w:right w:val="single" w:color="auto" w:sz="4" w:space="0"/>
            </w:tcBorders>
            <w:noWrap w:val="0"/>
            <w:vAlign w:val="center"/>
          </w:tcPr>
          <w:p w14:paraId="682A1FB2">
            <w:pPr>
              <w:keepNext w:val="0"/>
              <w:keepLines w:val="0"/>
              <w:widowControl/>
              <w:suppressLineNumbers w:val="0"/>
              <w:jc w:val="center"/>
              <w:textAlignment w:val="center"/>
              <w:rPr>
                <w:rFonts w:hint="default" w:ascii="Arial" w:hAnsi="Arial" w:eastAsia="宋体" w:cs="Arial"/>
                <w:b w:val="0"/>
                <w:bCs w:val="0"/>
                <w:color w:val="auto"/>
                <w:szCs w:val="21"/>
                <w:highlight w:val="none"/>
                <w:lang w:val="en-US" w:eastAsia="zh-CN"/>
              </w:rPr>
            </w:pPr>
            <w:r>
              <w:rPr>
                <w:rFonts w:hint="eastAsia" w:ascii="宋体" w:hAnsi="宋体" w:eastAsia="宋体" w:cs="宋体"/>
                <w:b w:val="0"/>
                <w:bCs w:val="0"/>
                <w:i w:val="0"/>
                <w:iCs w:val="0"/>
                <w:color w:val="000000"/>
                <w:kern w:val="0"/>
                <w:sz w:val="21"/>
                <w:szCs w:val="21"/>
                <w:highlight w:val="none"/>
                <w:u w:val="none"/>
                <w:lang w:val="en-US" w:eastAsia="zh-CN" w:bidi="ar"/>
              </w:rPr>
              <w:t>专业课程体系改革</w:t>
            </w:r>
          </w:p>
        </w:tc>
        <w:tc>
          <w:tcPr>
            <w:tcW w:w="792" w:type="dxa"/>
            <w:tcBorders>
              <w:top w:val="single" w:color="auto" w:sz="4" w:space="0"/>
              <w:left w:val="single" w:color="auto" w:sz="4" w:space="0"/>
              <w:bottom w:val="single" w:color="auto" w:sz="4" w:space="0"/>
              <w:right w:val="single" w:color="auto" w:sz="4" w:space="0"/>
            </w:tcBorders>
            <w:noWrap w:val="0"/>
            <w:vAlign w:val="center"/>
          </w:tcPr>
          <w:p w14:paraId="7DD1EEB2">
            <w:pPr>
              <w:keepNext w:val="0"/>
              <w:keepLines w:val="0"/>
              <w:widowControl/>
              <w:suppressLineNumbers w:val="0"/>
              <w:jc w:val="center"/>
              <w:textAlignment w:val="center"/>
              <w:rPr>
                <w:rFonts w:hint="default" w:ascii="Arial" w:hAnsi="Arial" w:eastAsia="宋体" w:cs="Arial"/>
                <w:b w:val="0"/>
                <w:bCs w:val="0"/>
                <w:i w:val="0"/>
                <w:iCs w:val="0"/>
                <w:color w:val="000000"/>
                <w:kern w:val="0"/>
                <w:sz w:val="21"/>
                <w:szCs w:val="21"/>
                <w:highlight w:val="none"/>
                <w:u w:val="none"/>
                <w:lang w:val="en-US" w:eastAsia="zh-CN" w:bidi="ar"/>
              </w:rPr>
            </w:pPr>
            <w:r>
              <w:rPr>
                <w:rFonts w:hint="default" w:ascii="Arial" w:hAnsi="Arial" w:eastAsia="宋体" w:cs="Arial"/>
                <w:b w:val="0"/>
                <w:bCs w:val="0"/>
                <w:i w:val="0"/>
                <w:iCs w:val="0"/>
                <w:color w:val="000000"/>
                <w:kern w:val="0"/>
                <w:sz w:val="21"/>
                <w:szCs w:val="21"/>
                <w:highlight w:val="none"/>
                <w:u w:val="none"/>
                <w:lang w:val="en-US" w:eastAsia="zh-CN" w:bidi="ar"/>
              </w:rPr>
              <w:t>其他未列明行业</w:t>
            </w:r>
          </w:p>
        </w:tc>
        <w:tc>
          <w:tcPr>
            <w:tcW w:w="692" w:type="dxa"/>
            <w:tcBorders>
              <w:top w:val="single" w:color="auto" w:sz="4" w:space="0"/>
              <w:left w:val="single" w:color="auto" w:sz="4" w:space="0"/>
              <w:bottom w:val="single" w:color="auto" w:sz="4" w:space="0"/>
              <w:right w:val="single" w:color="auto" w:sz="4" w:space="0"/>
            </w:tcBorders>
            <w:noWrap w:val="0"/>
            <w:vAlign w:val="center"/>
          </w:tcPr>
          <w:p w14:paraId="2576EA81">
            <w:pPr>
              <w:keepNext w:val="0"/>
              <w:keepLines w:val="0"/>
              <w:widowControl/>
              <w:suppressLineNumbers w:val="0"/>
              <w:jc w:val="center"/>
              <w:textAlignment w:val="center"/>
              <w:rPr>
                <w:rFonts w:hint="default" w:ascii="Arial" w:hAnsi="Arial" w:eastAsia="宋体" w:cs="Arial"/>
                <w:b w:val="0"/>
                <w:bCs w:val="0"/>
                <w:color w:val="auto"/>
                <w:szCs w:val="21"/>
                <w:highlight w:val="none"/>
              </w:rPr>
            </w:pPr>
            <w:r>
              <w:rPr>
                <w:rFonts w:hint="default" w:ascii="Arial" w:hAnsi="Arial" w:eastAsia="宋体" w:cs="Arial"/>
                <w:b w:val="0"/>
                <w:bCs w:val="0"/>
                <w:i w:val="0"/>
                <w:iCs w:val="0"/>
                <w:color w:val="000000"/>
                <w:kern w:val="0"/>
                <w:sz w:val="21"/>
                <w:szCs w:val="21"/>
                <w:highlight w:val="none"/>
                <w:u w:val="none"/>
                <w:lang w:val="en-US" w:eastAsia="zh-CN" w:bidi="ar"/>
              </w:rPr>
              <w:t>2</w:t>
            </w:r>
          </w:p>
        </w:tc>
        <w:tc>
          <w:tcPr>
            <w:tcW w:w="549" w:type="dxa"/>
            <w:tcBorders>
              <w:top w:val="single" w:color="auto" w:sz="4" w:space="0"/>
              <w:left w:val="single" w:color="auto" w:sz="4" w:space="0"/>
              <w:bottom w:val="single" w:color="auto" w:sz="4" w:space="0"/>
              <w:right w:val="single" w:color="auto" w:sz="4" w:space="0"/>
            </w:tcBorders>
            <w:noWrap w:val="0"/>
            <w:vAlign w:val="center"/>
          </w:tcPr>
          <w:p w14:paraId="1EEA43FF">
            <w:pPr>
              <w:keepNext w:val="0"/>
              <w:keepLines w:val="0"/>
              <w:widowControl/>
              <w:suppressLineNumbers w:val="0"/>
              <w:jc w:val="center"/>
              <w:textAlignment w:val="center"/>
              <w:rPr>
                <w:rFonts w:hint="default" w:ascii="Arial" w:hAnsi="Arial" w:eastAsia="宋体" w:cs="Arial"/>
                <w:b w:val="0"/>
                <w:bCs w:val="0"/>
                <w:color w:val="auto"/>
                <w:szCs w:val="21"/>
                <w:highlight w:val="none"/>
                <w:lang w:val="en-US" w:eastAsia="zh-CN"/>
              </w:rPr>
            </w:pPr>
            <w:r>
              <w:rPr>
                <w:rFonts w:hint="default" w:ascii="Arial" w:hAnsi="Arial" w:eastAsia="宋体" w:cs="Arial"/>
                <w:b w:val="0"/>
                <w:bCs w:val="0"/>
                <w:i w:val="0"/>
                <w:iCs w:val="0"/>
                <w:color w:val="000000"/>
                <w:kern w:val="0"/>
                <w:sz w:val="21"/>
                <w:szCs w:val="21"/>
                <w:highlight w:val="none"/>
                <w:u w:val="none"/>
                <w:lang w:val="en-US" w:eastAsia="zh-CN" w:bidi="ar"/>
              </w:rPr>
              <w:t>门</w:t>
            </w:r>
          </w:p>
        </w:tc>
        <w:tc>
          <w:tcPr>
            <w:tcW w:w="5574" w:type="dxa"/>
            <w:tcBorders>
              <w:top w:val="single" w:color="auto" w:sz="4" w:space="0"/>
              <w:left w:val="single" w:color="auto" w:sz="4" w:space="0"/>
              <w:bottom w:val="single" w:color="auto" w:sz="4" w:space="0"/>
              <w:right w:val="single" w:color="auto" w:sz="4" w:space="0"/>
            </w:tcBorders>
            <w:noWrap w:val="0"/>
            <w:vAlign w:val="top"/>
          </w:tcPr>
          <w:p w14:paraId="48990B11">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通过校企合作、建立一体化课程开发团队、共同进行企业2个专业人才岗位调研、组织专家提炼课程典型工作任务开展座谈研讨、专家论证、试运行等方式最后得出适合社会发展、企业满意的人才培训一体化课程标准和培训实施方案。课程标准和课程实施方案要求建立以国家职业鉴定标准为依据、以工作任务为导向、以综合职业能力培养为核心的高技能人才培训课程，针对广西、桂林地区经济社会的发展需求，围绕3个专业高技能人才培养目标，以校企合作为载体，改革创新一体化课程，开发出一套高级工、技师一体化课程标准、课程实施方案。</w:t>
            </w:r>
          </w:p>
        </w:tc>
        <w:tc>
          <w:tcPr>
            <w:tcW w:w="1121" w:type="dxa"/>
            <w:tcBorders>
              <w:top w:val="single" w:color="auto" w:sz="4" w:space="0"/>
              <w:left w:val="single" w:color="auto" w:sz="4" w:space="0"/>
              <w:bottom w:val="single" w:color="auto" w:sz="4" w:space="0"/>
              <w:right w:val="single" w:color="auto" w:sz="4" w:space="0"/>
            </w:tcBorders>
            <w:noWrap w:val="0"/>
            <w:vAlign w:val="center"/>
          </w:tcPr>
          <w:p w14:paraId="099BB4FE">
            <w:pPr>
              <w:keepNext w:val="0"/>
              <w:keepLines w:val="0"/>
              <w:widowControl/>
              <w:suppressLineNumbers w:val="0"/>
              <w:jc w:val="center"/>
              <w:textAlignment w:val="center"/>
              <w:rPr>
                <w:rFonts w:hint="default" w:ascii="Arial" w:hAnsi="Arial" w:eastAsia="宋体" w:cs="Arial"/>
                <w:color w:val="auto"/>
                <w:sz w:val="21"/>
                <w:szCs w:val="21"/>
                <w:highlight w:val="none"/>
                <w:lang w:val="en-US" w:eastAsia="zh-CN"/>
              </w:rPr>
            </w:pPr>
            <w:r>
              <w:rPr>
                <w:rFonts w:hint="default" w:ascii="Arial" w:hAnsi="Arial" w:eastAsia="宋体" w:cs="Arial"/>
                <w:i w:val="0"/>
                <w:iCs w:val="0"/>
                <w:color w:val="000000"/>
                <w:kern w:val="0"/>
                <w:sz w:val="20"/>
                <w:szCs w:val="20"/>
                <w:highlight w:val="none"/>
                <w:u w:val="none"/>
                <w:lang w:val="en-US" w:eastAsia="zh-CN" w:bidi="ar"/>
              </w:rPr>
              <w:t xml:space="preserve">2500.00 </w:t>
            </w:r>
          </w:p>
        </w:tc>
      </w:tr>
      <w:tr w14:paraId="53750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jc w:val="center"/>
        </w:trPr>
        <w:tc>
          <w:tcPr>
            <w:tcW w:w="630" w:type="dxa"/>
            <w:tcBorders>
              <w:top w:val="single" w:color="auto" w:sz="4" w:space="0"/>
              <w:left w:val="single" w:color="auto" w:sz="4" w:space="0"/>
              <w:bottom w:val="single" w:color="auto" w:sz="4" w:space="0"/>
              <w:right w:val="single" w:color="auto" w:sz="4" w:space="0"/>
            </w:tcBorders>
            <w:noWrap w:val="0"/>
            <w:vAlign w:val="center"/>
          </w:tcPr>
          <w:p w14:paraId="3801D188">
            <w:pPr>
              <w:keepNext w:val="0"/>
              <w:keepLines w:val="0"/>
              <w:widowControl/>
              <w:suppressLineNumbers w:val="0"/>
              <w:jc w:val="center"/>
              <w:textAlignment w:val="center"/>
              <w:rPr>
                <w:rFonts w:hint="default" w:ascii="Arial" w:hAnsi="Arial" w:eastAsia="宋体" w:cs="Arial"/>
                <w:b/>
                <w:bCs/>
                <w:color w:val="auto"/>
                <w:szCs w:val="21"/>
                <w:highlight w:val="none"/>
              </w:rPr>
            </w:pPr>
            <w:r>
              <w:rPr>
                <w:rFonts w:hint="default" w:ascii="Arial" w:hAnsi="Arial" w:eastAsia="宋体" w:cs="Arial"/>
                <w:i w:val="0"/>
                <w:iCs w:val="0"/>
                <w:color w:val="000000"/>
                <w:kern w:val="0"/>
                <w:sz w:val="21"/>
                <w:szCs w:val="21"/>
                <w:highlight w:val="none"/>
                <w:u w:val="none"/>
                <w:lang w:val="en-US" w:eastAsia="zh-CN" w:bidi="ar"/>
              </w:rPr>
              <w:t>5</w:t>
            </w:r>
          </w:p>
        </w:tc>
        <w:tc>
          <w:tcPr>
            <w:tcW w:w="1259" w:type="dxa"/>
            <w:tcBorders>
              <w:top w:val="single" w:color="auto" w:sz="4" w:space="0"/>
              <w:left w:val="single" w:color="auto" w:sz="4" w:space="0"/>
              <w:bottom w:val="single" w:color="auto" w:sz="4" w:space="0"/>
              <w:right w:val="single" w:color="auto" w:sz="4" w:space="0"/>
            </w:tcBorders>
            <w:noWrap w:val="0"/>
            <w:vAlign w:val="center"/>
          </w:tcPr>
          <w:p w14:paraId="4ADBB98B">
            <w:pPr>
              <w:keepNext w:val="0"/>
              <w:keepLines w:val="0"/>
              <w:widowControl/>
              <w:suppressLineNumbers w:val="0"/>
              <w:jc w:val="center"/>
              <w:textAlignment w:val="center"/>
              <w:rPr>
                <w:rFonts w:hint="default" w:ascii="Arial" w:hAnsi="Arial" w:eastAsia="宋体" w:cs="Arial"/>
                <w:b w:val="0"/>
                <w:bCs w:val="0"/>
                <w:color w:val="auto"/>
                <w:szCs w:val="21"/>
                <w:highlight w:val="none"/>
                <w:lang w:val="en-US" w:eastAsia="zh-CN"/>
              </w:rPr>
            </w:pPr>
            <w:r>
              <w:rPr>
                <w:rFonts w:hint="eastAsia" w:ascii="宋体" w:hAnsi="宋体" w:eastAsia="宋体" w:cs="宋体"/>
                <w:b w:val="0"/>
                <w:bCs w:val="0"/>
                <w:i w:val="0"/>
                <w:iCs w:val="0"/>
                <w:color w:val="000000"/>
                <w:kern w:val="0"/>
                <w:sz w:val="21"/>
                <w:szCs w:val="21"/>
                <w:highlight w:val="none"/>
                <w:u w:val="none"/>
                <w:lang w:val="en-US" w:eastAsia="zh-CN" w:bidi="ar"/>
              </w:rPr>
              <w:t>学校层面建设资料汇总</w:t>
            </w:r>
          </w:p>
        </w:tc>
        <w:tc>
          <w:tcPr>
            <w:tcW w:w="792" w:type="dxa"/>
            <w:tcBorders>
              <w:top w:val="single" w:color="auto" w:sz="4" w:space="0"/>
              <w:left w:val="single" w:color="auto" w:sz="4" w:space="0"/>
              <w:bottom w:val="single" w:color="auto" w:sz="4" w:space="0"/>
              <w:right w:val="single" w:color="auto" w:sz="4" w:space="0"/>
            </w:tcBorders>
            <w:noWrap w:val="0"/>
            <w:vAlign w:val="center"/>
          </w:tcPr>
          <w:p w14:paraId="52F69704">
            <w:pPr>
              <w:keepNext w:val="0"/>
              <w:keepLines w:val="0"/>
              <w:widowControl/>
              <w:suppressLineNumbers w:val="0"/>
              <w:jc w:val="center"/>
              <w:textAlignment w:val="center"/>
              <w:rPr>
                <w:rFonts w:hint="default" w:ascii="Arial" w:hAnsi="Arial" w:eastAsia="宋体" w:cs="Arial"/>
                <w:b w:val="0"/>
                <w:bCs w:val="0"/>
                <w:i w:val="0"/>
                <w:iCs w:val="0"/>
                <w:color w:val="000000"/>
                <w:kern w:val="0"/>
                <w:sz w:val="21"/>
                <w:szCs w:val="21"/>
                <w:highlight w:val="none"/>
                <w:u w:val="none"/>
                <w:lang w:val="en-US" w:eastAsia="zh-CN" w:bidi="ar"/>
              </w:rPr>
            </w:pPr>
            <w:r>
              <w:rPr>
                <w:rFonts w:hint="default" w:ascii="Arial" w:hAnsi="Arial" w:eastAsia="宋体" w:cs="Arial"/>
                <w:b w:val="0"/>
                <w:bCs w:val="0"/>
                <w:i w:val="0"/>
                <w:iCs w:val="0"/>
                <w:color w:val="000000"/>
                <w:kern w:val="0"/>
                <w:sz w:val="21"/>
                <w:szCs w:val="21"/>
                <w:highlight w:val="none"/>
                <w:u w:val="none"/>
                <w:lang w:val="en-US" w:eastAsia="zh-CN" w:bidi="ar"/>
              </w:rPr>
              <w:t>其他未列明行业</w:t>
            </w:r>
          </w:p>
        </w:tc>
        <w:tc>
          <w:tcPr>
            <w:tcW w:w="692" w:type="dxa"/>
            <w:tcBorders>
              <w:top w:val="single" w:color="auto" w:sz="4" w:space="0"/>
              <w:left w:val="single" w:color="auto" w:sz="4" w:space="0"/>
              <w:bottom w:val="single" w:color="auto" w:sz="4" w:space="0"/>
              <w:right w:val="single" w:color="auto" w:sz="4" w:space="0"/>
            </w:tcBorders>
            <w:noWrap w:val="0"/>
            <w:vAlign w:val="center"/>
          </w:tcPr>
          <w:p w14:paraId="5A832BE4">
            <w:pPr>
              <w:keepNext w:val="0"/>
              <w:keepLines w:val="0"/>
              <w:widowControl/>
              <w:suppressLineNumbers w:val="0"/>
              <w:jc w:val="center"/>
              <w:textAlignment w:val="center"/>
              <w:rPr>
                <w:rFonts w:hint="default" w:ascii="Arial" w:hAnsi="Arial" w:eastAsia="宋体" w:cs="Arial"/>
                <w:b w:val="0"/>
                <w:bCs w:val="0"/>
                <w:color w:val="auto"/>
                <w:szCs w:val="21"/>
                <w:highlight w:val="none"/>
              </w:rPr>
            </w:pPr>
            <w:r>
              <w:rPr>
                <w:rFonts w:hint="default" w:ascii="Arial" w:hAnsi="Arial" w:eastAsia="宋体" w:cs="Arial"/>
                <w:b w:val="0"/>
                <w:bCs w:val="0"/>
                <w:i w:val="0"/>
                <w:iCs w:val="0"/>
                <w:color w:val="000000"/>
                <w:kern w:val="0"/>
                <w:sz w:val="21"/>
                <w:szCs w:val="21"/>
                <w:highlight w:val="none"/>
                <w:u w:val="none"/>
                <w:lang w:val="en-US" w:eastAsia="zh-CN" w:bidi="ar"/>
              </w:rPr>
              <w:t>2</w:t>
            </w:r>
          </w:p>
        </w:tc>
        <w:tc>
          <w:tcPr>
            <w:tcW w:w="549" w:type="dxa"/>
            <w:tcBorders>
              <w:top w:val="single" w:color="auto" w:sz="4" w:space="0"/>
              <w:left w:val="single" w:color="auto" w:sz="4" w:space="0"/>
              <w:bottom w:val="single" w:color="auto" w:sz="4" w:space="0"/>
              <w:right w:val="single" w:color="auto" w:sz="4" w:space="0"/>
            </w:tcBorders>
            <w:noWrap w:val="0"/>
            <w:vAlign w:val="center"/>
          </w:tcPr>
          <w:p w14:paraId="65405C83">
            <w:pPr>
              <w:keepNext w:val="0"/>
              <w:keepLines w:val="0"/>
              <w:widowControl/>
              <w:suppressLineNumbers w:val="0"/>
              <w:jc w:val="center"/>
              <w:textAlignment w:val="center"/>
              <w:rPr>
                <w:rFonts w:hint="default" w:ascii="Arial" w:hAnsi="Arial" w:eastAsia="宋体" w:cs="Arial"/>
                <w:b w:val="0"/>
                <w:bCs w:val="0"/>
                <w:color w:val="auto"/>
                <w:szCs w:val="21"/>
                <w:highlight w:val="none"/>
                <w:lang w:val="en-US" w:eastAsia="zh-CN"/>
              </w:rPr>
            </w:pPr>
            <w:r>
              <w:rPr>
                <w:rFonts w:hint="default" w:ascii="Arial" w:hAnsi="Arial" w:eastAsia="宋体" w:cs="Arial"/>
                <w:b w:val="0"/>
                <w:bCs w:val="0"/>
                <w:i w:val="0"/>
                <w:iCs w:val="0"/>
                <w:color w:val="000000"/>
                <w:kern w:val="0"/>
                <w:sz w:val="21"/>
                <w:szCs w:val="21"/>
                <w:highlight w:val="none"/>
                <w:u w:val="none"/>
                <w:lang w:val="en-US" w:eastAsia="zh-CN" w:bidi="ar"/>
              </w:rPr>
              <w:t>套</w:t>
            </w:r>
          </w:p>
        </w:tc>
        <w:tc>
          <w:tcPr>
            <w:tcW w:w="5574" w:type="dxa"/>
            <w:tcBorders>
              <w:top w:val="single" w:color="auto" w:sz="4" w:space="0"/>
              <w:left w:val="single" w:color="auto" w:sz="4" w:space="0"/>
              <w:bottom w:val="single" w:color="auto" w:sz="4" w:space="0"/>
              <w:right w:val="single" w:color="auto" w:sz="4" w:space="0"/>
            </w:tcBorders>
            <w:noWrap w:val="0"/>
            <w:vAlign w:val="top"/>
          </w:tcPr>
          <w:p w14:paraId="29A3A1A8">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根据国家职业技能标准，本次高技能基地项目2个重点建设专业的建设任务，完成以下资料编制、汇总：</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总目录</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一、组织与管理</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 xml:space="preserve">1-01  项目组织  </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1.自评说明</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2.项目组织机构及管理办法</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3.各项目组成员具体建设任务分工表</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 xml:space="preserve">1-02  项目管理   </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1.自评说明</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2.相关制度文件</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3.各专业项目档案</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二、培训能力</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 xml:space="preserve">2-03  场地条件   </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1.自评说明</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2.培训基地建设专业培训教室汇总表</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3.各专业培训教室统计表</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4.各专业培训教室平面图</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 xml:space="preserve">2-04  装备条件  </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1.自评说明</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2.培训基地建设2个专业培训教室汇总表</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3.培训基地建设2个实训设备台账汇总表</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4.各专业实训设备台账</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5.各专业实训设备使用记录</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 xml:space="preserve">2-05  师资条件 </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 xml:space="preserve">1.自评说明 </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 xml:space="preserve">2.各专业教师花名册 </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 xml:space="preserve">3.各专业培训学员花名册 </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 xml:space="preserve">4.各专业培训学员成绩册 </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 xml:space="preserve">2-06  课程体系 </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 xml:space="preserve">1.自评说明（各专业）  </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 xml:space="preserve">2.各专业培训课程体系  </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三、培训体系</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 xml:space="preserve">3-07  校企合作   </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1.自评说明</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2.各专业与企业签订开展高技能人才培训的协议</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3.各专业与合作企业共同制定高技能人才培训的方案</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 xml:space="preserve">3-08  课程开发   </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 xml:space="preserve">1.自评说明  </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 xml:space="preserve">2.各专业与企业共同开发的培训课程  </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3.各专业培训课程建设研讨材料汇总</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 xml:space="preserve">3-09  教材开发   </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 xml:space="preserve">1.自评说明  </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 xml:space="preserve">2.高技能人才培训教材开发指导性意见  </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 xml:space="preserve">3.校本教材编写审定使用管理暂行办法  </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 xml:space="preserve">4.各专业课程调研报告、大纲 </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5.各专业高技能人才培训教材（样本）</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 xml:space="preserve">3-10  师资建设   </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 xml:space="preserve">1.自评说明  </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 xml:space="preserve">2.培训基地建设2个专业师生比数据说明  </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 xml:space="preserve">3.各专业教师花名册、证书（样件） </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4.各专业兼职教师花名册及聘书、证书</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5.各专业培训基地专职培训教师花名册及技术等级证书</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 xml:space="preserve">6.各专业培训基地实训教师花名册   </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 xml:space="preserve">7.各专业高级实习指导教师和高级技师教师占实训教师比例数据分析表  </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 xml:space="preserve">3-11  效果评价  </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 xml:space="preserve">1.自评说明  </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2.高技能人才能力考核评价办法</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3.各专业行业企业专家参与能力评价建设材料汇总（样件）</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4.各专业高技能人才培训考核评价体系方案</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5.各专业高技能人才培训评价模式改革的总结报告</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四、资金管理</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4-12  使用范围</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1.自评说明</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2.高技能人才培训基地建设项目经费管理实施细则</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3.项目资金专账</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4.项目资金使用审批单据</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5.项目资金专账使用票据</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 xml:space="preserve">4-13  配套资金  </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1.自评说明</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2.地方财政配套资金到位情况说明</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3.行业企业配套资金到位情况说明</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4.行业企业配套资金到位相关材料</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 xml:space="preserve">4-14  资金核算  </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1.自评说明</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2.高技能人才培训基地建设项目经费管理实施细则</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3.项目资金专账</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4.项目资金使用审批单据</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5.项目资金专账使用票据</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五、项目产出</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 xml:space="preserve">5-15  体系构建 </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 xml:space="preserve">1.自评说明  </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 xml:space="preserve">2.各专业体现校企合作开展高技能人才培养模式、课程设置、教材开发、师资建设、能力评价5个环节的建设总结 </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 xml:space="preserve">5-16  规模效应 </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1.自评说明</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2.学校培训基地建设在本区域发挥示范作用的材料汇编</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3.各专业项目建设在本区域发挥示范作用的材料汇总</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4.各专业社会化高技能人才培训统计表</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 xml:space="preserve">5.各专业高技能培训学员花名册 </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6.各专业高技能培训学员身份证、缴费单、培训合格证复印件（样件）</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7.各专业高技能人才培训过程材料（样件）</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8.各专业总培训人数与高技能培训人数汇总表</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 xml:space="preserve">5-17  评价反馈 </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1.自评说明</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 xml:space="preserve">2.职业培训质量社会评价实施方案  </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3.各专业职业技能培训用人单位满意度调查表（样件）</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4.各专业职业技能培训学员满意度调查表（样件）</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5.建设专业培训质量社会评价实施情况调查报告</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 xml:space="preserve">5-18  经验总结 </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1.自评说明</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2.项目总结报告（学校）</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3.建设专业总结报告汇编</w:t>
            </w:r>
          </w:p>
        </w:tc>
        <w:tc>
          <w:tcPr>
            <w:tcW w:w="1121" w:type="dxa"/>
            <w:tcBorders>
              <w:top w:val="single" w:color="auto" w:sz="4" w:space="0"/>
              <w:left w:val="single" w:color="auto" w:sz="4" w:space="0"/>
              <w:bottom w:val="single" w:color="auto" w:sz="4" w:space="0"/>
              <w:right w:val="single" w:color="auto" w:sz="4" w:space="0"/>
            </w:tcBorders>
            <w:noWrap w:val="0"/>
            <w:vAlign w:val="center"/>
          </w:tcPr>
          <w:p w14:paraId="1BCA9F23">
            <w:pPr>
              <w:keepNext w:val="0"/>
              <w:keepLines w:val="0"/>
              <w:widowControl/>
              <w:suppressLineNumbers w:val="0"/>
              <w:jc w:val="center"/>
              <w:textAlignment w:val="center"/>
              <w:rPr>
                <w:rFonts w:hint="default" w:ascii="Arial" w:hAnsi="Arial" w:eastAsia="宋体" w:cs="Arial"/>
                <w:color w:val="auto"/>
                <w:sz w:val="21"/>
                <w:szCs w:val="21"/>
                <w:highlight w:val="none"/>
                <w:lang w:val="en-US" w:eastAsia="zh-CN"/>
              </w:rPr>
            </w:pPr>
            <w:r>
              <w:rPr>
                <w:rFonts w:hint="default" w:ascii="Arial" w:hAnsi="Arial" w:eastAsia="宋体" w:cs="Arial"/>
                <w:i w:val="0"/>
                <w:iCs w:val="0"/>
                <w:color w:val="000000"/>
                <w:kern w:val="0"/>
                <w:sz w:val="20"/>
                <w:szCs w:val="20"/>
                <w:highlight w:val="none"/>
                <w:u w:val="none"/>
                <w:lang w:val="en-US" w:eastAsia="zh-CN" w:bidi="ar"/>
              </w:rPr>
              <w:t xml:space="preserve">25000.00 </w:t>
            </w:r>
          </w:p>
        </w:tc>
      </w:tr>
      <w:tr w14:paraId="3658B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jc w:val="center"/>
        </w:trPr>
        <w:tc>
          <w:tcPr>
            <w:tcW w:w="630" w:type="dxa"/>
            <w:tcBorders>
              <w:top w:val="single" w:color="auto" w:sz="4" w:space="0"/>
              <w:left w:val="single" w:color="auto" w:sz="4" w:space="0"/>
              <w:bottom w:val="single" w:color="auto" w:sz="4" w:space="0"/>
              <w:right w:val="single" w:color="auto" w:sz="4" w:space="0"/>
            </w:tcBorders>
            <w:noWrap w:val="0"/>
            <w:vAlign w:val="center"/>
          </w:tcPr>
          <w:p w14:paraId="681EE970">
            <w:pPr>
              <w:keepNext w:val="0"/>
              <w:keepLines w:val="0"/>
              <w:widowControl/>
              <w:suppressLineNumbers w:val="0"/>
              <w:jc w:val="center"/>
              <w:textAlignment w:val="center"/>
              <w:rPr>
                <w:rFonts w:hint="default" w:ascii="Arial" w:hAnsi="Arial" w:eastAsia="宋体" w:cs="Arial"/>
                <w:b/>
                <w:bCs/>
                <w:color w:val="auto"/>
                <w:szCs w:val="21"/>
                <w:highlight w:val="none"/>
              </w:rPr>
            </w:pPr>
            <w:r>
              <w:rPr>
                <w:rFonts w:hint="default" w:ascii="Arial" w:hAnsi="Arial" w:eastAsia="宋体" w:cs="Arial"/>
                <w:i w:val="0"/>
                <w:iCs w:val="0"/>
                <w:color w:val="000000"/>
                <w:kern w:val="0"/>
                <w:sz w:val="21"/>
                <w:szCs w:val="21"/>
                <w:highlight w:val="none"/>
                <w:u w:val="none"/>
                <w:lang w:val="en-US" w:eastAsia="zh-CN" w:bidi="ar"/>
              </w:rPr>
              <w:t>6</w:t>
            </w:r>
          </w:p>
        </w:tc>
        <w:tc>
          <w:tcPr>
            <w:tcW w:w="1259" w:type="dxa"/>
            <w:tcBorders>
              <w:top w:val="single" w:color="auto" w:sz="4" w:space="0"/>
              <w:left w:val="single" w:color="auto" w:sz="4" w:space="0"/>
              <w:bottom w:val="single" w:color="auto" w:sz="4" w:space="0"/>
              <w:right w:val="single" w:color="auto" w:sz="4" w:space="0"/>
            </w:tcBorders>
            <w:noWrap w:val="0"/>
            <w:vAlign w:val="center"/>
          </w:tcPr>
          <w:p w14:paraId="5CC8D52A">
            <w:pPr>
              <w:keepNext w:val="0"/>
              <w:keepLines w:val="0"/>
              <w:widowControl/>
              <w:suppressLineNumbers w:val="0"/>
              <w:jc w:val="center"/>
              <w:textAlignment w:val="center"/>
              <w:rPr>
                <w:rFonts w:hint="default" w:ascii="Arial" w:hAnsi="Arial" w:eastAsia="宋体" w:cs="Arial"/>
                <w:b w:val="0"/>
                <w:bCs w:val="0"/>
                <w:color w:val="auto"/>
                <w:szCs w:val="21"/>
                <w:highlight w:val="none"/>
                <w:lang w:val="en-US" w:eastAsia="zh-CN"/>
              </w:rPr>
            </w:pPr>
            <w:r>
              <w:rPr>
                <w:rFonts w:hint="eastAsia" w:ascii="宋体" w:hAnsi="宋体" w:eastAsia="宋体" w:cs="宋体"/>
                <w:b w:val="0"/>
                <w:bCs w:val="0"/>
                <w:i w:val="0"/>
                <w:iCs w:val="0"/>
                <w:color w:val="000000"/>
                <w:kern w:val="0"/>
                <w:sz w:val="21"/>
                <w:szCs w:val="21"/>
                <w:highlight w:val="none"/>
                <w:u w:val="none"/>
                <w:lang w:val="en-US" w:eastAsia="zh-CN" w:bidi="ar"/>
              </w:rPr>
              <w:t>文化建设</w:t>
            </w:r>
          </w:p>
        </w:tc>
        <w:tc>
          <w:tcPr>
            <w:tcW w:w="792" w:type="dxa"/>
            <w:tcBorders>
              <w:top w:val="single" w:color="auto" w:sz="4" w:space="0"/>
              <w:left w:val="single" w:color="auto" w:sz="4" w:space="0"/>
              <w:bottom w:val="single" w:color="auto" w:sz="4" w:space="0"/>
              <w:right w:val="single" w:color="auto" w:sz="4" w:space="0"/>
            </w:tcBorders>
            <w:noWrap w:val="0"/>
            <w:vAlign w:val="center"/>
          </w:tcPr>
          <w:p w14:paraId="4F7817AF">
            <w:pPr>
              <w:keepNext w:val="0"/>
              <w:keepLines w:val="0"/>
              <w:widowControl/>
              <w:suppressLineNumbers w:val="0"/>
              <w:jc w:val="center"/>
              <w:textAlignment w:val="center"/>
              <w:rPr>
                <w:rFonts w:hint="default" w:ascii="Arial" w:hAnsi="Arial" w:eastAsia="宋体" w:cs="Arial"/>
                <w:b w:val="0"/>
                <w:bCs w:val="0"/>
                <w:i w:val="0"/>
                <w:iCs w:val="0"/>
                <w:color w:val="000000"/>
                <w:kern w:val="0"/>
                <w:sz w:val="21"/>
                <w:szCs w:val="21"/>
                <w:highlight w:val="none"/>
                <w:u w:val="none"/>
                <w:lang w:val="en-US" w:eastAsia="zh-CN" w:bidi="ar"/>
              </w:rPr>
            </w:pPr>
            <w:r>
              <w:rPr>
                <w:rFonts w:hint="default" w:ascii="Arial" w:hAnsi="Arial" w:eastAsia="宋体" w:cs="Arial"/>
                <w:b w:val="0"/>
                <w:bCs w:val="0"/>
                <w:i w:val="0"/>
                <w:iCs w:val="0"/>
                <w:color w:val="000000"/>
                <w:kern w:val="0"/>
                <w:sz w:val="21"/>
                <w:szCs w:val="21"/>
                <w:highlight w:val="none"/>
                <w:u w:val="none"/>
                <w:lang w:val="en-US" w:eastAsia="zh-CN" w:bidi="ar"/>
              </w:rPr>
              <w:t>建筑业</w:t>
            </w:r>
          </w:p>
        </w:tc>
        <w:tc>
          <w:tcPr>
            <w:tcW w:w="692" w:type="dxa"/>
            <w:tcBorders>
              <w:top w:val="single" w:color="auto" w:sz="4" w:space="0"/>
              <w:left w:val="single" w:color="auto" w:sz="4" w:space="0"/>
              <w:bottom w:val="single" w:color="auto" w:sz="4" w:space="0"/>
              <w:right w:val="single" w:color="auto" w:sz="4" w:space="0"/>
            </w:tcBorders>
            <w:noWrap w:val="0"/>
            <w:vAlign w:val="center"/>
          </w:tcPr>
          <w:p w14:paraId="0FE3A3C4">
            <w:pPr>
              <w:keepNext w:val="0"/>
              <w:keepLines w:val="0"/>
              <w:widowControl/>
              <w:suppressLineNumbers w:val="0"/>
              <w:jc w:val="center"/>
              <w:textAlignment w:val="center"/>
              <w:rPr>
                <w:rFonts w:hint="default" w:ascii="Arial" w:hAnsi="Arial" w:eastAsia="宋体" w:cs="Arial"/>
                <w:b w:val="0"/>
                <w:bCs w:val="0"/>
                <w:color w:val="auto"/>
                <w:szCs w:val="21"/>
                <w:highlight w:val="none"/>
              </w:rPr>
            </w:pPr>
            <w:r>
              <w:rPr>
                <w:rFonts w:hint="eastAsia" w:ascii="Arial" w:hAnsi="Arial" w:cs="Arial"/>
                <w:b w:val="0"/>
                <w:bCs w:val="0"/>
                <w:i w:val="0"/>
                <w:iCs w:val="0"/>
                <w:color w:val="000000"/>
                <w:kern w:val="0"/>
                <w:sz w:val="21"/>
                <w:szCs w:val="21"/>
                <w:highlight w:val="none"/>
                <w:u w:val="none"/>
                <w:lang w:val="en-US" w:eastAsia="zh-CN" w:bidi="ar"/>
              </w:rPr>
              <w:t>1</w:t>
            </w:r>
          </w:p>
        </w:tc>
        <w:tc>
          <w:tcPr>
            <w:tcW w:w="549" w:type="dxa"/>
            <w:tcBorders>
              <w:top w:val="single" w:color="auto" w:sz="4" w:space="0"/>
              <w:left w:val="single" w:color="auto" w:sz="4" w:space="0"/>
              <w:bottom w:val="single" w:color="auto" w:sz="4" w:space="0"/>
              <w:right w:val="single" w:color="auto" w:sz="4" w:space="0"/>
            </w:tcBorders>
            <w:noWrap w:val="0"/>
            <w:vAlign w:val="center"/>
          </w:tcPr>
          <w:p w14:paraId="600010AA">
            <w:pPr>
              <w:keepNext w:val="0"/>
              <w:keepLines w:val="0"/>
              <w:widowControl/>
              <w:suppressLineNumbers w:val="0"/>
              <w:jc w:val="center"/>
              <w:textAlignment w:val="center"/>
              <w:rPr>
                <w:rFonts w:hint="default" w:ascii="Arial" w:hAnsi="Arial" w:eastAsia="宋体" w:cs="Arial"/>
                <w:b w:val="0"/>
                <w:bCs w:val="0"/>
                <w:color w:val="auto"/>
                <w:szCs w:val="21"/>
                <w:highlight w:val="none"/>
                <w:lang w:val="en-US" w:eastAsia="zh-CN"/>
              </w:rPr>
            </w:pPr>
            <w:r>
              <w:rPr>
                <w:rFonts w:hint="eastAsia" w:ascii="Arial" w:hAnsi="Arial" w:cs="Arial"/>
                <w:b w:val="0"/>
                <w:bCs w:val="0"/>
                <w:i w:val="0"/>
                <w:iCs w:val="0"/>
                <w:color w:val="000000"/>
                <w:kern w:val="0"/>
                <w:sz w:val="21"/>
                <w:szCs w:val="21"/>
                <w:highlight w:val="none"/>
                <w:u w:val="none"/>
                <w:lang w:val="en-US" w:eastAsia="zh-CN" w:bidi="ar"/>
              </w:rPr>
              <w:t>专业</w:t>
            </w:r>
          </w:p>
        </w:tc>
        <w:tc>
          <w:tcPr>
            <w:tcW w:w="5574" w:type="dxa"/>
            <w:tcBorders>
              <w:top w:val="single" w:color="auto" w:sz="4" w:space="0"/>
              <w:left w:val="single" w:color="auto" w:sz="4" w:space="0"/>
              <w:bottom w:val="single" w:color="auto" w:sz="4" w:space="0"/>
              <w:right w:val="single" w:color="auto" w:sz="4" w:space="0"/>
            </w:tcBorders>
            <w:noWrap w:val="0"/>
            <w:vAlign w:val="top"/>
          </w:tcPr>
          <w:p w14:paraId="3EC5D8CB">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2个专业公共文化建设，详细如下：</w:t>
            </w:r>
          </w:p>
          <w:p w14:paraId="5D9B85E2">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1、博学楼-2310-门口走道文化墙2块：尺寸</w:t>
            </w:r>
            <w:r>
              <w:rPr>
                <w:rFonts w:hint="eastAsia" w:ascii="Arial" w:hAnsi="Arial" w:eastAsia="宋体" w:cs="Arial"/>
                <w:color w:val="auto"/>
                <w:highlight w:val="none"/>
                <w:lang w:val="en-US" w:eastAsia="zh-CN"/>
              </w:rPr>
              <w:t>：</w:t>
            </w:r>
            <w:r>
              <w:rPr>
                <w:rFonts w:hint="default" w:ascii="Arial" w:hAnsi="Arial" w:eastAsia="宋体" w:cs="Arial"/>
                <w:color w:val="auto"/>
                <w:highlight w:val="none"/>
                <w:lang w:val="en-US" w:eastAsia="zh-CN"/>
              </w:rPr>
              <w:t>3.35m*1m。采用 PVC 板为基础材料，高清 UV 喷印工艺制作，色彩还原度高、图案清晰耐磨；结合激光镂空雕刻与分层造型设计，增强画面层次感与立体感，适配校园走廊长期展示需求。设计理念与整体效果：围绕校园立德树人根本任务，打造两款适配走廊场景的教育主题文化墙，整体风格主题鲜明、色彩明快，兼具教育性与观赏性，传递新时代教育理念与师德师风建设导向，适配校园走廊公共空间氛围。</w:t>
            </w:r>
          </w:p>
          <w:p w14:paraId="2F4ED5E8">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2、博学楼-2311-2314-门口走道文化墙</w:t>
            </w:r>
            <w:r>
              <w:rPr>
                <w:rFonts w:hint="eastAsia" w:ascii="Arial" w:hAnsi="Arial" w:cs="Arial"/>
                <w:color w:val="auto"/>
                <w:highlight w:val="none"/>
                <w:lang w:val="en-US" w:eastAsia="zh-CN"/>
              </w:rPr>
              <w:t>≥</w:t>
            </w:r>
            <w:r>
              <w:rPr>
                <w:rFonts w:hint="default" w:ascii="Arial" w:hAnsi="Arial" w:eastAsia="宋体" w:cs="Arial"/>
                <w:color w:val="auto"/>
                <w:highlight w:val="none"/>
                <w:lang w:val="en-US" w:eastAsia="zh-CN"/>
              </w:rPr>
              <w:t>4块</w:t>
            </w:r>
            <w:r>
              <w:rPr>
                <w:rFonts w:hint="eastAsia" w:ascii="Arial" w:hAnsi="Arial" w:cs="Arial"/>
                <w:color w:val="auto"/>
                <w:highlight w:val="none"/>
                <w:lang w:val="en-US" w:eastAsia="zh-CN"/>
              </w:rPr>
              <w:t>，固定</w:t>
            </w:r>
            <w:r>
              <w:rPr>
                <w:rFonts w:hint="default" w:ascii="Arial" w:hAnsi="Arial" w:eastAsia="宋体" w:cs="Arial"/>
                <w:color w:val="auto"/>
                <w:highlight w:val="none"/>
                <w:lang w:val="en-US" w:eastAsia="zh-CN"/>
              </w:rPr>
              <w:t>尺寸</w:t>
            </w:r>
            <w:r>
              <w:rPr>
                <w:rFonts w:hint="eastAsia" w:ascii="Arial" w:hAnsi="Arial" w:cs="Arial"/>
                <w:color w:val="auto"/>
                <w:highlight w:val="none"/>
                <w:lang w:val="en-US" w:eastAsia="zh-CN"/>
              </w:rPr>
              <w:t>：</w:t>
            </w:r>
            <w:r>
              <w:rPr>
                <w:rFonts w:hint="default" w:ascii="Arial" w:hAnsi="Arial" w:eastAsia="宋体" w:cs="Arial"/>
                <w:color w:val="auto"/>
                <w:highlight w:val="none"/>
                <w:lang w:val="en-US" w:eastAsia="zh-CN"/>
              </w:rPr>
              <w:t>3.35m*1m；工艺适配：这类设计都适合用 PVC 板 UV 喷印 + 镂空雕刻工艺制作，可实现文字、造型的分层立体效果。</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（1） 第一款：勤学善读主题</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核心主题：读书求知、勤学善思</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关键内容：主标语为 “勤读知不足，善读学真知”，搭配 “博学、善思、好问、勤奋” 的学习品质关键词，传递 “多读书才能发现不足，善读书才能收获真知” 的理念。</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（2） 第二款：励志勤学主题</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核心主题：书山学海、励志求学</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关键内容：主标语是经典劝学名句 “书山有路勤为径，学海无涯苦作舟”，搭配 “奋发图强、勤奋好学、尊师乐长、团结友爱” 等成长关键词，强化勤奋学习、积极向上的导向。</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（3） 第三款：理想立志主题</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核心主题：立志报国、青春成长</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关键内容：主标语为 “树百年报国志，做世纪栋梁才”，搭配 “自信、自律、磨炼意志、充实自我” 等成长关键词，传递树立远大理想、努力成长为栋梁之才的价值导向。</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（4）第四款：校园文明主题</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核心主题：校园文明礼仪</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关键内容：核心主题为 “校园文明”，围绕 “爱护公物、助人为乐、遵纪守法、文明礼貌” 四大校园文明行为展开，传递校园文明礼仪规范。</w:t>
            </w:r>
          </w:p>
          <w:p w14:paraId="63C73322">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3、博学楼-2310-对面走廊左右文化墙</w:t>
            </w:r>
            <w:r>
              <w:rPr>
                <w:rFonts w:hint="eastAsia" w:ascii="Arial" w:hAnsi="Arial" w:cs="Arial"/>
                <w:color w:val="auto"/>
                <w:highlight w:val="none"/>
                <w:lang w:val="en-US" w:eastAsia="zh-CN"/>
              </w:rPr>
              <w:t>≥</w:t>
            </w:r>
            <w:r>
              <w:rPr>
                <w:rFonts w:hint="default" w:ascii="Arial" w:hAnsi="Arial" w:eastAsia="宋体" w:cs="Arial"/>
                <w:color w:val="auto"/>
                <w:highlight w:val="none"/>
                <w:lang w:val="en-US" w:eastAsia="zh-CN"/>
              </w:rPr>
              <w:t>2块</w:t>
            </w:r>
            <w:r>
              <w:rPr>
                <w:rFonts w:hint="eastAsia" w:ascii="Arial" w:hAnsi="Arial" w:cs="Arial"/>
                <w:color w:val="auto"/>
                <w:highlight w:val="none"/>
                <w:lang w:val="en-US" w:eastAsia="zh-CN"/>
              </w:rPr>
              <w:t>，固定</w:t>
            </w:r>
            <w:r>
              <w:rPr>
                <w:rFonts w:hint="default" w:ascii="Arial" w:hAnsi="Arial" w:eastAsia="宋体" w:cs="Arial"/>
                <w:color w:val="auto"/>
                <w:highlight w:val="none"/>
                <w:lang w:val="en-US" w:eastAsia="zh-CN"/>
              </w:rPr>
              <w:t>尺寸</w:t>
            </w:r>
            <w:r>
              <w:rPr>
                <w:rFonts w:hint="eastAsia" w:ascii="Arial" w:hAnsi="Arial" w:cs="Arial"/>
                <w:color w:val="auto"/>
                <w:highlight w:val="none"/>
                <w:lang w:val="en-US" w:eastAsia="zh-CN"/>
              </w:rPr>
              <w:t>：</w:t>
            </w:r>
            <w:r>
              <w:rPr>
                <w:rFonts w:hint="default" w:ascii="Arial" w:hAnsi="Arial" w:eastAsia="宋体" w:cs="Arial"/>
                <w:color w:val="auto"/>
                <w:highlight w:val="none"/>
                <w:lang w:val="en-US" w:eastAsia="zh-CN"/>
              </w:rPr>
              <w:t>5.7m*1.9m；主体工艺：采用 PVC 板为基础材料，高清 UV 喷印 + 激光镂空雕刻工艺制作，通过分层造型增强画面立体感与层次感，色彩还原度高、细节清晰。设计与效果：围绕校园师德师风建设与校风文化两大核心主题，打造适配校园场景的文化墙，整体风格庄重明快、主题鲜明，兼具教育性与观赏性，传递新时代教师精神与校园育人理念。</w:t>
            </w:r>
          </w:p>
          <w:p w14:paraId="14DDFAE7">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4、2314直播间教室里面文化墙1块：博学楼-2314-做文化墙，两层PVC板加晶格板</w:t>
            </w:r>
          </w:p>
          <w:p w14:paraId="3629F172">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5、博学楼-2312-直播间门口走道刷防滑漆366㎡：使用环氧地坪漆进行施工，使用环保防滑系列地坪漆施工。</w:t>
            </w:r>
          </w:p>
          <w:p w14:paraId="001296DC">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6、门牌12套：博学楼3楼12个，门牌包含内容有项目基础信息：本项目为桂林市第二技工学校实训室门牌，适配实训室门口墙面安装，用于标识实训基地及专业名称。主体材料与工艺：基材：采用 10mm 厚 PVC 板，强度高、韧性好，防潮防变形，适配室内外长期使用场景。</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7、膳达楼-2楼-墙1文化墙1块：尺寸</w:t>
            </w:r>
            <w:r>
              <w:rPr>
                <w:rFonts w:hint="eastAsia" w:ascii="Arial" w:hAnsi="Arial" w:eastAsia="宋体" w:cs="Arial"/>
                <w:color w:val="auto"/>
                <w:highlight w:val="none"/>
                <w:lang w:val="en-US" w:eastAsia="zh-CN"/>
              </w:rPr>
              <w:t>：</w:t>
            </w:r>
            <w:r>
              <w:rPr>
                <w:rFonts w:hint="default" w:ascii="Arial" w:hAnsi="Arial" w:eastAsia="宋体" w:cs="Arial"/>
                <w:color w:val="auto"/>
                <w:highlight w:val="none"/>
                <w:lang w:val="en-US" w:eastAsia="zh-CN"/>
              </w:rPr>
              <w:t>6.3*1.35m；</w:t>
            </w:r>
            <w:r>
              <w:rPr>
                <w:rFonts w:hint="default" w:ascii="Arial" w:hAnsi="Arial" w:eastAsia="宋体" w:cs="Arial"/>
                <w:color w:val="auto"/>
                <w:highlight w:val="none"/>
                <w:lang w:val="en-US" w:eastAsia="zh-CN"/>
              </w:rPr>
              <w:br w:type="textWrapping"/>
            </w:r>
          </w:p>
          <w:p w14:paraId="14CA5AB8">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膳达楼 2 楼劳动教育主题文化墙</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1.项目基础信息：本项目为膳达楼 2 楼墙面劳动教育主题文化墙，整体尺寸为 8m×1.6m，适配劳动教室墙面安装，打造主题鲜明的校园劳动教育宣传阵地。</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2.设计理念与整体效果：围绕 “崇尚劳动、尊重劳动” 核心主题，结合 “培养有劳动素养的时代新人” 育人目标，整体风格清新明快、主题突出，色彩搭配和谐，适配劳动教育场景氛围，兼具教育性与观赏性。</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3.展示内容：主标语为 “崇尚劳动 尊重劳动”，配套 “培养有劳动素养的时代新人” 主题说明，同步呈现 “树德、增智、育美、强体” 劳动教育育人目标板块，内容可根据采购人需求微调优化。</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4.主体工艺：文化墙采用 PVC 板为基础材料，表面采用高清 UV 喷印工艺，色彩还原度高、图案清晰耐磨；搭配激光镂空雕刻与分层造型设计，增强画面层次感与立体感。</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5.立体部件工艺：主标语文字、主题标识及装饰造型采用 PVC 板切割成型，表面进行环保喷漆处理，色彩均匀、不易褪色；安装采用防霉结构胶固定，结合点面加固方式，确保牢固耐用，适配室内墙面长期使用。</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6.材料与环保要求：施工全程使用环保阻燃型材料，包括无异味 UV 喷印墨水、环保喷漆、低 VOC 胶粘剂等，材料均符合室内安全使用标准，不散发有害气体，保障室内空气环境安全无污染，适配校园劳动教室场景使用。</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7.安装与适配性：设计适配 8m×1.6m 墙面尺寸，可根据现场实际情况进行微调；安装工艺规范，完工后整体平整美观、无翘边脱落，与教室环境协调统一，满足长期使用需求。</w:t>
            </w:r>
          </w:p>
          <w:p w14:paraId="46EA8C2A">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8、膳达楼-2楼-墙2文化墙1块：尺寸</w:t>
            </w:r>
            <w:r>
              <w:rPr>
                <w:rFonts w:hint="eastAsia" w:ascii="Arial" w:hAnsi="Arial" w:eastAsia="宋体" w:cs="Arial"/>
                <w:color w:val="auto"/>
                <w:highlight w:val="none"/>
                <w:lang w:val="en-US" w:eastAsia="zh-CN"/>
              </w:rPr>
              <w:t>：</w:t>
            </w:r>
            <w:r>
              <w:rPr>
                <w:rFonts w:hint="default" w:ascii="Arial" w:hAnsi="Arial" w:eastAsia="宋体" w:cs="Arial"/>
                <w:color w:val="auto"/>
                <w:highlight w:val="none"/>
                <w:lang w:val="en-US" w:eastAsia="zh-CN"/>
              </w:rPr>
              <w:t>6.9m*1.35m；主体工艺：采用 PVC 板为基础材料，高清 UV 喷印工艺制作，色彩还原度高、图案清晰耐磨；结合激光镂空雕刻与分层造型设计，增强画面层次感与立体感，适配校园场景长期展示需求。设计理念与整体效果：围绕 “知识与技能育人” 核心主题，打造适配校园职业教育 / 实训场景的文化墙，整体风格简洁明快、主题鲜明，传递 “以知识赋能、以技术育人” 的教育导向，兼具教育性与观赏性。</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9、膳达楼-2楼-窗户*2文化墙2块：</w:t>
            </w:r>
          </w:p>
          <w:p w14:paraId="01156820">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尺寸</w:t>
            </w:r>
            <w:r>
              <w:rPr>
                <w:rFonts w:hint="eastAsia" w:ascii="Arial" w:hAnsi="Arial" w:eastAsia="宋体" w:cs="Arial"/>
                <w:color w:val="auto"/>
                <w:highlight w:val="none"/>
                <w:lang w:val="en-US" w:eastAsia="zh-CN"/>
              </w:rPr>
              <w:t>：</w:t>
            </w:r>
            <w:r>
              <w:rPr>
                <w:rFonts w:hint="default" w:ascii="Arial" w:hAnsi="Arial" w:eastAsia="宋体" w:cs="Arial"/>
                <w:color w:val="auto"/>
                <w:highlight w:val="none"/>
                <w:lang w:val="en-US" w:eastAsia="zh-CN"/>
              </w:rPr>
              <w:t>3.15m*1.2m；主体工艺：采用 PVC 板为基础材料，高清 UV 喷印工艺制作，色彩还原度高、图案清晰耐磨；结合激光镂空雕刻与分层造型设计，增强画面层次感与立体感，适配校园墙面长期展示需求。本项目为膳达楼2楼窗户旁墙面文化墙，共2块，单块适配墙面尺寸为 2.4m×1.6m，打造适配教室墙面的校园教育主题文化宣传阵地。</w:t>
            </w:r>
          </w:p>
          <w:p w14:paraId="7D0D5630">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10、膳达楼-2楼-实训室门口墙面文化墙1块：尺寸</w:t>
            </w:r>
            <w:r>
              <w:rPr>
                <w:rFonts w:hint="eastAsia" w:ascii="Arial" w:hAnsi="Arial" w:eastAsia="宋体" w:cs="Arial"/>
                <w:color w:val="auto"/>
                <w:highlight w:val="none"/>
                <w:lang w:val="en-US" w:eastAsia="zh-CN"/>
              </w:rPr>
              <w:t>：</w:t>
            </w:r>
            <w:r>
              <w:rPr>
                <w:rFonts w:hint="default" w:ascii="Arial" w:hAnsi="Arial" w:eastAsia="宋体" w:cs="Arial"/>
                <w:color w:val="auto"/>
                <w:highlight w:val="none"/>
                <w:lang w:val="en-US" w:eastAsia="zh-CN"/>
              </w:rPr>
              <w:t>2.3m*2.2m；本项目为膳达楼2楼实训室门口墙面文化墙，适配墙面尺寸为2.7m×2.8m，打造适配实训场景的校园文化宣传阵地。主体工艺：采用 PVC 板为基础材料，高清 UV 喷印工艺制作，色彩还原度高、图案清晰耐磨；结合激光镂空雕刻与分层造型设计，增强画面层次感与立体感，适配校园墙面长期展示需求。</w:t>
            </w:r>
          </w:p>
          <w:p w14:paraId="2B56CB0E">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11、膳达楼-2楼-楼梯文化墙1块:</w:t>
            </w:r>
          </w:p>
          <w:p w14:paraId="451BF84C">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尺寸</w:t>
            </w:r>
            <w:r>
              <w:rPr>
                <w:rFonts w:hint="eastAsia" w:ascii="Arial" w:hAnsi="Arial" w:eastAsia="宋体" w:cs="Arial"/>
                <w:color w:val="auto"/>
                <w:highlight w:val="none"/>
                <w:lang w:val="en-US" w:eastAsia="zh-CN"/>
              </w:rPr>
              <w:t>：</w:t>
            </w:r>
            <w:r>
              <w:rPr>
                <w:rFonts w:hint="default" w:ascii="Arial" w:hAnsi="Arial" w:eastAsia="宋体" w:cs="Arial"/>
                <w:color w:val="auto"/>
                <w:highlight w:val="none"/>
                <w:lang w:val="en-US" w:eastAsia="zh-CN"/>
              </w:rPr>
              <w:t>3.4m*2m；本项目为膳达楼 2 楼楼梯墙面文化墙，适配墙面长度 4.2m，高度可根据现场实际情况调整，打造适配楼梯间的社会主义核心价值观主题宣传阵地。主体工艺：采用 PVC 板为基础材料，高清 UV 喷印工艺制作，色彩还原度高、图案清晰耐磨；结合激光镂空雕刻与分层造型设计，增强画面层次感与立体感，适配楼梯间墙面长期展示需求。</w:t>
            </w:r>
          </w:p>
          <w:p w14:paraId="345A5AB5">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12、膳达楼-2楼-楼梯旁墙面文化墙1块：</w:t>
            </w:r>
          </w:p>
          <w:p w14:paraId="629EA615">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尺寸</w:t>
            </w:r>
            <w:r>
              <w:rPr>
                <w:rFonts w:hint="eastAsia" w:ascii="Arial" w:hAnsi="Arial" w:eastAsia="宋体" w:cs="Arial"/>
                <w:color w:val="auto"/>
                <w:highlight w:val="none"/>
                <w:lang w:val="en-US" w:eastAsia="zh-CN"/>
              </w:rPr>
              <w:t>：</w:t>
            </w:r>
            <w:r>
              <w:rPr>
                <w:rFonts w:hint="default" w:ascii="Arial" w:hAnsi="Arial" w:eastAsia="宋体" w:cs="Arial"/>
                <w:color w:val="auto"/>
                <w:highlight w:val="none"/>
                <w:lang w:val="en-US" w:eastAsia="zh-CN"/>
              </w:rPr>
              <w:t>1.6m*1.8m：本项目为膳达楼 2 楼楼梯旁墙面文化墙，适配墙面长度 1.8m，高度可根据现场实际情况灵活调整，打造适配校园楼梯公共区域的社会主义核心价值观主题宣传阵地。主体工艺：采用 PVC 板为基础材料，高清 UV 喷印工艺制作，色彩还原度高、图案清晰耐磨；结合激光镂空雕刻与分层造型设计，增强画面层次感与立体感，适配校园墙面长期展示需求。</w:t>
            </w:r>
          </w:p>
          <w:p w14:paraId="67BD93C9">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13、膳达楼-1楼-楼梯文化墙1块</w:t>
            </w:r>
          </w:p>
          <w:p w14:paraId="1F56CF2D">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尺寸</w:t>
            </w:r>
            <w:r>
              <w:rPr>
                <w:rFonts w:hint="eastAsia" w:ascii="Arial" w:hAnsi="Arial" w:eastAsia="宋体" w:cs="Arial"/>
                <w:color w:val="auto"/>
                <w:highlight w:val="none"/>
                <w:lang w:val="en-US" w:eastAsia="zh-CN"/>
              </w:rPr>
              <w:t>：</w:t>
            </w:r>
            <w:r>
              <w:rPr>
                <w:rFonts w:hint="default" w:ascii="Arial" w:hAnsi="Arial" w:eastAsia="宋体" w:cs="Arial"/>
                <w:color w:val="auto"/>
                <w:highlight w:val="none"/>
                <w:lang w:val="en-US" w:eastAsia="zh-CN"/>
              </w:rPr>
              <w:t>3.8m*1.9m；本项目为膳达楼 1 楼楼梯墙面主题文化墙，适配墙面长度 4.6m，高度可根据现场实际情况灵活调整，打造适配校园楼梯公共区域的党建主题宣传阵地。主体工艺：采用 PVC 板为基础材料，高清 UV 喷印工艺制作，色彩还原度高、图案清晰耐磨；结合激光镂空雕刻与分层造型设计，增强画面层次感与立体感，适配校园墙面长期展示需求。</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14、膳达楼-1楼-墙面-空调下方文化墙1块</w:t>
            </w:r>
          </w:p>
          <w:p w14:paraId="15A4ED7F">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尺寸</w:t>
            </w:r>
            <w:r>
              <w:rPr>
                <w:rFonts w:hint="eastAsia" w:ascii="Arial" w:hAnsi="Arial" w:eastAsia="宋体" w:cs="Arial"/>
                <w:color w:val="auto"/>
                <w:highlight w:val="none"/>
                <w:lang w:val="en-US" w:eastAsia="zh-CN"/>
              </w:rPr>
              <w:t>：</w:t>
            </w:r>
            <w:r>
              <w:rPr>
                <w:rFonts w:hint="default" w:ascii="Arial" w:hAnsi="Arial" w:eastAsia="宋体" w:cs="Arial"/>
                <w:color w:val="auto"/>
                <w:highlight w:val="none"/>
                <w:lang w:val="en-US" w:eastAsia="zh-CN"/>
              </w:rPr>
              <w:t>2.2m*2.3m；本项目为膳达楼 1 楼空调下方墙面文化墙，适配墙面尺寸为 2.5m×3m，打造适配校园公共区域的学习主题文化宣传阵地。主体工艺：采用 PVC 板为基础材料，高清 UV 喷印工艺制作，色彩还原度高、图案清晰耐磨；结合激光镂空雕刻与分层造型设计，增强画面层次感与立体感，适配校园墙面长期展示需求。</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15、膳达楼-1楼-玻璃门旁边墙面-膳达楼大字左下方文化墙1块</w:t>
            </w:r>
          </w:p>
          <w:p w14:paraId="32E4FBF1">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尺寸</w:t>
            </w:r>
            <w:r>
              <w:rPr>
                <w:rFonts w:hint="eastAsia" w:ascii="Arial" w:hAnsi="Arial" w:eastAsia="宋体" w:cs="Arial"/>
                <w:color w:val="auto"/>
                <w:highlight w:val="none"/>
                <w:lang w:val="en-US" w:eastAsia="zh-CN"/>
              </w:rPr>
              <w:t>：</w:t>
            </w:r>
            <w:r>
              <w:rPr>
                <w:rFonts w:hint="default" w:ascii="Arial" w:hAnsi="Arial" w:eastAsia="宋体" w:cs="Arial"/>
                <w:color w:val="auto"/>
                <w:highlight w:val="none"/>
                <w:lang w:val="en-US" w:eastAsia="zh-CN"/>
              </w:rPr>
              <w:t>4.6m*2.3m；本项目为膳达楼 1 楼玻璃门旁墙面文化墙，适配墙面长度 6.5m，高度可根据现场实际情况灵活调整，打造适配校园入口区域的文明礼仪主题宣传阵地。主体工艺：采用 PVC 板为基础材料，高清 UV 喷印工艺制作，色彩还原度高、图案清晰耐磨；结合激光镂空雕刻与分层造型设计，增强画面层次感与立体感，适配校园墙面长期展示需求。</w:t>
            </w:r>
          </w:p>
          <w:p w14:paraId="5C9527B0">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16、膳达楼-1楼-玻璃门上方-膳达楼大字正下方文化墙1块</w:t>
            </w:r>
          </w:p>
          <w:p w14:paraId="2DB4DCCD">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尺寸</w:t>
            </w:r>
            <w:r>
              <w:rPr>
                <w:rFonts w:hint="eastAsia" w:ascii="Arial" w:hAnsi="Arial" w:eastAsia="宋体" w:cs="Arial"/>
                <w:color w:val="auto"/>
                <w:highlight w:val="none"/>
                <w:lang w:val="en-US" w:eastAsia="zh-CN"/>
              </w:rPr>
              <w:t>：</w:t>
            </w:r>
            <w:r>
              <w:rPr>
                <w:rFonts w:hint="default" w:ascii="Arial" w:hAnsi="Arial" w:eastAsia="宋体" w:cs="Arial"/>
                <w:color w:val="auto"/>
                <w:highlight w:val="none"/>
                <w:lang w:val="en-US" w:eastAsia="zh-CN"/>
              </w:rPr>
              <w:t>3.55m*2.2m；本项目为膳达楼 1 楼玻璃门上方墙面文化墙，适配墙面长度 4.8m，高度可根据现场实际情况灵活调整，打造适配校园入口区域的教育方针主题宣传阵地。</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主体工艺：采用 PVC 板为基础材料，高清 UV 喷印工艺制作，色彩还原度高、图案清晰耐磨；结合激光镂空雕刻与分层造型设计，增强画面层次感与立体感，适配校园墙面长期展示需求。</w:t>
            </w:r>
            <w:r>
              <w:rPr>
                <w:rFonts w:hint="default" w:ascii="Arial" w:hAnsi="Arial" w:eastAsia="宋体" w:cs="Arial"/>
                <w:color w:val="auto"/>
                <w:highlight w:val="none"/>
                <w:lang w:val="en-US" w:eastAsia="zh-CN"/>
              </w:rPr>
              <w:br w:type="textWrapping"/>
            </w:r>
            <w:r>
              <w:rPr>
                <w:rFonts w:hint="default" w:ascii="Arial" w:hAnsi="Arial" w:eastAsia="宋体" w:cs="Arial"/>
                <w:color w:val="auto"/>
                <w:highlight w:val="none"/>
                <w:lang w:val="en-US" w:eastAsia="zh-CN"/>
              </w:rPr>
              <w:t>17、膳达楼-实训室1楼-玻璃门右侧墙面文化墙1块：</w:t>
            </w:r>
          </w:p>
          <w:p w14:paraId="3FB9A248">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尺寸</w:t>
            </w:r>
            <w:r>
              <w:rPr>
                <w:rFonts w:hint="eastAsia" w:ascii="Arial" w:hAnsi="Arial" w:eastAsia="宋体" w:cs="Arial"/>
                <w:color w:val="auto"/>
                <w:highlight w:val="none"/>
                <w:lang w:val="en-US" w:eastAsia="zh-CN"/>
              </w:rPr>
              <w:t>：</w:t>
            </w:r>
            <w:r>
              <w:rPr>
                <w:rFonts w:hint="default" w:ascii="Arial" w:hAnsi="Arial" w:eastAsia="宋体" w:cs="Arial"/>
                <w:color w:val="auto"/>
                <w:highlight w:val="none"/>
                <w:lang w:val="en-US" w:eastAsia="zh-CN"/>
              </w:rPr>
              <w:t>1.25m*1.35m；本项目为膳达楼实训室 1 楼玻璃门右侧墙面文化墙，适配墙面尺寸为 1.5m×1.6m，打造适配实训室入口区域的教育方针主题宣传阵地。主体工艺：采用 PVC 板为基础材料，高清 UV 喷印工艺制作，色彩还原度高、图案清晰耐磨；结合激光镂空雕刻与分层造型设计，增强画面层次感与立体感，适配校园墙面长期展示需求。</w:t>
            </w:r>
          </w:p>
          <w:p w14:paraId="26C55904">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18、味能楼-右边墙面文化墙1块</w:t>
            </w:r>
          </w:p>
          <w:p w14:paraId="54462B12">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尺寸</w:t>
            </w:r>
            <w:r>
              <w:rPr>
                <w:rFonts w:hint="eastAsia" w:ascii="Arial" w:hAnsi="Arial" w:eastAsia="宋体" w:cs="Arial"/>
                <w:color w:val="auto"/>
                <w:highlight w:val="none"/>
                <w:lang w:val="en-US" w:eastAsia="zh-CN"/>
              </w:rPr>
              <w:t>：</w:t>
            </w:r>
            <w:r>
              <w:rPr>
                <w:rFonts w:hint="default" w:ascii="Arial" w:hAnsi="Arial" w:eastAsia="宋体" w:cs="Arial"/>
                <w:color w:val="auto"/>
                <w:highlight w:val="none"/>
                <w:lang w:val="en-US" w:eastAsia="zh-CN"/>
              </w:rPr>
              <w:t>2.4m*3m；本项目为味能楼右侧墙面文化墙，适配墙面尺寸为 3m×3.5m，打造适配校园公共区域的文明校园主题宣传阵地。主体工艺：采用 PVC 板为基础材料，高清 UV 喷印工艺制作，色彩还原度高、图案清晰耐磨；结合激光镂空雕刻与分层造型设计，增强画面层次感与立体感，适配校园外墙长期展示需求。</w:t>
            </w:r>
          </w:p>
          <w:p w14:paraId="20C4C2C0">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19、味能楼二楼走廊文化墙</w:t>
            </w:r>
            <w:r>
              <w:rPr>
                <w:rFonts w:hint="eastAsia" w:ascii="Arial" w:hAnsi="Arial" w:cs="Arial"/>
                <w:color w:val="auto"/>
                <w:highlight w:val="none"/>
                <w:lang w:val="en-US" w:eastAsia="zh-CN"/>
              </w:rPr>
              <w:t>≥</w:t>
            </w:r>
            <w:r>
              <w:rPr>
                <w:rFonts w:hint="default" w:ascii="Arial" w:hAnsi="Arial" w:eastAsia="宋体" w:cs="Arial"/>
                <w:color w:val="auto"/>
                <w:highlight w:val="none"/>
                <w:lang w:val="en-US" w:eastAsia="zh-CN"/>
              </w:rPr>
              <w:t>1块</w:t>
            </w:r>
            <w:r>
              <w:rPr>
                <w:rFonts w:hint="eastAsia" w:ascii="Arial" w:hAnsi="Arial" w:eastAsia="宋体" w:cs="Arial"/>
                <w:color w:val="auto"/>
                <w:highlight w:val="none"/>
                <w:lang w:val="en-US" w:eastAsia="zh-CN"/>
              </w:rPr>
              <w:t>，</w:t>
            </w:r>
            <w:r>
              <w:rPr>
                <w:rFonts w:hint="default" w:ascii="Arial" w:hAnsi="Arial" w:eastAsia="宋体" w:cs="Arial"/>
                <w:color w:val="auto"/>
                <w:highlight w:val="none"/>
                <w:lang w:val="en-US" w:eastAsia="zh-CN"/>
              </w:rPr>
              <w:t>3.5*1.2m聚能楼间走道，消防文化两层PVC板加晶格板</w:t>
            </w:r>
            <w:r>
              <w:rPr>
                <w:rFonts w:hint="eastAsia" w:ascii="Arial" w:hAnsi="Arial" w:eastAsia="宋体" w:cs="Arial"/>
                <w:color w:val="auto"/>
                <w:highlight w:val="none"/>
                <w:lang w:val="en-US" w:eastAsia="zh-CN"/>
              </w:rPr>
              <w:t>固定增</w:t>
            </w:r>
            <w:r>
              <w:rPr>
                <w:rFonts w:hint="default" w:ascii="Arial" w:hAnsi="Arial" w:eastAsia="宋体" w:cs="Arial"/>
                <w:color w:val="auto"/>
                <w:highlight w:val="none"/>
                <w:lang w:val="en-US" w:eastAsia="zh-CN"/>
              </w:rPr>
              <w:t>加4个射灯</w:t>
            </w:r>
          </w:p>
          <w:p w14:paraId="75D4E476">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20、味能楼二楼走廊文化墙</w:t>
            </w:r>
            <w:r>
              <w:rPr>
                <w:rFonts w:hint="eastAsia" w:ascii="Arial" w:hAnsi="Arial" w:cs="Arial"/>
                <w:color w:val="auto"/>
                <w:highlight w:val="none"/>
                <w:lang w:val="en-US" w:eastAsia="zh-CN"/>
              </w:rPr>
              <w:t>≥</w:t>
            </w:r>
            <w:r>
              <w:rPr>
                <w:rFonts w:hint="default" w:ascii="Arial" w:hAnsi="Arial" w:eastAsia="宋体" w:cs="Arial"/>
                <w:color w:val="auto"/>
                <w:highlight w:val="none"/>
                <w:lang w:val="en-US" w:eastAsia="zh-CN"/>
              </w:rPr>
              <w:t>1块</w:t>
            </w:r>
            <w:r>
              <w:rPr>
                <w:rFonts w:hint="eastAsia" w:ascii="Arial" w:hAnsi="Arial" w:eastAsia="宋体" w:cs="Arial"/>
                <w:color w:val="auto"/>
                <w:highlight w:val="none"/>
                <w:lang w:val="en-US" w:eastAsia="zh-CN"/>
              </w:rPr>
              <w:t>，</w:t>
            </w:r>
            <w:r>
              <w:rPr>
                <w:rFonts w:hint="default" w:ascii="Arial" w:hAnsi="Arial" w:eastAsia="宋体" w:cs="Arial"/>
                <w:color w:val="auto"/>
                <w:highlight w:val="none"/>
                <w:lang w:val="en-US" w:eastAsia="zh-CN"/>
              </w:rPr>
              <w:t>3.5*1.2m聚能楼间走道，消防文化两层PVC板加晶格板</w:t>
            </w:r>
            <w:r>
              <w:rPr>
                <w:rFonts w:hint="eastAsia" w:ascii="Arial" w:hAnsi="Arial" w:eastAsia="宋体" w:cs="Arial"/>
                <w:color w:val="auto"/>
                <w:highlight w:val="none"/>
                <w:lang w:val="en-US" w:eastAsia="zh-CN"/>
              </w:rPr>
              <w:t>固定增</w:t>
            </w:r>
            <w:r>
              <w:rPr>
                <w:rFonts w:hint="default" w:ascii="Arial" w:hAnsi="Arial" w:eastAsia="宋体" w:cs="Arial"/>
                <w:color w:val="auto"/>
                <w:highlight w:val="none"/>
                <w:lang w:val="en-US" w:eastAsia="zh-CN"/>
              </w:rPr>
              <w:t>加5个射灯</w:t>
            </w:r>
          </w:p>
          <w:p w14:paraId="7B008926">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21、味能楼二楼走廊文化墙</w:t>
            </w:r>
            <w:r>
              <w:rPr>
                <w:rFonts w:hint="eastAsia" w:ascii="Arial" w:hAnsi="Arial" w:cs="Arial"/>
                <w:color w:val="auto"/>
                <w:highlight w:val="none"/>
                <w:lang w:val="en-US" w:eastAsia="zh-CN"/>
              </w:rPr>
              <w:t>≥</w:t>
            </w:r>
            <w:r>
              <w:rPr>
                <w:rFonts w:hint="default" w:ascii="Arial" w:hAnsi="Arial" w:eastAsia="宋体" w:cs="Arial"/>
                <w:color w:val="auto"/>
                <w:highlight w:val="none"/>
                <w:lang w:val="en-US" w:eastAsia="zh-CN"/>
              </w:rPr>
              <w:t>1块</w:t>
            </w:r>
            <w:r>
              <w:rPr>
                <w:rFonts w:hint="eastAsia" w:ascii="Arial" w:hAnsi="Arial" w:eastAsia="宋体" w:cs="Arial"/>
                <w:color w:val="auto"/>
                <w:highlight w:val="none"/>
                <w:lang w:val="en-US" w:eastAsia="zh-CN"/>
              </w:rPr>
              <w:t>，</w:t>
            </w:r>
            <w:r>
              <w:rPr>
                <w:rFonts w:hint="default" w:ascii="Arial" w:hAnsi="Arial" w:eastAsia="宋体" w:cs="Arial"/>
                <w:color w:val="auto"/>
                <w:highlight w:val="none"/>
                <w:lang w:val="en-US" w:eastAsia="zh-CN"/>
              </w:rPr>
              <w:t>3.5*1.2m聚能楼间走道，消防文化两层PVC板加晶格板</w:t>
            </w:r>
            <w:r>
              <w:rPr>
                <w:rFonts w:hint="eastAsia" w:ascii="Arial" w:hAnsi="Arial" w:eastAsia="宋体" w:cs="Arial"/>
                <w:color w:val="auto"/>
                <w:highlight w:val="none"/>
                <w:lang w:val="en-US" w:eastAsia="zh-CN"/>
              </w:rPr>
              <w:t>固定增</w:t>
            </w:r>
            <w:r>
              <w:rPr>
                <w:rFonts w:hint="default" w:ascii="Arial" w:hAnsi="Arial" w:eastAsia="宋体" w:cs="Arial"/>
                <w:color w:val="auto"/>
                <w:highlight w:val="none"/>
                <w:lang w:val="en-US" w:eastAsia="zh-CN"/>
              </w:rPr>
              <w:t>加6个射灯</w:t>
            </w:r>
          </w:p>
          <w:p w14:paraId="520CCFF0">
            <w:pPr>
              <w:pStyle w:val="20"/>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22、味能楼二楼走廊文化墙</w:t>
            </w:r>
            <w:r>
              <w:rPr>
                <w:rFonts w:hint="eastAsia" w:ascii="Arial" w:hAnsi="Arial" w:cs="Arial"/>
                <w:color w:val="auto"/>
                <w:highlight w:val="none"/>
                <w:lang w:val="en-US" w:eastAsia="zh-CN"/>
              </w:rPr>
              <w:t>≥</w:t>
            </w:r>
            <w:r>
              <w:rPr>
                <w:rFonts w:hint="default" w:ascii="Arial" w:hAnsi="Arial" w:eastAsia="宋体" w:cs="Arial"/>
                <w:color w:val="auto"/>
                <w:highlight w:val="none"/>
                <w:lang w:val="en-US" w:eastAsia="zh-CN"/>
              </w:rPr>
              <w:t>1块</w:t>
            </w:r>
            <w:r>
              <w:rPr>
                <w:rFonts w:hint="eastAsia" w:ascii="Arial" w:hAnsi="Arial" w:eastAsia="宋体" w:cs="Arial"/>
                <w:color w:val="auto"/>
                <w:highlight w:val="none"/>
                <w:lang w:val="en-US" w:eastAsia="zh-CN"/>
              </w:rPr>
              <w:t>，</w:t>
            </w:r>
            <w:r>
              <w:rPr>
                <w:rFonts w:hint="default" w:ascii="Arial" w:hAnsi="Arial" w:eastAsia="宋体" w:cs="Arial"/>
                <w:color w:val="auto"/>
                <w:highlight w:val="none"/>
                <w:lang w:val="en-US" w:eastAsia="zh-CN"/>
              </w:rPr>
              <w:t>3.5*1.2m聚能楼间走道，消防文化两层PVC板加晶格板</w:t>
            </w:r>
            <w:r>
              <w:rPr>
                <w:rFonts w:hint="eastAsia" w:ascii="Arial" w:hAnsi="Arial" w:eastAsia="宋体" w:cs="Arial"/>
                <w:color w:val="auto"/>
                <w:highlight w:val="none"/>
                <w:lang w:val="en-US" w:eastAsia="zh-CN"/>
              </w:rPr>
              <w:t>固定增</w:t>
            </w:r>
            <w:r>
              <w:rPr>
                <w:rFonts w:hint="default" w:ascii="Arial" w:hAnsi="Arial" w:eastAsia="宋体" w:cs="Arial"/>
                <w:color w:val="auto"/>
                <w:highlight w:val="none"/>
                <w:lang w:val="en-US" w:eastAsia="zh-CN"/>
              </w:rPr>
              <w:t>加7个射灯</w:t>
            </w:r>
          </w:p>
        </w:tc>
        <w:tc>
          <w:tcPr>
            <w:tcW w:w="1121" w:type="dxa"/>
            <w:tcBorders>
              <w:top w:val="single" w:color="auto" w:sz="4" w:space="0"/>
              <w:left w:val="single" w:color="auto" w:sz="4" w:space="0"/>
              <w:bottom w:val="single" w:color="auto" w:sz="4" w:space="0"/>
              <w:right w:val="single" w:color="auto" w:sz="4" w:space="0"/>
            </w:tcBorders>
            <w:noWrap w:val="0"/>
            <w:vAlign w:val="center"/>
          </w:tcPr>
          <w:p w14:paraId="73781294">
            <w:pPr>
              <w:keepNext w:val="0"/>
              <w:keepLines w:val="0"/>
              <w:widowControl/>
              <w:suppressLineNumbers w:val="0"/>
              <w:jc w:val="center"/>
              <w:textAlignment w:val="center"/>
              <w:rPr>
                <w:rFonts w:hint="default" w:ascii="Arial" w:hAnsi="Arial" w:eastAsia="宋体" w:cs="Arial"/>
                <w:color w:val="auto"/>
                <w:sz w:val="21"/>
                <w:szCs w:val="21"/>
                <w:highlight w:val="none"/>
                <w:lang w:val="en-US" w:eastAsia="zh-CN"/>
              </w:rPr>
            </w:pPr>
            <w:r>
              <w:rPr>
                <w:rFonts w:hint="default" w:ascii="Arial" w:hAnsi="Arial" w:eastAsia="宋体" w:cs="Arial"/>
                <w:i w:val="0"/>
                <w:iCs w:val="0"/>
                <w:color w:val="000000"/>
                <w:kern w:val="0"/>
                <w:sz w:val="20"/>
                <w:szCs w:val="20"/>
                <w:highlight w:val="none"/>
                <w:u w:val="none"/>
                <w:lang w:val="en-US" w:eastAsia="zh-CN" w:bidi="ar"/>
              </w:rPr>
              <w:t xml:space="preserve">79090.00 </w:t>
            </w:r>
          </w:p>
        </w:tc>
      </w:tr>
      <w:tr w14:paraId="0314A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17" w:type="dxa"/>
            <w:gridSpan w:val="7"/>
            <w:tcBorders>
              <w:top w:val="single" w:color="auto" w:sz="4" w:space="0"/>
              <w:left w:val="single" w:color="auto" w:sz="4" w:space="0"/>
              <w:bottom w:val="single" w:color="auto" w:sz="4" w:space="0"/>
              <w:right w:val="single" w:color="auto" w:sz="4" w:space="0"/>
            </w:tcBorders>
            <w:noWrap w:val="0"/>
            <w:vAlign w:val="top"/>
          </w:tcPr>
          <w:p w14:paraId="77DAD284">
            <w:pPr>
              <w:spacing w:line="360" w:lineRule="auto"/>
              <w:rPr>
                <w:rFonts w:hint="default" w:ascii="Arial" w:hAnsi="Arial" w:cs="Arial"/>
                <w:b/>
                <w:bCs/>
                <w:color w:val="auto"/>
                <w:szCs w:val="21"/>
                <w:highlight w:val="none"/>
              </w:rPr>
            </w:pPr>
            <w:r>
              <w:rPr>
                <w:rFonts w:hint="eastAsia" w:ascii="宋体" w:hAnsi="宋体"/>
                <w:color w:val="000000"/>
                <w:szCs w:val="21"/>
                <w:highlight w:val="none"/>
              </w:rPr>
              <w:t>▲</w:t>
            </w:r>
            <w:r>
              <w:rPr>
                <w:rFonts w:hint="default" w:ascii="Arial" w:hAnsi="Arial" w:cs="Arial"/>
                <w:b/>
                <w:bCs/>
                <w:color w:val="auto"/>
                <w:szCs w:val="21"/>
                <w:highlight w:val="none"/>
              </w:rPr>
              <w:t>二、商务要求</w:t>
            </w:r>
          </w:p>
        </w:tc>
      </w:tr>
      <w:tr w14:paraId="2CE66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9" w:type="dxa"/>
            <w:gridSpan w:val="2"/>
            <w:tcBorders>
              <w:top w:val="single" w:color="auto" w:sz="4" w:space="0"/>
              <w:left w:val="single" w:color="auto" w:sz="4" w:space="0"/>
              <w:bottom w:val="single" w:color="auto" w:sz="4" w:space="0"/>
              <w:right w:val="single" w:color="auto" w:sz="4" w:space="0"/>
            </w:tcBorders>
            <w:noWrap w:val="0"/>
            <w:vAlign w:val="center"/>
          </w:tcPr>
          <w:p w14:paraId="1CEDFD01">
            <w:pPr>
              <w:keepNext w:val="0"/>
              <w:keepLines w:val="0"/>
              <w:suppressLineNumbers w:val="0"/>
              <w:snapToGrid w:val="0"/>
              <w:spacing w:before="0" w:beforeAutospacing="0" w:after="0" w:afterAutospacing="0" w:line="360" w:lineRule="auto"/>
              <w:ind w:left="0" w:leftChars="0" w:right="0" w:rightChars="0"/>
              <w:jc w:val="center"/>
              <w:rPr>
                <w:rFonts w:hint="default" w:ascii="Arial" w:hAnsi="Arial" w:eastAsia="宋体" w:cs="Arial"/>
                <w:color w:val="000000"/>
                <w:sz w:val="21"/>
                <w:szCs w:val="21"/>
                <w:highlight w:val="none"/>
                <w:lang w:val="en-US" w:eastAsia="zh-CN"/>
              </w:rPr>
            </w:pPr>
            <w:r>
              <w:rPr>
                <w:rFonts w:hint="eastAsia" w:ascii="Arial" w:hAnsi="Arial" w:cs="Arial"/>
                <w:color w:val="000000"/>
                <w:sz w:val="21"/>
                <w:szCs w:val="21"/>
                <w:highlight w:val="none"/>
                <w:lang w:val="en-US" w:eastAsia="zh-CN"/>
              </w:rPr>
              <w:t>响应报价</w:t>
            </w:r>
          </w:p>
        </w:tc>
        <w:tc>
          <w:tcPr>
            <w:tcW w:w="8728" w:type="dxa"/>
            <w:gridSpan w:val="5"/>
            <w:tcBorders>
              <w:top w:val="single" w:color="auto" w:sz="4" w:space="0"/>
              <w:left w:val="single" w:color="auto" w:sz="4" w:space="0"/>
              <w:bottom w:val="single" w:color="auto" w:sz="4" w:space="0"/>
              <w:right w:val="single" w:color="auto" w:sz="4" w:space="0"/>
            </w:tcBorders>
            <w:noWrap w:val="0"/>
            <w:vAlign w:val="center"/>
          </w:tcPr>
          <w:p w14:paraId="6EF88B2E">
            <w:pPr>
              <w:keepNext w:val="0"/>
              <w:keepLines w:val="0"/>
              <w:suppressLineNumbers w:val="0"/>
              <w:snapToGrid w:val="0"/>
              <w:spacing w:before="0" w:beforeAutospacing="0" w:after="0" w:afterAutospacing="0" w:line="360" w:lineRule="auto"/>
              <w:ind w:left="0" w:leftChars="0" w:right="0" w:rightChars="0"/>
              <w:jc w:val="left"/>
              <w:rPr>
                <w:rFonts w:hint="default" w:ascii="Arial" w:hAnsi="Arial" w:cs="Arial"/>
                <w:sz w:val="21"/>
                <w:szCs w:val="21"/>
                <w:highlight w:val="none"/>
                <w:lang w:val="en-US" w:eastAsia="zh-CN"/>
              </w:rPr>
            </w:pPr>
            <w:r>
              <w:rPr>
                <w:rFonts w:hint="default" w:ascii="Arial" w:hAnsi="Arial" w:cs="Arial"/>
                <w:sz w:val="21"/>
                <w:szCs w:val="21"/>
                <w:highlight w:val="none"/>
                <w:lang w:val="en-US" w:eastAsia="zh-CN"/>
              </w:rPr>
              <w:t>报价包含满足本次全部采购需求所应提供的服务，以及伴随的货物（如有）的价格；包含磋商服务、货物的成本、运输（含保险）、安装（如有）、调试、检验、技术服务、培训、税费等所有费用。</w:t>
            </w:r>
          </w:p>
        </w:tc>
      </w:tr>
      <w:tr w14:paraId="5C828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9" w:type="dxa"/>
            <w:gridSpan w:val="2"/>
            <w:tcBorders>
              <w:top w:val="single" w:color="auto" w:sz="4" w:space="0"/>
              <w:left w:val="single" w:color="auto" w:sz="4" w:space="0"/>
              <w:bottom w:val="single" w:color="auto" w:sz="4" w:space="0"/>
              <w:right w:val="single" w:color="auto" w:sz="4" w:space="0"/>
            </w:tcBorders>
            <w:noWrap w:val="0"/>
            <w:vAlign w:val="center"/>
          </w:tcPr>
          <w:p w14:paraId="6E1514A8">
            <w:pPr>
              <w:keepNext w:val="0"/>
              <w:keepLines w:val="0"/>
              <w:suppressLineNumbers w:val="0"/>
              <w:snapToGrid w:val="0"/>
              <w:spacing w:before="0" w:beforeAutospacing="0" w:after="0" w:afterAutospacing="0" w:line="360" w:lineRule="auto"/>
              <w:ind w:left="0" w:leftChars="0" w:right="0" w:rightChars="0"/>
              <w:jc w:val="center"/>
              <w:rPr>
                <w:rFonts w:hint="default" w:ascii="Arial" w:hAnsi="Arial" w:cs="Arial"/>
                <w:b/>
                <w:bCs/>
                <w:color w:val="auto"/>
                <w:szCs w:val="21"/>
                <w:highlight w:val="none"/>
              </w:rPr>
            </w:pPr>
            <w:r>
              <w:rPr>
                <w:rFonts w:hint="default" w:ascii="Arial" w:hAnsi="Arial" w:cs="Arial"/>
                <w:color w:val="000000"/>
                <w:sz w:val="21"/>
                <w:szCs w:val="21"/>
                <w:highlight w:val="none"/>
              </w:rPr>
              <w:t>质保期</w:t>
            </w:r>
          </w:p>
        </w:tc>
        <w:tc>
          <w:tcPr>
            <w:tcW w:w="8728" w:type="dxa"/>
            <w:gridSpan w:val="5"/>
            <w:tcBorders>
              <w:top w:val="single" w:color="auto" w:sz="4" w:space="0"/>
              <w:left w:val="single" w:color="auto" w:sz="4" w:space="0"/>
              <w:bottom w:val="single" w:color="auto" w:sz="4" w:space="0"/>
              <w:right w:val="single" w:color="auto" w:sz="4" w:space="0"/>
            </w:tcBorders>
            <w:noWrap w:val="0"/>
            <w:vAlign w:val="center"/>
          </w:tcPr>
          <w:p w14:paraId="1DFA1EE8">
            <w:pPr>
              <w:keepNext w:val="0"/>
              <w:keepLines w:val="0"/>
              <w:suppressLineNumbers w:val="0"/>
              <w:snapToGrid w:val="0"/>
              <w:spacing w:before="0" w:beforeAutospacing="0" w:after="0" w:afterAutospacing="0" w:line="360" w:lineRule="auto"/>
              <w:ind w:left="0" w:leftChars="0" w:right="0" w:rightChars="0"/>
              <w:jc w:val="left"/>
              <w:rPr>
                <w:rFonts w:hint="default" w:ascii="Arial" w:hAnsi="Arial" w:cs="Arial"/>
                <w:color w:val="auto"/>
                <w:szCs w:val="21"/>
                <w:highlight w:val="none"/>
              </w:rPr>
            </w:pPr>
            <w:r>
              <w:rPr>
                <w:rFonts w:hint="eastAsia" w:ascii="Arial" w:hAnsi="Arial" w:cs="Arial"/>
                <w:color w:val="auto"/>
                <w:szCs w:val="21"/>
                <w:highlight w:val="none"/>
                <w:lang w:val="en-US" w:eastAsia="zh-CN"/>
              </w:rPr>
              <w:t>1、</w:t>
            </w:r>
            <w:r>
              <w:rPr>
                <w:rFonts w:hint="default" w:ascii="Arial" w:hAnsi="Arial" w:cs="Arial"/>
                <w:color w:val="auto"/>
                <w:szCs w:val="21"/>
                <w:highlight w:val="none"/>
              </w:rPr>
              <w:t>课程与教学资源提供一年的免费保修服务，保修期和系统技术支持自验收合格之日起计算，同时课程内容提供终生升级服务</w:t>
            </w:r>
            <w:r>
              <w:rPr>
                <w:rFonts w:hint="default" w:ascii="Arial" w:hAnsi="Arial" w:cs="Arial"/>
                <w:color w:val="auto"/>
                <w:szCs w:val="21"/>
                <w:highlight w:val="none"/>
                <w:lang w:eastAsia="zh-CN"/>
              </w:rPr>
              <w:t>，</w:t>
            </w:r>
            <w:r>
              <w:rPr>
                <w:rFonts w:hint="default" w:ascii="Arial" w:hAnsi="Arial" w:cs="Arial"/>
                <w:color w:val="auto"/>
                <w:szCs w:val="21"/>
                <w:highlight w:val="none"/>
                <w:lang w:val="en-US" w:eastAsia="zh-CN"/>
              </w:rPr>
              <w:t>相关费用均包含在报价中</w:t>
            </w:r>
            <w:r>
              <w:rPr>
                <w:rFonts w:hint="default" w:ascii="Arial" w:hAnsi="Arial" w:cs="Arial"/>
                <w:color w:val="auto"/>
                <w:szCs w:val="21"/>
                <w:highlight w:val="none"/>
              </w:rPr>
              <w:t>。若</w:t>
            </w:r>
            <w:r>
              <w:rPr>
                <w:rFonts w:hint="eastAsia" w:ascii="Arial" w:hAnsi="Arial" w:cs="Arial"/>
                <w:color w:val="auto"/>
                <w:szCs w:val="21"/>
                <w:highlight w:val="none"/>
                <w:lang w:eastAsia="zh-CN"/>
              </w:rPr>
              <w:t>中标供应商</w:t>
            </w:r>
            <w:r>
              <w:rPr>
                <w:rFonts w:hint="default" w:ascii="Arial" w:hAnsi="Arial" w:cs="Arial"/>
                <w:color w:val="auto"/>
                <w:szCs w:val="21"/>
                <w:highlight w:val="none"/>
              </w:rPr>
              <w:t>的保修期不满足本条款要求或未提供相应书面说明将视为未实质性响应采购要求。</w:t>
            </w:r>
          </w:p>
          <w:p w14:paraId="603EEE06">
            <w:pPr>
              <w:keepNext w:val="0"/>
              <w:keepLines w:val="0"/>
              <w:suppressLineNumbers w:val="0"/>
              <w:snapToGrid w:val="0"/>
              <w:spacing w:before="0" w:beforeAutospacing="0" w:after="0" w:afterAutospacing="0" w:line="360" w:lineRule="auto"/>
              <w:ind w:left="0" w:leftChars="0" w:right="0" w:rightChars="0"/>
              <w:jc w:val="left"/>
              <w:rPr>
                <w:rFonts w:hint="eastAsia" w:ascii="Arial" w:hAnsi="Arial" w:eastAsia="宋体" w:cs="Arial"/>
                <w:color w:val="auto"/>
                <w:szCs w:val="21"/>
                <w:highlight w:val="none"/>
                <w:lang w:val="en-US" w:eastAsia="zh-CN"/>
              </w:rPr>
            </w:pPr>
            <w:r>
              <w:rPr>
                <w:rFonts w:hint="eastAsia" w:ascii="Arial" w:hAnsi="Arial" w:cs="Arial"/>
                <w:color w:val="auto"/>
                <w:szCs w:val="21"/>
                <w:highlight w:val="none"/>
                <w:lang w:val="en-US" w:eastAsia="zh-CN"/>
              </w:rPr>
              <w:t>2、质保期内供应商应提供远程服务，有专门的 7×12 服务，包括售后电话、在线客服、QQ、E-mail 等，可随时记录及解答用户提出的问题，及时反馈；对系统出现的问题无法通过电话解 决可及时派人员前往现场进行维修、调试。接报后1小时响应，在线或网络无法解决的问题，6小时内到达现场，12小时解决问题。</w:t>
            </w:r>
          </w:p>
        </w:tc>
      </w:tr>
      <w:tr w14:paraId="357E6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9" w:type="dxa"/>
            <w:gridSpan w:val="2"/>
            <w:tcBorders>
              <w:top w:val="single" w:color="auto" w:sz="4" w:space="0"/>
              <w:left w:val="single" w:color="auto" w:sz="4" w:space="0"/>
              <w:bottom w:val="single" w:color="auto" w:sz="4" w:space="0"/>
              <w:right w:val="single" w:color="auto" w:sz="4" w:space="0"/>
            </w:tcBorders>
            <w:noWrap w:val="0"/>
            <w:vAlign w:val="center"/>
          </w:tcPr>
          <w:p w14:paraId="2A52AB9A">
            <w:pPr>
              <w:keepNext w:val="0"/>
              <w:keepLines w:val="0"/>
              <w:suppressLineNumbers w:val="0"/>
              <w:snapToGrid w:val="0"/>
              <w:spacing w:before="0" w:beforeAutospacing="0" w:after="0" w:afterAutospacing="0" w:line="360" w:lineRule="auto"/>
              <w:ind w:left="0" w:right="0"/>
              <w:jc w:val="center"/>
              <w:rPr>
                <w:rFonts w:hint="default" w:ascii="Arial" w:hAnsi="Arial" w:cs="Arial"/>
                <w:color w:val="000000"/>
                <w:sz w:val="21"/>
                <w:szCs w:val="21"/>
                <w:highlight w:val="none"/>
              </w:rPr>
            </w:pPr>
            <w:r>
              <w:rPr>
                <w:rFonts w:hint="default" w:ascii="Arial" w:hAnsi="Arial" w:cs="Arial"/>
                <w:color w:val="000000"/>
                <w:sz w:val="21"/>
                <w:szCs w:val="21"/>
                <w:highlight w:val="none"/>
              </w:rPr>
              <w:t>售后及技术服务</w:t>
            </w:r>
          </w:p>
          <w:p w14:paraId="4D858326">
            <w:pPr>
              <w:keepNext w:val="0"/>
              <w:keepLines w:val="0"/>
              <w:suppressLineNumbers w:val="0"/>
              <w:snapToGrid w:val="0"/>
              <w:spacing w:before="0" w:beforeAutospacing="0" w:after="0" w:afterAutospacing="0" w:line="360" w:lineRule="auto"/>
              <w:ind w:left="0" w:leftChars="0" w:right="0" w:rightChars="0"/>
              <w:jc w:val="center"/>
              <w:rPr>
                <w:rFonts w:hint="default" w:ascii="Arial" w:hAnsi="Arial" w:cs="Arial"/>
                <w:b/>
                <w:bCs/>
                <w:color w:val="auto"/>
                <w:szCs w:val="21"/>
                <w:highlight w:val="none"/>
              </w:rPr>
            </w:pPr>
            <w:r>
              <w:rPr>
                <w:rFonts w:hint="default" w:ascii="Arial" w:hAnsi="Arial" w:cs="Arial"/>
                <w:color w:val="000000"/>
                <w:sz w:val="21"/>
                <w:szCs w:val="21"/>
                <w:highlight w:val="none"/>
              </w:rPr>
              <w:t>要求</w:t>
            </w:r>
          </w:p>
        </w:tc>
        <w:tc>
          <w:tcPr>
            <w:tcW w:w="8728" w:type="dxa"/>
            <w:gridSpan w:val="5"/>
            <w:tcBorders>
              <w:top w:val="single" w:color="auto" w:sz="4" w:space="0"/>
              <w:left w:val="single" w:color="auto" w:sz="4" w:space="0"/>
              <w:bottom w:val="single" w:color="auto" w:sz="4" w:space="0"/>
              <w:right w:val="single" w:color="auto" w:sz="4" w:space="0"/>
            </w:tcBorders>
            <w:noWrap w:val="0"/>
            <w:vAlign w:val="center"/>
          </w:tcPr>
          <w:p w14:paraId="759B75EC">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leftChars="0" w:right="0" w:rightChars="0"/>
              <w:jc w:val="left"/>
              <w:textAlignment w:val="auto"/>
              <w:rPr>
                <w:rFonts w:hint="default" w:ascii="Arial" w:hAnsi="Arial" w:cs="Arial"/>
                <w:color w:val="auto"/>
                <w:szCs w:val="21"/>
                <w:highlight w:val="none"/>
                <w:lang w:eastAsia="zh-CN"/>
              </w:rPr>
            </w:pPr>
            <w:r>
              <w:rPr>
                <w:rFonts w:hint="default" w:ascii="Arial" w:hAnsi="Arial" w:cs="Arial"/>
                <w:color w:val="auto"/>
                <w:szCs w:val="21"/>
                <w:highlight w:val="none"/>
                <w:lang w:val="en-US" w:eastAsia="zh-CN"/>
              </w:rPr>
              <w:t>1</w:t>
            </w:r>
            <w:r>
              <w:rPr>
                <w:rFonts w:hint="default" w:ascii="Arial" w:hAnsi="Arial" w:cs="Arial"/>
                <w:color w:val="auto"/>
                <w:szCs w:val="21"/>
                <w:highlight w:val="none"/>
              </w:rPr>
              <w:t>.</w:t>
            </w:r>
            <w:r>
              <w:rPr>
                <w:rFonts w:hint="default" w:ascii="Arial" w:hAnsi="Arial" w:cs="Arial"/>
                <w:color w:val="auto"/>
                <w:szCs w:val="21"/>
                <w:highlight w:val="none"/>
                <w:lang w:val="en-US" w:eastAsia="zh-CN"/>
              </w:rPr>
              <w:t>服务</w:t>
            </w:r>
            <w:r>
              <w:rPr>
                <w:rFonts w:hint="default" w:ascii="Arial" w:hAnsi="Arial" w:cs="Arial"/>
                <w:color w:val="auto"/>
                <w:szCs w:val="21"/>
                <w:highlight w:val="none"/>
              </w:rPr>
              <w:t>如出现质量问题在接到采购人通知后在</w:t>
            </w:r>
            <w:r>
              <w:rPr>
                <w:rFonts w:hint="default" w:ascii="Arial" w:hAnsi="Arial" w:cs="Arial"/>
                <w:color w:val="auto"/>
                <w:szCs w:val="21"/>
                <w:highlight w:val="none"/>
                <w:lang w:val="en-US" w:eastAsia="zh-CN"/>
              </w:rPr>
              <w:t>1小时</w:t>
            </w:r>
            <w:r>
              <w:rPr>
                <w:rFonts w:hint="default" w:ascii="Arial" w:hAnsi="Arial" w:cs="Arial"/>
                <w:color w:val="auto"/>
                <w:szCs w:val="21"/>
                <w:highlight w:val="none"/>
              </w:rPr>
              <w:t>响应，</w:t>
            </w:r>
            <w:r>
              <w:rPr>
                <w:rFonts w:hint="default" w:ascii="Arial" w:hAnsi="Arial" w:cs="Arial"/>
                <w:color w:val="auto"/>
                <w:szCs w:val="21"/>
                <w:highlight w:val="none"/>
                <w:lang w:val="en-US" w:eastAsia="zh-CN"/>
              </w:rPr>
              <w:t>6小时内到达现场，12</w:t>
            </w:r>
            <w:r>
              <w:rPr>
                <w:rFonts w:hint="default" w:ascii="Arial" w:hAnsi="Arial" w:cs="Arial"/>
                <w:color w:val="auto"/>
                <w:szCs w:val="21"/>
                <w:highlight w:val="none"/>
              </w:rPr>
              <w:t>小时内解决</w:t>
            </w:r>
            <w:r>
              <w:rPr>
                <w:rFonts w:hint="default" w:ascii="Arial" w:hAnsi="Arial" w:cs="Arial"/>
                <w:color w:val="auto"/>
                <w:szCs w:val="21"/>
                <w:highlight w:val="none"/>
                <w:lang w:eastAsia="zh-CN"/>
              </w:rPr>
              <w:t>。</w:t>
            </w:r>
          </w:p>
          <w:p w14:paraId="3F69FDB0">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leftChars="0" w:right="0" w:rightChars="0"/>
              <w:jc w:val="left"/>
              <w:textAlignment w:val="auto"/>
              <w:rPr>
                <w:rFonts w:hint="default" w:ascii="Arial" w:hAnsi="Arial" w:cs="Arial"/>
                <w:color w:val="auto"/>
                <w:szCs w:val="21"/>
                <w:highlight w:val="none"/>
              </w:rPr>
            </w:pPr>
            <w:r>
              <w:rPr>
                <w:rFonts w:hint="default" w:ascii="Arial" w:hAnsi="Arial" w:cs="Arial"/>
                <w:color w:val="auto"/>
                <w:szCs w:val="21"/>
                <w:highlight w:val="none"/>
                <w:lang w:val="en-US" w:eastAsia="zh-CN"/>
              </w:rPr>
              <w:t>2</w:t>
            </w:r>
            <w:r>
              <w:rPr>
                <w:rFonts w:hint="default" w:ascii="Arial" w:hAnsi="Arial" w:cs="Arial"/>
                <w:color w:val="auto"/>
                <w:szCs w:val="21"/>
                <w:highlight w:val="none"/>
              </w:rPr>
              <w:t>.</w:t>
            </w:r>
            <w:r>
              <w:rPr>
                <w:rFonts w:hint="default" w:ascii="Arial" w:hAnsi="Arial" w:cs="Arial"/>
                <w:color w:val="auto"/>
                <w:szCs w:val="21"/>
                <w:highlight w:val="none"/>
                <w:lang w:val="en-US" w:eastAsia="zh-CN"/>
              </w:rPr>
              <w:t>根据服务内容</w:t>
            </w:r>
            <w:r>
              <w:rPr>
                <w:rFonts w:hint="default" w:ascii="Arial" w:hAnsi="Arial" w:cs="Arial"/>
                <w:color w:val="auto"/>
                <w:szCs w:val="21"/>
                <w:highlight w:val="none"/>
              </w:rPr>
              <w:t>提供培训，咨询；质保期过后提供电话咨询服务，维护期满后为有偿维护，维护费收取标准由供应商根据具体情况提出方案后报采购人审核，经双方协商后确认收费标准。</w:t>
            </w:r>
          </w:p>
        </w:tc>
      </w:tr>
      <w:tr w14:paraId="3D5E2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1889" w:type="dxa"/>
            <w:gridSpan w:val="2"/>
            <w:tcBorders>
              <w:top w:val="single" w:color="auto" w:sz="4" w:space="0"/>
              <w:left w:val="single" w:color="auto" w:sz="4" w:space="0"/>
              <w:bottom w:val="single" w:color="auto" w:sz="4" w:space="0"/>
              <w:right w:val="single" w:color="auto" w:sz="4" w:space="0"/>
            </w:tcBorders>
            <w:noWrap w:val="0"/>
            <w:vAlign w:val="center"/>
          </w:tcPr>
          <w:p w14:paraId="3FBF637E">
            <w:pPr>
              <w:keepNext w:val="0"/>
              <w:keepLines w:val="0"/>
              <w:suppressLineNumbers w:val="0"/>
              <w:snapToGrid w:val="0"/>
              <w:spacing w:before="0" w:beforeAutospacing="0" w:after="0" w:afterAutospacing="0" w:line="360" w:lineRule="auto"/>
              <w:ind w:left="0" w:leftChars="0" w:right="0" w:rightChars="0"/>
              <w:jc w:val="center"/>
              <w:rPr>
                <w:rFonts w:hint="default" w:ascii="Arial" w:hAnsi="Arial" w:cs="Arial"/>
                <w:color w:val="auto"/>
                <w:szCs w:val="21"/>
                <w:highlight w:val="none"/>
              </w:rPr>
            </w:pPr>
            <w:r>
              <w:rPr>
                <w:rFonts w:hint="default" w:ascii="Arial" w:hAnsi="Arial" w:cs="Arial"/>
                <w:color w:val="000000"/>
                <w:sz w:val="21"/>
                <w:szCs w:val="21"/>
                <w:highlight w:val="none"/>
              </w:rPr>
              <w:t>交货时间及地点</w:t>
            </w:r>
          </w:p>
        </w:tc>
        <w:tc>
          <w:tcPr>
            <w:tcW w:w="8728" w:type="dxa"/>
            <w:gridSpan w:val="5"/>
            <w:tcBorders>
              <w:top w:val="single" w:color="auto" w:sz="4" w:space="0"/>
              <w:left w:val="single" w:color="auto" w:sz="4" w:space="0"/>
              <w:bottom w:val="single" w:color="auto" w:sz="4" w:space="0"/>
              <w:right w:val="single" w:color="auto" w:sz="4" w:space="0"/>
            </w:tcBorders>
            <w:noWrap w:val="0"/>
            <w:vAlign w:val="top"/>
          </w:tcPr>
          <w:p w14:paraId="586D54B2">
            <w:pPr>
              <w:keepNext w:val="0"/>
              <w:keepLines w:val="0"/>
              <w:suppressLineNumbers w:val="0"/>
              <w:snapToGrid w:val="0"/>
              <w:spacing w:before="0" w:beforeAutospacing="0" w:after="0" w:afterAutospacing="0" w:line="360" w:lineRule="auto"/>
              <w:ind w:left="0" w:right="0"/>
              <w:jc w:val="left"/>
              <w:rPr>
                <w:rFonts w:hint="default" w:ascii="Arial" w:hAnsi="Arial" w:cs="Arial" w:eastAsiaTheme="minorEastAsia"/>
                <w:sz w:val="21"/>
                <w:szCs w:val="21"/>
                <w:highlight w:val="none"/>
              </w:rPr>
            </w:pPr>
            <w:r>
              <w:rPr>
                <w:rFonts w:hint="default" w:ascii="Arial" w:hAnsi="Arial" w:cs="Arial" w:eastAsiaTheme="minorEastAsia"/>
                <w:sz w:val="21"/>
                <w:szCs w:val="21"/>
                <w:highlight w:val="none"/>
                <w:lang w:val="en-US" w:eastAsia="zh-CN"/>
              </w:rPr>
              <w:t>服务期限：自签订合同之日起12个月</w:t>
            </w:r>
          </w:p>
          <w:p w14:paraId="46B432B0">
            <w:pPr>
              <w:keepNext w:val="0"/>
              <w:keepLines w:val="0"/>
              <w:suppressLineNumbers w:val="0"/>
              <w:snapToGrid w:val="0"/>
              <w:spacing w:before="0" w:beforeAutospacing="0" w:after="0" w:afterAutospacing="0" w:line="360" w:lineRule="auto"/>
              <w:ind w:left="0" w:leftChars="0" w:right="0" w:rightChars="0"/>
              <w:jc w:val="left"/>
              <w:rPr>
                <w:rFonts w:hint="default" w:ascii="Arial" w:hAnsi="Arial" w:cs="Arial"/>
                <w:color w:val="auto"/>
                <w:szCs w:val="21"/>
                <w:highlight w:val="none"/>
              </w:rPr>
            </w:pPr>
            <w:r>
              <w:rPr>
                <w:rFonts w:hint="default" w:ascii="Arial" w:hAnsi="Arial" w:cs="Arial"/>
                <w:color w:val="auto"/>
                <w:szCs w:val="21"/>
                <w:highlight w:val="none"/>
                <w:lang w:val="en-US" w:eastAsia="zh-CN"/>
              </w:rPr>
              <w:t>服务地点：广西桂林市采购人指定地点</w:t>
            </w:r>
          </w:p>
        </w:tc>
      </w:tr>
      <w:tr w14:paraId="5B83F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889" w:type="dxa"/>
            <w:gridSpan w:val="2"/>
            <w:tcBorders>
              <w:top w:val="single" w:color="auto" w:sz="4" w:space="0"/>
              <w:left w:val="single" w:color="auto" w:sz="4" w:space="0"/>
              <w:bottom w:val="single" w:color="auto" w:sz="4" w:space="0"/>
              <w:right w:val="single" w:color="auto" w:sz="4" w:space="0"/>
            </w:tcBorders>
            <w:noWrap w:val="0"/>
            <w:vAlign w:val="center"/>
          </w:tcPr>
          <w:p w14:paraId="7CA76880">
            <w:pPr>
              <w:keepNext w:val="0"/>
              <w:keepLines w:val="0"/>
              <w:suppressLineNumbers w:val="0"/>
              <w:snapToGrid w:val="0"/>
              <w:spacing w:before="0" w:beforeAutospacing="0" w:after="0" w:afterAutospacing="0" w:line="360" w:lineRule="auto"/>
              <w:ind w:left="0" w:leftChars="0" w:right="0" w:rightChars="0"/>
              <w:jc w:val="center"/>
              <w:rPr>
                <w:rFonts w:hint="default" w:ascii="Arial" w:hAnsi="Arial" w:cs="Arial"/>
                <w:bCs/>
                <w:color w:val="auto"/>
                <w:kern w:val="0"/>
                <w:szCs w:val="21"/>
                <w:highlight w:val="none"/>
              </w:rPr>
            </w:pPr>
            <w:r>
              <w:rPr>
                <w:rFonts w:hint="default" w:ascii="Arial" w:hAnsi="Arial" w:cs="Arial"/>
                <w:color w:val="000000"/>
                <w:sz w:val="21"/>
                <w:szCs w:val="21"/>
                <w:highlight w:val="none"/>
              </w:rPr>
              <w:t>付款条件</w:t>
            </w:r>
          </w:p>
        </w:tc>
        <w:tc>
          <w:tcPr>
            <w:tcW w:w="8728" w:type="dxa"/>
            <w:gridSpan w:val="5"/>
            <w:tcBorders>
              <w:top w:val="single" w:color="auto" w:sz="4" w:space="0"/>
              <w:left w:val="single" w:color="auto" w:sz="4" w:space="0"/>
              <w:bottom w:val="single" w:color="auto" w:sz="4" w:space="0"/>
              <w:right w:val="single" w:color="auto" w:sz="4" w:space="0"/>
            </w:tcBorders>
            <w:noWrap w:val="0"/>
            <w:vAlign w:val="top"/>
          </w:tcPr>
          <w:p w14:paraId="4154A84B">
            <w:pPr>
              <w:keepNext w:val="0"/>
              <w:keepLines w:val="0"/>
              <w:suppressLineNumbers w:val="0"/>
              <w:snapToGrid w:val="0"/>
              <w:spacing w:before="0" w:beforeAutospacing="0" w:after="0" w:afterAutospacing="0" w:line="360" w:lineRule="auto"/>
              <w:ind w:left="0" w:leftChars="0" w:right="0" w:rightChars="0"/>
              <w:jc w:val="left"/>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1.签订合同后5个工作日内，采购人支付合同金额的30%预付款给</w:t>
            </w:r>
            <w:r>
              <w:rPr>
                <w:rFonts w:hint="eastAsia" w:ascii="Arial" w:hAnsi="Arial" w:cs="Arial"/>
                <w:color w:val="auto"/>
                <w:highlight w:val="none"/>
                <w:lang w:val="en-US" w:eastAsia="zh-CN"/>
              </w:rPr>
              <w:t>中标供应商</w:t>
            </w:r>
            <w:r>
              <w:rPr>
                <w:rFonts w:hint="default" w:ascii="Arial" w:hAnsi="Arial" w:eastAsia="宋体" w:cs="Arial"/>
                <w:color w:val="auto"/>
                <w:highlight w:val="none"/>
                <w:lang w:val="en-US" w:eastAsia="zh-CN"/>
              </w:rPr>
              <w:t>。</w:t>
            </w:r>
          </w:p>
          <w:p w14:paraId="045D8E5F">
            <w:pPr>
              <w:keepNext w:val="0"/>
              <w:keepLines w:val="0"/>
              <w:suppressLineNumbers w:val="0"/>
              <w:snapToGrid w:val="0"/>
              <w:spacing w:before="0" w:beforeAutospacing="0" w:after="0" w:afterAutospacing="0" w:line="360" w:lineRule="auto"/>
              <w:ind w:left="0" w:leftChars="0" w:right="0" w:rightChars="0"/>
              <w:jc w:val="left"/>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2.项目全部验收合格后20个工作日内以转账方式支付完合同款的余款项给</w:t>
            </w:r>
            <w:r>
              <w:rPr>
                <w:rFonts w:hint="eastAsia" w:ascii="Arial" w:hAnsi="Arial" w:cs="Arial"/>
                <w:color w:val="auto"/>
                <w:highlight w:val="none"/>
                <w:lang w:val="en-US" w:eastAsia="zh-CN"/>
              </w:rPr>
              <w:t>中标供应商</w:t>
            </w:r>
            <w:r>
              <w:rPr>
                <w:rFonts w:hint="default" w:ascii="Arial" w:hAnsi="Arial" w:eastAsia="宋体" w:cs="Arial"/>
                <w:color w:val="auto"/>
                <w:highlight w:val="none"/>
                <w:lang w:val="en-US" w:eastAsia="zh-CN"/>
              </w:rPr>
              <w:t>，</w:t>
            </w:r>
            <w:r>
              <w:rPr>
                <w:rFonts w:hint="eastAsia" w:ascii="Arial" w:hAnsi="Arial" w:cs="Arial"/>
                <w:color w:val="auto"/>
                <w:highlight w:val="none"/>
                <w:lang w:val="en-US" w:eastAsia="zh-CN"/>
              </w:rPr>
              <w:t>中标供应商</w:t>
            </w:r>
            <w:r>
              <w:rPr>
                <w:rFonts w:hint="default" w:ascii="Arial" w:hAnsi="Arial" w:eastAsia="宋体" w:cs="Arial"/>
                <w:color w:val="auto"/>
                <w:highlight w:val="none"/>
                <w:lang w:val="en-US" w:eastAsia="zh-CN"/>
              </w:rPr>
              <w:t>在采购人每次付款前需要开具对应金额增值税普通发票给采购人。</w:t>
            </w:r>
          </w:p>
        </w:tc>
      </w:tr>
      <w:tr w14:paraId="7F042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889" w:type="dxa"/>
            <w:gridSpan w:val="2"/>
            <w:tcBorders>
              <w:top w:val="single" w:color="auto" w:sz="4" w:space="0"/>
              <w:left w:val="single" w:color="auto" w:sz="4" w:space="0"/>
              <w:bottom w:val="single" w:color="auto" w:sz="4" w:space="0"/>
              <w:right w:val="single" w:color="auto" w:sz="4" w:space="0"/>
            </w:tcBorders>
            <w:noWrap w:val="0"/>
            <w:vAlign w:val="center"/>
          </w:tcPr>
          <w:p w14:paraId="0C627194">
            <w:pPr>
              <w:keepNext w:val="0"/>
              <w:keepLines w:val="0"/>
              <w:suppressLineNumbers w:val="0"/>
              <w:snapToGrid w:val="0"/>
              <w:spacing w:before="0" w:beforeAutospacing="0" w:after="0" w:afterAutospacing="0" w:line="360" w:lineRule="auto"/>
              <w:ind w:left="0" w:leftChars="0" w:right="0" w:rightChars="0"/>
              <w:jc w:val="center"/>
              <w:rPr>
                <w:rFonts w:hint="default" w:ascii="Arial" w:hAnsi="Arial" w:cs="Arial"/>
                <w:color w:val="000000"/>
                <w:sz w:val="21"/>
                <w:szCs w:val="21"/>
                <w:highlight w:val="none"/>
              </w:rPr>
            </w:pPr>
            <w:r>
              <w:rPr>
                <w:rFonts w:hint="default" w:ascii="Arial" w:hAnsi="Arial" w:cs="Arial"/>
                <w:color w:val="000000"/>
                <w:sz w:val="21"/>
                <w:szCs w:val="21"/>
                <w:highlight w:val="none"/>
                <w:lang w:val="en-US" w:eastAsia="zh-CN"/>
              </w:rPr>
              <w:t>验收</w:t>
            </w:r>
          </w:p>
        </w:tc>
        <w:tc>
          <w:tcPr>
            <w:tcW w:w="8728" w:type="dxa"/>
            <w:gridSpan w:val="5"/>
            <w:tcBorders>
              <w:top w:val="single" w:color="auto" w:sz="4" w:space="0"/>
              <w:left w:val="single" w:color="auto" w:sz="4" w:space="0"/>
              <w:bottom w:val="single" w:color="auto" w:sz="4" w:space="0"/>
              <w:right w:val="single" w:color="auto" w:sz="4" w:space="0"/>
            </w:tcBorders>
            <w:noWrap w:val="0"/>
            <w:vAlign w:val="top"/>
          </w:tcPr>
          <w:p w14:paraId="10AE1397">
            <w:pPr>
              <w:keepNext w:val="0"/>
              <w:keepLines w:val="0"/>
              <w:suppressLineNumbers w:val="0"/>
              <w:snapToGrid w:val="0"/>
              <w:spacing w:before="0" w:beforeAutospacing="0" w:after="0" w:afterAutospacing="0" w:line="360" w:lineRule="auto"/>
              <w:ind w:left="0" w:leftChars="0" w:right="0" w:rightChars="0"/>
              <w:jc w:val="left"/>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1.验收过程中所产生的一切费用均由</w:t>
            </w:r>
            <w:r>
              <w:rPr>
                <w:rFonts w:hint="eastAsia" w:ascii="Arial" w:hAnsi="Arial" w:cs="Arial"/>
                <w:color w:val="auto"/>
                <w:highlight w:val="none"/>
                <w:lang w:val="en-US" w:eastAsia="zh-CN"/>
              </w:rPr>
              <w:t>中标供应商</w:t>
            </w:r>
            <w:r>
              <w:rPr>
                <w:rFonts w:hint="default" w:ascii="Arial" w:hAnsi="Arial" w:eastAsia="宋体" w:cs="Arial"/>
                <w:color w:val="auto"/>
                <w:highlight w:val="none"/>
                <w:lang w:val="en-US" w:eastAsia="zh-CN"/>
              </w:rPr>
              <w:t>承担。报价时应考虑相关费用。</w:t>
            </w:r>
          </w:p>
          <w:p w14:paraId="1E9C820B">
            <w:pPr>
              <w:keepNext w:val="0"/>
              <w:keepLines w:val="0"/>
              <w:suppressLineNumbers w:val="0"/>
              <w:snapToGrid w:val="0"/>
              <w:spacing w:before="0" w:beforeAutospacing="0" w:after="0" w:afterAutospacing="0" w:line="360" w:lineRule="auto"/>
              <w:ind w:left="0" w:leftChars="0" w:right="0" w:rightChars="0"/>
              <w:jc w:val="left"/>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2.</w:t>
            </w:r>
            <w:r>
              <w:rPr>
                <w:rFonts w:hint="eastAsia" w:ascii="Arial" w:hAnsi="Arial" w:cs="Arial"/>
                <w:color w:val="auto"/>
                <w:highlight w:val="none"/>
                <w:lang w:val="en-US" w:eastAsia="zh-CN"/>
              </w:rPr>
              <w:t>中标供应商</w:t>
            </w:r>
            <w:r>
              <w:rPr>
                <w:rFonts w:hint="default" w:ascii="Arial" w:hAnsi="Arial" w:eastAsia="宋体" w:cs="Arial"/>
                <w:color w:val="auto"/>
                <w:highlight w:val="none"/>
                <w:lang w:val="en-US" w:eastAsia="zh-CN"/>
              </w:rPr>
              <w:t>在本项目验收时由采购单位对照采购文件的功能目标及技术指标全面核对检验，对所有要求出具的证明文件的原件（如有要求）进行核查，如不符合采购文件的技术需求及要求以及提供虚假承诺的，按相关规定做退货处理及违约处理，</w:t>
            </w:r>
            <w:r>
              <w:rPr>
                <w:rFonts w:hint="eastAsia" w:ascii="Arial" w:hAnsi="Arial" w:cs="Arial"/>
                <w:color w:val="auto"/>
                <w:highlight w:val="none"/>
                <w:lang w:val="en-US" w:eastAsia="zh-CN"/>
              </w:rPr>
              <w:t>中标供应商</w:t>
            </w:r>
            <w:r>
              <w:rPr>
                <w:rFonts w:hint="default" w:ascii="Arial" w:hAnsi="Arial" w:eastAsia="宋体" w:cs="Arial"/>
                <w:color w:val="auto"/>
                <w:highlight w:val="none"/>
                <w:lang w:val="en-US" w:eastAsia="zh-CN"/>
              </w:rPr>
              <w:t>承担所有责任和费用，采购人保留进一步追究责任的权利。</w:t>
            </w:r>
          </w:p>
          <w:p w14:paraId="69C978DB">
            <w:pPr>
              <w:keepNext w:val="0"/>
              <w:keepLines w:val="0"/>
              <w:suppressLineNumbers w:val="0"/>
              <w:snapToGrid w:val="0"/>
              <w:spacing w:before="0" w:beforeAutospacing="0" w:after="0" w:afterAutospacing="0" w:line="360" w:lineRule="auto"/>
              <w:ind w:left="0" w:leftChars="0" w:right="0" w:rightChars="0"/>
              <w:jc w:val="left"/>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3.采购人组织验收，</w:t>
            </w:r>
            <w:r>
              <w:rPr>
                <w:rFonts w:hint="eastAsia" w:ascii="Arial" w:hAnsi="Arial" w:cs="Arial"/>
                <w:color w:val="auto"/>
                <w:highlight w:val="none"/>
                <w:lang w:val="en-US" w:eastAsia="zh-CN"/>
              </w:rPr>
              <w:t>中标供应商</w:t>
            </w:r>
            <w:r>
              <w:rPr>
                <w:rFonts w:hint="default" w:ascii="Arial" w:hAnsi="Arial" w:eastAsia="宋体" w:cs="Arial"/>
                <w:color w:val="auto"/>
                <w:highlight w:val="none"/>
                <w:lang w:val="en-US" w:eastAsia="zh-CN"/>
              </w:rPr>
              <w:t>必须到场配合，验收合格后双方签署验收合格凭证。</w:t>
            </w:r>
          </w:p>
          <w:p w14:paraId="25A66528">
            <w:pPr>
              <w:keepNext w:val="0"/>
              <w:keepLines w:val="0"/>
              <w:suppressLineNumbers w:val="0"/>
              <w:snapToGrid w:val="0"/>
              <w:spacing w:before="0" w:beforeAutospacing="0" w:after="0" w:afterAutospacing="0" w:line="360" w:lineRule="auto"/>
              <w:ind w:left="0" w:leftChars="0" w:right="0" w:rightChars="0"/>
              <w:jc w:val="left"/>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4.其他未尽事宜按照《关于印发广西壮族自治区政府采购项目履约验收管理办法的通知》[桂财采〔2015〕22 号]以及《财政部关于进一步加强政府采购需求和履约验收管理的指导意见》[财库〔2016〕205 号]规定执行。</w:t>
            </w:r>
          </w:p>
        </w:tc>
      </w:tr>
      <w:tr w14:paraId="1C478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889" w:type="dxa"/>
            <w:gridSpan w:val="2"/>
            <w:tcBorders>
              <w:top w:val="single" w:color="auto" w:sz="4" w:space="0"/>
              <w:left w:val="single" w:color="auto" w:sz="4" w:space="0"/>
              <w:bottom w:val="single" w:color="auto" w:sz="4" w:space="0"/>
              <w:right w:val="single" w:color="auto" w:sz="4" w:space="0"/>
            </w:tcBorders>
            <w:noWrap w:val="0"/>
            <w:vAlign w:val="center"/>
          </w:tcPr>
          <w:p w14:paraId="01189C05">
            <w:pPr>
              <w:keepNext w:val="0"/>
              <w:keepLines w:val="0"/>
              <w:suppressLineNumbers w:val="0"/>
              <w:snapToGrid w:val="0"/>
              <w:spacing w:before="0" w:beforeAutospacing="0" w:after="0" w:afterAutospacing="0" w:line="360" w:lineRule="auto"/>
              <w:ind w:left="0" w:leftChars="0" w:right="0" w:rightChars="0"/>
              <w:jc w:val="center"/>
              <w:rPr>
                <w:rFonts w:hint="default" w:ascii="Arial" w:hAnsi="Arial" w:cs="Arial"/>
                <w:color w:val="000000"/>
                <w:sz w:val="21"/>
                <w:szCs w:val="21"/>
                <w:highlight w:val="none"/>
                <w:lang w:val="en-US" w:eastAsia="zh-CN"/>
              </w:rPr>
            </w:pPr>
            <w:r>
              <w:rPr>
                <w:rFonts w:hint="default" w:ascii="Arial" w:hAnsi="Arial" w:cs="Arial"/>
                <w:color w:val="000000"/>
                <w:sz w:val="21"/>
                <w:szCs w:val="21"/>
                <w:highlight w:val="none"/>
                <w:lang w:val="en-US" w:eastAsia="zh-CN"/>
              </w:rPr>
              <w:t>其他要求</w:t>
            </w:r>
          </w:p>
        </w:tc>
        <w:tc>
          <w:tcPr>
            <w:tcW w:w="8728" w:type="dxa"/>
            <w:gridSpan w:val="5"/>
            <w:tcBorders>
              <w:top w:val="single" w:color="auto" w:sz="4" w:space="0"/>
              <w:left w:val="single" w:color="auto" w:sz="4" w:space="0"/>
              <w:bottom w:val="single" w:color="auto" w:sz="4" w:space="0"/>
              <w:right w:val="single" w:color="auto" w:sz="4" w:space="0"/>
            </w:tcBorders>
            <w:noWrap w:val="0"/>
            <w:vAlign w:val="top"/>
          </w:tcPr>
          <w:p w14:paraId="577817AA">
            <w:pPr>
              <w:keepNext w:val="0"/>
              <w:keepLines w:val="0"/>
              <w:suppressLineNumbers w:val="0"/>
              <w:snapToGrid w:val="0"/>
              <w:spacing w:before="0" w:beforeAutospacing="0" w:after="0" w:afterAutospacing="0" w:line="360" w:lineRule="auto"/>
              <w:ind w:left="0" w:leftChars="0" w:right="0" w:rightChars="0"/>
              <w:jc w:val="left"/>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1.本项目为校企合作开发项目，采购人拥有对成品的知识产权，供应商具备使用权，在未获得采购人授权的情况下，不得用于商业用途。</w:t>
            </w:r>
          </w:p>
          <w:p w14:paraId="105EEF2D">
            <w:pPr>
              <w:keepNext w:val="0"/>
              <w:keepLines w:val="0"/>
              <w:suppressLineNumbers w:val="0"/>
              <w:snapToGrid w:val="0"/>
              <w:spacing w:before="0" w:beforeAutospacing="0" w:after="0" w:afterAutospacing="0" w:line="360" w:lineRule="auto"/>
              <w:ind w:left="0" w:leftChars="0" w:right="0" w:rightChars="0"/>
              <w:jc w:val="left"/>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2.未经采购人允许，不得使用或以其它方式给任何第三方提供本项目的相关信息或数据。</w:t>
            </w:r>
          </w:p>
          <w:p w14:paraId="032C64E1">
            <w:pPr>
              <w:keepNext w:val="0"/>
              <w:keepLines w:val="0"/>
              <w:suppressLineNumbers w:val="0"/>
              <w:snapToGrid w:val="0"/>
              <w:spacing w:before="0" w:beforeAutospacing="0" w:after="0" w:afterAutospacing="0" w:line="360" w:lineRule="auto"/>
              <w:ind w:left="0" w:leftChars="0" w:right="0" w:rightChars="0"/>
              <w:jc w:val="left"/>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3.</w:t>
            </w:r>
            <w:r>
              <w:rPr>
                <w:rFonts w:hint="eastAsia" w:ascii="Arial" w:hAnsi="Arial" w:cs="Arial"/>
                <w:color w:val="auto"/>
                <w:highlight w:val="none"/>
                <w:lang w:val="en-US" w:eastAsia="zh-CN"/>
              </w:rPr>
              <w:t>中标供应商</w:t>
            </w:r>
            <w:r>
              <w:rPr>
                <w:rFonts w:hint="default" w:ascii="Arial" w:hAnsi="Arial" w:eastAsia="宋体" w:cs="Arial"/>
                <w:color w:val="auto"/>
                <w:highlight w:val="none"/>
                <w:lang w:val="en-US" w:eastAsia="zh-CN"/>
              </w:rPr>
              <w:t>不得将项目非法分包或转包给任何单位和个人，否则采购人有权即刻终止合同，并要求</w:t>
            </w:r>
            <w:r>
              <w:rPr>
                <w:rFonts w:hint="eastAsia" w:ascii="Arial" w:hAnsi="Arial" w:cs="Arial"/>
                <w:color w:val="auto"/>
                <w:highlight w:val="none"/>
                <w:lang w:val="en-US" w:eastAsia="zh-CN"/>
              </w:rPr>
              <w:t>中标供应商</w:t>
            </w:r>
            <w:r>
              <w:rPr>
                <w:rFonts w:hint="default" w:ascii="Arial" w:hAnsi="Arial" w:eastAsia="宋体" w:cs="Arial"/>
                <w:color w:val="auto"/>
                <w:highlight w:val="none"/>
                <w:lang w:val="en-US" w:eastAsia="zh-CN"/>
              </w:rPr>
              <w:t>赔偿相应损失。</w:t>
            </w:r>
          </w:p>
          <w:p w14:paraId="018913FE">
            <w:pPr>
              <w:keepNext w:val="0"/>
              <w:keepLines w:val="0"/>
              <w:suppressLineNumbers w:val="0"/>
              <w:snapToGrid w:val="0"/>
              <w:spacing w:before="0" w:beforeAutospacing="0" w:after="0" w:afterAutospacing="0" w:line="360" w:lineRule="auto"/>
              <w:ind w:left="0" w:leftChars="0" w:right="0" w:rightChars="0"/>
              <w:jc w:val="left"/>
              <w:rPr>
                <w:rFonts w:hint="default" w:ascii="Arial" w:hAnsi="Arial" w:eastAsia="宋体" w:cs="Arial"/>
                <w:color w:val="auto"/>
                <w:highlight w:val="none"/>
                <w:lang w:val="en-US" w:eastAsia="zh-CN"/>
              </w:rPr>
            </w:pPr>
            <w:r>
              <w:rPr>
                <w:rFonts w:hint="default" w:ascii="Arial" w:hAnsi="Arial" w:eastAsia="宋体" w:cs="Arial"/>
                <w:color w:val="auto"/>
                <w:highlight w:val="none"/>
                <w:lang w:val="en-US" w:eastAsia="zh-CN"/>
              </w:rPr>
              <w:t>4.知识产权：采购人在中华人民共和国境内使用</w:t>
            </w:r>
            <w:r>
              <w:rPr>
                <w:rFonts w:hint="eastAsia" w:ascii="Arial" w:hAnsi="Arial" w:cs="Arial"/>
                <w:color w:val="auto"/>
                <w:highlight w:val="none"/>
                <w:lang w:val="en-US" w:eastAsia="zh-CN"/>
              </w:rPr>
              <w:t>中标供应商</w:t>
            </w:r>
            <w:r>
              <w:rPr>
                <w:rFonts w:hint="default" w:ascii="Arial" w:hAnsi="Arial" w:eastAsia="宋体" w:cs="Arial"/>
                <w:color w:val="auto"/>
                <w:highlight w:val="none"/>
                <w:lang w:val="en-US" w:eastAsia="zh-CN"/>
              </w:rPr>
              <w:t>提供的产品及服务时免受第三方提出的侵犯其专利权或其它知识产权的起诉。如果第三方提出侵权指控，</w:t>
            </w:r>
            <w:r>
              <w:rPr>
                <w:rFonts w:hint="eastAsia" w:ascii="Arial" w:hAnsi="Arial" w:cs="Arial"/>
                <w:color w:val="auto"/>
                <w:highlight w:val="none"/>
                <w:lang w:val="en-US" w:eastAsia="zh-CN"/>
              </w:rPr>
              <w:t>中标供应商</w:t>
            </w:r>
            <w:r>
              <w:rPr>
                <w:rFonts w:hint="default" w:ascii="Arial" w:hAnsi="Arial" w:eastAsia="宋体" w:cs="Arial"/>
                <w:color w:val="auto"/>
                <w:highlight w:val="none"/>
                <w:lang w:val="en-US" w:eastAsia="zh-CN"/>
              </w:rPr>
              <w:t>应承担由此而引起的一切法律责任和费用。</w:t>
            </w:r>
          </w:p>
          <w:p w14:paraId="08851B3E">
            <w:pPr>
              <w:keepNext w:val="0"/>
              <w:keepLines w:val="0"/>
              <w:widowControl/>
              <w:suppressLineNumbers w:val="0"/>
              <w:spacing w:before="0" w:beforeAutospacing="0" w:after="0" w:afterAutospacing="0"/>
              <w:ind w:left="0" w:right="0"/>
              <w:rPr>
                <w:rFonts w:hint="default" w:ascii="Arial" w:hAnsi="Arial" w:cs="Arial"/>
                <w:kern w:val="0"/>
                <w:sz w:val="21"/>
                <w:szCs w:val="21"/>
                <w:highlight w:val="none"/>
              </w:rPr>
            </w:pPr>
            <w:r>
              <w:rPr>
                <w:rFonts w:hint="eastAsia" w:ascii="Arial" w:hAnsi="Arial" w:cs="Arial"/>
                <w:kern w:val="0"/>
                <w:sz w:val="21"/>
                <w:szCs w:val="21"/>
                <w:highlight w:val="none"/>
                <w:lang w:val="en-US" w:eastAsia="zh-CN"/>
              </w:rPr>
              <w:t>5</w:t>
            </w:r>
            <w:r>
              <w:rPr>
                <w:rFonts w:hint="default" w:ascii="Arial" w:hAnsi="Arial" w:cs="Arial"/>
                <w:kern w:val="0"/>
                <w:sz w:val="21"/>
                <w:szCs w:val="21"/>
                <w:highlight w:val="none"/>
              </w:rPr>
              <w:t>.本项目政府采购预算金额为人民币</w:t>
            </w:r>
            <w:r>
              <w:rPr>
                <w:rFonts w:hint="eastAsia" w:ascii="Arial" w:hAnsi="Arial" w:cs="Arial"/>
                <w:b/>
                <w:bCs/>
                <w:sz w:val="21"/>
                <w:szCs w:val="21"/>
                <w:highlight w:val="none"/>
                <w:lang w:val="en-US" w:eastAsia="zh-CN"/>
              </w:rPr>
              <w:t>肆拾玖万柒仟柒佰伍拾元整</w:t>
            </w:r>
            <w:r>
              <w:rPr>
                <w:rFonts w:hint="default" w:ascii="Arial" w:hAnsi="Arial" w:cs="Arial"/>
                <w:b/>
                <w:bCs/>
                <w:sz w:val="21"/>
                <w:szCs w:val="21"/>
                <w:highlight w:val="none"/>
                <w:lang w:eastAsia="zh-CN"/>
              </w:rPr>
              <w:t>（¥</w:t>
            </w:r>
            <w:r>
              <w:rPr>
                <w:rFonts w:hint="eastAsia" w:ascii="Arial" w:hAnsi="Arial" w:cs="Arial"/>
                <w:b/>
                <w:bCs/>
                <w:sz w:val="21"/>
                <w:szCs w:val="21"/>
                <w:highlight w:val="none"/>
                <w:lang w:val="en-US" w:eastAsia="zh-CN"/>
              </w:rPr>
              <w:t>497750.00</w:t>
            </w:r>
            <w:r>
              <w:rPr>
                <w:rFonts w:hint="default" w:ascii="Arial" w:hAnsi="Arial" w:cs="Arial"/>
                <w:b/>
                <w:bCs/>
                <w:sz w:val="21"/>
                <w:szCs w:val="21"/>
                <w:highlight w:val="none"/>
                <w:lang w:eastAsia="zh-CN"/>
              </w:rPr>
              <w:t>元）</w:t>
            </w:r>
            <w:r>
              <w:rPr>
                <w:rFonts w:hint="default" w:ascii="Arial" w:hAnsi="Arial" w:cs="Arial"/>
                <w:b/>
                <w:bCs/>
                <w:kern w:val="0"/>
                <w:sz w:val="21"/>
                <w:szCs w:val="21"/>
                <w:highlight w:val="none"/>
              </w:rPr>
              <w:t>，</w:t>
            </w:r>
            <w:r>
              <w:rPr>
                <w:rFonts w:hint="default" w:ascii="Arial" w:hAnsi="Arial" w:cs="Arial"/>
                <w:kern w:val="0"/>
                <w:sz w:val="21"/>
                <w:szCs w:val="21"/>
                <w:highlight w:val="none"/>
              </w:rPr>
              <w:t>投标报价超出采购预算金额的将被视为无效投标。</w:t>
            </w:r>
          </w:p>
          <w:p w14:paraId="6C81F34E">
            <w:pPr>
              <w:keepNext w:val="0"/>
              <w:keepLines w:val="0"/>
              <w:widowControl/>
              <w:suppressLineNumbers w:val="0"/>
              <w:spacing w:before="0" w:beforeAutospacing="0" w:after="0" w:afterAutospacing="0"/>
              <w:ind w:left="0" w:leftChars="0" w:right="0" w:rightChars="0"/>
              <w:rPr>
                <w:rFonts w:hint="default" w:ascii="Arial" w:hAnsi="Arial" w:cs="Arial"/>
                <w:sz w:val="21"/>
                <w:szCs w:val="21"/>
                <w:highlight w:val="none"/>
              </w:rPr>
            </w:pPr>
            <w:r>
              <w:rPr>
                <w:rFonts w:hint="eastAsia" w:ascii="Arial" w:hAnsi="Arial" w:cs="Arial"/>
                <w:kern w:val="0"/>
                <w:sz w:val="21"/>
                <w:szCs w:val="21"/>
                <w:highlight w:val="none"/>
                <w:lang w:val="en-US" w:eastAsia="zh-CN"/>
              </w:rPr>
              <w:t>6</w:t>
            </w:r>
            <w:r>
              <w:rPr>
                <w:rFonts w:hint="default" w:ascii="Arial" w:hAnsi="Arial" w:cs="Arial"/>
                <w:kern w:val="0"/>
                <w:sz w:val="21"/>
                <w:szCs w:val="21"/>
                <w:highlight w:val="none"/>
              </w:rPr>
              <w:t>.本</w:t>
            </w:r>
            <w:r>
              <w:rPr>
                <w:rFonts w:hint="default" w:ascii="Arial" w:hAnsi="Arial" w:cs="Arial"/>
                <w:kern w:val="0"/>
                <w:sz w:val="21"/>
                <w:szCs w:val="21"/>
                <w:highlight w:val="none"/>
                <w:lang w:val="en-US" w:eastAsia="zh-CN"/>
              </w:rPr>
              <w:t>项目</w:t>
            </w:r>
            <w:r>
              <w:rPr>
                <w:rFonts w:hint="default" w:ascii="Arial" w:hAnsi="Arial" w:cs="Arial"/>
                <w:kern w:val="0"/>
                <w:sz w:val="21"/>
                <w:szCs w:val="21"/>
                <w:highlight w:val="none"/>
              </w:rPr>
              <w:t>不接受进口产品（即通过中国海关报关验放进入中国境内且产自关境外的产品）参与投标，</w:t>
            </w:r>
            <w:r>
              <w:rPr>
                <w:rFonts w:hint="default" w:ascii="Arial" w:hAnsi="Arial" w:cs="Arial"/>
                <w:sz w:val="21"/>
                <w:szCs w:val="21"/>
                <w:highlight w:val="none"/>
              </w:rPr>
              <w:t>如有此类产品参与投标的作投标无效处理。</w:t>
            </w:r>
          </w:p>
          <w:p w14:paraId="70573DD9">
            <w:pPr>
              <w:keepNext w:val="0"/>
              <w:keepLines w:val="0"/>
              <w:suppressLineNumbers w:val="0"/>
              <w:snapToGrid w:val="0"/>
              <w:spacing w:before="0" w:beforeAutospacing="0" w:after="0" w:afterAutospacing="0" w:line="360" w:lineRule="auto"/>
              <w:ind w:left="0" w:leftChars="0" w:right="0" w:rightChars="0"/>
              <w:jc w:val="left"/>
              <w:rPr>
                <w:rFonts w:hint="default" w:ascii="Arial" w:hAnsi="Arial" w:cs="Arial"/>
                <w:color w:val="auto"/>
                <w:highlight w:val="none"/>
                <w:lang w:val="en-US" w:eastAsia="zh-CN"/>
              </w:rPr>
            </w:pPr>
            <w:r>
              <w:rPr>
                <w:rFonts w:hint="eastAsia" w:ascii="Arial" w:hAnsi="Arial" w:cs="Arial"/>
                <w:b/>
                <w:bCs/>
                <w:sz w:val="21"/>
                <w:szCs w:val="21"/>
                <w:highlight w:val="none"/>
                <w:lang w:val="en-US" w:eastAsia="zh-CN"/>
              </w:rPr>
              <w:t>7.本分标“第1项 教材建设出版及配套资源建设”为核心产品。</w:t>
            </w:r>
          </w:p>
        </w:tc>
      </w:tr>
    </w:tbl>
    <w:p w14:paraId="310A185F">
      <w:pPr>
        <w:rPr>
          <w:rFonts w:hint="default" w:ascii="Arial" w:hAnsi="Arial" w:cs="Arial"/>
          <w:b/>
          <w:bCs/>
          <w:highlight w:val="none"/>
        </w:rPr>
      </w:pPr>
      <w:r>
        <w:rPr>
          <w:rFonts w:hint="default" w:ascii="Arial" w:hAnsi="Arial" w:cs="Arial"/>
          <w:b/>
          <w:bCs/>
          <w:highlight w:val="none"/>
        </w:rPr>
        <w:br w:type="page"/>
      </w:r>
    </w:p>
    <w:p w14:paraId="6F73206F">
      <w:pPr>
        <w:rPr>
          <w:rFonts w:hint="default" w:ascii="Arial" w:hAnsi="Arial" w:cs="Arial"/>
          <w:highlight w:val="none"/>
          <w:lang w:val="en-US" w:eastAsia="zh-CN"/>
        </w:rPr>
      </w:pPr>
    </w:p>
    <w:bookmarkEnd w:id="23"/>
    <w:bookmarkEnd w:id="24"/>
    <w:p w14:paraId="4E7595ED">
      <w:pPr>
        <w:pStyle w:val="44"/>
        <w:rPr>
          <w:rFonts w:hint="default" w:ascii="Arial" w:hAnsi="Arial" w:cs="Arial"/>
          <w:highlight w:val="none"/>
        </w:rPr>
      </w:pPr>
      <w:bookmarkStart w:id="25" w:name="_Toc15829"/>
      <w:bookmarkStart w:id="26" w:name="_Toc82079328"/>
      <w:bookmarkStart w:id="27" w:name="_Toc82079280"/>
      <w:r>
        <w:rPr>
          <w:rFonts w:hint="default" w:ascii="Arial" w:hAnsi="Arial" w:cs="Arial"/>
          <w:highlight w:val="none"/>
        </w:rPr>
        <w:t>第四章 评标办法</w:t>
      </w:r>
      <w:bookmarkEnd w:id="25"/>
      <w:bookmarkEnd w:id="26"/>
      <w:bookmarkEnd w:id="27"/>
    </w:p>
    <w:p w14:paraId="2110230D">
      <w:pPr>
        <w:pStyle w:val="27"/>
        <w:spacing w:line="288" w:lineRule="auto"/>
        <w:ind w:firstLine="411" w:firstLineChars="196"/>
        <w:rPr>
          <w:rFonts w:hint="default" w:ascii="Arial" w:hAnsi="Arial" w:eastAsia="宋体" w:cs="Arial"/>
          <w:b/>
          <w:bCs/>
          <w:color w:val="auto"/>
          <w:szCs w:val="21"/>
          <w:highlight w:val="none"/>
          <w:lang w:val="en-US" w:eastAsia="zh-CN"/>
        </w:rPr>
      </w:pPr>
      <w:r>
        <w:rPr>
          <w:rFonts w:hint="eastAsia" w:ascii="Arial" w:hAnsi="Arial" w:cs="Arial"/>
          <w:b/>
          <w:bCs/>
          <w:color w:val="auto"/>
          <w:szCs w:val="21"/>
          <w:highlight w:val="none"/>
          <w:lang w:val="en-US" w:eastAsia="zh-CN"/>
        </w:rPr>
        <w:t>A分标：</w:t>
      </w:r>
    </w:p>
    <w:p w14:paraId="48F8AF62">
      <w:pPr>
        <w:pStyle w:val="27"/>
        <w:spacing w:line="288" w:lineRule="auto"/>
        <w:ind w:firstLine="411" w:firstLineChars="196"/>
        <w:rPr>
          <w:rFonts w:hint="default" w:ascii="Arial" w:hAnsi="Arial" w:cs="Arial"/>
          <w:b/>
          <w:bCs/>
          <w:color w:val="auto"/>
          <w:szCs w:val="21"/>
          <w:highlight w:val="none"/>
        </w:rPr>
      </w:pPr>
      <w:r>
        <w:rPr>
          <w:rFonts w:hint="default" w:ascii="Arial" w:hAnsi="Arial" w:cs="Arial"/>
          <w:b/>
          <w:bCs/>
          <w:color w:val="auto"/>
          <w:szCs w:val="21"/>
          <w:highlight w:val="none"/>
        </w:rPr>
        <w:t>一、评标依据及方式</w:t>
      </w:r>
    </w:p>
    <w:p w14:paraId="0943D0FF">
      <w:pPr>
        <w:pStyle w:val="27"/>
        <w:spacing w:line="288" w:lineRule="auto"/>
        <w:ind w:firstLine="420" w:firstLineChars="200"/>
        <w:rPr>
          <w:rFonts w:hint="default" w:ascii="Arial" w:hAnsi="Arial" w:cs="Arial"/>
          <w:color w:val="auto"/>
          <w:szCs w:val="21"/>
          <w:highlight w:val="none"/>
        </w:rPr>
      </w:pPr>
      <w:r>
        <w:rPr>
          <w:rFonts w:hint="default" w:ascii="Arial" w:hAnsi="Arial" w:cs="Arial"/>
          <w:color w:val="auto"/>
          <w:szCs w:val="21"/>
          <w:highlight w:val="none"/>
        </w:rPr>
        <w:t>1. 评标依据：评标委员会以招标文件和投标文件为评标依据，对投标人投标文件进行评审。</w:t>
      </w:r>
    </w:p>
    <w:p w14:paraId="1FA8E7ED">
      <w:pPr>
        <w:pStyle w:val="27"/>
        <w:spacing w:line="288" w:lineRule="auto"/>
        <w:ind w:left="210" w:leftChars="100" w:firstLine="210" w:firstLineChars="100"/>
        <w:rPr>
          <w:rFonts w:hint="default" w:ascii="Arial" w:hAnsi="Arial" w:cs="Arial"/>
          <w:color w:val="auto"/>
          <w:szCs w:val="21"/>
          <w:highlight w:val="none"/>
        </w:rPr>
      </w:pPr>
      <w:r>
        <w:rPr>
          <w:rFonts w:hint="default" w:ascii="Arial" w:hAnsi="Arial" w:cs="Arial"/>
          <w:color w:val="auto"/>
          <w:szCs w:val="21"/>
          <w:highlight w:val="none"/>
        </w:rPr>
        <w:t>2. 评标方式：以封闭方式进行评标。</w:t>
      </w:r>
    </w:p>
    <w:p w14:paraId="76F8AE4F">
      <w:pPr>
        <w:pStyle w:val="27"/>
        <w:spacing w:line="288" w:lineRule="auto"/>
        <w:ind w:left="210" w:leftChars="100" w:firstLine="210" w:firstLineChars="100"/>
        <w:rPr>
          <w:rFonts w:hint="default" w:ascii="Arial" w:hAnsi="Arial" w:cs="Arial"/>
          <w:color w:val="auto"/>
          <w:szCs w:val="21"/>
          <w:highlight w:val="none"/>
        </w:rPr>
      </w:pPr>
      <w:r>
        <w:rPr>
          <w:rFonts w:hint="default" w:ascii="Arial" w:hAnsi="Arial" w:cs="Arial"/>
          <w:color w:val="auto"/>
          <w:szCs w:val="21"/>
          <w:highlight w:val="none"/>
        </w:rPr>
        <w:t>3. 根据财库〔2012〕69号文规定，采购人和采购代理机构、评标委员会成员要严格遵守政府采购相关法律制度，依法履行各自职责，公正、客观、审慎地组织和参与评审工作。</w:t>
      </w:r>
    </w:p>
    <w:p w14:paraId="52D9A427">
      <w:pPr>
        <w:pStyle w:val="27"/>
        <w:spacing w:line="288" w:lineRule="auto"/>
        <w:ind w:firstLine="420" w:firstLineChars="200"/>
        <w:rPr>
          <w:rFonts w:hint="default" w:ascii="Arial" w:hAnsi="Arial" w:cs="Arial"/>
          <w:b/>
          <w:bCs/>
          <w:color w:val="auto"/>
          <w:szCs w:val="21"/>
          <w:highlight w:val="none"/>
        </w:rPr>
      </w:pPr>
      <w:r>
        <w:rPr>
          <w:rFonts w:hint="default" w:ascii="Arial" w:hAnsi="Arial" w:cs="Arial"/>
          <w:b/>
          <w:bCs/>
          <w:color w:val="auto"/>
          <w:szCs w:val="21"/>
          <w:highlight w:val="none"/>
        </w:rPr>
        <w:t>二、评标办法</w:t>
      </w:r>
    </w:p>
    <w:p w14:paraId="3256177A">
      <w:pPr>
        <w:pStyle w:val="27"/>
        <w:spacing w:line="288" w:lineRule="auto"/>
        <w:ind w:firstLine="420" w:firstLineChars="200"/>
        <w:rPr>
          <w:rFonts w:hint="default" w:ascii="Arial" w:hAnsi="Arial" w:cs="Arial"/>
          <w:bCs/>
          <w:color w:val="auto"/>
          <w:szCs w:val="21"/>
          <w:highlight w:val="none"/>
        </w:rPr>
      </w:pPr>
      <w:r>
        <w:rPr>
          <w:rFonts w:hint="default" w:ascii="Arial" w:hAnsi="Arial" w:cs="Arial"/>
          <w:bCs/>
          <w:color w:val="auto"/>
          <w:szCs w:val="21"/>
          <w:highlight w:val="none"/>
        </w:rPr>
        <w:t>（一）对进入详评的，采用综合评分法。</w:t>
      </w:r>
    </w:p>
    <w:p w14:paraId="77D34F32">
      <w:pPr>
        <w:pStyle w:val="27"/>
        <w:spacing w:line="288" w:lineRule="auto"/>
        <w:ind w:firstLine="420" w:firstLineChars="200"/>
        <w:rPr>
          <w:rFonts w:hint="default" w:ascii="Arial" w:hAnsi="Arial" w:cs="Arial"/>
          <w:bCs/>
          <w:color w:val="auto"/>
          <w:szCs w:val="21"/>
          <w:highlight w:val="none"/>
        </w:rPr>
      </w:pPr>
      <w:r>
        <w:rPr>
          <w:rFonts w:hint="default" w:ascii="Arial" w:hAnsi="Arial" w:cs="Arial"/>
          <w:bCs/>
          <w:color w:val="auto"/>
          <w:szCs w:val="21"/>
          <w:highlight w:val="none"/>
        </w:rPr>
        <w:t>（二）计分办法（按四舍五入取至小数点后二位）</w:t>
      </w:r>
    </w:p>
    <w:p w14:paraId="136DE089">
      <w:pPr>
        <w:pStyle w:val="27"/>
        <w:spacing w:line="288" w:lineRule="auto"/>
        <w:ind w:firstLine="420"/>
        <w:rPr>
          <w:rFonts w:hint="default" w:ascii="Arial" w:hAnsi="Arial" w:cs="Arial"/>
          <w:b/>
          <w:bCs/>
          <w:color w:val="auto"/>
          <w:szCs w:val="21"/>
          <w:highlight w:val="none"/>
        </w:rPr>
      </w:pPr>
      <w:r>
        <w:rPr>
          <w:rFonts w:hint="default" w:ascii="Arial" w:hAnsi="Arial" w:cs="Arial"/>
          <w:b/>
          <w:color w:val="auto"/>
          <w:szCs w:val="21"/>
          <w:highlight w:val="none"/>
        </w:rPr>
        <w:t xml:space="preserve">1. </w:t>
      </w:r>
      <w:r>
        <w:rPr>
          <w:rFonts w:hint="default" w:ascii="Arial" w:hAnsi="Arial" w:cs="Arial"/>
          <w:b/>
          <w:bCs/>
          <w:color w:val="auto"/>
          <w:szCs w:val="21"/>
          <w:highlight w:val="none"/>
        </w:rPr>
        <w:t>价格分………………………………………………………………………………</w:t>
      </w:r>
      <w:r>
        <w:rPr>
          <w:rFonts w:hint="default" w:ascii="Arial" w:hAnsi="Arial" w:cs="Arial"/>
          <w:b/>
          <w:bCs/>
          <w:color w:val="auto"/>
          <w:szCs w:val="21"/>
          <w:highlight w:val="none"/>
          <w:lang w:val="en-US" w:eastAsia="zh-CN"/>
        </w:rPr>
        <w:t>3</w:t>
      </w:r>
      <w:r>
        <w:rPr>
          <w:rFonts w:hint="default" w:ascii="Arial" w:hAnsi="Arial" w:cs="Arial"/>
          <w:b/>
          <w:bCs/>
          <w:color w:val="auto"/>
          <w:szCs w:val="21"/>
          <w:highlight w:val="none"/>
        </w:rPr>
        <w:t>0分</w:t>
      </w:r>
    </w:p>
    <w:p w14:paraId="47B3B8F6">
      <w:pPr>
        <w:pStyle w:val="27"/>
        <w:spacing w:line="288" w:lineRule="auto"/>
        <w:ind w:firstLine="420"/>
        <w:rPr>
          <w:rFonts w:hint="default" w:ascii="Arial" w:hAnsi="Arial" w:cs="Arial"/>
          <w:color w:val="auto"/>
          <w:szCs w:val="21"/>
          <w:highlight w:val="none"/>
        </w:rPr>
      </w:pPr>
      <w:r>
        <w:rPr>
          <w:rFonts w:hint="default" w:ascii="Arial" w:hAnsi="Arial" w:cs="Arial"/>
          <w:color w:val="auto"/>
          <w:szCs w:val="21"/>
          <w:highlight w:val="none"/>
        </w:rPr>
        <w:t>（1）按照《政府采购促进中小企业发展管理办法》（财库[2020]46号）、《关于进一步加大政府采购支持中小企业力度的通知》（财库〔2022〕19号）规定：</w:t>
      </w:r>
    </w:p>
    <w:p w14:paraId="6696C046">
      <w:pPr>
        <w:pStyle w:val="27"/>
        <w:spacing w:line="288" w:lineRule="auto"/>
        <w:ind w:firstLine="420"/>
        <w:rPr>
          <w:rFonts w:hint="default" w:ascii="Arial" w:hAnsi="Arial" w:cs="Arial"/>
          <w:color w:val="auto"/>
          <w:szCs w:val="21"/>
          <w:highlight w:val="none"/>
        </w:rPr>
      </w:pPr>
      <w:r>
        <w:rPr>
          <w:rFonts w:hint="default" w:ascii="Arial" w:hAnsi="Arial" w:cs="Arial"/>
          <w:bCs/>
          <w:color w:val="auto"/>
          <w:szCs w:val="21"/>
          <w:highlight w:val="none"/>
        </w:rPr>
        <w:t>①</w:t>
      </w:r>
      <w:r>
        <w:rPr>
          <w:rFonts w:hint="default" w:ascii="Arial" w:hAnsi="Arial" w:cs="Arial"/>
          <w:color w:val="auto"/>
          <w:szCs w:val="21"/>
          <w:highlight w:val="none"/>
        </w:rPr>
        <w:t>投标人提供的货物全部由符合政策要求的小型、微型企业制造，投标文件中提供《中小企业声明函》的，投标人投标报价给予20%的扣除，扣除后的价格为评标报价，即投标人的评标报价=投标报价×（1-20%）；</w:t>
      </w:r>
    </w:p>
    <w:p w14:paraId="1EF62BCF">
      <w:pPr>
        <w:pStyle w:val="27"/>
        <w:spacing w:line="288" w:lineRule="auto"/>
        <w:ind w:firstLine="420"/>
        <w:rPr>
          <w:rFonts w:hint="default" w:ascii="Arial" w:hAnsi="Arial" w:cs="Arial"/>
          <w:color w:val="auto"/>
          <w:szCs w:val="21"/>
          <w:highlight w:val="none"/>
        </w:rPr>
      </w:pPr>
      <w:r>
        <w:rPr>
          <w:rFonts w:hint="default" w:ascii="Arial" w:hAnsi="Arial" w:cs="Arial"/>
          <w:color w:val="auto"/>
          <w:szCs w:val="21"/>
          <w:highlight w:val="none"/>
        </w:rPr>
        <w:t>②</w:t>
      </w:r>
      <w:r>
        <w:rPr>
          <w:rFonts w:hint="default" w:ascii="Arial" w:hAnsi="Arial" w:cs="Arial"/>
          <w:color w:val="auto"/>
          <w:kern w:val="0"/>
          <w:szCs w:val="21"/>
          <w:highlight w:val="none"/>
        </w:rPr>
        <w:t>投标人为大中型企业与小型、微型企业组成联合体参与投标的，其中小型、微型企业的协议合同金额占到联合体协议合同总金额30%以上（含30%）的（供应商须于《联合体协议书》中明确约定小型、微型企业的协议合同金额及所占比例，该金额应与投标报价表所报金额对应一致），联合体供应商最后报价给予4%的价格扣除，扣除后的价格为评审报价，即评审报价=最后报价×（1-4%）；</w:t>
      </w:r>
    </w:p>
    <w:p w14:paraId="4FF55187">
      <w:pPr>
        <w:pStyle w:val="27"/>
        <w:spacing w:line="288" w:lineRule="auto"/>
        <w:ind w:firstLine="420"/>
        <w:rPr>
          <w:rFonts w:hint="default" w:ascii="Arial" w:hAnsi="Arial" w:cs="Arial"/>
          <w:color w:val="auto"/>
          <w:szCs w:val="21"/>
          <w:highlight w:val="none"/>
        </w:rPr>
      </w:pPr>
      <w:r>
        <w:rPr>
          <w:rFonts w:hint="default" w:ascii="Arial" w:hAnsi="Arial" w:cs="Arial"/>
          <w:color w:val="auto"/>
          <w:szCs w:val="21"/>
          <w:highlight w:val="none"/>
        </w:rPr>
        <w:fldChar w:fldCharType="begin"/>
      </w:r>
      <w:r>
        <w:rPr>
          <w:rFonts w:hint="default" w:ascii="Arial" w:hAnsi="Arial" w:cs="Arial"/>
          <w:color w:val="auto"/>
          <w:szCs w:val="21"/>
          <w:highlight w:val="none"/>
        </w:rPr>
        <w:instrText xml:space="preserve">= 3 \* GB3</w:instrText>
      </w:r>
      <w:r>
        <w:rPr>
          <w:rFonts w:hint="default" w:ascii="Arial" w:hAnsi="Arial" w:cs="Arial"/>
          <w:color w:val="auto"/>
          <w:szCs w:val="21"/>
          <w:highlight w:val="none"/>
        </w:rPr>
        <w:fldChar w:fldCharType="separate"/>
      </w:r>
      <w:r>
        <w:rPr>
          <w:rFonts w:hint="default" w:ascii="Arial" w:hAnsi="Arial" w:cs="Arial"/>
          <w:color w:val="auto"/>
          <w:szCs w:val="21"/>
          <w:highlight w:val="none"/>
        </w:rPr>
        <w:t>③</w:t>
      </w:r>
      <w:r>
        <w:rPr>
          <w:rFonts w:hint="default" w:ascii="Arial" w:hAnsi="Arial" w:cs="Arial"/>
          <w:color w:val="auto"/>
          <w:szCs w:val="21"/>
          <w:highlight w:val="none"/>
        </w:rPr>
        <w:fldChar w:fldCharType="end"/>
      </w:r>
      <w:r>
        <w:rPr>
          <w:rFonts w:hint="default" w:ascii="Arial" w:hAnsi="Arial" w:cs="Arial"/>
          <w:color w:val="auto"/>
          <w:szCs w:val="21"/>
          <w:highlight w:val="none"/>
        </w:rPr>
        <w:t>除上述情况外，评标报价=投标报价。</w:t>
      </w:r>
    </w:p>
    <w:p w14:paraId="4B3BF76A">
      <w:pPr>
        <w:pStyle w:val="27"/>
        <w:spacing w:line="288" w:lineRule="auto"/>
        <w:ind w:firstLine="420"/>
        <w:rPr>
          <w:rFonts w:hint="default" w:ascii="Arial" w:hAnsi="Arial" w:cs="Arial"/>
          <w:b/>
          <w:color w:val="auto"/>
          <w:szCs w:val="21"/>
          <w:highlight w:val="none"/>
        </w:rPr>
      </w:pPr>
      <w:r>
        <w:rPr>
          <w:rFonts w:hint="default" w:ascii="Arial" w:hAnsi="Arial" w:cs="Arial"/>
          <w:b/>
          <w:color w:val="auto"/>
          <w:szCs w:val="21"/>
          <w:highlight w:val="none"/>
        </w:rPr>
        <w:t>注：①小型、微型企业提供中型企业制造的货物的，视同为中型企业。</w:t>
      </w:r>
    </w:p>
    <w:p w14:paraId="6C7B3ECE">
      <w:pPr>
        <w:pStyle w:val="27"/>
        <w:spacing w:line="288" w:lineRule="auto"/>
        <w:ind w:firstLine="420"/>
        <w:rPr>
          <w:rFonts w:hint="default" w:ascii="Arial" w:hAnsi="Arial" w:cs="Arial"/>
          <w:b/>
          <w:color w:val="auto"/>
          <w:szCs w:val="21"/>
          <w:highlight w:val="none"/>
        </w:rPr>
      </w:pPr>
      <w:r>
        <w:rPr>
          <w:rFonts w:hint="default" w:ascii="Arial" w:hAnsi="Arial" w:eastAsia="宋体" w:cs="Arial"/>
          <w:b/>
          <w:color w:val="auto"/>
          <w:szCs w:val="21"/>
          <w:highlight w:val="none"/>
        </w:rPr>
        <w:t>②</w:t>
      </w:r>
      <w:r>
        <w:rPr>
          <w:rFonts w:hint="default" w:ascii="Arial" w:hAnsi="Arial" w:cs="Arial"/>
          <w:b/>
          <w:color w:val="auto"/>
          <w:szCs w:val="21"/>
          <w:highlight w:val="none"/>
        </w:rPr>
        <w:t>评标报价为投标人的投标报价进行政策性扣除后的价格，评标报价只是作为评标时使用。最终中标人的中标金额＝投标报价。</w:t>
      </w:r>
    </w:p>
    <w:p w14:paraId="54C3C182">
      <w:pPr>
        <w:pStyle w:val="27"/>
        <w:spacing w:line="288" w:lineRule="auto"/>
        <w:ind w:firstLine="420"/>
        <w:rPr>
          <w:rFonts w:hint="default" w:ascii="Arial" w:hAnsi="Arial" w:cs="Arial"/>
          <w:color w:val="auto"/>
          <w:szCs w:val="21"/>
          <w:highlight w:val="none"/>
        </w:rPr>
      </w:pPr>
      <w:r>
        <w:rPr>
          <w:rFonts w:hint="default" w:ascii="Arial" w:hAnsi="Arial" w:cs="Arial"/>
          <w:color w:val="auto"/>
          <w:szCs w:val="21"/>
          <w:highlight w:val="none"/>
        </w:rPr>
        <w:t>（2）根据《关于政府采购支持监狱企业发展有关问题的通知》（财库[2014]68号）和《关于促进残疾人就业政府采购政策的通知》（财库[2017]141号），监狱企业和符合条件的残疾人福利性单位视同小型、微型企业，享受小型、微型企业评审中价格扣除的政府采购政策。残疾人福利性单位属于小型、微型企业的，不重复享受政策。</w:t>
      </w:r>
    </w:p>
    <w:p w14:paraId="40012FF4">
      <w:pPr>
        <w:pStyle w:val="27"/>
        <w:spacing w:line="288" w:lineRule="auto"/>
        <w:ind w:firstLine="420"/>
        <w:rPr>
          <w:rFonts w:hint="default" w:ascii="Arial" w:hAnsi="Arial" w:cs="Arial"/>
          <w:color w:val="auto"/>
          <w:szCs w:val="21"/>
          <w:highlight w:val="none"/>
        </w:rPr>
      </w:pPr>
      <w:r>
        <w:rPr>
          <w:rFonts w:hint="default" w:ascii="Arial" w:hAnsi="Arial" w:cs="Arial"/>
          <w:color w:val="auto"/>
          <w:szCs w:val="21"/>
          <w:highlight w:val="none"/>
          <w:lang w:eastAsia="zh-CN"/>
        </w:rPr>
        <w:t>（</w:t>
      </w:r>
      <w:r>
        <w:rPr>
          <w:rFonts w:hint="default" w:ascii="Arial" w:hAnsi="Arial" w:cs="Arial"/>
          <w:color w:val="auto"/>
          <w:szCs w:val="21"/>
          <w:highlight w:val="none"/>
          <w:lang w:val="en-US" w:eastAsia="zh-CN"/>
        </w:rPr>
        <w:t>3</w:t>
      </w:r>
      <w:r>
        <w:rPr>
          <w:rFonts w:hint="default" w:ascii="Arial" w:hAnsi="Arial" w:cs="Arial"/>
          <w:color w:val="auto"/>
          <w:szCs w:val="21"/>
          <w:highlight w:val="none"/>
          <w:lang w:eastAsia="zh-CN"/>
        </w:rPr>
        <w:t>）</w:t>
      </w:r>
      <w:r>
        <w:rPr>
          <w:rFonts w:hint="default" w:ascii="Arial" w:hAnsi="Arial" w:cs="Arial"/>
          <w:color w:val="auto"/>
          <w:szCs w:val="21"/>
          <w:highlight w:val="none"/>
        </w:rPr>
        <w:t>若本项目既有本国产品又有非本国产品参与竞争的，供应商提供符合本国产品标准的产品成本之和占该供应商提供的全部产品成本之和的比例达到80%以上时，评审报价扣除全部产品的总报价的20%。供应商须在投标文件提交《关于符合本国产品标准的成本占比承诺函》。如供应商所有产品均为本国产品且填写《关于符合本国产品标准的声明函》的，无须填写《关于符合本国产品标准的成本占比承诺函》。</w:t>
      </w:r>
    </w:p>
    <w:p w14:paraId="2BC63B14">
      <w:pPr>
        <w:pStyle w:val="27"/>
        <w:spacing w:line="288" w:lineRule="auto"/>
        <w:ind w:firstLine="420"/>
        <w:rPr>
          <w:rFonts w:hint="default" w:ascii="Arial" w:hAnsi="Arial" w:cs="Arial"/>
          <w:color w:val="auto"/>
          <w:szCs w:val="21"/>
          <w:highlight w:val="none"/>
        </w:rPr>
      </w:pPr>
      <w:r>
        <w:rPr>
          <w:rFonts w:hint="default" w:ascii="Arial" w:hAnsi="Arial" w:cs="Arial"/>
          <w:color w:val="auto"/>
          <w:szCs w:val="21"/>
          <w:highlight w:val="none"/>
        </w:rPr>
        <w:t>（</w:t>
      </w:r>
      <w:r>
        <w:rPr>
          <w:rFonts w:hint="default" w:ascii="Arial" w:hAnsi="Arial" w:cs="Arial"/>
          <w:color w:val="auto"/>
          <w:szCs w:val="21"/>
          <w:highlight w:val="none"/>
          <w:lang w:val="en-US" w:eastAsia="zh-CN"/>
        </w:rPr>
        <w:t>4</w:t>
      </w:r>
      <w:r>
        <w:rPr>
          <w:rFonts w:hint="default" w:ascii="Arial" w:hAnsi="Arial" w:cs="Arial"/>
          <w:color w:val="auto"/>
          <w:szCs w:val="21"/>
          <w:highlight w:val="none"/>
        </w:rPr>
        <w:t>）满足招标文件要求且投标价格最低的投标报价为评标基准价，得</w:t>
      </w:r>
      <w:r>
        <w:rPr>
          <w:rFonts w:hint="default" w:ascii="Arial" w:hAnsi="Arial" w:cs="Arial"/>
          <w:color w:val="auto"/>
          <w:szCs w:val="21"/>
          <w:highlight w:val="none"/>
          <w:lang w:val="en-US" w:eastAsia="zh-CN"/>
        </w:rPr>
        <w:t>3</w:t>
      </w:r>
      <w:r>
        <w:rPr>
          <w:rFonts w:hint="default" w:ascii="Arial" w:hAnsi="Arial" w:cs="Arial"/>
          <w:color w:val="auto"/>
          <w:szCs w:val="21"/>
          <w:highlight w:val="none"/>
        </w:rPr>
        <w:t>0分。</w:t>
      </w:r>
    </w:p>
    <w:p w14:paraId="584F082B">
      <w:pPr>
        <w:pStyle w:val="28"/>
        <w:rPr>
          <w:rFonts w:hint="default"/>
          <w:highlight w:val="none"/>
        </w:rPr>
      </w:pPr>
    </w:p>
    <w:p w14:paraId="21361BAE">
      <w:pPr>
        <w:pStyle w:val="27"/>
        <w:spacing w:line="288" w:lineRule="auto"/>
        <w:ind w:firstLine="3885" w:firstLineChars="1850"/>
        <w:rPr>
          <w:rFonts w:hint="default" w:ascii="Arial" w:hAnsi="Arial" w:cs="Arial"/>
          <w:color w:val="auto"/>
          <w:szCs w:val="21"/>
          <w:highlight w:val="none"/>
        </w:rPr>
      </w:pPr>
      <w:r>
        <w:rPr>
          <w:rFonts w:hint="default" w:ascii="Arial" w:hAnsi="Arial" w:cs="Arial"/>
          <w:color w:val="auto"/>
          <w:szCs w:val="21"/>
          <w:highlight w:val="none"/>
        </w:rPr>
        <w:t>评标基准价</w:t>
      </w:r>
    </w:p>
    <w:p w14:paraId="4FE67711">
      <w:pPr>
        <w:pStyle w:val="27"/>
        <w:spacing w:line="288" w:lineRule="auto"/>
        <w:ind w:firstLine="359" w:firstLineChars="171"/>
        <w:rPr>
          <w:rFonts w:hint="default" w:ascii="Arial" w:hAnsi="Arial" w:cs="Arial"/>
          <w:color w:val="auto"/>
          <w:szCs w:val="21"/>
          <w:highlight w:val="none"/>
        </w:rPr>
      </w:pPr>
      <w:r>
        <w:rPr>
          <w:rFonts w:hint="default" w:ascii="Arial" w:hAnsi="Arial" w:cs="Arial"/>
          <w:color w:val="auto"/>
          <w:szCs w:val="21"/>
          <w:highlight w:val="none"/>
        </w:rPr>
        <mc:AlternateContent>
          <mc:Choice Requires="wps">
            <w:drawing>
              <wp:anchor distT="0" distB="0" distL="114300" distR="114300" simplePos="0" relativeHeight="251663360" behindDoc="0" locked="0" layoutInCell="1" allowOverlap="1">
                <wp:simplePos x="0" y="0"/>
                <wp:positionH relativeFrom="column">
                  <wp:posOffset>1828800</wp:posOffset>
                </wp:positionH>
                <wp:positionV relativeFrom="paragraph">
                  <wp:posOffset>196850</wp:posOffset>
                </wp:positionV>
                <wp:extent cx="2198370" cy="0"/>
                <wp:effectExtent l="0" t="4445" r="0" b="508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2200275"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144pt;margin-top:15.5pt;height:0pt;width:173.1pt;z-index:251663360;mso-width-relative:page;mso-height-relative:page;" filled="f" stroked="t" coordsize="21600,21600" o:gfxdata="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zTHHo&#10;1wAAAAkBAAAPAAAAAAAAAAEAIAAAACIAAABkcnMvZG93bnJldi54bWxQSwECFAAUAAAACACHTuJA&#10;qCZcq+kBAAC4AwAADgAAAAAAAAABACAAAAAmAQAAZHJzL2Uyb0RvYy54bWxQSwUGAAAAAAYABgBZ&#10;AQAAgQUAAAAA&#10;">
                <v:fill on="f" focussize="0,0"/>
                <v:stroke color="#000000" joinstyle="round"/>
                <v:imagedata o:title=""/>
                <o:lock v:ext="edit" aspectratio="f"/>
              </v:line>
            </w:pict>
          </mc:Fallback>
        </mc:AlternateContent>
      </w:r>
      <w:r>
        <w:rPr>
          <w:rFonts w:hint="default" w:ascii="Arial" w:hAnsi="Arial" w:cs="Arial"/>
          <w:color w:val="auto"/>
          <w:szCs w:val="21"/>
          <w:highlight w:val="none"/>
        </w:rPr>
        <w:t>（</w:t>
      </w:r>
      <w:r>
        <w:rPr>
          <w:rFonts w:hint="default" w:ascii="Arial" w:hAnsi="Arial" w:cs="Arial"/>
          <w:color w:val="auto"/>
          <w:szCs w:val="21"/>
          <w:highlight w:val="none"/>
          <w:lang w:val="en-US" w:eastAsia="zh-CN"/>
        </w:rPr>
        <w:t>5</w:t>
      </w:r>
      <w:r>
        <w:rPr>
          <w:rFonts w:hint="default" w:ascii="Arial" w:hAnsi="Arial" w:cs="Arial"/>
          <w:color w:val="auto"/>
          <w:szCs w:val="21"/>
          <w:highlight w:val="none"/>
        </w:rPr>
        <w:t>）投标人价格分 =                                    　　×</w:t>
      </w:r>
      <w:r>
        <w:rPr>
          <w:rFonts w:hint="default" w:ascii="Arial" w:hAnsi="Arial" w:cs="Arial"/>
          <w:color w:val="auto"/>
          <w:szCs w:val="21"/>
          <w:highlight w:val="none"/>
          <w:lang w:val="en-US" w:eastAsia="zh-CN"/>
        </w:rPr>
        <w:t>3</w:t>
      </w:r>
      <w:r>
        <w:rPr>
          <w:rFonts w:hint="default" w:ascii="Arial" w:hAnsi="Arial" w:cs="Arial"/>
          <w:color w:val="auto"/>
          <w:szCs w:val="21"/>
          <w:highlight w:val="none"/>
        </w:rPr>
        <w:t>0 分</w:t>
      </w:r>
    </w:p>
    <w:p w14:paraId="111E9777">
      <w:pPr>
        <w:pStyle w:val="27"/>
        <w:spacing w:line="288" w:lineRule="auto"/>
        <w:ind w:firstLine="535" w:firstLineChars="255"/>
        <w:rPr>
          <w:rFonts w:hint="default" w:ascii="Arial" w:hAnsi="Arial" w:cs="Arial"/>
          <w:color w:val="auto"/>
          <w:szCs w:val="21"/>
          <w:highlight w:val="none"/>
        </w:rPr>
      </w:pPr>
      <w:r>
        <w:rPr>
          <w:rFonts w:hint="default" w:ascii="Arial" w:hAnsi="Arial" w:cs="Arial"/>
          <w:color w:val="auto"/>
          <w:szCs w:val="21"/>
          <w:highlight w:val="none"/>
        </w:rPr>
        <w:t xml:space="preserve">                           投标人评标报价金额  </w:t>
      </w:r>
    </w:p>
    <w:p w14:paraId="18AA5865">
      <w:pPr>
        <w:pStyle w:val="27"/>
        <w:spacing w:line="288" w:lineRule="auto"/>
        <w:ind w:firstLine="420" w:firstLineChars="200"/>
        <w:rPr>
          <w:rFonts w:hint="default" w:ascii="Arial" w:hAnsi="Arial" w:cs="Arial"/>
          <w:b/>
          <w:color w:val="auto"/>
          <w:szCs w:val="21"/>
          <w:highlight w:val="none"/>
        </w:rPr>
      </w:pPr>
      <w:r>
        <w:rPr>
          <w:rFonts w:hint="eastAsia" w:ascii="Arial" w:hAnsi="Arial" w:cs="Arial"/>
          <w:b/>
          <w:color w:val="auto"/>
          <w:szCs w:val="21"/>
          <w:highlight w:val="none"/>
          <w:lang w:val="en-US" w:eastAsia="zh-CN"/>
        </w:rPr>
        <w:t>2、</w:t>
      </w:r>
      <w:r>
        <w:rPr>
          <w:rFonts w:hint="default" w:ascii="Arial" w:hAnsi="Arial" w:cs="Arial"/>
          <w:b/>
          <w:color w:val="auto"/>
          <w:szCs w:val="21"/>
          <w:highlight w:val="none"/>
        </w:rPr>
        <w:t>项目实施方案分…………………………………………………………………</w:t>
      </w:r>
      <w:r>
        <w:rPr>
          <w:rFonts w:hint="eastAsia" w:ascii="Arial" w:hAnsi="Arial" w:cs="Arial"/>
          <w:b/>
          <w:color w:val="auto"/>
          <w:highlight w:val="none"/>
          <w:lang w:val="en-US" w:eastAsia="zh-CN"/>
        </w:rPr>
        <w:t>21</w:t>
      </w:r>
      <w:r>
        <w:rPr>
          <w:rFonts w:hint="default" w:ascii="Arial" w:hAnsi="Arial" w:cs="Arial"/>
          <w:b/>
          <w:color w:val="auto"/>
          <w:highlight w:val="none"/>
        </w:rPr>
        <w:t>分</w:t>
      </w:r>
    </w:p>
    <w:p w14:paraId="7588EDE4">
      <w:pPr>
        <w:pStyle w:val="27"/>
        <w:spacing w:line="288" w:lineRule="auto"/>
        <w:ind w:firstLine="420" w:firstLineChars="200"/>
        <w:outlineLvl w:val="0"/>
        <w:rPr>
          <w:rFonts w:hint="eastAsia" w:ascii="Arial" w:hAnsi="Arial" w:cs="Arial"/>
          <w:b w:val="0"/>
          <w:bCs w:val="0"/>
          <w:color w:val="auto"/>
          <w:sz w:val="21"/>
          <w:szCs w:val="21"/>
          <w:highlight w:val="none"/>
          <w:lang w:val="en-US" w:eastAsia="zh-CN"/>
        </w:rPr>
      </w:pPr>
      <w:r>
        <w:rPr>
          <w:rFonts w:hint="eastAsia" w:ascii="Arial" w:hAnsi="Arial" w:cs="Arial"/>
          <w:b w:val="0"/>
          <w:bCs w:val="0"/>
          <w:color w:val="auto"/>
          <w:sz w:val="21"/>
          <w:szCs w:val="21"/>
          <w:highlight w:val="none"/>
          <w:lang w:val="en-US" w:eastAsia="zh-CN"/>
        </w:rPr>
        <w:t>一档（8分）：项目实施方案、人员分工、进度计划、管理方案较简单，结构较合理，无实施框架，保障措施一般；项目实施人员配备较少。</w:t>
      </w:r>
    </w:p>
    <w:p w14:paraId="1E3C07C4">
      <w:pPr>
        <w:pStyle w:val="27"/>
        <w:spacing w:line="288" w:lineRule="auto"/>
        <w:ind w:firstLine="420" w:firstLineChars="200"/>
        <w:outlineLvl w:val="0"/>
        <w:rPr>
          <w:rFonts w:hint="eastAsia" w:ascii="Arial" w:hAnsi="Arial" w:cs="Arial"/>
          <w:b w:val="0"/>
          <w:bCs w:val="0"/>
          <w:color w:val="auto"/>
          <w:sz w:val="21"/>
          <w:szCs w:val="21"/>
          <w:highlight w:val="none"/>
          <w:lang w:val="en-US" w:eastAsia="zh-CN"/>
        </w:rPr>
      </w:pPr>
      <w:r>
        <w:rPr>
          <w:rFonts w:hint="eastAsia" w:ascii="Arial" w:hAnsi="Arial" w:cs="Arial"/>
          <w:b w:val="0"/>
          <w:bCs w:val="0"/>
          <w:color w:val="auto"/>
          <w:sz w:val="21"/>
          <w:szCs w:val="21"/>
          <w:highlight w:val="none"/>
          <w:lang w:val="en-US" w:eastAsia="zh-CN"/>
        </w:rPr>
        <w:t>二档（15分）：项目实施方案、人员分工、进度计划、管理方案、交货期保证措施、细化到位，结构合理，实施进度计划较详细，测有较详细的验收方案；本项目的实施人员配备合理。</w:t>
      </w:r>
    </w:p>
    <w:p w14:paraId="1D39E7E1">
      <w:pPr>
        <w:pStyle w:val="27"/>
        <w:spacing w:line="288" w:lineRule="auto"/>
        <w:ind w:firstLine="420" w:firstLineChars="200"/>
        <w:outlineLvl w:val="0"/>
        <w:rPr>
          <w:rFonts w:hint="eastAsia" w:ascii="Arial" w:hAnsi="Arial" w:cs="Arial"/>
          <w:b w:val="0"/>
          <w:bCs w:val="0"/>
          <w:color w:val="auto"/>
          <w:sz w:val="21"/>
          <w:szCs w:val="21"/>
          <w:highlight w:val="none"/>
          <w:lang w:val="en-US" w:eastAsia="zh-CN"/>
        </w:rPr>
      </w:pPr>
      <w:r>
        <w:rPr>
          <w:rFonts w:hint="eastAsia" w:ascii="Arial" w:hAnsi="Arial" w:cs="Arial"/>
          <w:b w:val="0"/>
          <w:bCs w:val="0"/>
          <w:color w:val="auto"/>
          <w:sz w:val="21"/>
          <w:szCs w:val="21"/>
          <w:highlight w:val="none"/>
          <w:lang w:val="en-US" w:eastAsia="zh-CN"/>
        </w:rPr>
        <w:t>三档（21分）：项目提供针对性实施方案，有针对本项目的设计效果图，项目提供人员分工、进度计划、管理方案、交货期保证措施强、细化合理，结构合理，实施进度计划详细，有较强的验收方案及标准；项目实施人员配备充足。</w:t>
      </w:r>
    </w:p>
    <w:p w14:paraId="645C3ED5">
      <w:pPr>
        <w:pStyle w:val="27"/>
        <w:spacing w:line="288" w:lineRule="auto"/>
        <w:ind w:firstLine="420" w:firstLineChars="200"/>
        <w:outlineLvl w:val="0"/>
        <w:rPr>
          <w:rFonts w:hint="default" w:ascii="Arial" w:hAnsi="Arial" w:cs="Arial"/>
          <w:highlight w:val="none"/>
          <w:lang w:val="en-US" w:eastAsia="zh-CN"/>
        </w:rPr>
      </w:pPr>
      <w:r>
        <w:rPr>
          <w:rFonts w:hint="eastAsia" w:ascii="Arial" w:hAnsi="Arial" w:cs="Arial"/>
          <w:b/>
          <w:bCs/>
          <w:color w:val="auto"/>
          <w:sz w:val="21"/>
          <w:szCs w:val="21"/>
          <w:highlight w:val="none"/>
          <w:lang w:val="en-US" w:eastAsia="zh-CN"/>
        </w:rPr>
        <w:t>注：</w:t>
      </w:r>
      <w:r>
        <w:rPr>
          <w:rFonts w:hint="default" w:ascii="Arial" w:hAnsi="Arial" w:eastAsia="宋体" w:cs="Arial"/>
          <w:b/>
          <w:bCs/>
          <w:color w:val="auto"/>
          <w:sz w:val="21"/>
          <w:szCs w:val="21"/>
          <w:highlight w:val="none"/>
          <w:lang w:val="en-US" w:eastAsia="zh-CN"/>
        </w:rPr>
        <w:t>未提供</w:t>
      </w:r>
      <w:r>
        <w:rPr>
          <w:rFonts w:hint="eastAsia" w:ascii="Arial" w:hAnsi="Arial" w:eastAsia="宋体" w:cs="Arial"/>
          <w:b/>
          <w:bCs/>
          <w:color w:val="auto"/>
          <w:sz w:val="21"/>
          <w:szCs w:val="21"/>
          <w:highlight w:val="none"/>
          <w:lang w:val="en-US" w:eastAsia="zh-CN"/>
        </w:rPr>
        <w:t>方案</w:t>
      </w:r>
      <w:r>
        <w:rPr>
          <w:rFonts w:hint="default" w:ascii="Arial" w:hAnsi="Arial" w:eastAsia="宋体" w:cs="Arial"/>
          <w:b/>
          <w:bCs/>
          <w:color w:val="auto"/>
          <w:sz w:val="21"/>
          <w:szCs w:val="21"/>
          <w:highlight w:val="none"/>
          <w:lang w:val="en-US" w:eastAsia="zh-CN"/>
        </w:rPr>
        <w:t>不得分。</w:t>
      </w:r>
    </w:p>
    <w:p w14:paraId="028B35E4">
      <w:pPr>
        <w:spacing w:line="380" w:lineRule="exact"/>
        <w:ind w:firstLine="308"/>
        <w:rPr>
          <w:rFonts w:hint="default" w:ascii="Arial" w:hAnsi="Arial" w:eastAsia="宋体" w:cs="Arial"/>
          <w:b/>
          <w:bCs w:val="0"/>
          <w:szCs w:val="21"/>
          <w:highlight w:val="none"/>
        </w:rPr>
      </w:pPr>
      <w:r>
        <w:rPr>
          <w:rFonts w:hint="eastAsia" w:ascii="Arial" w:hAnsi="Arial" w:cs="Arial"/>
          <w:b/>
          <w:bCs w:val="0"/>
          <w:szCs w:val="21"/>
          <w:highlight w:val="none"/>
          <w:lang w:val="en-US" w:eastAsia="zh-CN"/>
        </w:rPr>
        <w:t>3</w:t>
      </w:r>
      <w:r>
        <w:rPr>
          <w:rFonts w:hint="default" w:ascii="Arial" w:hAnsi="Arial" w:eastAsia="宋体" w:cs="Arial"/>
          <w:b/>
          <w:bCs w:val="0"/>
          <w:szCs w:val="21"/>
          <w:highlight w:val="none"/>
        </w:rPr>
        <w:t>. 售后服务方案……………………………………………………………………………</w:t>
      </w:r>
      <w:r>
        <w:rPr>
          <w:rFonts w:hint="eastAsia" w:ascii="Arial" w:hAnsi="Arial" w:cs="Arial"/>
          <w:b/>
          <w:bCs w:val="0"/>
          <w:szCs w:val="21"/>
          <w:highlight w:val="none"/>
          <w:lang w:val="en-US" w:eastAsia="zh-CN"/>
        </w:rPr>
        <w:t>21</w:t>
      </w:r>
      <w:r>
        <w:rPr>
          <w:rFonts w:hint="default" w:ascii="Arial" w:hAnsi="Arial" w:eastAsia="宋体" w:cs="Arial"/>
          <w:b/>
          <w:bCs w:val="0"/>
          <w:szCs w:val="21"/>
          <w:highlight w:val="none"/>
        </w:rPr>
        <w:t>分</w:t>
      </w:r>
    </w:p>
    <w:p w14:paraId="73981E06">
      <w:pPr>
        <w:spacing w:line="380" w:lineRule="exact"/>
        <w:ind w:firstLine="308"/>
        <w:rPr>
          <w:rFonts w:hint="eastAsia" w:ascii="Arial" w:hAnsi="Arial" w:cs="Arial"/>
          <w:b w:val="0"/>
          <w:bCs w:val="0"/>
          <w:color w:val="auto"/>
          <w:sz w:val="21"/>
          <w:szCs w:val="21"/>
          <w:highlight w:val="none"/>
          <w:lang w:val="en-US" w:eastAsia="zh-CN"/>
        </w:rPr>
      </w:pPr>
      <w:r>
        <w:rPr>
          <w:rFonts w:hint="eastAsia" w:ascii="Arial" w:hAnsi="Arial" w:cs="Arial"/>
          <w:b w:val="0"/>
          <w:bCs w:val="0"/>
          <w:color w:val="auto"/>
          <w:sz w:val="21"/>
          <w:szCs w:val="21"/>
          <w:highlight w:val="none"/>
          <w:lang w:val="en-US" w:eastAsia="zh-CN"/>
        </w:rPr>
        <w:t>一档（8分）：提供售后服务方案简单，到达故障现场时间等满足采购文件要求。</w:t>
      </w:r>
    </w:p>
    <w:p w14:paraId="002DA9A7">
      <w:pPr>
        <w:spacing w:line="380" w:lineRule="exact"/>
        <w:ind w:firstLine="308"/>
        <w:rPr>
          <w:rFonts w:hint="eastAsia" w:ascii="Arial" w:hAnsi="Arial" w:cs="Arial"/>
          <w:b w:val="0"/>
          <w:bCs w:val="0"/>
          <w:color w:val="auto"/>
          <w:sz w:val="21"/>
          <w:szCs w:val="21"/>
          <w:highlight w:val="none"/>
          <w:lang w:val="en-US" w:eastAsia="zh-CN"/>
        </w:rPr>
      </w:pPr>
      <w:r>
        <w:rPr>
          <w:rFonts w:hint="eastAsia" w:ascii="Arial" w:hAnsi="Arial" w:cs="Arial"/>
          <w:b w:val="0"/>
          <w:bCs w:val="0"/>
          <w:color w:val="auto"/>
          <w:sz w:val="21"/>
          <w:szCs w:val="21"/>
          <w:highlight w:val="none"/>
          <w:lang w:val="en-US" w:eastAsia="zh-CN"/>
        </w:rPr>
        <w:t>二档（15分）：供应商具备较好售后服务能力，售后服务方案比较细致、合理、可行，保障响应措施较有力，满足项目要求，并承诺提供 7×24 售后服务热线。</w:t>
      </w:r>
    </w:p>
    <w:p w14:paraId="29E212AD">
      <w:pPr>
        <w:spacing w:line="380" w:lineRule="exact"/>
        <w:ind w:firstLine="308"/>
        <w:rPr>
          <w:rFonts w:hint="eastAsia" w:ascii="Arial" w:hAnsi="Arial" w:cs="Arial"/>
          <w:b w:val="0"/>
          <w:bCs w:val="0"/>
          <w:color w:val="auto"/>
          <w:sz w:val="21"/>
          <w:szCs w:val="21"/>
          <w:highlight w:val="none"/>
          <w:lang w:val="en-US" w:eastAsia="zh-CN"/>
        </w:rPr>
      </w:pPr>
      <w:r>
        <w:rPr>
          <w:rFonts w:hint="eastAsia" w:ascii="Arial" w:hAnsi="Arial" w:cs="Arial"/>
          <w:b w:val="0"/>
          <w:bCs w:val="0"/>
          <w:color w:val="auto"/>
          <w:sz w:val="21"/>
          <w:szCs w:val="21"/>
          <w:highlight w:val="none"/>
          <w:lang w:val="en-US" w:eastAsia="zh-CN"/>
        </w:rPr>
        <w:t>三档（21分）：供应商具备强大售后服务能力，售后服务方案比较细致、合理、可行，保障响应措施较有力，并承诺提供 7×24 售后服务热线，响应时间短，快捷、迅速，有该项目详细的售后服务方案、售后服务流程、应急预案、质量保障方案。</w:t>
      </w:r>
    </w:p>
    <w:p w14:paraId="3AE0D4C8">
      <w:pPr>
        <w:spacing w:line="380" w:lineRule="exact"/>
        <w:ind w:firstLine="308"/>
        <w:rPr>
          <w:rFonts w:hint="default" w:ascii="Arial" w:hAnsi="Arial" w:eastAsia="宋体" w:cs="Arial"/>
          <w:b/>
          <w:bCs/>
          <w:color w:val="auto"/>
          <w:sz w:val="21"/>
          <w:szCs w:val="21"/>
          <w:highlight w:val="none"/>
          <w:lang w:val="en-US" w:eastAsia="zh-CN"/>
        </w:rPr>
      </w:pPr>
      <w:r>
        <w:rPr>
          <w:rFonts w:hint="eastAsia" w:ascii="Arial" w:hAnsi="Arial" w:cs="Arial"/>
          <w:b/>
          <w:bCs/>
          <w:color w:val="auto"/>
          <w:sz w:val="21"/>
          <w:szCs w:val="21"/>
          <w:highlight w:val="none"/>
          <w:lang w:val="en-US" w:eastAsia="zh-CN"/>
        </w:rPr>
        <w:t>注：</w:t>
      </w:r>
      <w:r>
        <w:rPr>
          <w:rFonts w:hint="default" w:ascii="Arial" w:hAnsi="Arial" w:eastAsia="宋体" w:cs="Arial"/>
          <w:b/>
          <w:bCs/>
          <w:color w:val="auto"/>
          <w:sz w:val="21"/>
          <w:szCs w:val="21"/>
          <w:highlight w:val="none"/>
          <w:lang w:val="en-US" w:eastAsia="zh-CN"/>
        </w:rPr>
        <w:t>未提供</w:t>
      </w:r>
      <w:r>
        <w:rPr>
          <w:rFonts w:hint="eastAsia" w:ascii="Arial" w:hAnsi="Arial" w:eastAsia="宋体" w:cs="Arial"/>
          <w:b/>
          <w:bCs/>
          <w:color w:val="auto"/>
          <w:sz w:val="21"/>
          <w:szCs w:val="21"/>
          <w:highlight w:val="none"/>
          <w:lang w:val="en-US" w:eastAsia="zh-CN"/>
        </w:rPr>
        <w:t>方案</w:t>
      </w:r>
      <w:r>
        <w:rPr>
          <w:rFonts w:hint="default" w:ascii="Arial" w:hAnsi="Arial" w:eastAsia="宋体" w:cs="Arial"/>
          <w:b/>
          <w:bCs/>
          <w:color w:val="auto"/>
          <w:sz w:val="21"/>
          <w:szCs w:val="21"/>
          <w:highlight w:val="none"/>
          <w:lang w:val="en-US" w:eastAsia="zh-CN"/>
        </w:rPr>
        <w:t>不得分。</w:t>
      </w:r>
    </w:p>
    <w:p w14:paraId="5504A116">
      <w:pPr>
        <w:spacing w:line="380" w:lineRule="exact"/>
        <w:ind w:firstLine="308"/>
        <w:rPr>
          <w:rFonts w:hint="default" w:ascii="Arial" w:hAnsi="Arial" w:eastAsia="宋体" w:cs="Arial"/>
          <w:b/>
          <w:bCs w:val="0"/>
          <w:szCs w:val="21"/>
          <w:highlight w:val="none"/>
        </w:rPr>
      </w:pPr>
      <w:r>
        <w:rPr>
          <w:rFonts w:hint="eastAsia" w:ascii="Arial" w:hAnsi="Arial" w:cs="Arial"/>
          <w:b/>
          <w:bCs w:val="0"/>
          <w:szCs w:val="21"/>
          <w:highlight w:val="none"/>
          <w:lang w:val="en-US" w:eastAsia="zh-CN"/>
        </w:rPr>
        <w:t>4</w:t>
      </w:r>
      <w:r>
        <w:rPr>
          <w:rFonts w:hint="default" w:ascii="Arial" w:hAnsi="Arial" w:eastAsia="宋体" w:cs="Arial"/>
          <w:b/>
          <w:bCs w:val="0"/>
          <w:szCs w:val="21"/>
          <w:highlight w:val="none"/>
        </w:rPr>
        <w:t>. 培训方案……………………………………………………………………………</w:t>
      </w:r>
      <w:r>
        <w:rPr>
          <w:rFonts w:hint="eastAsia" w:ascii="Arial" w:hAnsi="Arial" w:cs="Arial"/>
          <w:b/>
          <w:bCs w:val="0"/>
          <w:szCs w:val="21"/>
          <w:highlight w:val="none"/>
          <w:lang w:val="en-US" w:eastAsia="zh-CN"/>
        </w:rPr>
        <w:t>16</w:t>
      </w:r>
      <w:r>
        <w:rPr>
          <w:rFonts w:hint="default" w:ascii="Arial" w:hAnsi="Arial" w:eastAsia="宋体" w:cs="Arial"/>
          <w:b/>
          <w:bCs w:val="0"/>
          <w:szCs w:val="21"/>
          <w:highlight w:val="none"/>
        </w:rPr>
        <w:t>分</w:t>
      </w:r>
    </w:p>
    <w:p w14:paraId="67C193C2">
      <w:pPr>
        <w:spacing w:line="380" w:lineRule="exact"/>
        <w:ind w:firstLine="308"/>
        <w:rPr>
          <w:rFonts w:hint="default" w:ascii="Arial" w:hAnsi="Arial" w:cs="Arial"/>
          <w:b w:val="0"/>
          <w:bCs w:val="0"/>
          <w:color w:val="auto"/>
          <w:sz w:val="21"/>
          <w:szCs w:val="21"/>
          <w:highlight w:val="none"/>
          <w:lang w:val="en-US" w:eastAsia="zh-CN"/>
        </w:rPr>
      </w:pPr>
      <w:r>
        <w:rPr>
          <w:rFonts w:hint="default" w:ascii="Arial" w:hAnsi="Arial" w:cs="Arial"/>
          <w:b w:val="0"/>
          <w:bCs w:val="0"/>
          <w:color w:val="auto"/>
          <w:sz w:val="21"/>
          <w:szCs w:val="21"/>
          <w:highlight w:val="none"/>
          <w:lang w:val="en-US" w:eastAsia="zh-CN"/>
        </w:rPr>
        <w:t>一档（</w:t>
      </w:r>
      <w:r>
        <w:rPr>
          <w:rFonts w:hint="eastAsia" w:ascii="Arial" w:hAnsi="Arial" w:cs="Arial"/>
          <w:b w:val="0"/>
          <w:bCs w:val="0"/>
          <w:color w:val="auto"/>
          <w:sz w:val="21"/>
          <w:szCs w:val="21"/>
          <w:highlight w:val="none"/>
          <w:lang w:val="en-US" w:eastAsia="zh-CN"/>
        </w:rPr>
        <w:t>5</w:t>
      </w:r>
      <w:r>
        <w:rPr>
          <w:rFonts w:hint="default" w:ascii="Arial" w:hAnsi="Arial" w:cs="Arial"/>
          <w:b w:val="0"/>
          <w:bCs w:val="0"/>
          <w:color w:val="auto"/>
          <w:sz w:val="21"/>
          <w:szCs w:val="21"/>
          <w:highlight w:val="none"/>
          <w:lang w:val="en-US" w:eastAsia="zh-CN"/>
        </w:rPr>
        <w:t xml:space="preserve"> 分）：编制有培训计划、培训方式、培训人员和培训职责等基本内容，确保培训工作具备初步的组织性和计划性。</w:t>
      </w:r>
    </w:p>
    <w:p w14:paraId="74411326">
      <w:pPr>
        <w:spacing w:line="380" w:lineRule="exact"/>
        <w:ind w:firstLine="308"/>
        <w:rPr>
          <w:rFonts w:hint="default" w:ascii="Arial" w:hAnsi="Arial" w:cs="Arial"/>
          <w:b w:val="0"/>
          <w:bCs w:val="0"/>
          <w:color w:val="auto"/>
          <w:sz w:val="21"/>
          <w:szCs w:val="21"/>
          <w:highlight w:val="none"/>
          <w:lang w:val="en-US" w:eastAsia="zh-CN"/>
        </w:rPr>
      </w:pPr>
      <w:r>
        <w:rPr>
          <w:rFonts w:hint="default" w:ascii="Arial" w:hAnsi="Arial" w:cs="Arial"/>
          <w:b w:val="0"/>
          <w:bCs w:val="0"/>
          <w:color w:val="auto"/>
          <w:sz w:val="21"/>
          <w:szCs w:val="21"/>
          <w:highlight w:val="none"/>
          <w:lang w:val="en-US" w:eastAsia="zh-CN"/>
        </w:rPr>
        <w:t>二档（</w:t>
      </w:r>
      <w:r>
        <w:rPr>
          <w:rFonts w:hint="eastAsia" w:ascii="Arial" w:hAnsi="Arial" w:cs="Arial"/>
          <w:b w:val="0"/>
          <w:bCs w:val="0"/>
          <w:color w:val="auto"/>
          <w:sz w:val="21"/>
          <w:szCs w:val="21"/>
          <w:highlight w:val="none"/>
          <w:lang w:val="en-US" w:eastAsia="zh-CN"/>
        </w:rPr>
        <w:t>10</w:t>
      </w:r>
      <w:r>
        <w:rPr>
          <w:rFonts w:hint="default" w:ascii="Arial" w:hAnsi="Arial" w:cs="Arial"/>
          <w:b w:val="0"/>
          <w:bCs w:val="0"/>
          <w:color w:val="auto"/>
          <w:sz w:val="21"/>
          <w:szCs w:val="21"/>
          <w:highlight w:val="none"/>
          <w:lang w:val="en-US" w:eastAsia="zh-CN"/>
        </w:rPr>
        <w:t>分）：培训方案优于上一档，针对本项目所涉及计量检测设备的操作、维护及日常管理，制定出具体、详尽的培训内容大纲；方案需明确培训目标、课程设置、考核方式及具体实施步骤，并配备相应的培训教材或资料，确保培训内容的针对性和系统性。</w:t>
      </w:r>
    </w:p>
    <w:p w14:paraId="40355D81">
      <w:pPr>
        <w:spacing w:line="380" w:lineRule="exact"/>
        <w:ind w:firstLine="308"/>
        <w:rPr>
          <w:rFonts w:hint="default" w:ascii="Arial" w:hAnsi="Arial" w:cs="Arial"/>
          <w:b w:val="0"/>
          <w:bCs w:val="0"/>
          <w:color w:val="auto"/>
          <w:sz w:val="21"/>
          <w:szCs w:val="21"/>
          <w:highlight w:val="none"/>
          <w:lang w:val="en-US" w:eastAsia="zh-CN"/>
        </w:rPr>
      </w:pPr>
      <w:r>
        <w:rPr>
          <w:rFonts w:hint="default" w:ascii="Arial" w:hAnsi="Arial" w:cs="Arial"/>
          <w:b w:val="0"/>
          <w:bCs w:val="0"/>
          <w:color w:val="auto"/>
          <w:sz w:val="21"/>
          <w:szCs w:val="21"/>
          <w:highlight w:val="none"/>
          <w:lang w:val="en-US" w:eastAsia="zh-CN"/>
        </w:rPr>
        <w:t>三档（1</w:t>
      </w:r>
      <w:r>
        <w:rPr>
          <w:rFonts w:hint="eastAsia" w:ascii="Arial" w:hAnsi="Arial" w:cs="Arial"/>
          <w:b w:val="0"/>
          <w:bCs w:val="0"/>
          <w:color w:val="auto"/>
          <w:sz w:val="21"/>
          <w:szCs w:val="21"/>
          <w:highlight w:val="none"/>
          <w:lang w:val="en-US" w:eastAsia="zh-CN"/>
        </w:rPr>
        <w:t>6</w:t>
      </w:r>
      <w:r>
        <w:rPr>
          <w:rFonts w:hint="default" w:ascii="Arial" w:hAnsi="Arial" w:cs="Arial"/>
          <w:b w:val="0"/>
          <w:bCs w:val="0"/>
          <w:color w:val="auto"/>
          <w:sz w:val="21"/>
          <w:szCs w:val="21"/>
          <w:highlight w:val="none"/>
          <w:lang w:val="en-US" w:eastAsia="zh-CN"/>
        </w:rPr>
        <w:t>分）：培训方案优于上一档，能够安排设备生产厂家提供现场操作培训；同时，培训方案应包含完整的理论讲解、实操演练、常见故障排除及应急处理等多个模块，并承诺提供定期的复训或技术更新支持，以确保操作人员能够全面、深入地掌握设备性能与维护技能，保障设备的长期稳定运行。</w:t>
      </w:r>
    </w:p>
    <w:p w14:paraId="60C48C22">
      <w:pPr>
        <w:spacing w:line="380" w:lineRule="exact"/>
        <w:ind w:firstLine="308"/>
        <w:rPr>
          <w:rFonts w:hint="default"/>
          <w:lang w:val="en-US" w:eastAsia="zh-CN"/>
        </w:rPr>
      </w:pPr>
      <w:r>
        <w:rPr>
          <w:rFonts w:hint="eastAsia" w:ascii="Arial" w:hAnsi="Arial" w:cs="Arial"/>
          <w:b/>
          <w:bCs/>
          <w:color w:val="auto"/>
          <w:sz w:val="21"/>
          <w:szCs w:val="21"/>
          <w:highlight w:val="none"/>
          <w:lang w:val="en-US" w:eastAsia="zh-CN"/>
        </w:rPr>
        <w:t>注：</w:t>
      </w:r>
      <w:r>
        <w:rPr>
          <w:rFonts w:hint="default" w:ascii="Arial" w:hAnsi="Arial" w:eastAsia="宋体" w:cs="Arial"/>
          <w:b/>
          <w:bCs/>
          <w:color w:val="auto"/>
          <w:sz w:val="21"/>
          <w:szCs w:val="21"/>
          <w:highlight w:val="none"/>
          <w:lang w:val="en-US" w:eastAsia="zh-CN"/>
        </w:rPr>
        <w:t>未提供</w:t>
      </w:r>
      <w:r>
        <w:rPr>
          <w:rFonts w:hint="eastAsia" w:ascii="Arial" w:hAnsi="Arial" w:eastAsia="宋体" w:cs="Arial"/>
          <w:b/>
          <w:bCs/>
          <w:color w:val="auto"/>
          <w:sz w:val="21"/>
          <w:szCs w:val="21"/>
          <w:highlight w:val="none"/>
          <w:lang w:val="en-US" w:eastAsia="zh-CN"/>
        </w:rPr>
        <w:t>方案</w:t>
      </w:r>
      <w:r>
        <w:rPr>
          <w:rFonts w:hint="default" w:ascii="Arial" w:hAnsi="Arial" w:eastAsia="宋体" w:cs="Arial"/>
          <w:b/>
          <w:bCs/>
          <w:color w:val="auto"/>
          <w:sz w:val="21"/>
          <w:szCs w:val="21"/>
          <w:highlight w:val="none"/>
          <w:lang w:val="en-US" w:eastAsia="zh-CN"/>
        </w:rPr>
        <w:t>不得分。</w:t>
      </w:r>
    </w:p>
    <w:p w14:paraId="17D5BA86">
      <w:pPr>
        <w:spacing w:line="380" w:lineRule="exact"/>
        <w:ind w:firstLine="308"/>
        <w:rPr>
          <w:rFonts w:hint="default" w:ascii="Arial" w:hAnsi="Arial" w:eastAsia="宋体" w:cs="Arial"/>
          <w:b/>
          <w:bCs w:val="0"/>
          <w:szCs w:val="21"/>
          <w:highlight w:val="none"/>
        </w:rPr>
      </w:pPr>
      <w:r>
        <w:rPr>
          <w:rFonts w:hint="eastAsia" w:ascii="Arial" w:hAnsi="Arial" w:cs="Arial"/>
          <w:b/>
          <w:bCs w:val="0"/>
          <w:szCs w:val="21"/>
          <w:highlight w:val="none"/>
          <w:lang w:val="en-US" w:eastAsia="zh-CN"/>
        </w:rPr>
        <w:t>5.</w:t>
      </w:r>
      <w:r>
        <w:rPr>
          <w:rFonts w:hint="eastAsia" w:ascii="Arial" w:hAnsi="Arial" w:eastAsia="宋体" w:cs="Arial"/>
          <w:b/>
          <w:bCs w:val="0"/>
          <w:szCs w:val="21"/>
          <w:highlight w:val="none"/>
          <w:lang w:val="en-US" w:eastAsia="zh-CN"/>
        </w:rPr>
        <w:t>综合实力</w:t>
      </w:r>
      <w:r>
        <w:rPr>
          <w:rFonts w:hint="default" w:ascii="Arial" w:hAnsi="Arial" w:eastAsia="宋体" w:cs="Arial"/>
          <w:b/>
          <w:bCs w:val="0"/>
          <w:szCs w:val="21"/>
          <w:highlight w:val="none"/>
        </w:rPr>
        <w:t>分……………………………………………………………………………………</w:t>
      </w:r>
      <w:r>
        <w:rPr>
          <w:rFonts w:hint="eastAsia" w:ascii="Arial" w:hAnsi="Arial" w:cs="Arial"/>
          <w:b/>
          <w:bCs w:val="0"/>
          <w:szCs w:val="21"/>
          <w:highlight w:val="none"/>
          <w:lang w:val="en-US" w:eastAsia="zh-CN"/>
        </w:rPr>
        <w:t>10</w:t>
      </w:r>
      <w:r>
        <w:rPr>
          <w:rFonts w:hint="default" w:ascii="Arial" w:hAnsi="Arial" w:eastAsia="宋体" w:cs="Arial"/>
          <w:b/>
          <w:bCs w:val="0"/>
          <w:szCs w:val="21"/>
          <w:highlight w:val="none"/>
        </w:rPr>
        <w:t>分</w:t>
      </w:r>
    </w:p>
    <w:p w14:paraId="3004BFED">
      <w:pPr>
        <w:wordWrap w:val="0"/>
        <w:spacing w:line="288" w:lineRule="auto"/>
        <w:ind w:firstLine="420" w:firstLineChars="200"/>
        <w:rPr>
          <w:rFonts w:hint="eastAsia" w:ascii="Arial" w:hAnsi="Arial" w:cs="Arial"/>
          <w:b w:val="0"/>
          <w:bCs w:val="0"/>
          <w:szCs w:val="21"/>
          <w:highlight w:val="none"/>
          <w:lang w:val="en-US" w:eastAsia="zh-CN"/>
        </w:rPr>
      </w:pPr>
      <w:r>
        <w:rPr>
          <w:rFonts w:hint="eastAsia" w:ascii="Arial" w:hAnsi="Arial" w:cs="Arial"/>
          <w:b w:val="0"/>
          <w:bCs w:val="0"/>
          <w:szCs w:val="21"/>
          <w:highlight w:val="none"/>
          <w:lang w:val="en-US" w:eastAsia="zh-CN"/>
        </w:rPr>
        <w:t xml:space="preserve">（1）投标人或所投产品生产厂家，获得IS09001质量管理体系认证证书，得2分，否则不得分。（须提供证明材料复印件，否则不得分） </w:t>
      </w:r>
    </w:p>
    <w:p w14:paraId="612EB97A">
      <w:pPr>
        <w:wordWrap w:val="0"/>
        <w:spacing w:line="288" w:lineRule="auto"/>
        <w:ind w:firstLine="420" w:firstLineChars="200"/>
        <w:rPr>
          <w:rFonts w:hint="eastAsia" w:ascii="Arial" w:hAnsi="Arial" w:cs="Arial"/>
          <w:b w:val="0"/>
          <w:bCs w:val="0"/>
          <w:szCs w:val="21"/>
          <w:highlight w:val="none"/>
          <w:lang w:val="en-US" w:eastAsia="zh-CN"/>
        </w:rPr>
      </w:pPr>
      <w:r>
        <w:rPr>
          <w:rFonts w:hint="eastAsia" w:ascii="Arial" w:hAnsi="Arial" w:cs="Arial"/>
          <w:b w:val="0"/>
          <w:bCs w:val="0"/>
          <w:szCs w:val="21"/>
          <w:highlight w:val="none"/>
          <w:lang w:val="en-US" w:eastAsia="zh-CN"/>
        </w:rPr>
        <w:t>（2）投标人或所投产品生产厂家，获得ISO/IEC 27001信息安全管理体系认证证书的，得2分，否则不得分。（须提供证明材料复印件，否则不得分）</w:t>
      </w:r>
    </w:p>
    <w:p w14:paraId="6DDA3FDE">
      <w:pPr>
        <w:wordWrap w:val="0"/>
        <w:spacing w:line="288" w:lineRule="auto"/>
        <w:ind w:firstLine="420" w:firstLineChars="200"/>
        <w:rPr>
          <w:rFonts w:hint="eastAsia" w:ascii="Arial" w:hAnsi="Arial" w:cs="Arial"/>
          <w:b w:val="0"/>
          <w:bCs w:val="0"/>
          <w:szCs w:val="21"/>
          <w:highlight w:val="none"/>
          <w:lang w:val="en-US" w:eastAsia="zh-CN"/>
        </w:rPr>
      </w:pPr>
      <w:r>
        <w:rPr>
          <w:rFonts w:hint="eastAsia" w:ascii="Arial" w:hAnsi="Arial" w:cs="Arial"/>
          <w:b w:val="0"/>
          <w:bCs w:val="0"/>
          <w:szCs w:val="21"/>
          <w:highlight w:val="none"/>
          <w:lang w:val="en-US" w:eastAsia="zh-CN"/>
        </w:rPr>
        <w:t>（3）投标人提供 2023 年1月 1日至今具有同</w:t>
      </w:r>
      <w:r>
        <w:rPr>
          <w:rFonts w:hint="eastAsia"/>
          <w:highlight w:val="none"/>
          <w:lang w:val="en-US" w:eastAsia="zh-CN"/>
        </w:rPr>
        <w:t>类</w:t>
      </w:r>
      <w:r>
        <w:rPr>
          <w:rFonts w:hint="eastAsia" w:ascii="Arial" w:hAnsi="Arial" w:cs="Arial"/>
          <w:b w:val="0"/>
          <w:bCs w:val="0"/>
          <w:szCs w:val="21"/>
          <w:highlight w:val="none"/>
          <w:lang w:val="en-US" w:eastAsia="zh-CN"/>
        </w:rPr>
        <w:t xml:space="preserve">项目业绩的，每提供一份得 2分，满分6分。 </w:t>
      </w:r>
    </w:p>
    <w:p w14:paraId="668328AF">
      <w:pPr>
        <w:wordWrap w:val="0"/>
        <w:spacing w:line="288" w:lineRule="auto"/>
        <w:ind w:firstLine="420" w:firstLineChars="200"/>
        <w:rPr>
          <w:rFonts w:hint="eastAsia" w:ascii="Arial" w:hAnsi="Arial" w:cs="Arial"/>
          <w:b w:val="0"/>
          <w:bCs w:val="0"/>
          <w:szCs w:val="21"/>
          <w:highlight w:val="none"/>
          <w:lang w:val="en-US" w:eastAsia="zh-CN"/>
        </w:rPr>
      </w:pPr>
      <w:r>
        <w:rPr>
          <w:rFonts w:hint="eastAsia" w:ascii="Arial" w:hAnsi="Arial" w:cs="Arial"/>
          <w:b w:val="0"/>
          <w:bCs w:val="0"/>
          <w:szCs w:val="21"/>
          <w:highlight w:val="none"/>
          <w:lang w:val="en-US" w:eastAsia="zh-CN"/>
        </w:rPr>
        <w:t>（投标文件中提供有效的中标（成交）通知书或合同扫描件，否则不予以计分。同一项目中多标段的合同只计一次分。）</w:t>
      </w:r>
    </w:p>
    <w:p w14:paraId="4AB16C63">
      <w:pPr>
        <w:spacing w:line="380" w:lineRule="exact"/>
        <w:ind w:firstLine="308"/>
        <w:rPr>
          <w:rFonts w:hint="default" w:ascii="Arial" w:hAnsi="Arial" w:eastAsia="宋体" w:cs="Arial"/>
          <w:b/>
          <w:bCs/>
          <w:szCs w:val="21"/>
          <w:highlight w:val="none"/>
        </w:rPr>
      </w:pPr>
      <w:r>
        <w:rPr>
          <w:rFonts w:hint="eastAsia" w:ascii="Arial" w:hAnsi="Arial" w:cs="Arial"/>
          <w:b/>
          <w:bCs/>
          <w:szCs w:val="21"/>
          <w:highlight w:val="none"/>
          <w:lang w:val="en-US" w:eastAsia="zh-CN"/>
        </w:rPr>
        <w:t>6.政策分</w:t>
      </w:r>
      <w:r>
        <w:rPr>
          <w:rFonts w:hint="default" w:ascii="Arial" w:hAnsi="Arial" w:eastAsia="宋体" w:cs="Arial"/>
          <w:b/>
          <w:bCs/>
          <w:szCs w:val="21"/>
          <w:highlight w:val="none"/>
        </w:rPr>
        <w:t>……………………………………………………………………………………</w:t>
      </w:r>
      <w:r>
        <w:rPr>
          <w:rFonts w:hint="eastAsia" w:ascii="Arial" w:hAnsi="Arial" w:cs="Arial"/>
          <w:b/>
          <w:bCs/>
          <w:szCs w:val="21"/>
          <w:highlight w:val="none"/>
          <w:lang w:val="en-US" w:eastAsia="zh-CN"/>
        </w:rPr>
        <w:t>2</w:t>
      </w:r>
      <w:r>
        <w:rPr>
          <w:rFonts w:hint="default" w:ascii="Arial" w:hAnsi="Arial" w:eastAsia="宋体" w:cs="Arial"/>
          <w:b/>
          <w:bCs/>
          <w:szCs w:val="21"/>
          <w:highlight w:val="none"/>
        </w:rPr>
        <w:t>分</w:t>
      </w:r>
    </w:p>
    <w:p w14:paraId="14954715">
      <w:pPr>
        <w:wordWrap w:val="0"/>
        <w:spacing w:line="288" w:lineRule="auto"/>
        <w:ind w:firstLine="420" w:firstLineChars="200"/>
        <w:jc w:val="left"/>
        <w:rPr>
          <w:rFonts w:hint="default" w:ascii="Arial" w:hAnsi="Arial" w:cs="Arial"/>
          <w:b w:val="0"/>
          <w:bCs w:val="0"/>
          <w:szCs w:val="21"/>
          <w:highlight w:val="none"/>
          <w:lang w:val="en-US" w:eastAsia="zh-CN"/>
        </w:rPr>
      </w:pPr>
      <w:r>
        <w:rPr>
          <w:rFonts w:hint="default" w:ascii="Arial" w:hAnsi="Arial" w:cs="Arial"/>
          <w:b w:val="0"/>
          <w:bCs w:val="0"/>
          <w:szCs w:val="21"/>
          <w:highlight w:val="none"/>
          <w:lang w:val="en-US" w:eastAsia="zh-CN"/>
        </w:rPr>
        <w:t>（1）属于财政部《节能产品政府采购品目清单》内优先采购（清单内未标注“</w:t>
      </w:r>
      <w:r>
        <w:rPr>
          <w:rFonts w:hint="eastAsia" w:ascii="宋体" w:hAnsi="宋体" w:cs="宋体"/>
          <w:szCs w:val="21"/>
          <w:lang w:bidi="ar"/>
        </w:rPr>
        <w:t>★</w:t>
      </w:r>
      <w:r>
        <w:rPr>
          <w:rFonts w:hint="default" w:ascii="Arial" w:hAnsi="Arial" w:cs="Arial"/>
          <w:b w:val="0"/>
          <w:bCs w:val="0"/>
          <w:szCs w:val="21"/>
          <w:highlight w:val="none"/>
          <w:lang w:val="en-US" w:eastAsia="zh-CN"/>
        </w:rPr>
        <w:t>”的品目）的产品[需在投标文件中提供有效的认证证书复印件及品目清单（标注出投标产品在品目清单中所属的品目），并加盖投标人公章，未按要求提供的不予计分]，每提供一项得 0.5 分，满分 1 分。</w:t>
      </w:r>
    </w:p>
    <w:p w14:paraId="2AFBBCA3">
      <w:pPr>
        <w:wordWrap w:val="0"/>
        <w:spacing w:line="288" w:lineRule="auto"/>
        <w:ind w:firstLine="420" w:firstLineChars="200"/>
        <w:jc w:val="left"/>
        <w:rPr>
          <w:rFonts w:hint="default" w:ascii="Arial" w:hAnsi="Arial" w:cs="Arial"/>
          <w:b w:val="0"/>
          <w:bCs w:val="0"/>
          <w:szCs w:val="21"/>
          <w:highlight w:val="none"/>
          <w:lang w:val="en-US" w:eastAsia="zh-CN"/>
        </w:rPr>
      </w:pPr>
      <w:r>
        <w:rPr>
          <w:rFonts w:hint="default" w:ascii="Arial" w:hAnsi="Arial" w:cs="Arial"/>
          <w:b w:val="0"/>
          <w:bCs w:val="0"/>
          <w:szCs w:val="21"/>
          <w:highlight w:val="none"/>
          <w:lang w:val="en-US" w:eastAsia="zh-CN"/>
        </w:rPr>
        <w:t>（2）属于财政部《环境标志产品政府采购品目清单》内的产品</w:t>
      </w:r>
      <w:r>
        <w:rPr>
          <w:rFonts w:hint="eastAsia" w:ascii="Arial" w:hAnsi="Arial" w:cs="Arial"/>
          <w:b w:val="0"/>
          <w:bCs w:val="0"/>
          <w:szCs w:val="21"/>
          <w:highlight w:val="none"/>
          <w:lang w:val="en-US" w:eastAsia="zh-CN"/>
        </w:rPr>
        <w:t>【</w:t>
      </w:r>
      <w:r>
        <w:rPr>
          <w:rFonts w:hint="default" w:ascii="Arial" w:hAnsi="Arial" w:cs="Arial"/>
          <w:b w:val="0"/>
          <w:bCs w:val="0"/>
          <w:szCs w:val="21"/>
          <w:highlight w:val="none"/>
          <w:lang w:val="en-US" w:eastAsia="zh-CN"/>
        </w:rPr>
        <w:t>需在投标文件中提供有效的认证证书复印件及品目清单（标注出投标产品在品目清单中所属的品目），并加盖投标人公章，未按要求提供的不予计分</w:t>
      </w:r>
      <w:r>
        <w:rPr>
          <w:rFonts w:hint="eastAsia" w:ascii="Arial" w:hAnsi="Arial" w:cs="Arial"/>
          <w:b w:val="0"/>
          <w:bCs w:val="0"/>
          <w:szCs w:val="21"/>
          <w:highlight w:val="none"/>
          <w:lang w:val="en-US" w:eastAsia="zh-CN"/>
        </w:rPr>
        <w:t>】</w:t>
      </w:r>
      <w:r>
        <w:rPr>
          <w:rFonts w:hint="default" w:ascii="Arial" w:hAnsi="Arial" w:cs="Arial"/>
          <w:b w:val="0"/>
          <w:bCs w:val="0"/>
          <w:szCs w:val="21"/>
          <w:highlight w:val="none"/>
          <w:lang w:val="en-US" w:eastAsia="zh-CN"/>
        </w:rPr>
        <w:t xml:space="preserve">，每提供一项得 0.5 分，满分 1 分。 </w:t>
      </w:r>
    </w:p>
    <w:p w14:paraId="3AA162DD">
      <w:pPr>
        <w:wordWrap w:val="0"/>
        <w:spacing w:line="288" w:lineRule="auto"/>
        <w:ind w:firstLine="420" w:firstLineChars="200"/>
        <w:jc w:val="left"/>
        <w:rPr>
          <w:rFonts w:hint="default" w:ascii="Arial" w:hAnsi="Arial" w:cs="Arial"/>
          <w:b w:val="0"/>
          <w:bCs w:val="0"/>
          <w:szCs w:val="21"/>
          <w:highlight w:val="none"/>
          <w:lang w:val="en-US" w:eastAsia="zh-CN"/>
        </w:rPr>
      </w:pPr>
      <w:r>
        <w:rPr>
          <w:rFonts w:hint="default" w:ascii="Arial" w:hAnsi="Arial" w:cs="Arial"/>
          <w:b w:val="0"/>
          <w:bCs w:val="0"/>
          <w:szCs w:val="21"/>
          <w:highlight w:val="none"/>
          <w:lang w:val="en-US" w:eastAsia="zh-CN"/>
        </w:rPr>
        <w:t>（3）非节能、环境标志产品的不得分。</w:t>
      </w:r>
    </w:p>
    <w:p w14:paraId="3500C4D7">
      <w:pPr>
        <w:wordWrap w:val="0"/>
        <w:spacing w:line="288" w:lineRule="auto"/>
        <w:ind w:firstLine="420" w:firstLineChars="200"/>
        <w:rPr>
          <w:rFonts w:hint="default" w:ascii="Arial" w:hAnsi="Arial" w:eastAsia="宋体" w:cs="Arial"/>
          <w:highlight w:val="none"/>
          <w:lang w:val="en-US" w:eastAsia="zh-CN"/>
        </w:rPr>
      </w:pPr>
      <w:r>
        <w:rPr>
          <w:rFonts w:hint="eastAsia" w:ascii="Arial" w:hAnsi="Arial" w:cs="Arial"/>
          <w:b/>
          <w:bCs/>
          <w:szCs w:val="21"/>
          <w:highlight w:val="none"/>
          <w:lang w:val="en-US" w:eastAsia="zh-CN"/>
        </w:rPr>
        <w:t>7</w:t>
      </w:r>
      <w:r>
        <w:rPr>
          <w:rFonts w:hint="default" w:ascii="Arial" w:hAnsi="Arial" w:cs="Arial"/>
          <w:b/>
          <w:bCs/>
          <w:szCs w:val="21"/>
          <w:highlight w:val="none"/>
        </w:rPr>
        <w:t>、综合得分＝1+2+3+4+5</w:t>
      </w:r>
      <w:r>
        <w:rPr>
          <w:rFonts w:hint="eastAsia" w:ascii="Arial" w:hAnsi="Arial" w:cs="Arial"/>
          <w:b/>
          <w:bCs/>
          <w:szCs w:val="21"/>
          <w:highlight w:val="none"/>
          <w:lang w:val="en-US" w:eastAsia="zh-CN"/>
        </w:rPr>
        <w:t>+6</w:t>
      </w:r>
    </w:p>
    <w:p w14:paraId="35A9E3BC">
      <w:pPr>
        <w:spacing w:line="288" w:lineRule="auto"/>
        <w:ind w:left="-12" w:leftChars="-6" w:firstLine="420" w:firstLineChars="200"/>
        <w:rPr>
          <w:rFonts w:hint="default" w:ascii="Arial" w:hAnsi="Arial" w:cs="Arial"/>
          <w:b/>
          <w:szCs w:val="21"/>
          <w:highlight w:val="none"/>
        </w:rPr>
      </w:pPr>
      <w:r>
        <w:rPr>
          <w:rFonts w:hint="default" w:ascii="Arial" w:hAnsi="Arial" w:cs="Arial"/>
          <w:b/>
          <w:szCs w:val="21"/>
          <w:highlight w:val="none"/>
        </w:rPr>
        <w:t>三、推荐及确定中标候选供应商原则</w:t>
      </w:r>
    </w:p>
    <w:p w14:paraId="3E3CCE9C">
      <w:pPr>
        <w:spacing w:line="288" w:lineRule="auto"/>
        <w:ind w:left="-12" w:leftChars="-6" w:firstLine="420" w:firstLineChars="200"/>
        <w:rPr>
          <w:rFonts w:hint="default" w:ascii="Arial" w:hAnsi="Arial" w:cs="Arial"/>
          <w:szCs w:val="21"/>
          <w:highlight w:val="none"/>
        </w:rPr>
      </w:pPr>
      <w:r>
        <w:rPr>
          <w:rFonts w:hint="default" w:ascii="Arial" w:hAnsi="Arial" w:cs="Arial"/>
          <w:szCs w:val="21"/>
          <w:highlight w:val="none"/>
        </w:rPr>
        <w:t>（1）评标委员会根据综合得分由高到低排列次序，若得分相同时，按投标报价由低到高顺序排列；得分相同且投标报价也相同的由评标委员会按照抽签的方式决定排列次序。</w:t>
      </w:r>
    </w:p>
    <w:p w14:paraId="3677784C">
      <w:pPr>
        <w:spacing w:line="288" w:lineRule="auto"/>
        <w:ind w:left="-12" w:leftChars="-6" w:firstLine="420" w:firstLineChars="200"/>
        <w:rPr>
          <w:rFonts w:hint="default" w:ascii="Arial" w:hAnsi="Arial" w:cs="Arial"/>
          <w:szCs w:val="21"/>
          <w:highlight w:val="none"/>
        </w:rPr>
      </w:pPr>
      <w:r>
        <w:rPr>
          <w:rFonts w:hint="default" w:ascii="Arial" w:hAnsi="Arial" w:cs="Arial"/>
          <w:szCs w:val="21"/>
          <w:highlight w:val="none"/>
        </w:rPr>
        <w:t>（2）评标委员会可推荐前三名为中标候选人，采购人应当确定评标委员会推荐排名第一的中标候选人为中标人。</w:t>
      </w:r>
    </w:p>
    <w:p w14:paraId="64EB0BD2">
      <w:pPr>
        <w:spacing w:line="288" w:lineRule="auto"/>
        <w:ind w:left="-12" w:leftChars="-6" w:firstLine="420" w:firstLineChars="200"/>
        <w:rPr>
          <w:rFonts w:hint="default" w:ascii="Arial" w:hAnsi="Arial" w:cs="Arial"/>
          <w:szCs w:val="21"/>
          <w:highlight w:val="none"/>
        </w:rPr>
      </w:pPr>
      <w:r>
        <w:rPr>
          <w:rFonts w:hint="default" w:ascii="Arial" w:hAnsi="Arial" w:cs="Arial"/>
          <w:szCs w:val="21"/>
          <w:highlight w:val="none"/>
        </w:rPr>
        <w:t>（3）排名第一的中标候选人放弃中标、因不可抗力提出不能履行合同，或者招标文件规定应当提交履约保证金而在规定的期限内未能提交的，或因失信行为被取消中标候选人资格的，采购人可以确定排名第二的中标候选人为中标人，并依此类推。</w:t>
      </w:r>
    </w:p>
    <w:p w14:paraId="2F2BDFF0">
      <w:pPr>
        <w:rPr>
          <w:rFonts w:hint="default" w:ascii="Arial" w:hAnsi="Arial" w:cs="Arial"/>
          <w:szCs w:val="21"/>
          <w:highlight w:val="none"/>
        </w:rPr>
      </w:pPr>
      <w:r>
        <w:rPr>
          <w:rFonts w:hint="default" w:ascii="Arial" w:hAnsi="Arial" w:cs="Arial"/>
          <w:szCs w:val="21"/>
          <w:highlight w:val="none"/>
        </w:rPr>
        <w:br w:type="page"/>
      </w:r>
    </w:p>
    <w:p w14:paraId="114FC25E">
      <w:pPr>
        <w:pStyle w:val="27"/>
        <w:keepNext w:val="0"/>
        <w:keepLines w:val="0"/>
        <w:pageBreakBefore w:val="0"/>
        <w:widowControl w:val="0"/>
        <w:kinsoku/>
        <w:overflowPunct/>
        <w:topLinePunct w:val="0"/>
        <w:autoSpaceDE/>
        <w:autoSpaceDN/>
        <w:bidi w:val="0"/>
        <w:adjustRightInd/>
        <w:snapToGrid/>
        <w:spacing w:line="264" w:lineRule="auto"/>
        <w:ind w:firstLine="411" w:firstLineChars="196"/>
        <w:textAlignment w:val="auto"/>
        <w:rPr>
          <w:rFonts w:hint="default" w:ascii="Arial" w:hAnsi="Arial" w:eastAsia="宋体" w:cs="Arial"/>
          <w:b/>
          <w:bCs/>
          <w:color w:val="auto"/>
          <w:szCs w:val="21"/>
          <w:highlight w:val="none"/>
          <w:lang w:val="en-US" w:eastAsia="zh-CN"/>
        </w:rPr>
      </w:pPr>
      <w:r>
        <w:rPr>
          <w:rFonts w:hint="eastAsia" w:ascii="Arial" w:hAnsi="Arial" w:cs="Arial"/>
          <w:b/>
          <w:bCs/>
          <w:color w:val="auto"/>
          <w:szCs w:val="21"/>
          <w:highlight w:val="none"/>
          <w:lang w:val="en-US" w:eastAsia="zh-CN"/>
        </w:rPr>
        <w:t>B分标：</w:t>
      </w:r>
    </w:p>
    <w:p w14:paraId="3ACB19A8">
      <w:pPr>
        <w:pStyle w:val="27"/>
        <w:keepNext w:val="0"/>
        <w:keepLines w:val="0"/>
        <w:pageBreakBefore w:val="0"/>
        <w:widowControl w:val="0"/>
        <w:kinsoku/>
        <w:overflowPunct/>
        <w:topLinePunct w:val="0"/>
        <w:autoSpaceDE/>
        <w:autoSpaceDN/>
        <w:bidi w:val="0"/>
        <w:adjustRightInd/>
        <w:snapToGrid/>
        <w:spacing w:line="264" w:lineRule="auto"/>
        <w:ind w:firstLine="411" w:firstLineChars="196"/>
        <w:textAlignment w:val="auto"/>
        <w:rPr>
          <w:rFonts w:hint="default" w:ascii="Arial" w:hAnsi="Arial" w:cs="Arial"/>
          <w:b/>
          <w:bCs/>
          <w:color w:val="auto"/>
          <w:szCs w:val="21"/>
          <w:highlight w:val="none"/>
        </w:rPr>
      </w:pPr>
      <w:r>
        <w:rPr>
          <w:rFonts w:hint="default" w:ascii="Arial" w:hAnsi="Arial" w:cs="Arial"/>
          <w:b/>
          <w:bCs/>
          <w:color w:val="auto"/>
          <w:szCs w:val="21"/>
          <w:highlight w:val="none"/>
        </w:rPr>
        <w:t>一、评标依据及方式</w:t>
      </w:r>
    </w:p>
    <w:p w14:paraId="50DB3426">
      <w:pPr>
        <w:pStyle w:val="27"/>
        <w:keepNext w:val="0"/>
        <w:keepLines w:val="0"/>
        <w:pageBreakBefore w:val="0"/>
        <w:widowControl w:val="0"/>
        <w:kinsoku/>
        <w:overflowPunct/>
        <w:topLinePunct w:val="0"/>
        <w:autoSpaceDE/>
        <w:autoSpaceDN/>
        <w:bidi w:val="0"/>
        <w:adjustRightInd/>
        <w:snapToGrid/>
        <w:spacing w:line="264" w:lineRule="auto"/>
        <w:ind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1. 评标依据：评标委员会以招标文件和投标文件为评标依据，对投标人投标文件进行评审。</w:t>
      </w:r>
    </w:p>
    <w:p w14:paraId="5A0553FF">
      <w:pPr>
        <w:pStyle w:val="27"/>
        <w:keepNext w:val="0"/>
        <w:keepLines w:val="0"/>
        <w:pageBreakBefore w:val="0"/>
        <w:widowControl w:val="0"/>
        <w:kinsoku/>
        <w:overflowPunct/>
        <w:topLinePunct w:val="0"/>
        <w:autoSpaceDE/>
        <w:autoSpaceDN/>
        <w:bidi w:val="0"/>
        <w:adjustRightInd/>
        <w:snapToGrid/>
        <w:spacing w:line="264" w:lineRule="auto"/>
        <w:ind w:left="210" w:leftChars="100" w:firstLine="210" w:firstLineChars="100"/>
        <w:textAlignment w:val="auto"/>
        <w:rPr>
          <w:rFonts w:hint="default" w:ascii="Arial" w:hAnsi="Arial" w:cs="Arial"/>
          <w:color w:val="auto"/>
          <w:szCs w:val="21"/>
          <w:highlight w:val="none"/>
        </w:rPr>
      </w:pPr>
      <w:r>
        <w:rPr>
          <w:rFonts w:hint="default" w:ascii="Arial" w:hAnsi="Arial" w:cs="Arial"/>
          <w:color w:val="auto"/>
          <w:szCs w:val="21"/>
          <w:highlight w:val="none"/>
        </w:rPr>
        <w:t>2. 评标方式：以封闭方式进行评标。</w:t>
      </w:r>
    </w:p>
    <w:p w14:paraId="435F6120">
      <w:pPr>
        <w:pStyle w:val="27"/>
        <w:keepNext w:val="0"/>
        <w:keepLines w:val="0"/>
        <w:pageBreakBefore w:val="0"/>
        <w:widowControl w:val="0"/>
        <w:kinsoku/>
        <w:overflowPunct/>
        <w:topLinePunct w:val="0"/>
        <w:autoSpaceDE/>
        <w:autoSpaceDN/>
        <w:bidi w:val="0"/>
        <w:adjustRightInd/>
        <w:snapToGrid/>
        <w:spacing w:line="264" w:lineRule="auto"/>
        <w:ind w:left="210" w:leftChars="100" w:firstLine="210" w:firstLineChars="100"/>
        <w:textAlignment w:val="auto"/>
        <w:rPr>
          <w:rFonts w:hint="default" w:ascii="Arial" w:hAnsi="Arial" w:cs="Arial"/>
          <w:color w:val="auto"/>
          <w:szCs w:val="21"/>
          <w:highlight w:val="none"/>
        </w:rPr>
      </w:pPr>
      <w:r>
        <w:rPr>
          <w:rFonts w:hint="default" w:ascii="Arial" w:hAnsi="Arial" w:cs="Arial"/>
          <w:color w:val="auto"/>
          <w:szCs w:val="21"/>
          <w:highlight w:val="none"/>
        </w:rPr>
        <w:t>3. 根据财库〔2012〕69号文规定，采购人和采购代理机构、评标委员会成员要严格遵守政府采购相关法律制度，依法履行各自职责，公正、客观、审慎地组织和参与评审工作。</w:t>
      </w:r>
    </w:p>
    <w:p w14:paraId="14BC75A2">
      <w:pPr>
        <w:pStyle w:val="27"/>
        <w:keepNext w:val="0"/>
        <w:keepLines w:val="0"/>
        <w:pageBreakBefore w:val="0"/>
        <w:widowControl w:val="0"/>
        <w:kinsoku/>
        <w:overflowPunct/>
        <w:topLinePunct w:val="0"/>
        <w:autoSpaceDE/>
        <w:autoSpaceDN/>
        <w:bidi w:val="0"/>
        <w:adjustRightInd/>
        <w:snapToGrid/>
        <w:spacing w:line="264" w:lineRule="auto"/>
        <w:ind w:firstLine="420" w:firstLineChars="200"/>
        <w:textAlignment w:val="auto"/>
        <w:rPr>
          <w:rFonts w:hint="default" w:ascii="Arial" w:hAnsi="Arial" w:cs="Arial"/>
          <w:b/>
          <w:bCs/>
          <w:color w:val="auto"/>
          <w:szCs w:val="21"/>
          <w:highlight w:val="none"/>
        </w:rPr>
      </w:pPr>
      <w:r>
        <w:rPr>
          <w:rFonts w:hint="default" w:ascii="Arial" w:hAnsi="Arial" w:cs="Arial"/>
          <w:b/>
          <w:bCs/>
          <w:color w:val="auto"/>
          <w:szCs w:val="21"/>
          <w:highlight w:val="none"/>
        </w:rPr>
        <w:t>二、评标办法</w:t>
      </w:r>
    </w:p>
    <w:p w14:paraId="66086BE5">
      <w:pPr>
        <w:pStyle w:val="27"/>
        <w:keepNext w:val="0"/>
        <w:keepLines w:val="0"/>
        <w:pageBreakBefore w:val="0"/>
        <w:widowControl w:val="0"/>
        <w:kinsoku/>
        <w:overflowPunct/>
        <w:topLinePunct w:val="0"/>
        <w:autoSpaceDE/>
        <w:autoSpaceDN/>
        <w:bidi w:val="0"/>
        <w:adjustRightInd/>
        <w:snapToGrid/>
        <w:spacing w:line="264" w:lineRule="auto"/>
        <w:ind w:firstLine="420" w:firstLineChars="200"/>
        <w:textAlignment w:val="auto"/>
        <w:rPr>
          <w:rFonts w:hint="default" w:ascii="Arial" w:hAnsi="Arial" w:cs="Arial"/>
          <w:bCs/>
          <w:color w:val="auto"/>
          <w:szCs w:val="21"/>
          <w:highlight w:val="none"/>
        </w:rPr>
      </w:pPr>
      <w:r>
        <w:rPr>
          <w:rFonts w:hint="default" w:ascii="Arial" w:hAnsi="Arial" w:cs="Arial"/>
          <w:bCs/>
          <w:color w:val="auto"/>
          <w:szCs w:val="21"/>
          <w:highlight w:val="none"/>
        </w:rPr>
        <w:t>（一）对进入详评的，采用综合评分法。</w:t>
      </w:r>
    </w:p>
    <w:p w14:paraId="7D0BD0AF">
      <w:pPr>
        <w:pStyle w:val="27"/>
        <w:keepNext w:val="0"/>
        <w:keepLines w:val="0"/>
        <w:pageBreakBefore w:val="0"/>
        <w:widowControl w:val="0"/>
        <w:kinsoku/>
        <w:overflowPunct/>
        <w:topLinePunct w:val="0"/>
        <w:autoSpaceDE/>
        <w:autoSpaceDN/>
        <w:bidi w:val="0"/>
        <w:adjustRightInd/>
        <w:snapToGrid/>
        <w:spacing w:line="264" w:lineRule="auto"/>
        <w:ind w:firstLine="420" w:firstLineChars="200"/>
        <w:textAlignment w:val="auto"/>
        <w:rPr>
          <w:rFonts w:hint="default" w:ascii="Arial" w:hAnsi="Arial" w:cs="Arial"/>
          <w:bCs/>
          <w:color w:val="auto"/>
          <w:szCs w:val="21"/>
          <w:highlight w:val="none"/>
        </w:rPr>
      </w:pPr>
      <w:r>
        <w:rPr>
          <w:rFonts w:hint="default" w:ascii="Arial" w:hAnsi="Arial" w:cs="Arial"/>
          <w:bCs/>
          <w:color w:val="auto"/>
          <w:szCs w:val="21"/>
          <w:highlight w:val="none"/>
        </w:rPr>
        <w:t>（二）计分办法（按四舍五入取至小数点后二位）</w:t>
      </w:r>
    </w:p>
    <w:p w14:paraId="07CA9D3B">
      <w:pPr>
        <w:pStyle w:val="27"/>
        <w:keepNext w:val="0"/>
        <w:keepLines w:val="0"/>
        <w:pageBreakBefore w:val="0"/>
        <w:widowControl w:val="0"/>
        <w:kinsoku/>
        <w:overflowPunct/>
        <w:topLinePunct w:val="0"/>
        <w:autoSpaceDE/>
        <w:autoSpaceDN/>
        <w:bidi w:val="0"/>
        <w:adjustRightInd/>
        <w:snapToGrid/>
        <w:spacing w:line="264" w:lineRule="auto"/>
        <w:ind w:firstLine="420"/>
        <w:textAlignment w:val="auto"/>
        <w:rPr>
          <w:rFonts w:hint="default" w:ascii="Arial" w:hAnsi="Arial" w:cs="Arial"/>
          <w:b/>
          <w:bCs/>
          <w:color w:val="auto"/>
          <w:szCs w:val="21"/>
          <w:highlight w:val="none"/>
        </w:rPr>
      </w:pPr>
      <w:r>
        <w:rPr>
          <w:rFonts w:hint="default" w:ascii="Arial" w:hAnsi="Arial" w:cs="Arial"/>
          <w:b/>
          <w:color w:val="auto"/>
          <w:szCs w:val="21"/>
          <w:highlight w:val="none"/>
        </w:rPr>
        <w:t xml:space="preserve">1. </w:t>
      </w:r>
      <w:r>
        <w:rPr>
          <w:rFonts w:hint="default" w:ascii="Arial" w:hAnsi="Arial" w:cs="Arial"/>
          <w:b/>
          <w:bCs/>
          <w:color w:val="auto"/>
          <w:szCs w:val="21"/>
          <w:highlight w:val="none"/>
        </w:rPr>
        <w:t>价格分………………………………………………………………………………</w:t>
      </w:r>
      <w:r>
        <w:rPr>
          <w:rFonts w:hint="default" w:ascii="Arial" w:hAnsi="Arial" w:cs="Arial"/>
          <w:b/>
          <w:bCs/>
          <w:color w:val="auto"/>
          <w:szCs w:val="21"/>
          <w:highlight w:val="none"/>
          <w:lang w:val="en-US" w:eastAsia="zh-CN"/>
        </w:rPr>
        <w:t>3</w:t>
      </w:r>
      <w:r>
        <w:rPr>
          <w:rFonts w:hint="default" w:ascii="Arial" w:hAnsi="Arial" w:cs="Arial"/>
          <w:b/>
          <w:bCs/>
          <w:color w:val="auto"/>
          <w:szCs w:val="21"/>
          <w:highlight w:val="none"/>
        </w:rPr>
        <w:t>0分</w:t>
      </w:r>
    </w:p>
    <w:p w14:paraId="767CD90B">
      <w:pPr>
        <w:pStyle w:val="27"/>
        <w:keepNext w:val="0"/>
        <w:keepLines w:val="0"/>
        <w:pageBreakBefore w:val="0"/>
        <w:widowControl w:val="0"/>
        <w:kinsoku/>
        <w:overflowPunct/>
        <w:topLinePunct w:val="0"/>
        <w:autoSpaceDE/>
        <w:autoSpaceDN/>
        <w:bidi w:val="0"/>
        <w:adjustRightInd/>
        <w:snapToGrid/>
        <w:spacing w:line="264" w:lineRule="auto"/>
        <w:ind w:firstLine="420"/>
        <w:textAlignment w:val="auto"/>
        <w:rPr>
          <w:rFonts w:hint="default" w:ascii="Arial" w:hAnsi="Arial" w:cs="Arial"/>
          <w:color w:val="auto"/>
          <w:szCs w:val="21"/>
          <w:highlight w:val="none"/>
        </w:rPr>
      </w:pPr>
      <w:r>
        <w:rPr>
          <w:rFonts w:hint="default" w:ascii="Arial" w:hAnsi="Arial" w:cs="Arial"/>
          <w:color w:val="auto"/>
          <w:szCs w:val="21"/>
          <w:highlight w:val="none"/>
        </w:rPr>
        <w:t>（1）按照《政府采购促进中小企业发展管理办法》（财库[2020]46号）、《关于进一步加大政府采购支持中小企业力度的通知》（财库〔2022〕19号）规定：</w:t>
      </w:r>
    </w:p>
    <w:p w14:paraId="3E4FFC40">
      <w:pPr>
        <w:pStyle w:val="27"/>
        <w:keepNext w:val="0"/>
        <w:keepLines w:val="0"/>
        <w:pageBreakBefore w:val="0"/>
        <w:widowControl w:val="0"/>
        <w:kinsoku/>
        <w:overflowPunct/>
        <w:topLinePunct w:val="0"/>
        <w:autoSpaceDE/>
        <w:autoSpaceDN/>
        <w:bidi w:val="0"/>
        <w:adjustRightInd/>
        <w:snapToGrid/>
        <w:spacing w:line="264" w:lineRule="auto"/>
        <w:ind w:firstLine="420"/>
        <w:textAlignment w:val="auto"/>
        <w:rPr>
          <w:rFonts w:hint="default" w:ascii="Arial" w:hAnsi="Arial" w:cs="Arial"/>
          <w:color w:val="auto"/>
          <w:szCs w:val="21"/>
          <w:highlight w:val="none"/>
        </w:rPr>
      </w:pPr>
      <w:r>
        <w:rPr>
          <w:rFonts w:hint="default" w:ascii="Arial" w:hAnsi="Arial" w:cs="Arial"/>
          <w:bCs/>
          <w:color w:val="auto"/>
          <w:szCs w:val="21"/>
          <w:highlight w:val="none"/>
        </w:rPr>
        <w:t>①</w:t>
      </w:r>
      <w:r>
        <w:rPr>
          <w:rFonts w:hint="default" w:ascii="Arial" w:hAnsi="Arial" w:cs="Arial"/>
          <w:color w:val="auto"/>
          <w:szCs w:val="21"/>
          <w:highlight w:val="none"/>
        </w:rPr>
        <w:t>投标人提供的货物全部由符合政策要求的小型、微型企业制造，投标文件中提供《中小企业声明函》的，投标人投标报价给予20%的扣除，扣除后的价格为评标报价，即投标人的评标报价=投标报价×（1-20%）；</w:t>
      </w:r>
    </w:p>
    <w:p w14:paraId="454178F5">
      <w:pPr>
        <w:pStyle w:val="27"/>
        <w:keepNext w:val="0"/>
        <w:keepLines w:val="0"/>
        <w:pageBreakBefore w:val="0"/>
        <w:widowControl w:val="0"/>
        <w:kinsoku/>
        <w:overflowPunct/>
        <w:topLinePunct w:val="0"/>
        <w:autoSpaceDE/>
        <w:autoSpaceDN/>
        <w:bidi w:val="0"/>
        <w:adjustRightInd/>
        <w:snapToGrid/>
        <w:spacing w:line="264" w:lineRule="auto"/>
        <w:ind w:firstLine="420"/>
        <w:textAlignment w:val="auto"/>
        <w:rPr>
          <w:rFonts w:hint="default" w:ascii="Arial" w:hAnsi="Arial" w:cs="Arial"/>
          <w:color w:val="auto"/>
          <w:szCs w:val="21"/>
          <w:highlight w:val="none"/>
        </w:rPr>
      </w:pPr>
      <w:r>
        <w:rPr>
          <w:rFonts w:hint="default" w:ascii="Arial" w:hAnsi="Arial" w:cs="Arial"/>
          <w:color w:val="auto"/>
          <w:szCs w:val="21"/>
          <w:highlight w:val="none"/>
        </w:rPr>
        <w:t>②</w:t>
      </w:r>
      <w:r>
        <w:rPr>
          <w:rFonts w:hint="default" w:ascii="Arial" w:hAnsi="Arial" w:cs="Arial"/>
          <w:color w:val="auto"/>
          <w:kern w:val="0"/>
          <w:szCs w:val="21"/>
          <w:highlight w:val="none"/>
        </w:rPr>
        <w:t>投标人为大中型企业与小型、微型企业组成联合体参与投标的，其中小型、微型企业的协议合同金额占到联合体协议合同总金额30%以上（含30%）的（供应商须于《联合体协议书》中明确约定小型、微型企业的协议合同金额及所占比例，该金额应与投标报价表所报金额对应一致），联合体供应商最后报价给予4%的价格扣除，扣除后的价格为评审报价，即评审报价=最后报价×（1-4%）；</w:t>
      </w:r>
    </w:p>
    <w:p w14:paraId="40CEB64A">
      <w:pPr>
        <w:pStyle w:val="27"/>
        <w:keepNext w:val="0"/>
        <w:keepLines w:val="0"/>
        <w:pageBreakBefore w:val="0"/>
        <w:widowControl w:val="0"/>
        <w:kinsoku/>
        <w:overflowPunct/>
        <w:topLinePunct w:val="0"/>
        <w:autoSpaceDE/>
        <w:autoSpaceDN/>
        <w:bidi w:val="0"/>
        <w:adjustRightInd/>
        <w:snapToGrid/>
        <w:spacing w:line="264" w:lineRule="auto"/>
        <w:ind w:firstLine="420"/>
        <w:textAlignment w:val="auto"/>
        <w:rPr>
          <w:rFonts w:hint="default" w:ascii="Arial" w:hAnsi="Arial" w:cs="Arial"/>
          <w:color w:val="auto"/>
          <w:szCs w:val="21"/>
          <w:highlight w:val="none"/>
        </w:rPr>
      </w:pPr>
      <w:r>
        <w:rPr>
          <w:rFonts w:hint="default" w:ascii="Arial" w:hAnsi="Arial" w:cs="Arial"/>
          <w:color w:val="auto"/>
          <w:szCs w:val="21"/>
          <w:highlight w:val="none"/>
        </w:rPr>
        <w:fldChar w:fldCharType="begin"/>
      </w:r>
      <w:r>
        <w:rPr>
          <w:rFonts w:hint="default" w:ascii="Arial" w:hAnsi="Arial" w:cs="Arial"/>
          <w:color w:val="auto"/>
          <w:szCs w:val="21"/>
          <w:highlight w:val="none"/>
        </w:rPr>
        <w:instrText xml:space="preserve">= 3 \* GB3</w:instrText>
      </w:r>
      <w:r>
        <w:rPr>
          <w:rFonts w:hint="default" w:ascii="Arial" w:hAnsi="Arial" w:cs="Arial"/>
          <w:color w:val="auto"/>
          <w:szCs w:val="21"/>
          <w:highlight w:val="none"/>
        </w:rPr>
        <w:fldChar w:fldCharType="separate"/>
      </w:r>
      <w:r>
        <w:rPr>
          <w:rFonts w:hint="default" w:ascii="Arial" w:hAnsi="Arial" w:cs="Arial"/>
          <w:color w:val="auto"/>
          <w:szCs w:val="21"/>
          <w:highlight w:val="none"/>
        </w:rPr>
        <w:t>③</w:t>
      </w:r>
      <w:r>
        <w:rPr>
          <w:rFonts w:hint="default" w:ascii="Arial" w:hAnsi="Arial" w:cs="Arial"/>
          <w:color w:val="auto"/>
          <w:szCs w:val="21"/>
          <w:highlight w:val="none"/>
        </w:rPr>
        <w:fldChar w:fldCharType="end"/>
      </w:r>
      <w:r>
        <w:rPr>
          <w:rFonts w:hint="default" w:ascii="Arial" w:hAnsi="Arial" w:cs="Arial"/>
          <w:color w:val="auto"/>
          <w:szCs w:val="21"/>
          <w:highlight w:val="none"/>
        </w:rPr>
        <w:t>除上述情况外，评标报价=投标报价。</w:t>
      </w:r>
    </w:p>
    <w:p w14:paraId="26456948">
      <w:pPr>
        <w:pStyle w:val="27"/>
        <w:keepNext w:val="0"/>
        <w:keepLines w:val="0"/>
        <w:pageBreakBefore w:val="0"/>
        <w:widowControl w:val="0"/>
        <w:kinsoku/>
        <w:overflowPunct/>
        <w:topLinePunct w:val="0"/>
        <w:autoSpaceDE/>
        <w:autoSpaceDN/>
        <w:bidi w:val="0"/>
        <w:adjustRightInd/>
        <w:snapToGrid/>
        <w:spacing w:line="264" w:lineRule="auto"/>
        <w:ind w:firstLine="420"/>
        <w:textAlignment w:val="auto"/>
        <w:rPr>
          <w:rFonts w:hint="default" w:ascii="Arial" w:hAnsi="Arial" w:cs="Arial"/>
          <w:b/>
          <w:color w:val="auto"/>
          <w:szCs w:val="21"/>
          <w:highlight w:val="none"/>
        </w:rPr>
      </w:pPr>
      <w:r>
        <w:rPr>
          <w:rFonts w:hint="default" w:ascii="Arial" w:hAnsi="Arial" w:cs="Arial"/>
          <w:b/>
          <w:color w:val="auto"/>
          <w:szCs w:val="21"/>
          <w:highlight w:val="none"/>
        </w:rPr>
        <w:t>注：①小型、微型企业提供中型企业制造的货物的，视同为中型企业。</w:t>
      </w:r>
    </w:p>
    <w:p w14:paraId="436155D6">
      <w:pPr>
        <w:pStyle w:val="27"/>
        <w:keepNext w:val="0"/>
        <w:keepLines w:val="0"/>
        <w:pageBreakBefore w:val="0"/>
        <w:widowControl w:val="0"/>
        <w:kinsoku/>
        <w:overflowPunct/>
        <w:topLinePunct w:val="0"/>
        <w:autoSpaceDE/>
        <w:autoSpaceDN/>
        <w:bidi w:val="0"/>
        <w:adjustRightInd/>
        <w:snapToGrid/>
        <w:spacing w:line="264" w:lineRule="auto"/>
        <w:ind w:firstLine="420"/>
        <w:textAlignment w:val="auto"/>
        <w:rPr>
          <w:rFonts w:hint="default" w:ascii="Arial" w:hAnsi="Arial" w:cs="Arial"/>
          <w:b/>
          <w:color w:val="auto"/>
          <w:szCs w:val="21"/>
          <w:highlight w:val="none"/>
        </w:rPr>
      </w:pPr>
      <w:r>
        <w:rPr>
          <w:rFonts w:hint="default" w:ascii="Arial" w:hAnsi="Arial" w:eastAsia="宋体" w:cs="Arial"/>
          <w:b/>
          <w:color w:val="auto"/>
          <w:szCs w:val="21"/>
          <w:highlight w:val="none"/>
        </w:rPr>
        <w:t>②</w:t>
      </w:r>
      <w:r>
        <w:rPr>
          <w:rFonts w:hint="default" w:ascii="Arial" w:hAnsi="Arial" w:cs="Arial"/>
          <w:b/>
          <w:color w:val="auto"/>
          <w:szCs w:val="21"/>
          <w:highlight w:val="none"/>
        </w:rPr>
        <w:t>评标报价为投标人的投标报价进行政策性扣除后的价格，评标报价只是作为评标时使用。最终中标人的中标金额＝投标报价。</w:t>
      </w:r>
    </w:p>
    <w:p w14:paraId="77033772">
      <w:pPr>
        <w:pStyle w:val="27"/>
        <w:keepNext w:val="0"/>
        <w:keepLines w:val="0"/>
        <w:pageBreakBefore w:val="0"/>
        <w:widowControl w:val="0"/>
        <w:kinsoku/>
        <w:overflowPunct/>
        <w:topLinePunct w:val="0"/>
        <w:autoSpaceDE/>
        <w:autoSpaceDN/>
        <w:bidi w:val="0"/>
        <w:adjustRightInd/>
        <w:snapToGrid/>
        <w:spacing w:line="264" w:lineRule="auto"/>
        <w:ind w:firstLine="420"/>
        <w:textAlignment w:val="auto"/>
        <w:rPr>
          <w:rFonts w:hint="default" w:ascii="Arial" w:hAnsi="Arial" w:cs="Arial"/>
          <w:color w:val="auto"/>
          <w:szCs w:val="21"/>
          <w:highlight w:val="none"/>
        </w:rPr>
      </w:pPr>
      <w:r>
        <w:rPr>
          <w:rFonts w:hint="default" w:ascii="Arial" w:hAnsi="Arial" w:cs="Arial"/>
          <w:color w:val="auto"/>
          <w:szCs w:val="21"/>
          <w:highlight w:val="none"/>
        </w:rPr>
        <w:t>（2）根据《关于政府采购支持监狱企业发展有关问题的通知》（财库[2014]68号）和《关于促进残疾人就业政府采购政策的通知》（财库[2017]141号），监狱企业和符合条件的残疾人福利性单位视同小型、微型企业，享受小型、微型企业评审中价格扣除的政府采购政策。残疾人福利性单位属于小型、微型企业的，不重复享受政策。</w:t>
      </w:r>
    </w:p>
    <w:p w14:paraId="40119768">
      <w:pPr>
        <w:pStyle w:val="27"/>
        <w:keepNext w:val="0"/>
        <w:keepLines w:val="0"/>
        <w:pageBreakBefore w:val="0"/>
        <w:widowControl w:val="0"/>
        <w:kinsoku/>
        <w:overflowPunct/>
        <w:topLinePunct w:val="0"/>
        <w:autoSpaceDE/>
        <w:autoSpaceDN/>
        <w:bidi w:val="0"/>
        <w:adjustRightInd/>
        <w:snapToGrid/>
        <w:spacing w:line="264" w:lineRule="auto"/>
        <w:ind w:firstLine="420"/>
        <w:textAlignment w:val="auto"/>
        <w:rPr>
          <w:rFonts w:hint="default" w:ascii="Arial" w:hAnsi="Arial" w:cs="Arial"/>
          <w:color w:val="auto"/>
          <w:szCs w:val="21"/>
          <w:highlight w:val="none"/>
        </w:rPr>
      </w:pPr>
      <w:r>
        <w:rPr>
          <w:rFonts w:hint="default" w:ascii="Arial" w:hAnsi="Arial" w:cs="Arial"/>
          <w:color w:val="auto"/>
          <w:szCs w:val="21"/>
          <w:highlight w:val="none"/>
          <w:lang w:eastAsia="zh-CN"/>
        </w:rPr>
        <w:t>（</w:t>
      </w:r>
      <w:r>
        <w:rPr>
          <w:rFonts w:hint="default" w:ascii="Arial" w:hAnsi="Arial" w:cs="Arial"/>
          <w:color w:val="auto"/>
          <w:szCs w:val="21"/>
          <w:highlight w:val="none"/>
          <w:lang w:val="en-US" w:eastAsia="zh-CN"/>
        </w:rPr>
        <w:t>3</w:t>
      </w:r>
      <w:r>
        <w:rPr>
          <w:rFonts w:hint="default" w:ascii="Arial" w:hAnsi="Arial" w:cs="Arial"/>
          <w:color w:val="auto"/>
          <w:szCs w:val="21"/>
          <w:highlight w:val="none"/>
          <w:lang w:eastAsia="zh-CN"/>
        </w:rPr>
        <w:t>）</w:t>
      </w:r>
      <w:r>
        <w:rPr>
          <w:rFonts w:hint="default" w:ascii="Arial" w:hAnsi="Arial" w:cs="Arial"/>
          <w:color w:val="auto"/>
          <w:szCs w:val="21"/>
          <w:highlight w:val="none"/>
        </w:rPr>
        <w:t>若本项目既有本国产品又有非本国产品参与竞争的，供应商提供符合本国产品标准的产品成本之和占该供应商提供的全部产品成本之和的比例达到80%以上时，评审报价扣除全部产品的总报价的20%。供应商须在投标文件提交《关于符合本国产品标准的成本占比承诺函》。如供应商所有产品均为本国产品且填写《关于符合本国产品标准的声明函》的，无须填写《关于符合本国产品标准的成本占比承诺函》。</w:t>
      </w:r>
    </w:p>
    <w:p w14:paraId="036D415B">
      <w:pPr>
        <w:pStyle w:val="27"/>
        <w:keepNext w:val="0"/>
        <w:keepLines w:val="0"/>
        <w:pageBreakBefore w:val="0"/>
        <w:widowControl w:val="0"/>
        <w:kinsoku/>
        <w:overflowPunct/>
        <w:topLinePunct w:val="0"/>
        <w:autoSpaceDE/>
        <w:autoSpaceDN/>
        <w:bidi w:val="0"/>
        <w:adjustRightInd/>
        <w:snapToGrid/>
        <w:spacing w:line="264" w:lineRule="auto"/>
        <w:ind w:firstLine="420"/>
        <w:textAlignment w:val="auto"/>
        <w:rPr>
          <w:rFonts w:hint="default" w:ascii="Arial" w:hAnsi="Arial" w:cs="Arial"/>
          <w:color w:val="auto"/>
          <w:szCs w:val="21"/>
          <w:highlight w:val="none"/>
        </w:rPr>
      </w:pPr>
      <w:r>
        <w:rPr>
          <w:rFonts w:hint="default" w:ascii="Arial" w:hAnsi="Arial" w:cs="Arial"/>
          <w:color w:val="auto"/>
          <w:szCs w:val="21"/>
          <w:highlight w:val="none"/>
        </w:rPr>
        <w:t>（</w:t>
      </w:r>
      <w:r>
        <w:rPr>
          <w:rFonts w:hint="default" w:ascii="Arial" w:hAnsi="Arial" w:cs="Arial"/>
          <w:color w:val="auto"/>
          <w:szCs w:val="21"/>
          <w:highlight w:val="none"/>
          <w:lang w:val="en-US" w:eastAsia="zh-CN"/>
        </w:rPr>
        <w:t>4</w:t>
      </w:r>
      <w:r>
        <w:rPr>
          <w:rFonts w:hint="default" w:ascii="Arial" w:hAnsi="Arial" w:cs="Arial"/>
          <w:color w:val="auto"/>
          <w:szCs w:val="21"/>
          <w:highlight w:val="none"/>
        </w:rPr>
        <w:t>）满足招标文件要求且投标价格最低的投标报价为评标基准价，得</w:t>
      </w:r>
      <w:r>
        <w:rPr>
          <w:rFonts w:hint="default" w:ascii="Arial" w:hAnsi="Arial" w:cs="Arial"/>
          <w:color w:val="auto"/>
          <w:szCs w:val="21"/>
          <w:highlight w:val="none"/>
          <w:lang w:val="en-US" w:eastAsia="zh-CN"/>
        </w:rPr>
        <w:t>3</w:t>
      </w:r>
      <w:r>
        <w:rPr>
          <w:rFonts w:hint="default" w:ascii="Arial" w:hAnsi="Arial" w:cs="Arial"/>
          <w:color w:val="auto"/>
          <w:szCs w:val="21"/>
          <w:highlight w:val="none"/>
        </w:rPr>
        <w:t>0分。</w:t>
      </w:r>
    </w:p>
    <w:p w14:paraId="79573FF5">
      <w:pPr>
        <w:pStyle w:val="28"/>
        <w:keepNext w:val="0"/>
        <w:keepLines w:val="0"/>
        <w:pageBreakBefore w:val="0"/>
        <w:widowControl w:val="0"/>
        <w:kinsoku/>
        <w:overflowPunct/>
        <w:topLinePunct w:val="0"/>
        <w:autoSpaceDE/>
        <w:autoSpaceDN/>
        <w:bidi w:val="0"/>
        <w:adjustRightInd/>
        <w:snapToGrid/>
        <w:spacing w:line="264" w:lineRule="auto"/>
        <w:textAlignment w:val="auto"/>
        <w:rPr>
          <w:rFonts w:hint="default"/>
          <w:highlight w:val="none"/>
        </w:rPr>
      </w:pPr>
    </w:p>
    <w:p w14:paraId="0BAF6CCC">
      <w:pPr>
        <w:pStyle w:val="27"/>
        <w:keepNext w:val="0"/>
        <w:keepLines w:val="0"/>
        <w:pageBreakBefore w:val="0"/>
        <w:widowControl w:val="0"/>
        <w:kinsoku/>
        <w:overflowPunct/>
        <w:topLinePunct w:val="0"/>
        <w:autoSpaceDE/>
        <w:autoSpaceDN/>
        <w:bidi w:val="0"/>
        <w:adjustRightInd/>
        <w:snapToGrid/>
        <w:spacing w:line="264" w:lineRule="auto"/>
        <w:ind w:firstLine="3885" w:firstLineChars="1850"/>
        <w:textAlignment w:val="auto"/>
        <w:rPr>
          <w:rFonts w:hint="default" w:ascii="Arial" w:hAnsi="Arial" w:cs="Arial"/>
          <w:color w:val="auto"/>
          <w:szCs w:val="21"/>
          <w:highlight w:val="none"/>
        </w:rPr>
      </w:pPr>
      <w:r>
        <w:rPr>
          <w:rFonts w:hint="default" w:ascii="Arial" w:hAnsi="Arial" w:cs="Arial"/>
          <w:color w:val="auto"/>
          <w:szCs w:val="21"/>
          <w:highlight w:val="none"/>
        </w:rPr>
        <w:t>评标基准价</w:t>
      </w:r>
    </w:p>
    <w:p w14:paraId="2A1F6D30">
      <w:pPr>
        <w:pStyle w:val="27"/>
        <w:keepNext w:val="0"/>
        <w:keepLines w:val="0"/>
        <w:pageBreakBefore w:val="0"/>
        <w:widowControl w:val="0"/>
        <w:kinsoku/>
        <w:overflowPunct/>
        <w:topLinePunct w:val="0"/>
        <w:autoSpaceDE/>
        <w:autoSpaceDN/>
        <w:bidi w:val="0"/>
        <w:adjustRightInd/>
        <w:snapToGrid/>
        <w:spacing w:line="264" w:lineRule="auto"/>
        <w:ind w:firstLine="359" w:firstLineChars="171"/>
        <w:textAlignment w:val="auto"/>
        <w:rPr>
          <w:rFonts w:hint="default" w:ascii="Arial" w:hAnsi="Arial" w:cs="Arial"/>
          <w:color w:val="auto"/>
          <w:szCs w:val="21"/>
          <w:highlight w:val="none"/>
        </w:rPr>
      </w:pPr>
      <w:r>
        <w:rPr>
          <w:rFonts w:hint="default" w:ascii="Arial" w:hAnsi="Arial" w:cs="Arial"/>
          <w:color w:val="auto"/>
          <w:szCs w:val="21"/>
          <w:highlight w:val="none"/>
        </w:rPr>
        <mc:AlternateContent>
          <mc:Choice Requires="wps">
            <w:drawing>
              <wp:anchor distT="0" distB="0" distL="114300" distR="114300" simplePos="0" relativeHeight="251673600" behindDoc="0" locked="0" layoutInCell="1" allowOverlap="1">
                <wp:simplePos x="0" y="0"/>
                <wp:positionH relativeFrom="column">
                  <wp:posOffset>1828800</wp:posOffset>
                </wp:positionH>
                <wp:positionV relativeFrom="paragraph">
                  <wp:posOffset>196850</wp:posOffset>
                </wp:positionV>
                <wp:extent cx="2198370" cy="0"/>
                <wp:effectExtent l="0" t="4445" r="0" b="5080"/>
                <wp:wrapNone/>
                <wp:docPr id="8" name="直接连接符 8"/>
                <wp:cNvGraphicFramePr/>
                <a:graphic xmlns:a="http://schemas.openxmlformats.org/drawingml/2006/main">
                  <a:graphicData uri="http://schemas.microsoft.com/office/word/2010/wordprocessingShape">
                    <wps:wsp>
                      <wps:cNvCnPr>
                        <a:cxnSpLocks noChangeShapeType="1"/>
                      </wps:cNvCnPr>
                      <wps:spPr bwMode="auto">
                        <a:xfrm>
                          <a:off x="0" y="0"/>
                          <a:ext cx="2200275"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144pt;margin-top:15.5pt;height:0pt;width:173.1pt;z-index:251673600;mso-width-relative:page;mso-height-relative:page;" filled="f" stroked="t" coordsize="21600,21600" o:gfxdata="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HNMcejX&#10;AAAACQEAAA8AAAAAAAAAAQAgAAAAIgAAAGRycy9kb3ducmV2LnhtbFBLAQIUABQAAAAIAIdO4kCx&#10;y1or6AEAALgDAAAOAAAAAAAAAAEAIAAAACYBAABkcnMvZTJvRG9jLnhtbFBLBQYAAAAABgAGAFkB&#10;AACABQAAAAA=&#10;">
                <v:fill on="f" focussize="0,0"/>
                <v:stroke color="#000000" joinstyle="round"/>
                <v:imagedata o:title=""/>
                <o:lock v:ext="edit" aspectratio="f"/>
              </v:line>
            </w:pict>
          </mc:Fallback>
        </mc:AlternateContent>
      </w:r>
      <w:r>
        <w:rPr>
          <w:rFonts w:hint="default" w:ascii="Arial" w:hAnsi="Arial" w:cs="Arial"/>
          <w:color w:val="auto"/>
          <w:szCs w:val="21"/>
          <w:highlight w:val="none"/>
        </w:rPr>
        <w:t>（</w:t>
      </w:r>
      <w:r>
        <w:rPr>
          <w:rFonts w:hint="default" w:ascii="Arial" w:hAnsi="Arial" w:cs="Arial"/>
          <w:color w:val="auto"/>
          <w:szCs w:val="21"/>
          <w:highlight w:val="none"/>
          <w:lang w:val="en-US" w:eastAsia="zh-CN"/>
        </w:rPr>
        <w:t>5</w:t>
      </w:r>
      <w:r>
        <w:rPr>
          <w:rFonts w:hint="default" w:ascii="Arial" w:hAnsi="Arial" w:cs="Arial"/>
          <w:color w:val="auto"/>
          <w:szCs w:val="21"/>
          <w:highlight w:val="none"/>
        </w:rPr>
        <w:t>）投标人价格分 =                                    　　×</w:t>
      </w:r>
      <w:r>
        <w:rPr>
          <w:rFonts w:hint="default" w:ascii="Arial" w:hAnsi="Arial" w:cs="Arial"/>
          <w:color w:val="auto"/>
          <w:szCs w:val="21"/>
          <w:highlight w:val="none"/>
          <w:lang w:val="en-US" w:eastAsia="zh-CN"/>
        </w:rPr>
        <w:t>3</w:t>
      </w:r>
      <w:r>
        <w:rPr>
          <w:rFonts w:hint="default" w:ascii="Arial" w:hAnsi="Arial" w:cs="Arial"/>
          <w:color w:val="auto"/>
          <w:szCs w:val="21"/>
          <w:highlight w:val="none"/>
        </w:rPr>
        <w:t>0 分</w:t>
      </w:r>
    </w:p>
    <w:p w14:paraId="3C52CEDE">
      <w:pPr>
        <w:pStyle w:val="27"/>
        <w:keepNext w:val="0"/>
        <w:keepLines w:val="0"/>
        <w:pageBreakBefore w:val="0"/>
        <w:widowControl w:val="0"/>
        <w:kinsoku/>
        <w:overflowPunct/>
        <w:topLinePunct w:val="0"/>
        <w:autoSpaceDE/>
        <w:autoSpaceDN/>
        <w:bidi w:val="0"/>
        <w:adjustRightInd/>
        <w:snapToGrid/>
        <w:spacing w:line="264" w:lineRule="auto"/>
        <w:ind w:firstLine="535" w:firstLineChars="255"/>
        <w:textAlignment w:val="auto"/>
        <w:rPr>
          <w:rFonts w:hint="default" w:ascii="Arial" w:hAnsi="Arial" w:cs="Arial"/>
          <w:color w:val="auto"/>
          <w:szCs w:val="21"/>
          <w:highlight w:val="none"/>
        </w:rPr>
      </w:pPr>
      <w:r>
        <w:rPr>
          <w:rFonts w:hint="default" w:ascii="Arial" w:hAnsi="Arial" w:cs="Arial"/>
          <w:color w:val="auto"/>
          <w:szCs w:val="21"/>
          <w:highlight w:val="none"/>
        </w:rPr>
        <w:t xml:space="preserve">                           投标人评标报价金额  </w:t>
      </w:r>
    </w:p>
    <w:p w14:paraId="660633BF">
      <w:pPr>
        <w:keepNext w:val="0"/>
        <w:keepLines w:val="0"/>
        <w:pageBreakBefore w:val="0"/>
        <w:widowControl w:val="0"/>
        <w:kinsoku/>
        <w:overflowPunct/>
        <w:topLinePunct w:val="0"/>
        <w:autoSpaceDE/>
        <w:autoSpaceDN/>
        <w:bidi w:val="0"/>
        <w:adjustRightInd/>
        <w:snapToGrid/>
        <w:spacing w:line="264" w:lineRule="auto"/>
        <w:ind w:firstLine="308"/>
        <w:textAlignment w:val="auto"/>
        <w:rPr>
          <w:rFonts w:hint="default" w:ascii="Arial" w:hAnsi="Arial" w:eastAsia="宋体" w:cs="Arial"/>
          <w:b/>
          <w:bCs w:val="0"/>
          <w:szCs w:val="21"/>
          <w:highlight w:val="none"/>
        </w:rPr>
      </w:pPr>
      <w:r>
        <w:rPr>
          <w:rFonts w:hint="eastAsia" w:ascii="Arial" w:hAnsi="Arial" w:cs="Arial"/>
          <w:b/>
          <w:color w:val="auto"/>
          <w:szCs w:val="21"/>
          <w:highlight w:val="none"/>
          <w:lang w:val="en-US" w:eastAsia="zh-CN"/>
        </w:rPr>
        <w:t>2、</w:t>
      </w:r>
      <w:r>
        <w:rPr>
          <w:rFonts w:hint="default" w:ascii="Arial" w:hAnsi="Arial" w:eastAsia="宋体" w:cs="Arial"/>
          <w:b/>
          <w:bCs w:val="0"/>
          <w:szCs w:val="21"/>
          <w:highlight w:val="none"/>
        </w:rPr>
        <w:t>对项目的理解程度</w:t>
      </w:r>
      <w:r>
        <w:rPr>
          <w:rFonts w:hint="eastAsia" w:ascii="Arial" w:hAnsi="Arial" w:eastAsia="宋体" w:cs="Arial"/>
          <w:b/>
          <w:bCs w:val="0"/>
          <w:szCs w:val="21"/>
          <w:highlight w:val="none"/>
          <w:lang w:val="en-US" w:eastAsia="zh-CN"/>
        </w:rPr>
        <w:t>分</w:t>
      </w:r>
      <w:r>
        <w:rPr>
          <w:rFonts w:hint="default" w:ascii="Arial" w:hAnsi="Arial" w:eastAsia="宋体" w:cs="Arial"/>
          <w:b/>
          <w:bCs w:val="0"/>
          <w:szCs w:val="21"/>
          <w:highlight w:val="none"/>
        </w:rPr>
        <w:t>……………………………………………………………………………</w:t>
      </w:r>
      <w:r>
        <w:rPr>
          <w:rFonts w:hint="eastAsia" w:ascii="Arial" w:hAnsi="Arial" w:cs="Arial"/>
          <w:b/>
          <w:bCs w:val="0"/>
          <w:szCs w:val="21"/>
          <w:highlight w:val="none"/>
          <w:lang w:val="en-US" w:eastAsia="zh-CN"/>
        </w:rPr>
        <w:t>21</w:t>
      </w:r>
      <w:r>
        <w:rPr>
          <w:rFonts w:hint="default" w:ascii="Arial" w:hAnsi="Arial" w:eastAsia="宋体" w:cs="Arial"/>
          <w:b/>
          <w:bCs w:val="0"/>
          <w:szCs w:val="21"/>
          <w:highlight w:val="none"/>
        </w:rPr>
        <w:t>分</w:t>
      </w:r>
    </w:p>
    <w:p w14:paraId="550D4F6C">
      <w:pPr>
        <w:keepNext w:val="0"/>
        <w:keepLines w:val="0"/>
        <w:pageBreakBefore w:val="0"/>
        <w:widowControl w:val="0"/>
        <w:kinsoku/>
        <w:overflowPunct/>
        <w:topLinePunct w:val="0"/>
        <w:autoSpaceDE/>
        <w:autoSpaceDN/>
        <w:bidi w:val="0"/>
        <w:adjustRightInd/>
        <w:snapToGrid/>
        <w:spacing w:line="264" w:lineRule="auto"/>
        <w:ind w:firstLine="308"/>
        <w:textAlignment w:val="auto"/>
        <w:rPr>
          <w:rFonts w:hint="eastAsia" w:ascii="Arial" w:hAnsi="Arial" w:cs="Arial"/>
          <w:b w:val="0"/>
          <w:bCs w:val="0"/>
          <w:color w:val="auto"/>
          <w:sz w:val="21"/>
          <w:szCs w:val="21"/>
          <w:highlight w:val="none"/>
          <w:lang w:val="en-US" w:eastAsia="zh-CN"/>
        </w:rPr>
      </w:pPr>
      <w:r>
        <w:rPr>
          <w:rFonts w:hint="eastAsia" w:ascii="Arial" w:hAnsi="Arial" w:cs="Arial"/>
          <w:b w:val="0"/>
          <w:bCs w:val="0"/>
          <w:color w:val="auto"/>
          <w:sz w:val="21"/>
          <w:szCs w:val="21"/>
          <w:highlight w:val="none"/>
          <w:lang w:val="en-US" w:eastAsia="zh-CN"/>
        </w:rPr>
        <w:t>一档（8分）：对本项目需求理解不到位、响应采购服务内容不完全的。</w:t>
      </w:r>
    </w:p>
    <w:p w14:paraId="3A7501C0">
      <w:pPr>
        <w:keepNext w:val="0"/>
        <w:keepLines w:val="0"/>
        <w:pageBreakBefore w:val="0"/>
        <w:widowControl w:val="0"/>
        <w:kinsoku/>
        <w:overflowPunct/>
        <w:topLinePunct w:val="0"/>
        <w:autoSpaceDE/>
        <w:autoSpaceDN/>
        <w:bidi w:val="0"/>
        <w:adjustRightInd/>
        <w:snapToGrid/>
        <w:spacing w:line="264" w:lineRule="auto"/>
        <w:ind w:firstLine="308"/>
        <w:textAlignment w:val="auto"/>
        <w:rPr>
          <w:rFonts w:hint="eastAsia" w:ascii="Arial" w:hAnsi="Arial" w:cs="Arial"/>
          <w:b w:val="0"/>
          <w:bCs w:val="0"/>
          <w:color w:val="auto"/>
          <w:sz w:val="21"/>
          <w:szCs w:val="21"/>
          <w:highlight w:val="none"/>
          <w:lang w:val="en-US" w:eastAsia="zh-CN"/>
        </w:rPr>
      </w:pPr>
      <w:r>
        <w:rPr>
          <w:rFonts w:hint="eastAsia" w:ascii="Arial" w:hAnsi="Arial" w:cs="Arial"/>
          <w:b w:val="0"/>
          <w:bCs w:val="0"/>
          <w:color w:val="auto"/>
          <w:sz w:val="21"/>
          <w:szCs w:val="21"/>
          <w:highlight w:val="none"/>
          <w:lang w:val="en-US" w:eastAsia="zh-CN"/>
        </w:rPr>
        <w:t>二档（15分）：对本项目需求能基本熟悉，基本理解项目背景、目标、内容并响应采购服务内容的。</w:t>
      </w:r>
    </w:p>
    <w:p w14:paraId="3AF6ABBA">
      <w:pPr>
        <w:keepNext w:val="0"/>
        <w:keepLines w:val="0"/>
        <w:pageBreakBefore w:val="0"/>
        <w:widowControl w:val="0"/>
        <w:kinsoku/>
        <w:overflowPunct/>
        <w:topLinePunct w:val="0"/>
        <w:autoSpaceDE/>
        <w:autoSpaceDN/>
        <w:bidi w:val="0"/>
        <w:adjustRightInd/>
        <w:snapToGrid/>
        <w:spacing w:line="264" w:lineRule="auto"/>
        <w:ind w:firstLine="308"/>
        <w:textAlignment w:val="auto"/>
        <w:rPr>
          <w:rFonts w:hint="eastAsia" w:ascii="Arial" w:hAnsi="Arial" w:cs="Arial"/>
          <w:b w:val="0"/>
          <w:bCs w:val="0"/>
          <w:color w:val="auto"/>
          <w:sz w:val="21"/>
          <w:szCs w:val="21"/>
          <w:highlight w:val="none"/>
          <w:lang w:val="en-US" w:eastAsia="zh-CN"/>
        </w:rPr>
      </w:pPr>
      <w:r>
        <w:rPr>
          <w:rFonts w:hint="eastAsia" w:ascii="Arial" w:hAnsi="Arial" w:cs="Arial"/>
          <w:b w:val="0"/>
          <w:bCs w:val="0"/>
          <w:color w:val="auto"/>
          <w:sz w:val="21"/>
          <w:szCs w:val="21"/>
          <w:highlight w:val="none"/>
          <w:lang w:val="en-US" w:eastAsia="zh-CN"/>
        </w:rPr>
        <w:t>三档（21分）：对本项目的需求全面熟悉，对项目背景、目标、内容有全面、正确的理解并完全响应采购服务内容，能提供符合本项目“文化建设”部分的相关的设计图效果。</w:t>
      </w:r>
    </w:p>
    <w:p w14:paraId="236BAD50">
      <w:pPr>
        <w:keepNext w:val="0"/>
        <w:keepLines w:val="0"/>
        <w:pageBreakBefore w:val="0"/>
        <w:widowControl w:val="0"/>
        <w:kinsoku/>
        <w:overflowPunct/>
        <w:topLinePunct w:val="0"/>
        <w:autoSpaceDE/>
        <w:autoSpaceDN/>
        <w:bidi w:val="0"/>
        <w:adjustRightInd/>
        <w:snapToGrid/>
        <w:spacing w:line="264" w:lineRule="auto"/>
        <w:ind w:firstLine="308"/>
        <w:textAlignment w:val="auto"/>
        <w:rPr>
          <w:rFonts w:hint="default" w:ascii="Arial" w:hAnsi="Arial" w:eastAsia="宋体" w:cs="Arial"/>
          <w:b/>
          <w:bCs/>
          <w:color w:val="auto"/>
          <w:sz w:val="21"/>
          <w:szCs w:val="21"/>
          <w:highlight w:val="none"/>
          <w:lang w:val="en-US" w:eastAsia="zh-CN"/>
        </w:rPr>
      </w:pPr>
      <w:r>
        <w:rPr>
          <w:rFonts w:hint="eastAsia" w:ascii="Arial" w:hAnsi="Arial" w:cs="Arial"/>
          <w:b/>
          <w:bCs/>
          <w:color w:val="auto"/>
          <w:sz w:val="21"/>
          <w:szCs w:val="21"/>
          <w:highlight w:val="none"/>
          <w:lang w:val="en-US" w:eastAsia="zh-CN"/>
        </w:rPr>
        <w:t>注：</w:t>
      </w:r>
      <w:r>
        <w:rPr>
          <w:rFonts w:hint="default" w:ascii="Arial" w:hAnsi="Arial" w:eastAsia="宋体" w:cs="Arial"/>
          <w:b/>
          <w:bCs/>
          <w:color w:val="auto"/>
          <w:sz w:val="21"/>
          <w:szCs w:val="21"/>
          <w:highlight w:val="none"/>
          <w:lang w:val="en-US" w:eastAsia="zh-CN"/>
        </w:rPr>
        <w:t>未提供</w:t>
      </w:r>
      <w:r>
        <w:rPr>
          <w:rFonts w:hint="eastAsia" w:ascii="Arial" w:hAnsi="Arial" w:eastAsia="宋体" w:cs="Arial"/>
          <w:b/>
          <w:bCs/>
          <w:color w:val="auto"/>
          <w:sz w:val="21"/>
          <w:szCs w:val="21"/>
          <w:highlight w:val="none"/>
          <w:lang w:val="en-US" w:eastAsia="zh-CN"/>
        </w:rPr>
        <w:t>方案</w:t>
      </w:r>
      <w:r>
        <w:rPr>
          <w:rFonts w:hint="default" w:ascii="Arial" w:hAnsi="Arial" w:eastAsia="宋体" w:cs="Arial"/>
          <w:b/>
          <w:bCs/>
          <w:color w:val="auto"/>
          <w:sz w:val="21"/>
          <w:szCs w:val="21"/>
          <w:highlight w:val="none"/>
          <w:lang w:val="en-US" w:eastAsia="zh-CN"/>
        </w:rPr>
        <w:t>不得分。</w:t>
      </w:r>
    </w:p>
    <w:p w14:paraId="09AE9119">
      <w:pPr>
        <w:keepNext w:val="0"/>
        <w:keepLines w:val="0"/>
        <w:pageBreakBefore w:val="0"/>
        <w:widowControl w:val="0"/>
        <w:kinsoku/>
        <w:overflowPunct/>
        <w:topLinePunct w:val="0"/>
        <w:autoSpaceDE/>
        <w:autoSpaceDN/>
        <w:bidi w:val="0"/>
        <w:adjustRightInd/>
        <w:snapToGrid/>
        <w:spacing w:line="264" w:lineRule="auto"/>
        <w:ind w:firstLine="308"/>
        <w:textAlignment w:val="auto"/>
        <w:rPr>
          <w:rFonts w:hint="default" w:ascii="Arial" w:hAnsi="Arial" w:eastAsia="宋体" w:cs="Arial"/>
          <w:b/>
          <w:bCs w:val="0"/>
          <w:szCs w:val="21"/>
          <w:highlight w:val="none"/>
        </w:rPr>
      </w:pPr>
      <w:r>
        <w:rPr>
          <w:rFonts w:hint="eastAsia" w:ascii="Arial" w:hAnsi="Arial" w:cs="Arial"/>
          <w:b/>
          <w:bCs/>
          <w:color w:val="auto"/>
          <w:sz w:val="21"/>
          <w:szCs w:val="21"/>
          <w:highlight w:val="none"/>
          <w:lang w:val="en-US" w:eastAsia="zh-CN"/>
        </w:rPr>
        <w:t>3</w:t>
      </w:r>
      <w:r>
        <w:rPr>
          <w:rFonts w:hint="eastAsia" w:ascii="Arial" w:hAnsi="Arial" w:eastAsia="宋体" w:cs="Arial"/>
          <w:b/>
          <w:bCs/>
          <w:color w:val="auto"/>
          <w:sz w:val="21"/>
          <w:szCs w:val="21"/>
          <w:highlight w:val="none"/>
          <w:lang w:val="en-US" w:eastAsia="zh-CN"/>
        </w:rPr>
        <w:t>.项目实施方案分</w:t>
      </w:r>
      <w:r>
        <w:rPr>
          <w:rFonts w:hint="default" w:ascii="Arial" w:hAnsi="Arial" w:eastAsia="宋体" w:cs="Arial"/>
          <w:b/>
          <w:bCs w:val="0"/>
          <w:szCs w:val="21"/>
          <w:highlight w:val="none"/>
        </w:rPr>
        <w:t>……………………………………………………………………………</w:t>
      </w:r>
      <w:r>
        <w:rPr>
          <w:rFonts w:hint="eastAsia" w:ascii="Arial" w:hAnsi="Arial" w:cs="Arial"/>
          <w:b/>
          <w:bCs w:val="0"/>
          <w:szCs w:val="21"/>
          <w:highlight w:val="none"/>
          <w:lang w:val="en-US" w:eastAsia="zh-CN"/>
        </w:rPr>
        <w:t>15</w:t>
      </w:r>
      <w:r>
        <w:rPr>
          <w:rFonts w:hint="default" w:ascii="Arial" w:hAnsi="Arial" w:eastAsia="宋体" w:cs="Arial"/>
          <w:b/>
          <w:bCs w:val="0"/>
          <w:szCs w:val="21"/>
          <w:highlight w:val="none"/>
        </w:rPr>
        <w:t>分</w:t>
      </w:r>
    </w:p>
    <w:p w14:paraId="0572307F">
      <w:pPr>
        <w:keepNext w:val="0"/>
        <w:keepLines w:val="0"/>
        <w:pageBreakBefore w:val="0"/>
        <w:widowControl w:val="0"/>
        <w:kinsoku/>
        <w:overflowPunct/>
        <w:topLinePunct w:val="0"/>
        <w:autoSpaceDE/>
        <w:autoSpaceDN/>
        <w:bidi w:val="0"/>
        <w:adjustRightInd/>
        <w:snapToGrid/>
        <w:spacing w:line="264" w:lineRule="auto"/>
        <w:ind w:firstLine="308"/>
        <w:textAlignment w:val="auto"/>
        <w:rPr>
          <w:rFonts w:hint="eastAsia" w:ascii="Arial" w:hAnsi="Arial" w:eastAsia="宋体" w:cs="Arial"/>
          <w:b w:val="0"/>
          <w:bCs w:val="0"/>
          <w:color w:val="auto"/>
          <w:sz w:val="21"/>
          <w:szCs w:val="21"/>
          <w:highlight w:val="none"/>
          <w:lang w:val="en-US" w:eastAsia="zh-CN"/>
        </w:rPr>
      </w:pPr>
      <w:r>
        <w:rPr>
          <w:rFonts w:hint="eastAsia" w:ascii="Arial" w:hAnsi="Arial" w:eastAsia="宋体" w:cs="Arial"/>
          <w:b w:val="0"/>
          <w:bCs w:val="0"/>
          <w:color w:val="auto"/>
          <w:sz w:val="21"/>
          <w:szCs w:val="21"/>
          <w:highlight w:val="none"/>
          <w:lang w:val="en-US" w:eastAsia="zh-CN"/>
        </w:rPr>
        <w:t>根据供应商提供的项目实施方案进行评审：</w:t>
      </w:r>
    </w:p>
    <w:p w14:paraId="76F1E1F9">
      <w:pPr>
        <w:keepNext w:val="0"/>
        <w:keepLines w:val="0"/>
        <w:pageBreakBefore w:val="0"/>
        <w:widowControl w:val="0"/>
        <w:kinsoku/>
        <w:overflowPunct/>
        <w:topLinePunct w:val="0"/>
        <w:autoSpaceDE/>
        <w:autoSpaceDN/>
        <w:bidi w:val="0"/>
        <w:adjustRightInd/>
        <w:snapToGrid/>
        <w:spacing w:line="264" w:lineRule="auto"/>
        <w:ind w:firstLine="308"/>
        <w:textAlignment w:val="auto"/>
        <w:rPr>
          <w:rFonts w:hint="eastAsia" w:ascii="Arial" w:hAnsi="Arial" w:eastAsia="宋体" w:cs="Arial"/>
          <w:b w:val="0"/>
          <w:bCs w:val="0"/>
          <w:color w:val="auto"/>
          <w:sz w:val="21"/>
          <w:szCs w:val="21"/>
          <w:highlight w:val="none"/>
          <w:lang w:val="en-US" w:eastAsia="zh-CN"/>
        </w:rPr>
      </w:pPr>
      <w:r>
        <w:rPr>
          <w:rFonts w:hint="eastAsia" w:ascii="Arial" w:hAnsi="Arial" w:eastAsia="宋体" w:cs="Arial"/>
          <w:b w:val="0"/>
          <w:bCs w:val="0"/>
          <w:color w:val="auto"/>
          <w:sz w:val="21"/>
          <w:szCs w:val="21"/>
          <w:highlight w:val="none"/>
          <w:lang w:val="en-US" w:eastAsia="zh-CN"/>
        </w:rPr>
        <w:t>一档（0分）：未提供实施方案，或方案可行性差。</w:t>
      </w:r>
    </w:p>
    <w:p w14:paraId="5C49E1C6">
      <w:pPr>
        <w:keepNext w:val="0"/>
        <w:keepLines w:val="0"/>
        <w:pageBreakBefore w:val="0"/>
        <w:widowControl w:val="0"/>
        <w:kinsoku/>
        <w:overflowPunct/>
        <w:topLinePunct w:val="0"/>
        <w:autoSpaceDE/>
        <w:autoSpaceDN/>
        <w:bidi w:val="0"/>
        <w:adjustRightInd/>
        <w:snapToGrid/>
        <w:spacing w:line="264" w:lineRule="auto"/>
        <w:ind w:firstLine="308"/>
        <w:textAlignment w:val="auto"/>
        <w:rPr>
          <w:rFonts w:hint="eastAsia" w:ascii="Arial" w:hAnsi="Arial" w:eastAsia="宋体" w:cs="Arial"/>
          <w:b w:val="0"/>
          <w:bCs w:val="0"/>
          <w:color w:val="auto"/>
          <w:sz w:val="21"/>
          <w:szCs w:val="21"/>
          <w:highlight w:val="none"/>
          <w:lang w:val="en-US" w:eastAsia="zh-CN"/>
        </w:rPr>
      </w:pPr>
      <w:r>
        <w:rPr>
          <w:rFonts w:hint="eastAsia" w:ascii="Arial" w:hAnsi="Arial" w:eastAsia="宋体" w:cs="Arial"/>
          <w:b w:val="0"/>
          <w:bCs w:val="0"/>
          <w:color w:val="auto"/>
          <w:sz w:val="21"/>
          <w:szCs w:val="21"/>
          <w:highlight w:val="none"/>
          <w:lang w:val="en-US" w:eastAsia="zh-CN"/>
        </w:rPr>
        <w:t>二档（8分）：方案较详细，对实施过程安排、人员安排、进度安排等有相应描述，实施内容可行性一般。</w:t>
      </w:r>
    </w:p>
    <w:p w14:paraId="2C5018EF">
      <w:pPr>
        <w:keepNext w:val="0"/>
        <w:keepLines w:val="0"/>
        <w:pageBreakBefore w:val="0"/>
        <w:widowControl w:val="0"/>
        <w:kinsoku/>
        <w:overflowPunct/>
        <w:topLinePunct w:val="0"/>
        <w:autoSpaceDE/>
        <w:autoSpaceDN/>
        <w:bidi w:val="0"/>
        <w:adjustRightInd/>
        <w:snapToGrid/>
        <w:spacing w:line="264" w:lineRule="auto"/>
        <w:ind w:firstLine="308"/>
        <w:textAlignment w:val="auto"/>
        <w:rPr>
          <w:rFonts w:hint="eastAsia" w:ascii="Arial" w:hAnsi="Arial" w:eastAsia="宋体" w:cs="Arial"/>
          <w:b w:val="0"/>
          <w:bCs w:val="0"/>
          <w:color w:val="auto"/>
          <w:sz w:val="21"/>
          <w:szCs w:val="21"/>
          <w:highlight w:val="none"/>
          <w:lang w:val="en-US" w:eastAsia="zh-CN"/>
        </w:rPr>
      </w:pPr>
      <w:r>
        <w:rPr>
          <w:rFonts w:hint="eastAsia" w:ascii="Arial" w:hAnsi="Arial" w:eastAsia="宋体" w:cs="Arial"/>
          <w:b w:val="0"/>
          <w:bCs w:val="0"/>
          <w:color w:val="auto"/>
          <w:sz w:val="21"/>
          <w:szCs w:val="21"/>
          <w:highlight w:val="none"/>
          <w:lang w:val="en-US" w:eastAsia="zh-CN"/>
        </w:rPr>
        <w:t>三档（15分）：在满足以上两档的基础上，对项目特点、关键技术问题的认识准确透彻，总体思路、理念和方案表述清晰、严谨、完整；实施方案详细、科学、可行性强，计划条理清晰；工作内容和实施办法优于招标文件要求。</w:t>
      </w:r>
    </w:p>
    <w:p w14:paraId="20A41DBC">
      <w:pPr>
        <w:keepNext w:val="0"/>
        <w:keepLines w:val="0"/>
        <w:pageBreakBefore w:val="0"/>
        <w:widowControl w:val="0"/>
        <w:numPr>
          <w:ilvl w:val="0"/>
          <w:numId w:val="0"/>
        </w:numPr>
        <w:kinsoku/>
        <w:overflowPunct/>
        <w:topLinePunct w:val="0"/>
        <w:autoSpaceDE/>
        <w:autoSpaceDN/>
        <w:bidi w:val="0"/>
        <w:adjustRightInd/>
        <w:snapToGrid/>
        <w:spacing w:line="264" w:lineRule="auto"/>
        <w:ind w:firstLine="420" w:firstLineChars="200"/>
        <w:textAlignment w:val="auto"/>
        <w:rPr>
          <w:rFonts w:hint="default" w:ascii="Arial" w:hAnsi="Arial" w:cs="Arial"/>
          <w:b/>
          <w:bCs w:val="0"/>
          <w:szCs w:val="21"/>
          <w:highlight w:val="none"/>
          <w:lang w:val="en-US" w:eastAsia="zh-CN"/>
        </w:rPr>
      </w:pPr>
      <w:r>
        <w:rPr>
          <w:rFonts w:hint="eastAsia" w:ascii="Arial" w:hAnsi="Arial" w:cs="Arial"/>
          <w:b/>
          <w:bCs w:val="0"/>
          <w:szCs w:val="21"/>
          <w:highlight w:val="none"/>
          <w:lang w:val="en-US" w:eastAsia="zh-CN"/>
        </w:rPr>
        <w:t>4.售后服务方案……………………………………………………………………………15分</w:t>
      </w:r>
    </w:p>
    <w:p w14:paraId="7A5B50D3">
      <w:pPr>
        <w:keepNext w:val="0"/>
        <w:keepLines w:val="0"/>
        <w:pageBreakBefore w:val="0"/>
        <w:widowControl w:val="0"/>
        <w:kinsoku/>
        <w:overflowPunct/>
        <w:topLinePunct w:val="0"/>
        <w:autoSpaceDE/>
        <w:autoSpaceDN/>
        <w:bidi w:val="0"/>
        <w:adjustRightInd/>
        <w:snapToGrid/>
        <w:spacing w:line="264" w:lineRule="auto"/>
        <w:ind w:firstLine="308"/>
        <w:textAlignment w:val="auto"/>
        <w:rPr>
          <w:rFonts w:hint="eastAsia" w:ascii="Arial" w:hAnsi="Arial" w:eastAsia="宋体" w:cs="Arial"/>
          <w:b w:val="0"/>
          <w:bCs w:val="0"/>
          <w:color w:val="auto"/>
          <w:sz w:val="21"/>
          <w:szCs w:val="21"/>
          <w:highlight w:val="none"/>
          <w:lang w:val="en-US" w:eastAsia="zh-CN"/>
        </w:rPr>
      </w:pPr>
      <w:r>
        <w:rPr>
          <w:rFonts w:hint="eastAsia" w:ascii="Arial" w:hAnsi="Arial" w:eastAsia="宋体" w:cs="Arial"/>
          <w:b w:val="0"/>
          <w:bCs w:val="0"/>
          <w:color w:val="auto"/>
          <w:sz w:val="21"/>
          <w:szCs w:val="21"/>
          <w:highlight w:val="none"/>
          <w:lang w:val="en-US" w:eastAsia="zh-CN"/>
        </w:rPr>
        <w:t>根据供应商提供的售后服务方案进行评审：</w:t>
      </w:r>
    </w:p>
    <w:p w14:paraId="7570F880">
      <w:pPr>
        <w:keepNext w:val="0"/>
        <w:keepLines w:val="0"/>
        <w:pageBreakBefore w:val="0"/>
        <w:widowControl w:val="0"/>
        <w:kinsoku/>
        <w:overflowPunct/>
        <w:topLinePunct w:val="0"/>
        <w:autoSpaceDE/>
        <w:autoSpaceDN/>
        <w:bidi w:val="0"/>
        <w:adjustRightInd/>
        <w:snapToGrid/>
        <w:spacing w:line="264" w:lineRule="auto"/>
        <w:ind w:firstLine="308"/>
        <w:textAlignment w:val="auto"/>
        <w:rPr>
          <w:rFonts w:hint="eastAsia" w:ascii="Arial" w:hAnsi="Arial" w:eastAsia="宋体" w:cs="Arial"/>
          <w:b w:val="0"/>
          <w:bCs w:val="0"/>
          <w:color w:val="auto"/>
          <w:sz w:val="21"/>
          <w:szCs w:val="21"/>
          <w:highlight w:val="none"/>
          <w:lang w:val="en-US" w:eastAsia="zh-CN"/>
        </w:rPr>
      </w:pPr>
      <w:r>
        <w:rPr>
          <w:rFonts w:hint="eastAsia" w:ascii="Arial" w:hAnsi="Arial" w:eastAsia="宋体" w:cs="Arial"/>
          <w:b w:val="0"/>
          <w:bCs w:val="0"/>
          <w:color w:val="auto"/>
          <w:sz w:val="21"/>
          <w:szCs w:val="21"/>
          <w:highlight w:val="none"/>
          <w:lang w:val="en-US" w:eastAsia="zh-CN"/>
        </w:rPr>
        <w:t>一档（0分）：未提供售后服务方案，或方案不可行。</w:t>
      </w:r>
    </w:p>
    <w:p w14:paraId="3DD0FF02">
      <w:pPr>
        <w:keepNext w:val="0"/>
        <w:keepLines w:val="0"/>
        <w:pageBreakBefore w:val="0"/>
        <w:widowControl w:val="0"/>
        <w:kinsoku/>
        <w:overflowPunct/>
        <w:topLinePunct w:val="0"/>
        <w:autoSpaceDE/>
        <w:autoSpaceDN/>
        <w:bidi w:val="0"/>
        <w:adjustRightInd/>
        <w:snapToGrid/>
        <w:spacing w:line="264" w:lineRule="auto"/>
        <w:ind w:firstLine="308"/>
        <w:textAlignment w:val="auto"/>
        <w:rPr>
          <w:rFonts w:hint="eastAsia" w:ascii="Arial" w:hAnsi="Arial" w:eastAsia="宋体" w:cs="Arial"/>
          <w:b w:val="0"/>
          <w:bCs w:val="0"/>
          <w:color w:val="auto"/>
          <w:sz w:val="21"/>
          <w:szCs w:val="21"/>
          <w:highlight w:val="none"/>
          <w:lang w:val="en-US" w:eastAsia="zh-CN"/>
        </w:rPr>
      </w:pPr>
      <w:r>
        <w:rPr>
          <w:rFonts w:hint="eastAsia" w:ascii="Arial" w:hAnsi="Arial" w:eastAsia="宋体" w:cs="Arial"/>
          <w:b w:val="0"/>
          <w:bCs w:val="0"/>
          <w:color w:val="auto"/>
          <w:sz w:val="21"/>
          <w:szCs w:val="21"/>
          <w:highlight w:val="none"/>
          <w:lang w:val="en-US" w:eastAsia="zh-CN"/>
        </w:rPr>
        <w:t>二档（8分）：方案基本可行，售后服务承诺简单，基本满足磋商文件要求。</w:t>
      </w:r>
    </w:p>
    <w:p w14:paraId="3BFD9F71">
      <w:pPr>
        <w:keepNext w:val="0"/>
        <w:keepLines w:val="0"/>
        <w:pageBreakBefore w:val="0"/>
        <w:widowControl w:val="0"/>
        <w:kinsoku/>
        <w:overflowPunct/>
        <w:topLinePunct w:val="0"/>
        <w:autoSpaceDE/>
        <w:autoSpaceDN/>
        <w:bidi w:val="0"/>
        <w:adjustRightInd/>
        <w:snapToGrid/>
        <w:spacing w:line="264" w:lineRule="auto"/>
        <w:ind w:firstLine="308"/>
        <w:textAlignment w:val="auto"/>
        <w:rPr>
          <w:rFonts w:hint="eastAsia" w:ascii="Arial" w:hAnsi="Arial" w:eastAsia="宋体" w:cs="Arial"/>
          <w:b w:val="0"/>
          <w:bCs w:val="0"/>
          <w:color w:val="auto"/>
          <w:sz w:val="21"/>
          <w:szCs w:val="21"/>
          <w:highlight w:val="none"/>
          <w:lang w:val="en-US" w:eastAsia="zh-CN"/>
        </w:rPr>
      </w:pPr>
      <w:r>
        <w:rPr>
          <w:rFonts w:hint="eastAsia" w:ascii="Arial" w:hAnsi="Arial" w:eastAsia="宋体" w:cs="Arial"/>
          <w:b w:val="0"/>
          <w:bCs w:val="0"/>
          <w:color w:val="auto"/>
          <w:sz w:val="21"/>
          <w:szCs w:val="21"/>
          <w:highlight w:val="none"/>
          <w:lang w:val="en-US" w:eastAsia="zh-CN"/>
        </w:rPr>
        <w:t>三档（15分）：提供详细可行的后续服务承诺；本地化服务内容具体、详细；有完整的后续记录档案制度；跟踪指导服务及时，后续跟踪服务内容全面多样；售后服务方案总体评述全面、可行。</w:t>
      </w:r>
    </w:p>
    <w:p w14:paraId="5E2A427E">
      <w:pPr>
        <w:keepNext w:val="0"/>
        <w:keepLines w:val="0"/>
        <w:pageBreakBefore w:val="0"/>
        <w:widowControl w:val="0"/>
        <w:kinsoku/>
        <w:overflowPunct/>
        <w:topLinePunct w:val="0"/>
        <w:autoSpaceDE/>
        <w:autoSpaceDN/>
        <w:bidi w:val="0"/>
        <w:adjustRightInd/>
        <w:snapToGrid/>
        <w:spacing w:line="264" w:lineRule="auto"/>
        <w:ind w:firstLine="308"/>
        <w:textAlignment w:val="auto"/>
        <w:rPr>
          <w:rFonts w:hint="default" w:ascii="Arial" w:hAnsi="Arial" w:eastAsia="宋体" w:cs="Arial"/>
          <w:b/>
          <w:bCs w:val="0"/>
          <w:szCs w:val="21"/>
          <w:highlight w:val="none"/>
        </w:rPr>
      </w:pPr>
      <w:r>
        <w:rPr>
          <w:rFonts w:hint="eastAsia" w:ascii="Arial" w:hAnsi="Arial" w:cs="Arial"/>
          <w:b/>
          <w:bCs w:val="0"/>
          <w:szCs w:val="21"/>
          <w:highlight w:val="none"/>
          <w:lang w:val="en-US" w:eastAsia="zh-CN"/>
        </w:rPr>
        <w:t>5.</w:t>
      </w:r>
      <w:r>
        <w:rPr>
          <w:rFonts w:hint="default" w:ascii="Arial" w:hAnsi="Arial" w:eastAsia="宋体" w:cs="Arial"/>
          <w:b/>
          <w:bCs w:val="0"/>
          <w:szCs w:val="21"/>
          <w:highlight w:val="none"/>
        </w:rPr>
        <w:t>培训方案……………………………………………………………………………</w:t>
      </w:r>
      <w:r>
        <w:rPr>
          <w:rFonts w:hint="eastAsia" w:ascii="Arial" w:hAnsi="Arial" w:cs="Arial"/>
          <w:b/>
          <w:bCs w:val="0"/>
          <w:szCs w:val="21"/>
          <w:highlight w:val="none"/>
          <w:lang w:val="en-US" w:eastAsia="zh-CN"/>
        </w:rPr>
        <w:t>13</w:t>
      </w:r>
      <w:r>
        <w:rPr>
          <w:rFonts w:hint="default" w:ascii="Arial" w:hAnsi="Arial" w:eastAsia="宋体" w:cs="Arial"/>
          <w:b/>
          <w:bCs w:val="0"/>
          <w:szCs w:val="21"/>
          <w:highlight w:val="none"/>
        </w:rPr>
        <w:t>分</w:t>
      </w:r>
    </w:p>
    <w:p w14:paraId="14635CCD">
      <w:pPr>
        <w:keepNext w:val="0"/>
        <w:keepLines w:val="0"/>
        <w:pageBreakBefore w:val="0"/>
        <w:widowControl w:val="0"/>
        <w:kinsoku/>
        <w:overflowPunct/>
        <w:topLinePunct w:val="0"/>
        <w:autoSpaceDE/>
        <w:autoSpaceDN/>
        <w:bidi w:val="0"/>
        <w:adjustRightInd/>
        <w:snapToGrid/>
        <w:spacing w:line="264" w:lineRule="auto"/>
        <w:ind w:firstLine="308"/>
        <w:textAlignment w:val="auto"/>
        <w:rPr>
          <w:rFonts w:hint="default" w:ascii="Arial" w:hAnsi="Arial" w:cs="Arial"/>
          <w:b w:val="0"/>
          <w:bCs w:val="0"/>
          <w:color w:val="auto"/>
          <w:sz w:val="21"/>
          <w:szCs w:val="21"/>
          <w:highlight w:val="none"/>
          <w:lang w:val="en-US" w:eastAsia="zh-CN"/>
        </w:rPr>
      </w:pPr>
      <w:r>
        <w:rPr>
          <w:rFonts w:hint="default" w:ascii="Arial" w:hAnsi="Arial" w:cs="Arial"/>
          <w:b w:val="0"/>
          <w:bCs w:val="0"/>
          <w:color w:val="auto"/>
          <w:sz w:val="21"/>
          <w:szCs w:val="21"/>
          <w:highlight w:val="none"/>
          <w:lang w:val="en-US" w:eastAsia="zh-CN"/>
        </w:rPr>
        <w:t>一档（</w:t>
      </w:r>
      <w:r>
        <w:rPr>
          <w:rFonts w:hint="eastAsia" w:ascii="Arial" w:hAnsi="Arial" w:cs="Arial"/>
          <w:b w:val="0"/>
          <w:bCs w:val="0"/>
          <w:color w:val="auto"/>
          <w:sz w:val="21"/>
          <w:szCs w:val="21"/>
          <w:highlight w:val="none"/>
          <w:lang w:val="en-US" w:eastAsia="zh-CN"/>
        </w:rPr>
        <w:t>4</w:t>
      </w:r>
      <w:r>
        <w:rPr>
          <w:rFonts w:hint="default" w:ascii="Arial" w:hAnsi="Arial" w:cs="Arial"/>
          <w:b w:val="0"/>
          <w:bCs w:val="0"/>
          <w:color w:val="auto"/>
          <w:sz w:val="21"/>
          <w:szCs w:val="21"/>
          <w:highlight w:val="none"/>
          <w:lang w:val="en-US" w:eastAsia="zh-CN"/>
        </w:rPr>
        <w:t xml:space="preserve"> 分）：编制有培训计划、培训方式、培训人员和培训职责等基本内容，确保培训工作具备初步的组织性和计划性。</w:t>
      </w:r>
    </w:p>
    <w:p w14:paraId="116CC341">
      <w:pPr>
        <w:keepNext w:val="0"/>
        <w:keepLines w:val="0"/>
        <w:pageBreakBefore w:val="0"/>
        <w:widowControl w:val="0"/>
        <w:kinsoku/>
        <w:overflowPunct/>
        <w:topLinePunct w:val="0"/>
        <w:autoSpaceDE/>
        <w:autoSpaceDN/>
        <w:bidi w:val="0"/>
        <w:adjustRightInd/>
        <w:snapToGrid/>
        <w:spacing w:line="264" w:lineRule="auto"/>
        <w:ind w:firstLine="308"/>
        <w:textAlignment w:val="auto"/>
        <w:rPr>
          <w:rFonts w:hint="default" w:ascii="Arial" w:hAnsi="Arial" w:cs="Arial"/>
          <w:b w:val="0"/>
          <w:bCs w:val="0"/>
          <w:color w:val="auto"/>
          <w:sz w:val="21"/>
          <w:szCs w:val="21"/>
          <w:highlight w:val="none"/>
          <w:lang w:val="en-US" w:eastAsia="zh-CN"/>
        </w:rPr>
      </w:pPr>
      <w:r>
        <w:rPr>
          <w:rFonts w:hint="default" w:ascii="Arial" w:hAnsi="Arial" w:cs="Arial"/>
          <w:b w:val="0"/>
          <w:bCs w:val="0"/>
          <w:color w:val="auto"/>
          <w:sz w:val="21"/>
          <w:szCs w:val="21"/>
          <w:highlight w:val="none"/>
          <w:lang w:val="en-US" w:eastAsia="zh-CN"/>
        </w:rPr>
        <w:t>二档（</w:t>
      </w:r>
      <w:r>
        <w:rPr>
          <w:rFonts w:hint="eastAsia" w:ascii="Arial" w:hAnsi="Arial" w:cs="Arial"/>
          <w:b w:val="0"/>
          <w:bCs w:val="0"/>
          <w:color w:val="auto"/>
          <w:sz w:val="21"/>
          <w:szCs w:val="21"/>
          <w:highlight w:val="none"/>
          <w:lang w:val="en-US" w:eastAsia="zh-CN"/>
        </w:rPr>
        <w:t>8</w:t>
      </w:r>
      <w:r>
        <w:rPr>
          <w:rFonts w:hint="default" w:ascii="Arial" w:hAnsi="Arial" w:cs="Arial"/>
          <w:b w:val="0"/>
          <w:bCs w:val="0"/>
          <w:color w:val="auto"/>
          <w:sz w:val="21"/>
          <w:szCs w:val="21"/>
          <w:highlight w:val="none"/>
          <w:lang w:val="en-US" w:eastAsia="zh-CN"/>
        </w:rPr>
        <w:t xml:space="preserve"> 分）：培训方案优于上一档，针对本项目所涉及计量检测设备的操作、维护及日常管理，制定出具体、详尽的培训内容大纲；方案需明确培训目标、课程设置、考核方式及具体实施步骤，并配备相应的培训教材或资料，确保培训内容的针对性和系统性。</w:t>
      </w:r>
    </w:p>
    <w:p w14:paraId="4B201AFC">
      <w:pPr>
        <w:keepNext w:val="0"/>
        <w:keepLines w:val="0"/>
        <w:pageBreakBefore w:val="0"/>
        <w:widowControl w:val="0"/>
        <w:kinsoku/>
        <w:overflowPunct/>
        <w:topLinePunct w:val="0"/>
        <w:autoSpaceDE/>
        <w:autoSpaceDN/>
        <w:bidi w:val="0"/>
        <w:adjustRightInd/>
        <w:snapToGrid/>
        <w:spacing w:line="264" w:lineRule="auto"/>
        <w:ind w:firstLine="308"/>
        <w:textAlignment w:val="auto"/>
        <w:rPr>
          <w:rFonts w:hint="default" w:ascii="Arial" w:hAnsi="Arial" w:cs="Arial"/>
          <w:b w:val="0"/>
          <w:bCs w:val="0"/>
          <w:color w:val="auto"/>
          <w:sz w:val="21"/>
          <w:szCs w:val="21"/>
          <w:highlight w:val="none"/>
          <w:lang w:val="en-US" w:eastAsia="zh-CN"/>
        </w:rPr>
      </w:pPr>
      <w:r>
        <w:rPr>
          <w:rFonts w:hint="default" w:ascii="Arial" w:hAnsi="Arial" w:cs="Arial"/>
          <w:b w:val="0"/>
          <w:bCs w:val="0"/>
          <w:color w:val="auto"/>
          <w:sz w:val="21"/>
          <w:szCs w:val="21"/>
          <w:highlight w:val="none"/>
          <w:lang w:val="en-US" w:eastAsia="zh-CN"/>
        </w:rPr>
        <w:t>三档（1</w:t>
      </w:r>
      <w:r>
        <w:rPr>
          <w:rFonts w:hint="eastAsia" w:ascii="Arial" w:hAnsi="Arial" w:cs="Arial"/>
          <w:b w:val="0"/>
          <w:bCs w:val="0"/>
          <w:color w:val="auto"/>
          <w:sz w:val="21"/>
          <w:szCs w:val="21"/>
          <w:highlight w:val="none"/>
          <w:lang w:val="en-US" w:eastAsia="zh-CN"/>
        </w:rPr>
        <w:t>3</w:t>
      </w:r>
      <w:r>
        <w:rPr>
          <w:rFonts w:hint="default" w:ascii="Arial" w:hAnsi="Arial" w:cs="Arial"/>
          <w:b w:val="0"/>
          <w:bCs w:val="0"/>
          <w:color w:val="auto"/>
          <w:sz w:val="21"/>
          <w:szCs w:val="21"/>
          <w:highlight w:val="none"/>
          <w:lang w:val="en-US" w:eastAsia="zh-CN"/>
        </w:rPr>
        <w:t>分）：培训方案优于上一档，能够安排设备生产厂家提供现场操作培训；同时，培训方案应包含完整的理论讲解、实操演练、常见故障排除及应急处理等多个模块，并承诺提供定期的复训或技术更新支持，以确保操作人员能够全面、深入地掌握设备性能与维护技能，保障设备的长期稳定运行。</w:t>
      </w:r>
    </w:p>
    <w:p w14:paraId="385A6DC1">
      <w:pPr>
        <w:keepNext w:val="0"/>
        <w:keepLines w:val="0"/>
        <w:pageBreakBefore w:val="0"/>
        <w:widowControl w:val="0"/>
        <w:kinsoku/>
        <w:overflowPunct/>
        <w:topLinePunct w:val="0"/>
        <w:autoSpaceDE/>
        <w:autoSpaceDN/>
        <w:bidi w:val="0"/>
        <w:adjustRightInd/>
        <w:snapToGrid/>
        <w:spacing w:line="264" w:lineRule="auto"/>
        <w:ind w:firstLine="308"/>
        <w:textAlignment w:val="auto"/>
        <w:rPr>
          <w:rFonts w:hint="eastAsia" w:ascii="Arial" w:hAnsi="Arial" w:eastAsia="宋体" w:cs="Arial"/>
          <w:b/>
          <w:bCs/>
          <w:color w:val="auto"/>
          <w:sz w:val="21"/>
          <w:szCs w:val="21"/>
          <w:highlight w:val="none"/>
          <w:lang w:val="en-US" w:eastAsia="zh-CN"/>
        </w:rPr>
      </w:pPr>
      <w:r>
        <w:rPr>
          <w:rFonts w:hint="eastAsia" w:ascii="Arial" w:hAnsi="Arial" w:eastAsia="宋体" w:cs="Arial"/>
          <w:b/>
          <w:bCs/>
          <w:color w:val="auto"/>
          <w:sz w:val="21"/>
          <w:szCs w:val="21"/>
          <w:highlight w:val="none"/>
          <w:lang w:val="en-US" w:eastAsia="zh-CN"/>
        </w:rPr>
        <w:t>注：</w:t>
      </w:r>
      <w:r>
        <w:rPr>
          <w:rFonts w:hint="default" w:ascii="Arial" w:hAnsi="Arial" w:eastAsia="宋体" w:cs="Arial"/>
          <w:b/>
          <w:bCs/>
          <w:color w:val="auto"/>
          <w:sz w:val="21"/>
          <w:szCs w:val="21"/>
          <w:highlight w:val="none"/>
          <w:lang w:val="en-US" w:eastAsia="zh-CN"/>
        </w:rPr>
        <w:t>未提供</w:t>
      </w:r>
      <w:r>
        <w:rPr>
          <w:rFonts w:hint="eastAsia" w:ascii="Arial" w:hAnsi="Arial" w:eastAsia="宋体" w:cs="Arial"/>
          <w:b/>
          <w:bCs/>
          <w:color w:val="auto"/>
          <w:sz w:val="21"/>
          <w:szCs w:val="21"/>
          <w:highlight w:val="none"/>
          <w:lang w:val="en-US" w:eastAsia="zh-CN"/>
        </w:rPr>
        <w:t>方案</w:t>
      </w:r>
      <w:r>
        <w:rPr>
          <w:rFonts w:hint="default" w:ascii="Arial" w:hAnsi="Arial" w:eastAsia="宋体" w:cs="Arial"/>
          <w:b/>
          <w:bCs/>
          <w:color w:val="auto"/>
          <w:sz w:val="21"/>
          <w:szCs w:val="21"/>
          <w:highlight w:val="none"/>
          <w:lang w:val="en-US" w:eastAsia="zh-CN"/>
        </w:rPr>
        <w:t>不得分。</w:t>
      </w:r>
    </w:p>
    <w:p w14:paraId="456F724E">
      <w:pPr>
        <w:keepNext w:val="0"/>
        <w:keepLines w:val="0"/>
        <w:pageBreakBefore w:val="0"/>
        <w:widowControl w:val="0"/>
        <w:numPr>
          <w:ilvl w:val="0"/>
          <w:numId w:val="0"/>
        </w:numPr>
        <w:kinsoku/>
        <w:overflowPunct/>
        <w:topLinePunct w:val="0"/>
        <w:autoSpaceDE/>
        <w:autoSpaceDN/>
        <w:bidi w:val="0"/>
        <w:adjustRightInd/>
        <w:snapToGrid/>
        <w:spacing w:line="264" w:lineRule="auto"/>
        <w:ind w:firstLine="420" w:firstLineChars="200"/>
        <w:textAlignment w:val="auto"/>
        <w:rPr>
          <w:rFonts w:hint="default" w:ascii="Arial" w:hAnsi="Arial" w:eastAsia="宋体" w:cs="Arial"/>
          <w:b/>
          <w:bCs w:val="0"/>
          <w:szCs w:val="21"/>
          <w:highlight w:val="none"/>
        </w:rPr>
      </w:pPr>
      <w:r>
        <w:rPr>
          <w:rFonts w:hint="eastAsia" w:ascii="Arial" w:hAnsi="Arial" w:cs="Arial"/>
          <w:b/>
          <w:bCs w:val="0"/>
          <w:szCs w:val="21"/>
          <w:highlight w:val="none"/>
          <w:lang w:val="en-US" w:eastAsia="zh-CN"/>
        </w:rPr>
        <w:t>6</w:t>
      </w:r>
      <w:r>
        <w:rPr>
          <w:rFonts w:hint="default" w:ascii="Arial" w:hAnsi="Arial" w:eastAsia="宋体" w:cs="Arial"/>
          <w:b/>
          <w:bCs w:val="0"/>
          <w:szCs w:val="21"/>
          <w:highlight w:val="none"/>
        </w:rPr>
        <w:t xml:space="preserve">. </w:t>
      </w:r>
      <w:r>
        <w:rPr>
          <w:rFonts w:hint="eastAsia" w:ascii="Arial" w:hAnsi="Arial" w:eastAsia="宋体" w:cs="Arial"/>
          <w:b/>
          <w:bCs w:val="0"/>
          <w:szCs w:val="21"/>
          <w:highlight w:val="none"/>
          <w:lang w:val="en-US" w:eastAsia="zh-CN"/>
        </w:rPr>
        <w:t>业绩</w:t>
      </w:r>
      <w:r>
        <w:rPr>
          <w:rFonts w:hint="default" w:ascii="Arial" w:hAnsi="Arial" w:eastAsia="宋体" w:cs="Arial"/>
          <w:b/>
          <w:bCs w:val="0"/>
          <w:szCs w:val="21"/>
          <w:highlight w:val="none"/>
        </w:rPr>
        <w:t>分……………………………………………………………………………………</w:t>
      </w:r>
      <w:r>
        <w:rPr>
          <w:rFonts w:hint="eastAsia" w:ascii="Arial" w:hAnsi="Arial" w:eastAsia="宋体" w:cs="Arial"/>
          <w:b/>
          <w:bCs w:val="0"/>
          <w:szCs w:val="21"/>
          <w:highlight w:val="none"/>
          <w:lang w:val="en-US" w:eastAsia="zh-CN"/>
        </w:rPr>
        <w:t>6</w:t>
      </w:r>
      <w:r>
        <w:rPr>
          <w:rFonts w:hint="default" w:ascii="Arial" w:hAnsi="Arial" w:eastAsia="宋体" w:cs="Arial"/>
          <w:b/>
          <w:bCs w:val="0"/>
          <w:szCs w:val="21"/>
          <w:highlight w:val="none"/>
        </w:rPr>
        <w:t>分</w:t>
      </w:r>
    </w:p>
    <w:p w14:paraId="0FC4B20F">
      <w:pPr>
        <w:keepNext w:val="0"/>
        <w:keepLines w:val="0"/>
        <w:pageBreakBefore w:val="0"/>
        <w:widowControl w:val="0"/>
        <w:kinsoku/>
        <w:overflowPunct/>
        <w:topLinePunct w:val="0"/>
        <w:autoSpaceDE/>
        <w:autoSpaceDN/>
        <w:bidi w:val="0"/>
        <w:adjustRightInd/>
        <w:snapToGrid/>
        <w:spacing w:line="264" w:lineRule="auto"/>
        <w:ind w:firstLine="420" w:firstLineChars="200"/>
        <w:textAlignment w:val="auto"/>
        <w:rPr>
          <w:rFonts w:hint="eastAsia" w:ascii="Arial" w:hAnsi="Arial" w:cs="Arial"/>
          <w:b/>
          <w:bCs/>
          <w:szCs w:val="21"/>
          <w:highlight w:val="none"/>
          <w:lang w:val="en-US" w:eastAsia="zh-CN"/>
        </w:rPr>
      </w:pPr>
      <w:r>
        <w:rPr>
          <w:rFonts w:hint="eastAsia" w:ascii="Arial" w:hAnsi="Arial" w:cs="Arial"/>
          <w:b w:val="0"/>
          <w:bCs w:val="0"/>
          <w:szCs w:val="21"/>
          <w:highlight w:val="none"/>
          <w:lang w:val="en-US" w:eastAsia="zh-CN"/>
        </w:rPr>
        <w:t>供应商2023年以来承接过同类项目业绩的，每提供一个得2分，满分6分。</w:t>
      </w:r>
    </w:p>
    <w:p w14:paraId="0271DC0A">
      <w:pPr>
        <w:keepNext w:val="0"/>
        <w:keepLines w:val="0"/>
        <w:pageBreakBefore w:val="0"/>
        <w:widowControl w:val="0"/>
        <w:kinsoku/>
        <w:overflowPunct/>
        <w:topLinePunct w:val="0"/>
        <w:autoSpaceDE/>
        <w:autoSpaceDN/>
        <w:bidi w:val="0"/>
        <w:adjustRightInd/>
        <w:snapToGrid/>
        <w:spacing w:line="264" w:lineRule="auto"/>
        <w:ind w:firstLine="420" w:firstLineChars="200"/>
        <w:textAlignment w:val="auto"/>
        <w:rPr>
          <w:rFonts w:hint="eastAsia" w:ascii="Arial" w:hAnsi="Arial" w:cs="Arial"/>
          <w:b/>
          <w:bCs/>
          <w:szCs w:val="21"/>
          <w:highlight w:val="none"/>
          <w:lang w:val="en-US" w:eastAsia="zh-CN"/>
        </w:rPr>
      </w:pPr>
      <w:r>
        <w:rPr>
          <w:rFonts w:hint="eastAsia" w:ascii="Arial" w:hAnsi="Arial" w:cs="Arial"/>
          <w:b/>
          <w:bCs/>
          <w:szCs w:val="21"/>
          <w:highlight w:val="none"/>
          <w:lang w:val="en-US" w:eastAsia="zh-CN"/>
        </w:rPr>
        <w:t>注：供应商必须在响应文件中提供有效的合同或者中标（成交）通知书复印件并加盖公章。</w:t>
      </w:r>
    </w:p>
    <w:p w14:paraId="5CADCD97">
      <w:pPr>
        <w:keepNext w:val="0"/>
        <w:keepLines w:val="0"/>
        <w:pageBreakBefore w:val="0"/>
        <w:widowControl w:val="0"/>
        <w:kinsoku/>
        <w:wordWrap w:val="0"/>
        <w:overflowPunct/>
        <w:topLinePunct w:val="0"/>
        <w:autoSpaceDE/>
        <w:autoSpaceDN/>
        <w:bidi w:val="0"/>
        <w:adjustRightInd/>
        <w:snapToGrid/>
        <w:spacing w:line="264" w:lineRule="auto"/>
        <w:ind w:firstLine="420" w:firstLineChars="200"/>
        <w:textAlignment w:val="auto"/>
        <w:rPr>
          <w:rFonts w:hint="default" w:ascii="Arial" w:hAnsi="Arial" w:eastAsia="宋体" w:cs="Arial"/>
          <w:highlight w:val="none"/>
          <w:lang w:val="en-US" w:eastAsia="zh-CN"/>
        </w:rPr>
      </w:pPr>
      <w:r>
        <w:rPr>
          <w:rFonts w:hint="eastAsia" w:ascii="Arial" w:hAnsi="Arial" w:cs="Arial"/>
          <w:b/>
          <w:bCs/>
          <w:szCs w:val="21"/>
          <w:highlight w:val="none"/>
          <w:lang w:val="en-US" w:eastAsia="zh-CN"/>
        </w:rPr>
        <w:t>7</w:t>
      </w:r>
      <w:r>
        <w:rPr>
          <w:rFonts w:hint="default" w:ascii="Arial" w:hAnsi="Arial" w:cs="Arial"/>
          <w:b/>
          <w:bCs/>
          <w:szCs w:val="21"/>
          <w:highlight w:val="none"/>
        </w:rPr>
        <w:t>、综合得分＝1+2+3+4+5</w:t>
      </w:r>
      <w:r>
        <w:rPr>
          <w:rFonts w:hint="eastAsia" w:ascii="Arial" w:hAnsi="Arial" w:cs="Arial"/>
          <w:b/>
          <w:bCs/>
          <w:szCs w:val="21"/>
          <w:highlight w:val="none"/>
          <w:lang w:val="en-US" w:eastAsia="zh-CN"/>
        </w:rPr>
        <w:t>+6</w:t>
      </w:r>
    </w:p>
    <w:p w14:paraId="2C289CA9">
      <w:pPr>
        <w:keepNext w:val="0"/>
        <w:keepLines w:val="0"/>
        <w:pageBreakBefore w:val="0"/>
        <w:widowControl w:val="0"/>
        <w:kinsoku/>
        <w:overflowPunct/>
        <w:topLinePunct w:val="0"/>
        <w:autoSpaceDE/>
        <w:autoSpaceDN/>
        <w:bidi w:val="0"/>
        <w:adjustRightInd/>
        <w:snapToGrid/>
        <w:spacing w:line="264" w:lineRule="auto"/>
        <w:ind w:left="-12" w:leftChars="-6" w:firstLine="420" w:firstLineChars="200"/>
        <w:textAlignment w:val="auto"/>
        <w:rPr>
          <w:rFonts w:hint="default" w:ascii="Arial" w:hAnsi="Arial" w:cs="Arial"/>
          <w:b/>
          <w:szCs w:val="21"/>
          <w:highlight w:val="none"/>
        </w:rPr>
      </w:pPr>
      <w:r>
        <w:rPr>
          <w:rFonts w:hint="default" w:ascii="Arial" w:hAnsi="Arial" w:cs="Arial"/>
          <w:b/>
          <w:szCs w:val="21"/>
          <w:highlight w:val="none"/>
        </w:rPr>
        <w:t>三、推荐及确定中标候选供应商原则</w:t>
      </w:r>
    </w:p>
    <w:p w14:paraId="3210407C">
      <w:pPr>
        <w:keepNext w:val="0"/>
        <w:keepLines w:val="0"/>
        <w:pageBreakBefore w:val="0"/>
        <w:widowControl w:val="0"/>
        <w:kinsoku/>
        <w:overflowPunct/>
        <w:topLinePunct w:val="0"/>
        <w:autoSpaceDE/>
        <w:autoSpaceDN/>
        <w:bidi w:val="0"/>
        <w:adjustRightInd/>
        <w:snapToGrid/>
        <w:spacing w:line="264" w:lineRule="auto"/>
        <w:ind w:left="-12" w:leftChars="-6" w:firstLine="420" w:firstLineChars="200"/>
        <w:textAlignment w:val="auto"/>
        <w:rPr>
          <w:rFonts w:hint="default" w:ascii="Arial" w:hAnsi="Arial" w:cs="Arial"/>
          <w:szCs w:val="21"/>
          <w:highlight w:val="none"/>
        </w:rPr>
      </w:pPr>
      <w:r>
        <w:rPr>
          <w:rFonts w:hint="default" w:ascii="Arial" w:hAnsi="Arial" w:cs="Arial"/>
          <w:szCs w:val="21"/>
          <w:highlight w:val="none"/>
        </w:rPr>
        <w:t>（1）评标委员会根据综合得分由高到低排列次序，若得分相同时，按投标报价由低到高顺序排列；得分相同且投标报价也相同的由评标委员会按照抽签的方式决定排列次序。</w:t>
      </w:r>
    </w:p>
    <w:p w14:paraId="54BC0E6E">
      <w:pPr>
        <w:keepNext w:val="0"/>
        <w:keepLines w:val="0"/>
        <w:pageBreakBefore w:val="0"/>
        <w:widowControl w:val="0"/>
        <w:kinsoku/>
        <w:overflowPunct/>
        <w:topLinePunct w:val="0"/>
        <w:autoSpaceDE/>
        <w:autoSpaceDN/>
        <w:bidi w:val="0"/>
        <w:adjustRightInd/>
        <w:snapToGrid/>
        <w:spacing w:line="264" w:lineRule="auto"/>
        <w:ind w:left="-12" w:leftChars="-6" w:firstLine="420" w:firstLineChars="200"/>
        <w:textAlignment w:val="auto"/>
        <w:rPr>
          <w:rFonts w:hint="default" w:ascii="Arial" w:hAnsi="Arial" w:cs="Arial"/>
          <w:szCs w:val="21"/>
          <w:highlight w:val="none"/>
        </w:rPr>
      </w:pPr>
      <w:r>
        <w:rPr>
          <w:rFonts w:hint="default" w:ascii="Arial" w:hAnsi="Arial" w:cs="Arial"/>
          <w:szCs w:val="21"/>
          <w:highlight w:val="none"/>
        </w:rPr>
        <w:t>（2）评标委员会可推荐前三名为中标候选人，采购人应当确定评标委员会推荐排名第一的中标候选人为中标人。</w:t>
      </w:r>
    </w:p>
    <w:p w14:paraId="77FBE382">
      <w:pPr>
        <w:keepNext w:val="0"/>
        <w:keepLines w:val="0"/>
        <w:pageBreakBefore w:val="0"/>
        <w:widowControl w:val="0"/>
        <w:kinsoku/>
        <w:overflowPunct/>
        <w:topLinePunct w:val="0"/>
        <w:autoSpaceDE/>
        <w:autoSpaceDN/>
        <w:bidi w:val="0"/>
        <w:adjustRightInd/>
        <w:snapToGrid/>
        <w:spacing w:line="264" w:lineRule="auto"/>
        <w:ind w:left="-12" w:leftChars="-6" w:firstLine="420" w:firstLineChars="200"/>
        <w:textAlignment w:val="auto"/>
        <w:rPr>
          <w:rFonts w:hint="default" w:ascii="Arial" w:hAnsi="Arial" w:cs="Arial"/>
          <w:szCs w:val="21"/>
          <w:highlight w:val="none"/>
        </w:rPr>
      </w:pPr>
      <w:r>
        <w:rPr>
          <w:rFonts w:hint="default" w:ascii="Arial" w:hAnsi="Arial" w:cs="Arial"/>
          <w:szCs w:val="21"/>
          <w:highlight w:val="none"/>
        </w:rPr>
        <w:t>（3）排名第一的中标候选人放弃中标、因不可抗力提出不能履行合同，或者招标文件规定应当提交履约保证金而在规定的期限内未能提交的，或因失信行为被取消中标候选人资格的，采购人可以确定排名第二的中标候选人为中标人，并依此类推。</w:t>
      </w:r>
      <w:r>
        <w:rPr>
          <w:rFonts w:hint="default" w:ascii="Arial" w:hAnsi="Arial" w:cs="Arial"/>
          <w:szCs w:val="21"/>
          <w:highlight w:val="none"/>
        </w:rPr>
        <w:br w:type="page"/>
      </w:r>
    </w:p>
    <w:p w14:paraId="757AD7D3">
      <w:pPr>
        <w:keepNext w:val="0"/>
        <w:keepLines w:val="0"/>
        <w:pageBreakBefore w:val="0"/>
        <w:widowControl w:val="0"/>
        <w:kinsoku/>
        <w:wordWrap/>
        <w:overflowPunct/>
        <w:topLinePunct w:val="0"/>
        <w:autoSpaceDE/>
        <w:autoSpaceDN/>
        <w:bidi w:val="0"/>
        <w:adjustRightInd/>
        <w:snapToGrid/>
        <w:spacing w:line="400" w:lineRule="exact"/>
        <w:ind w:left="-12" w:leftChars="-6" w:firstLine="420" w:firstLineChars="200"/>
        <w:textAlignment w:val="auto"/>
        <w:rPr>
          <w:rFonts w:hint="default" w:ascii="Arial" w:hAnsi="Arial" w:cs="Arial"/>
          <w:szCs w:val="21"/>
          <w:highlight w:val="none"/>
        </w:rPr>
      </w:pPr>
      <w:r>
        <w:rPr>
          <w:rFonts w:hint="default" w:ascii="Arial" w:hAnsi="Arial" w:cs="Arial"/>
          <w:szCs w:val="21"/>
          <w:highlight w:val="none"/>
        </w:rPr>
        <w:t>附表</w:t>
      </w:r>
    </w:p>
    <w:p w14:paraId="1A2B9826">
      <w:pPr>
        <w:spacing w:line="528" w:lineRule="exact"/>
        <w:ind w:left="1871" w:firstLine="1680" w:firstLineChars="600"/>
        <w:rPr>
          <w:rFonts w:hint="default" w:ascii="Arial" w:hAnsi="Arial" w:cs="Arial"/>
          <w:b/>
          <w:bCs/>
          <w:sz w:val="28"/>
          <w:szCs w:val="28"/>
          <w:highlight w:val="none"/>
        </w:rPr>
      </w:pPr>
      <w:r>
        <w:rPr>
          <w:rFonts w:hint="default" w:ascii="Arial" w:hAnsi="Arial" w:cs="Arial"/>
          <w:b/>
          <w:bCs/>
          <w:sz w:val="28"/>
          <w:szCs w:val="28"/>
          <w:highlight w:val="none"/>
        </w:rPr>
        <w:t>中小微企业划型标准</w:t>
      </w:r>
    </w:p>
    <w:p w14:paraId="392B4B65">
      <w:pPr>
        <w:spacing w:line="528" w:lineRule="exact"/>
        <w:ind w:left="1871" w:firstLine="1680" w:firstLineChars="600"/>
        <w:rPr>
          <w:rFonts w:hint="default" w:ascii="Arial" w:hAnsi="Arial" w:cs="Arial"/>
          <w:b/>
          <w:bCs/>
          <w:sz w:val="28"/>
          <w:szCs w:val="28"/>
          <w:highlight w:val="none"/>
        </w:rPr>
      </w:pPr>
    </w:p>
    <w:tbl>
      <w:tblPr>
        <w:tblStyle w:val="49"/>
        <w:tblW w:w="8297" w:type="dxa"/>
        <w:jc w:val="center"/>
        <w:tblLayout w:type="fixed"/>
        <w:tblCellMar>
          <w:top w:w="0" w:type="dxa"/>
          <w:left w:w="108" w:type="dxa"/>
          <w:bottom w:w="0" w:type="dxa"/>
          <w:right w:w="108" w:type="dxa"/>
        </w:tblCellMar>
      </w:tblPr>
      <w:tblGrid>
        <w:gridCol w:w="1505"/>
        <w:gridCol w:w="1702"/>
        <w:gridCol w:w="1079"/>
        <w:gridCol w:w="1630"/>
        <w:gridCol w:w="1358"/>
        <w:gridCol w:w="1023"/>
      </w:tblGrid>
      <w:tr w14:paraId="739B54A6">
        <w:tblPrEx>
          <w:tblCellMar>
            <w:top w:w="0" w:type="dxa"/>
            <w:left w:w="108" w:type="dxa"/>
            <w:bottom w:w="0" w:type="dxa"/>
            <w:right w:w="108" w:type="dxa"/>
          </w:tblCellMar>
        </w:tblPrEx>
        <w:trPr>
          <w:trHeight w:val="90" w:hRule="atLeast"/>
          <w:jc w:val="center"/>
        </w:trPr>
        <w:tc>
          <w:tcPr>
            <w:tcW w:w="1505" w:type="dxa"/>
            <w:tcBorders>
              <w:top w:val="single" w:color="auto" w:sz="4" w:space="0"/>
              <w:left w:val="single" w:color="auto" w:sz="4" w:space="0"/>
              <w:bottom w:val="single" w:color="auto" w:sz="4" w:space="0"/>
              <w:right w:val="single" w:color="auto" w:sz="4" w:space="0"/>
            </w:tcBorders>
            <w:vAlign w:val="center"/>
          </w:tcPr>
          <w:p w14:paraId="4E9FEE15">
            <w:pPr>
              <w:widowControl/>
              <w:jc w:val="center"/>
              <w:rPr>
                <w:rFonts w:hint="default" w:ascii="Arial" w:hAnsi="Arial" w:cs="Arial"/>
                <w:bCs/>
                <w:kern w:val="0"/>
                <w:szCs w:val="21"/>
                <w:highlight w:val="none"/>
              </w:rPr>
            </w:pPr>
            <w:r>
              <w:rPr>
                <w:rFonts w:hint="default" w:ascii="Arial" w:hAnsi="Arial" w:cs="Arial"/>
                <w:bCs/>
                <w:kern w:val="0"/>
                <w:szCs w:val="21"/>
                <w:highlight w:val="none"/>
              </w:rPr>
              <w:t>行业名称</w:t>
            </w:r>
          </w:p>
        </w:tc>
        <w:tc>
          <w:tcPr>
            <w:tcW w:w="1702" w:type="dxa"/>
            <w:tcBorders>
              <w:top w:val="single" w:color="auto" w:sz="4" w:space="0"/>
              <w:left w:val="nil"/>
              <w:bottom w:val="single" w:color="auto" w:sz="4" w:space="0"/>
              <w:right w:val="single" w:color="auto" w:sz="4" w:space="0"/>
            </w:tcBorders>
            <w:vAlign w:val="center"/>
          </w:tcPr>
          <w:p w14:paraId="1372A289">
            <w:pPr>
              <w:widowControl/>
              <w:jc w:val="center"/>
              <w:rPr>
                <w:rFonts w:hint="default" w:ascii="Arial" w:hAnsi="Arial" w:cs="Arial"/>
                <w:bCs/>
                <w:kern w:val="0"/>
                <w:szCs w:val="21"/>
                <w:highlight w:val="none"/>
              </w:rPr>
            </w:pPr>
            <w:r>
              <w:rPr>
                <w:rFonts w:hint="default" w:ascii="Arial" w:hAnsi="Arial" w:cs="Arial"/>
                <w:bCs/>
                <w:kern w:val="0"/>
                <w:szCs w:val="21"/>
                <w:highlight w:val="none"/>
              </w:rPr>
              <w:t>指标名称</w:t>
            </w:r>
          </w:p>
        </w:tc>
        <w:tc>
          <w:tcPr>
            <w:tcW w:w="1079" w:type="dxa"/>
            <w:tcBorders>
              <w:top w:val="single" w:color="auto" w:sz="4" w:space="0"/>
              <w:left w:val="nil"/>
              <w:bottom w:val="single" w:color="auto" w:sz="4" w:space="0"/>
              <w:right w:val="single" w:color="auto" w:sz="4" w:space="0"/>
            </w:tcBorders>
            <w:vAlign w:val="center"/>
          </w:tcPr>
          <w:p w14:paraId="2AD9DB21">
            <w:pPr>
              <w:widowControl/>
              <w:jc w:val="center"/>
              <w:rPr>
                <w:rFonts w:hint="default" w:ascii="Arial" w:hAnsi="Arial" w:cs="Arial"/>
                <w:bCs/>
                <w:kern w:val="0"/>
                <w:szCs w:val="21"/>
                <w:highlight w:val="none"/>
              </w:rPr>
            </w:pPr>
            <w:r>
              <w:rPr>
                <w:rFonts w:hint="default" w:ascii="Arial" w:hAnsi="Arial" w:cs="Arial"/>
                <w:bCs/>
                <w:kern w:val="0"/>
                <w:szCs w:val="21"/>
                <w:highlight w:val="none"/>
              </w:rPr>
              <w:t>计量单位</w:t>
            </w:r>
          </w:p>
        </w:tc>
        <w:tc>
          <w:tcPr>
            <w:tcW w:w="1630" w:type="dxa"/>
            <w:tcBorders>
              <w:top w:val="single" w:color="auto" w:sz="4" w:space="0"/>
              <w:left w:val="nil"/>
              <w:bottom w:val="single" w:color="auto" w:sz="4" w:space="0"/>
              <w:right w:val="single" w:color="auto" w:sz="4" w:space="0"/>
            </w:tcBorders>
            <w:vAlign w:val="center"/>
          </w:tcPr>
          <w:p w14:paraId="202DC874">
            <w:pPr>
              <w:widowControl/>
              <w:jc w:val="center"/>
              <w:rPr>
                <w:rFonts w:hint="default" w:ascii="Arial" w:hAnsi="Arial" w:cs="Arial"/>
                <w:bCs/>
                <w:kern w:val="0"/>
                <w:szCs w:val="21"/>
                <w:highlight w:val="none"/>
              </w:rPr>
            </w:pPr>
            <w:r>
              <w:rPr>
                <w:rFonts w:hint="default" w:ascii="Arial" w:hAnsi="Arial" w:cs="Arial"/>
                <w:bCs/>
                <w:kern w:val="0"/>
                <w:szCs w:val="21"/>
                <w:highlight w:val="none"/>
              </w:rPr>
              <w:t>中型</w:t>
            </w:r>
          </w:p>
        </w:tc>
        <w:tc>
          <w:tcPr>
            <w:tcW w:w="1358" w:type="dxa"/>
            <w:tcBorders>
              <w:top w:val="single" w:color="auto" w:sz="4" w:space="0"/>
              <w:left w:val="nil"/>
              <w:bottom w:val="single" w:color="auto" w:sz="4" w:space="0"/>
              <w:right w:val="single" w:color="auto" w:sz="4" w:space="0"/>
            </w:tcBorders>
            <w:vAlign w:val="center"/>
          </w:tcPr>
          <w:p w14:paraId="45DA2542">
            <w:pPr>
              <w:widowControl/>
              <w:jc w:val="center"/>
              <w:rPr>
                <w:rFonts w:hint="default" w:ascii="Arial" w:hAnsi="Arial" w:cs="Arial"/>
                <w:bCs/>
                <w:kern w:val="0"/>
                <w:szCs w:val="21"/>
                <w:highlight w:val="none"/>
              </w:rPr>
            </w:pPr>
            <w:r>
              <w:rPr>
                <w:rFonts w:hint="default" w:ascii="Arial" w:hAnsi="Arial" w:cs="Arial"/>
                <w:bCs/>
                <w:kern w:val="0"/>
                <w:szCs w:val="21"/>
                <w:highlight w:val="none"/>
              </w:rPr>
              <w:t>小型</w:t>
            </w:r>
          </w:p>
        </w:tc>
        <w:tc>
          <w:tcPr>
            <w:tcW w:w="1023" w:type="dxa"/>
            <w:tcBorders>
              <w:top w:val="single" w:color="auto" w:sz="4" w:space="0"/>
              <w:left w:val="nil"/>
              <w:bottom w:val="single" w:color="auto" w:sz="4" w:space="0"/>
              <w:right w:val="single" w:color="auto" w:sz="4" w:space="0"/>
            </w:tcBorders>
            <w:vAlign w:val="center"/>
          </w:tcPr>
          <w:p w14:paraId="710C47B4">
            <w:pPr>
              <w:widowControl/>
              <w:jc w:val="center"/>
              <w:rPr>
                <w:rFonts w:hint="default" w:ascii="Arial" w:hAnsi="Arial" w:cs="Arial"/>
                <w:bCs/>
                <w:kern w:val="0"/>
                <w:szCs w:val="21"/>
                <w:highlight w:val="none"/>
              </w:rPr>
            </w:pPr>
            <w:r>
              <w:rPr>
                <w:rFonts w:hint="default" w:ascii="Arial" w:hAnsi="Arial" w:cs="Arial"/>
                <w:bCs/>
                <w:kern w:val="0"/>
                <w:szCs w:val="21"/>
                <w:highlight w:val="none"/>
              </w:rPr>
              <w:t>微型</w:t>
            </w:r>
          </w:p>
        </w:tc>
      </w:tr>
      <w:tr w14:paraId="626E4BFE">
        <w:tblPrEx>
          <w:tblCellMar>
            <w:top w:w="0" w:type="dxa"/>
            <w:left w:w="108" w:type="dxa"/>
            <w:bottom w:w="0" w:type="dxa"/>
            <w:right w:w="108" w:type="dxa"/>
          </w:tblCellMar>
        </w:tblPrEx>
        <w:trPr>
          <w:trHeight w:val="90" w:hRule="atLeast"/>
          <w:jc w:val="center"/>
        </w:trPr>
        <w:tc>
          <w:tcPr>
            <w:tcW w:w="1505" w:type="dxa"/>
            <w:tcBorders>
              <w:top w:val="nil"/>
              <w:left w:val="single" w:color="auto" w:sz="4" w:space="0"/>
              <w:bottom w:val="single" w:color="auto" w:sz="4" w:space="0"/>
              <w:right w:val="single" w:color="auto" w:sz="4" w:space="0"/>
            </w:tcBorders>
            <w:vAlign w:val="center"/>
          </w:tcPr>
          <w:p w14:paraId="7BAD7BE1">
            <w:pPr>
              <w:widowControl/>
              <w:jc w:val="center"/>
              <w:rPr>
                <w:rFonts w:hint="default" w:ascii="Arial" w:hAnsi="Arial" w:cs="Arial"/>
                <w:bCs/>
                <w:kern w:val="0"/>
                <w:szCs w:val="21"/>
                <w:highlight w:val="none"/>
              </w:rPr>
            </w:pPr>
            <w:r>
              <w:rPr>
                <w:rFonts w:hint="default" w:ascii="Arial" w:hAnsi="Arial" w:cs="Arial"/>
                <w:bCs/>
                <w:kern w:val="0"/>
                <w:szCs w:val="21"/>
                <w:highlight w:val="none"/>
              </w:rPr>
              <w:t>农、林、牧、渔</w:t>
            </w:r>
          </w:p>
        </w:tc>
        <w:tc>
          <w:tcPr>
            <w:tcW w:w="1702" w:type="dxa"/>
            <w:tcBorders>
              <w:top w:val="nil"/>
              <w:left w:val="nil"/>
              <w:bottom w:val="single" w:color="auto" w:sz="4" w:space="0"/>
              <w:right w:val="single" w:color="auto" w:sz="4" w:space="0"/>
            </w:tcBorders>
            <w:vAlign w:val="center"/>
          </w:tcPr>
          <w:p w14:paraId="2108AD4D">
            <w:pPr>
              <w:widowControl/>
              <w:jc w:val="center"/>
              <w:rPr>
                <w:rFonts w:hint="default" w:ascii="Arial" w:hAnsi="Arial" w:cs="Arial"/>
                <w:bCs/>
                <w:kern w:val="0"/>
                <w:szCs w:val="21"/>
                <w:highlight w:val="none"/>
              </w:rPr>
            </w:pPr>
            <w:r>
              <w:rPr>
                <w:rFonts w:hint="default" w:ascii="Arial" w:hAnsi="Arial" w:cs="Arial"/>
                <w:bCs/>
                <w:kern w:val="0"/>
                <w:szCs w:val="21"/>
                <w:highlight w:val="none"/>
              </w:rPr>
              <w:t>营业收入（Y）</w:t>
            </w:r>
          </w:p>
        </w:tc>
        <w:tc>
          <w:tcPr>
            <w:tcW w:w="1079" w:type="dxa"/>
            <w:tcBorders>
              <w:top w:val="nil"/>
              <w:left w:val="nil"/>
              <w:bottom w:val="single" w:color="auto" w:sz="4" w:space="0"/>
              <w:right w:val="single" w:color="auto" w:sz="4" w:space="0"/>
            </w:tcBorders>
            <w:vAlign w:val="center"/>
          </w:tcPr>
          <w:p w14:paraId="56790CC1">
            <w:pPr>
              <w:widowControl/>
              <w:jc w:val="center"/>
              <w:rPr>
                <w:rFonts w:hint="default" w:ascii="Arial" w:hAnsi="Arial" w:cs="Arial"/>
                <w:bCs/>
                <w:kern w:val="0"/>
                <w:szCs w:val="21"/>
                <w:highlight w:val="none"/>
              </w:rPr>
            </w:pPr>
            <w:r>
              <w:rPr>
                <w:rFonts w:hint="default" w:ascii="Arial" w:hAnsi="Arial" w:cs="Arial"/>
                <w:bCs/>
                <w:kern w:val="0"/>
                <w:szCs w:val="21"/>
                <w:highlight w:val="none"/>
              </w:rPr>
              <w:t>万元</w:t>
            </w:r>
          </w:p>
        </w:tc>
        <w:tc>
          <w:tcPr>
            <w:tcW w:w="1630" w:type="dxa"/>
            <w:tcBorders>
              <w:top w:val="nil"/>
              <w:left w:val="nil"/>
              <w:bottom w:val="single" w:color="auto" w:sz="4" w:space="0"/>
              <w:right w:val="single" w:color="auto" w:sz="4" w:space="0"/>
            </w:tcBorders>
            <w:vAlign w:val="center"/>
          </w:tcPr>
          <w:p w14:paraId="1975B493">
            <w:pPr>
              <w:widowControl/>
              <w:jc w:val="center"/>
              <w:rPr>
                <w:rFonts w:hint="default" w:ascii="Arial" w:hAnsi="Arial" w:cs="Arial"/>
                <w:bCs/>
                <w:kern w:val="0"/>
                <w:szCs w:val="21"/>
                <w:highlight w:val="none"/>
              </w:rPr>
            </w:pPr>
            <w:r>
              <w:rPr>
                <w:rFonts w:hint="default" w:ascii="Arial" w:hAnsi="Arial" w:cs="Arial"/>
                <w:bCs/>
                <w:kern w:val="0"/>
                <w:szCs w:val="21"/>
                <w:highlight w:val="none"/>
              </w:rPr>
              <w:t>500≤Y＜20000</w:t>
            </w:r>
          </w:p>
        </w:tc>
        <w:tc>
          <w:tcPr>
            <w:tcW w:w="1358" w:type="dxa"/>
            <w:tcBorders>
              <w:top w:val="nil"/>
              <w:left w:val="nil"/>
              <w:bottom w:val="single" w:color="auto" w:sz="4" w:space="0"/>
              <w:right w:val="single" w:color="auto" w:sz="4" w:space="0"/>
            </w:tcBorders>
            <w:vAlign w:val="center"/>
          </w:tcPr>
          <w:p w14:paraId="3FE14002">
            <w:pPr>
              <w:widowControl/>
              <w:jc w:val="center"/>
              <w:rPr>
                <w:rFonts w:hint="default" w:ascii="Arial" w:hAnsi="Arial" w:cs="Arial"/>
                <w:bCs/>
                <w:kern w:val="0"/>
                <w:szCs w:val="21"/>
                <w:highlight w:val="none"/>
              </w:rPr>
            </w:pPr>
            <w:r>
              <w:rPr>
                <w:rFonts w:hint="default" w:ascii="Arial" w:hAnsi="Arial" w:cs="Arial"/>
                <w:bCs/>
                <w:kern w:val="0"/>
                <w:szCs w:val="21"/>
                <w:highlight w:val="none"/>
              </w:rPr>
              <w:t>50≤Y＜500</w:t>
            </w:r>
          </w:p>
        </w:tc>
        <w:tc>
          <w:tcPr>
            <w:tcW w:w="1023" w:type="dxa"/>
            <w:tcBorders>
              <w:top w:val="nil"/>
              <w:left w:val="nil"/>
              <w:bottom w:val="single" w:color="auto" w:sz="4" w:space="0"/>
              <w:right w:val="single" w:color="auto" w:sz="4" w:space="0"/>
            </w:tcBorders>
            <w:vAlign w:val="center"/>
          </w:tcPr>
          <w:p w14:paraId="0D3A72C9">
            <w:pPr>
              <w:widowControl/>
              <w:jc w:val="center"/>
              <w:rPr>
                <w:rFonts w:hint="default" w:ascii="Arial" w:hAnsi="Arial" w:cs="Arial"/>
                <w:bCs/>
                <w:kern w:val="0"/>
                <w:szCs w:val="21"/>
                <w:highlight w:val="none"/>
              </w:rPr>
            </w:pPr>
            <w:r>
              <w:rPr>
                <w:rFonts w:hint="default" w:ascii="Arial" w:hAnsi="Arial" w:cs="Arial"/>
                <w:bCs/>
                <w:kern w:val="0"/>
                <w:szCs w:val="21"/>
                <w:highlight w:val="none"/>
              </w:rPr>
              <w:t>Y＜50</w:t>
            </w:r>
          </w:p>
        </w:tc>
      </w:tr>
      <w:tr w14:paraId="7C6CFF99">
        <w:tblPrEx>
          <w:tblCellMar>
            <w:top w:w="0" w:type="dxa"/>
            <w:left w:w="108" w:type="dxa"/>
            <w:bottom w:w="0" w:type="dxa"/>
            <w:right w:w="108" w:type="dxa"/>
          </w:tblCellMar>
        </w:tblPrEx>
        <w:trPr>
          <w:trHeight w:val="90" w:hRule="atLeast"/>
          <w:jc w:val="center"/>
        </w:trPr>
        <w:tc>
          <w:tcPr>
            <w:tcW w:w="1505" w:type="dxa"/>
            <w:vMerge w:val="restart"/>
            <w:tcBorders>
              <w:top w:val="nil"/>
              <w:left w:val="single" w:color="auto" w:sz="4" w:space="0"/>
              <w:bottom w:val="single" w:color="auto" w:sz="4" w:space="0"/>
              <w:right w:val="single" w:color="auto" w:sz="4" w:space="0"/>
            </w:tcBorders>
            <w:vAlign w:val="center"/>
          </w:tcPr>
          <w:p w14:paraId="5368B54F">
            <w:pPr>
              <w:widowControl/>
              <w:jc w:val="center"/>
              <w:rPr>
                <w:rFonts w:hint="default" w:ascii="Arial" w:hAnsi="Arial" w:cs="Arial"/>
                <w:bCs/>
                <w:kern w:val="0"/>
                <w:szCs w:val="21"/>
                <w:highlight w:val="none"/>
              </w:rPr>
            </w:pPr>
            <w:r>
              <w:rPr>
                <w:rFonts w:hint="default" w:ascii="Arial" w:hAnsi="Arial" w:cs="Arial"/>
                <w:bCs/>
                <w:kern w:val="0"/>
                <w:szCs w:val="21"/>
                <w:highlight w:val="none"/>
              </w:rPr>
              <w:t>工业</w:t>
            </w:r>
          </w:p>
        </w:tc>
        <w:tc>
          <w:tcPr>
            <w:tcW w:w="1702" w:type="dxa"/>
            <w:tcBorders>
              <w:top w:val="nil"/>
              <w:left w:val="nil"/>
              <w:bottom w:val="single" w:color="auto" w:sz="4" w:space="0"/>
              <w:right w:val="single" w:color="auto" w:sz="4" w:space="0"/>
            </w:tcBorders>
            <w:vAlign w:val="center"/>
          </w:tcPr>
          <w:p w14:paraId="0E79AEE1">
            <w:pPr>
              <w:widowControl/>
              <w:jc w:val="center"/>
              <w:rPr>
                <w:rFonts w:hint="default" w:ascii="Arial" w:hAnsi="Arial" w:cs="Arial"/>
                <w:bCs/>
                <w:kern w:val="0"/>
                <w:szCs w:val="21"/>
                <w:highlight w:val="none"/>
              </w:rPr>
            </w:pPr>
            <w:r>
              <w:rPr>
                <w:rFonts w:hint="default" w:ascii="Arial" w:hAnsi="Arial" w:cs="Arial"/>
                <w:bCs/>
                <w:kern w:val="0"/>
                <w:szCs w:val="21"/>
                <w:highlight w:val="none"/>
              </w:rPr>
              <w:t>从业人员（X）</w:t>
            </w:r>
          </w:p>
        </w:tc>
        <w:tc>
          <w:tcPr>
            <w:tcW w:w="1079" w:type="dxa"/>
            <w:tcBorders>
              <w:top w:val="nil"/>
              <w:left w:val="nil"/>
              <w:bottom w:val="single" w:color="auto" w:sz="4" w:space="0"/>
              <w:right w:val="single" w:color="auto" w:sz="4" w:space="0"/>
            </w:tcBorders>
            <w:vAlign w:val="center"/>
          </w:tcPr>
          <w:p w14:paraId="35D4A0D3">
            <w:pPr>
              <w:widowControl/>
              <w:jc w:val="center"/>
              <w:rPr>
                <w:rFonts w:hint="default" w:ascii="Arial" w:hAnsi="Arial" w:cs="Arial"/>
                <w:bCs/>
                <w:kern w:val="0"/>
                <w:szCs w:val="21"/>
                <w:highlight w:val="none"/>
              </w:rPr>
            </w:pPr>
            <w:r>
              <w:rPr>
                <w:rFonts w:hint="default" w:ascii="Arial" w:hAnsi="Arial" w:cs="Arial"/>
                <w:bCs/>
                <w:kern w:val="0"/>
                <w:szCs w:val="21"/>
                <w:highlight w:val="none"/>
              </w:rPr>
              <w:t>人</w:t>
            </w:r>
          </w:p>
        </w:tc>
        <w:tc>
          <w:tcPr>
            <w:tcW w:w="1630" w:type="dxa"/>
            <w:tcBorders>
              <w:top w:val="nil"/>
              <w:left w:val="nil"/>
              <w:bottom w:val="single" w:color="auto" w:sz="4" w:space="0"/>
              <w:right w:val="single" w:color="auto" w:sz="4" w:space="0"/>
            </w:tcBorders>
            <w:vAlign w:val="center"/>
          </w:tcPr>
          <w:p w14:paraId="1B07D311">
            <w:pPr>
              <w:widowControl/>
              <w:jc w:val="center"/>
              <w:rPr>
                <w:rFonts w:hint="default" w:ascii="Arial" w:hAnsi="Arial" w:cs="Arial"/>
                <w:bCs/>
                <w:kern w:val="0"/>
                <w:szCs w:val="21"/>
                <w:highlight w:val="none"/>
              </w:rPr>
            </w:pPr>
            <w:r>
              <w:rPr>
                <w:rFonts w:hint="default" w:ascii="Arial" w:hAnsi="Arial" w:cs="Arial"/>
                <w:bCs/>
                <w:kern w:val="0"/>
                <w:szCs w:val="21"/>
                <w:highlight w:val="none"/>
              </w:rPr>
              <w:t>300≤X＜1000</w:t>
            </w:r>
          </w:p>
        </w:tc>
        <w:tc>
          <w:tcPr>
            <w:tcW w:w="1358" w:type="dxa"/>
            <w:tcBorders>
              <w:top w:val="nil"/>
              <w:left w:val="nil"/>
              <w:bottom w:val="single" w:color="auto" w:sz="4" w:space="0"/>
              <w:right w:val="single" w:color="auto" w:sz="4" w:space="0"/>
            </w:tcBorders>
            <w:vAlign w:val="center"/>
          </w:tcPr>
          <w:p w14:paraId="21B788E8">
            <w:pPr>
              <w:widowControl/>
              <w:jc w:val="center"/>
              <w:rPr>
                <w:rFonts w:hint="default" w:ascii="Arial" w:hAnsi="Arial" w:cs="Arial"/>
                <w:bCs/>
                <w:kern w:val="0"/>
                <w:szCs w:val="21"/>
                <w:highlight w:val="none"/>
              </w:rPr>
            </w:pPr>
            <w:r>
              <w:rPr>
                <w:rFonts w:hint="default" w:ascii="Arial" w:hAnsi="Arial" w:cs="Arial"/>
                <w:bCs/>
                <w:kern w:val="0"/>
                <w:szCs w:val="21"/>
                <w:highlight w:val="none"/>
              </w:rPr>
              <w:t>20≤X＜300</w:t>
            </w:r>
          </w:p>
        </w:tc>
        <w:tc>
          <w:tcPr>
            <w:tcW w:w="1023" w:type="dxa"/>
            <w:tcBorders>
              <w:top w:val="nil"/>
              <w:left w:val="nil"/>
              <w:bottom w:val="single" w:color="auto" w:sz="4" w:space="0"/>
              <w:right w:val="single" w:color="auto" w:sz="4" w:space="0"/>
            </w:tcBorders>
            <w:vAlign w:val="center"/>
          </w:tcPr>
          <w:p w14:paraId="5EAD9AF3">
            <w:pPr>
              <w:widowControl/>
              <w:jc w:val="center"/>
              <w:rPr>
                <w:rFonts w:hint="default" w:ascii="Arial" w:hAnsi="Arial" w:cs="Arial"/>
                <w:bCs/>
                <w:kern w:val="0"/>
                <w:szCs w:val="21"/>
                <w:highlight w:val="none"/>
              </w:rPr>
            </w:pPr>
            <w:r>
              <w:rPr>
                <w:rFonts w:hint="default" w:ascii="Arial" w:hAnsi="Arial" w:cs="Arial"/>
                <w:bCs/>
                <w:kern w:val="0"/>
                <w:szCs w:val="21"/>
                <w:highlight w:val="none"/>
              </w:rPr>
              <w:t>X＜20</w:t>
            </w:r>
          </w:p>
        </w:tc>
      </w:tr>
      <w:tr w14:paraId="4270D505">
        <w:tblPrEx>
          <w:tblCellMar>
            <w:top w:w="0" w:type="dxa"/>
            <w:left w:w="108" w:type="dxa"/>
            <w:bottom w:w="0" w:type="dxa"/>
            <w:right w:w="108" w:type="dxa"/>
          </w:tblCellMar>
        </w:tblPrEx>
        <w:trPr>
          <w:trHeight w:val="90" w:hRule="atLeast"/>
          <w:jc w:val="center"/>
        </w:trPr>
        <w:tc>
          <w:tcPr>
            <w:tcW w:w="1505" w:type="dxa"/>
            <w:vMerge w:val="continue"/>
            <w:tcBorders>
              <w:top w:val="nil"/>
              <w:left w:val="single" w:color="auto" w:sz="4" w:space="0"/>
              <w:bottom w:val="single" w:color="auto" w:sz="4" w:space="0"/>
              <w:right w:val="single" w:color="auto" w:sz="4" w:space="0"/>
            </w:tcBorders>
            <w:vAlign w:val="center"/>
          </w:tcPr>
          <w:p w14:paraId="43DFBDD2">
            <w:pPr>
              <w:widowControl/>
              <w:jc w:val="center"/>
              <w:rPr>
                <w:rFonts w:hint="default" w:ascii="Arial" w:hAnsi="Arial" w:cs="Arial"/>
                <w:bCs/>
                <w:kern w:val="0"/>
                <w:szCs w:val="21"/>
                <w:highlight w:val="none"/>
              </w:rPr>
            </w:pPr>
          </w:p>
        </w:tc>
        <w:tc>
          <w:tcPr>
            <w:tcW w:w="1702" w:type="dxa"/>
            <w:tcBorders>
              <w:top w:val="nil"/>
              <w:left w:val="nil"/>
              <w:bottom w:val="single" w:color="auto" w:sz="4" w:space="0"/>
              <w:right w:val="single" w:color="auto" w:sz="4" w:space="0"/>
            </w:tcBorders>
            <w:vAlign w:val="center"/>
          </w:tcPr>
          <w:p w14:paraId="7EFDBA59">
            <w:pPr>
              <w:widowControl/>
              <w:jc w:val="center"/>
              <w:rPr>
                <w:rFonts w:hint="default" w:ascii="Arial" w:hAnsi="Arial" w:cs="Arial"/>
                <w:bCs/>
                <w:kern w:val="0"/>
                <w:szCs w:val="21"/>
                <w:highlight w:val="none"/>
              </w:rPr>
            </w:pPr>
            <w:r>
              <w:rPr>
                <w:rFonts w:hint="default" w:ascii="Arial" w:hAnsi="Arial" w:cs="Arial"/>
                <w:bCs/>
                <w:kern w:val="0"/>
                <w:szCs w:val="21"/>
                <w:highlight w:val="none"/>
              </w:rPr>
              <w:t>营业收入（Y）</w:t>
            </w:r>
          </w:p>
        </w:tc>
        <w:tc>
          <w:tcPr>
            <w:tcW w:w="1079" w:type="dxa"/>
            <w:tcBorders>
              <w:top w:val="nil"/>
              <w:left w:val="nil"/>
              <w:bottom w:val="single" w:color="auto" w:sz="4" w:space="0"/>
              <w:right w:val="single" w:color="auto" w:sz="4" w:space="0"/>
            </w:tcBorders>
            <w:vAlign w:val="center"/>
          </w:tcPr>
          <w:p w14:paraId="69C43EAC">
            <w:pPr>
              <w:widowControl/>
              <w:jc w:val="center"/>
              <w:rPr>
                <w:rFonts w:hint="default" w:ascii="Arial" w:hAnsi="Arial" w:cs="Arial"/>
                <w:bCs/>
                <w:kern w:val="0"/>
                <w:szCs w:val="21"/>
                <w:highlight w:val="none"/>
              </w:rPr>
            </w:pPr>
            <w:r>
              <w:rPr>
                <w:rFonts w:hint="default" w:ascii="Arial" w:hAnsi="Arial" w:cs="Arial"/>
                <w:bCs/>
                <w:kern w:val="0"/>
                <w:szCs w:val="21"/>
                <w:highlight w:val="none"/>
              </w:rPr>
              <w:t>万元</w:t>
            </w:r>
          </w:p>
        </w:tc>
        <w:tc>
          <w:tcPr>
            <w:tcW w:w="1630" w:type="dxa"/>
            <w:tcBorders>
              <w:top w:val="nil"/>
              <w:left w:val="nil"/>
              <w:bottom w:val="single" w:color="auto" w:sz="4" w:space="0"/>
              <w:right w:val="single" w:color="auto" w:sz="4" w:space="0"/>
            </w:tcBorders>
            <w:vAlign w:val="center"/>
          </w:tcPr>
          <w:p w14:paraId="6886A433">
            <w:pPr>
              <w:widowControl/>
              <w:jc w:val="center"/>
              <w:rPr>
                <w:rFonts w:hint="default" w:ascii="Arial" w:hAnsi="Arial" w:cs="Arial"/>
                <w:bCs/>
                <w:kern w:val="0"/>
                <w:szCs w:val="21"/>
                <w:highlight w:val="none"/>
              </w:rPr>
            </w:pPr>
            <w:r>
              <w:rPr>
                <w:rFonts w:hint="default" w:ascii="Arial" w:hAnsi="Arial" w:cs="Arial"/>
                <w:bCs/>
                <w:kern w:val="0"/>
                <w:szCs w:val="21"/>
                <w:highlight w:val="none"/>
              </w:rPr>
              <w:t>2000≤Y＜40000</w:t>
            </w:r>
          </w:p>
        </w:tc>
        <w:tc>
          <w:tcPr>
            <w:tcW w:w="1358" w:type="dxa"/>
            <w:tcBorders>
              <w:top w:val="nil"/>
              <w:left w:val="nil"/>
              <w:bottom w:val="single" w:color="auto" w:sz="4" w:space="0"/>
              <w:right w:val="single" w:color="auto" w:sz="4" w:space="0"/>
            </w:tcBorders>
            <w:vAlign w:val="center"/>
          </w:tcPr>
          <w:p w14:paraId="0278F855">
            <w:pPr>
              <w:widowControl/>
              <w:jc w:val="center"/>
              <w:rPr>
                <w:rFonts w:hint="default" w:ascii="Arial" w:hAnsi="Arial" w:cs="Arial"/>
                <w:bCs/>
                <w:kern w:val="0"/>
                <w:szCs w:val="21"/>
                <w:highlight w:val="none"/>
              </w:rPr>
            </w:pPr>
            <w:r>
              <w:rPr>
                <w:rFonts w:hint="default" w:ascii="Arial" w:hAnsi="Arial" w:cs="Arial"/>
                <w:bCs/>
                <w:kern w:val="0"/>
                <w:szCs w:val="21"/>
                <w:highlight w:val="none"/>
              </w:rPr>
              <w:t>300≤Y＜2000</w:t>
            </w:r>
          </w:p>
        </w:tc>
        <w:tc>
          <w:tcPr>
            <w:tcW w:w="1023" w:type="dxa"/>
            <w:tcBorders>
              <w:top w:val="nil"/>
              <w:left w:val="nil"/>
              <w:bottom w:val="single" w:color="auto" w:sz="4" w:space="0"/>
              <w:right w:val="single" w:color="auto" w:sz="4" w:space="0"/>
            </w:tcBorders>
            <w:vAlign w:val="center"/>
          </w:tcPr>
          <w:p w14:paraId="67DEF2F6">
            <w:pPr>
              <w:widowControl/>
              <w:jc w:val="center"/>
              <w:rPr>
                <w:rFonts w:hint="default" w:ascii="Arial" w:hAnsi="Arial" w:cs="Arial"/>
                <w:bCs/>
                <w:kern w:val="0"/>
                <w:szCs w:val="21"/>
                <w:highlight w:val="none"/>
              </w:rPr>
            </w:pPr>
            <w:r>
              <w:rPr>
                <w:rFonts w:hint="default" w:ascii="Arial" w:hAnsi="Arial" w:cs="Arial"/>
                <w:bCs/>
                <w:kern w:val="0"/>
                <w:szCs w:val="21"/>
                <w:highlight w:val="none"/>
              </w:rPr>
              <w:t>Y＜300</w:t>
            </w:r>
          </w:p>
        </w:tc>
      </w:tr>
      <w:tr w14:paraId="19815E8D">
        <w:tblPrEx>
          <w:tblCellMar>
            <w:top w:w="0" w:type="dxa"/>
            <w:left w:w="108" w:type="dxa"/>
            <w:bottom w:w="0" w:type="dxa"/>
            <w:right w:w="108" w:type="dxa"/>
          </w:tblCellMar>
        </w:tblPrEx>
        <w:trPr>
          <w:trHeight w:val="90" w:hRule="atLeast"/>
          <w:jc w:val="center"/>
        </w:trPr>
        <w:tc>
          <w:tcPr>
            <w:tcW w:w="1505" w:type="dxa"/>
            <w:vMerge w:val="restart"/>
            <w:tcBorders>
              <w:top w:val="nil"/>
              <w:left w:val="single" w:color="auto" w:sz="4" w:space="0"/>
              <w:bottom w:val="single" w:color="auto" w:sz="4" w:space="0"/>
              <w:right w:val="single" w:color="auto" w:sz="4" w:space="0"/>
            </w:tcBorders>
            <w:vAlign w:val="center"/>
          </w:tcPr>
          <w:p w14:paraId="15853812">
            <w:pPr>
              <w:widowControl/>
              <w:jc w:val="center"/>
              <w:rPr>
                <w:rFonts w:hint="default" w:ascii="Arial" w:hAnsi="Arial" w:cs="Arial"/>
                <w:bCs/>
                <w:kern w:val="0"/>
                <w:szCs w:val="21"/>
                <w:highlight w:val="none"/>
              </w:rPr>
            </w:pPr>
            <w:r>
              <w:rPr>
                <w:rFonts w:hint="default" w:ascii="Arial" w:hAnsi="Arial" w:cs="Arial"/>
                <w:bCs/>
                <w:kern w:val="0"/>
                <w:szCs w:val="21"/>
                <w:highlight w:val="none"/>
              </w:rPr>
              <w:t>建筑业</w:t>
            </w:r>
          </w:p>
        </w:tc>
        <w:tc>
          <w:tcPr>
            <w:tcW w:w="1702" w:type="dxa"/>
            <w:tcBorders>
              <w:top w:val="nil"/>
              <w:left w:val="nil"/>
              <w:bottom w:val="single" w:color="auto" w:sz="4" w:space="0"/>
              <w:right w:val="single" w:color="auto" w:sz="4" w:space="0"/>
            </w:tcBorders>
            <w:vAlign w:val="center"/>
          </w:tcPr>
          <w:p w14:paraId="234D6B0F">
            <w:pPr>
              <w:widowControl/>
              <w:jc w:val="center"/>
              <w:rPr>
                <w:rFonts w:hint="default" w:ascii="Arial" w:hAnsi="Arial" w:cs="Arial"/>
                <w:bCs/>
                <w:kern w:val="0"/>
                <w:szCs w:val="21"/>
                <w:highlight w:val="none"/>
              </w:rPr>
            </w:pPr>
            <w:r>
              <w:rPr>
                <w:rFonts w:hint="default" w:ascii="Arial" w:hAnsi="Arial" w:cs="Arial"/>
                <w:bCs/>
                <w:kern w:val="0"/>
                <w:szCs w:val="21"/>
                <w:highlight w:val="none"/>
              </w:rPr>
              <w:t>营业收入（Y）</w:t>
            </w:r>
          </w:p>
        </w:tc>
        <w:tc>
          <w:tcPr>
            <w:tcW w:w="1079" w:type="dxa"/>
            <w:tcBorders>
              <w:top w:val="nil"/>
              <w:left w:val="nil"/>
              <w:bottom w:val="single" w:color="auto" w:sz="4" w:space="0"/>
              <w:right w:val="single" w:color="auto" w:sz="4" w:space="0"/>
            </w:tcBorders>
            <w:vAlign w:val="center"/>
          </w:tcPr>
          <w:p w14:paraId="282BD307">
            <w:pPr>
              <w:widowControl/>
              <w:jc w:val="center"/>
              <w:rPr>
                <w:rFonts w:hint="default" w:ascii="Arial" w:hAnsi="Arial" w:cs="Arial"/>
                <w:bCs/>
                <w:kern w:val="0"/>
                <w:szCs w:val="21"/>
                <w:highlight w:val="none"/>
              </w:rPr>
            </w:pPr>
            <w:r>
              <w:rPr>
                <w:rFonts w:hint="default" w:ascii="Arial" w:hAnsi="Arial" w:cs="Arial"/>
                <w:bCs/>
                <w:kern w:val="0"/>
                <w:szCs w:val="21"/>
                <w:highlight w:val="none"/>
              </w:rPr>
              <w:t>万元</w:t>
            </w:r>
          </w:p>
        </w:tc>
        <w:tc>
          <w:tcPr>
            <w:tcW w:w="1630" w:type="dxa"/>
            <w:tcBorders>
              <w:top w:val="nil"/>
              <w:left w:val="nil"/>
              <w:bottom w:val="single" w:color="auto" w:sz="4" w:space="0"/>
              <w:right w:val="single" w:color="auto" w:sz="4" w:space="0"/>
            </w:tcBorders>
            <w:vAlign w:val="center"/>
          </w:tcPr>
          <w:p w14:paraId="0ED5BAE8">
            <w:pPr>
              <w:widowControl/>
              <w:jc w:val="center"/>
              <w:rPr>
                <w:rFonts w:hint="default" w:ascii="Arial" w:hAnsi="Arial" w:cs="Arial"/>
                <w:bCs/>
                <w:kern w:val="0"/>
                <w:szCs w:val="21"/>
                <w:highlight w:val="none"/>
              </w:rPr>
            </w:pPr>
            <w:r>
              <w:rPr>
                <w:rFonts w:hint="default" w:ascii="Arial" w:hAnsi="Arial" w:cs="Arial"/>
                <w:bCs/>
                <w:kern w:val="0"/>
                <w:szCs w:val="21"/>
                <w:highlight w:val="none"/>
              </w:rPr>
              <w:t>6000≤Y＜80000</w:t>
            </w:r>
          </w:p>
        </w:tc>
        <w:tc>
          <w:tcPr>
            <w:tcW w:w="1358" w:type="dxa"/>
            <w:tcBorders>
              <w:top w:val="nil"/>
              <w:left w:val="nil"/>
              <w:bottom w:val="single" w:color="auto" w:sz="4" w:space="0"/>
              <w:right w:val="single" w:color="auto" w:sz="4" w:space="0"/>
            </w:tcBorders>
            <w:vAlign w:val="center"/>
          </w:tcPr>
          <w:p w14:paraId="3C29BD3E">
            <w:pPr>
              <w:widowControl/>
              <w:jc w:val="center"/>
              <w:rPr>
                <w:rFonts w:hint="default" w:ascii="Arial" w:hAnsi="Arial" w:cs="Arial"/>
                <w:bCs/>
                <w:kern w:val="0"/>
                <w:szCs w:val="21"/>
                <w:highlight w:val="none"/>
              </w:rPr>
            </w:pPr>
            <w:r>
              <w:rPr>
                <w:rFonts w:hint="default" w:ascii="Arial" w:hAnsi="Arial" w:cs="Arial"/>
                <w:bCs/>
                <w:kern w:val="0"/>
                <w:szCs w:val="21"/>
                <w:highlight w:val="none"/>
              </w:rPr>
              <w:t>300≤Y＜6000</w:t>
            </w:r>
          </w:p>
        </w:tc>
        <w:tc>
          <w:tcPr>
            <w:tcW w:w="1023" w:type="dxa"/>
            <w:tcBorders>
              <w:top w:val="nil"/>
              <w:left w:val="nil"/>
              <w:bottom w:val="single" w:color="auto" w:sz="4" w:space="0"/>
              <w:right w:val="single" w:color="auto" w:sz="4" w:space="0"/>
            </w:tcBorders>
            <w:vAlign w:val="center"/>
          </w:tcPr>
          <w:p w14:paraId="66216956">
            <w:pPr>
              <w:widowControl/>
              <w:jc w:val="center"/>
              <w:rPr>
                <w:rFonts w:hint="default" w:ascii="Arial" w:hAnsi="Arial" w:cs="Arial"/>
                <w:bCs/>
                <w:kern w:val="0"/>
                <w:szCs w:val="21"/>
                <w:highlight w:val="none"/>
              </w:rPr>
            </w:pPr>
            <w:r>
              <w:rPr>
                <w:rFonts w:hint="default" w:ascii="Arial" w:hAnsi="Arial" w:cs="Arial"/>
                <w:bCs/>
                <w:kern w:val="0"/>
                <w:szCs w:val="21"/>
                <w:highlight w:val="none"/>
              </w:rPr>
              <w:t>Y＜300</w:t>
            </w:r>
          </w:p>
        </w:tc>
      </w:tr>
      <w:tr w14:paraId="6782EEFB">
        <w:tblPrEx>
          <w:tblCellMar>
            <w:top w:w="0" w:type="dxa"/>
            <w:left w:w="108" w:type="dxa"/>
            <w:bottom w:w="0" w:type="dxa"/>
            <w:right w:w="108" w:type="dxa"/>
          </w:tblCellMar>
        </w:tblPrEx>
        <w:trPr>
          <w:trHeight w:val="90" w:hRule="atLeast"/>
          <w:jc w:val="center"/>
        </w:trPr>
        <w:tc>
          <w:tcPr>
            <w:tcW w:w="1505" w:type="dxa"/>
            <w:vMerge w:val="continue"/>
            <w:tcBorders>
              <w:top w:val="nil"/>
              <w:left w:val="single" w:color="auto" w:sz="4" w:space="0"/>
              <w:bottom w:val="single" w:color="auto" w:sz="4" w:space="0"/>
              <w:right w:val="single" w:color="auto" w:sz="4" w:space="0"/>
            </w:tcBorders>
            <w:vAlign w:val="center"/>
          </w:tcPr>
          <w:p w14:paraId="6E5D69F0">
            <w:pPr>
              <w:widowControl/>
              <w:jc w:val="center"/>
              <w:rPr>
                <w:rFonts w:hint="default" w:ascii="Arial" w:hAnsi="Arial" w:cs="Arial"/>
                <w:bCs/>
                <w:kern w:val="0"/>
                <w:szCs w:val="21"/>
                <w:highlight w:val="none"/>
              </w:rPr>
            </w:pPr>
          </w:p>
        </w:tc>
        <w:tc>
          <w:tcPr>
            <w:tcW w:w="1702" w:type="dxa"/>
            <w:tcBorders>
              <w:top w:val="nil"/>
              <w:left w:val="nil"/>
              <w:bottom w:val="single" w:color="auto" w:sz="4" w:space="0"/>
              <w:right w:val="single" w:color="auto" w:sz="4" w:space="0"/>
            </w:tcBorders>
            <w:vAlign w:val="center"/>
          </w:tcPr>
          <w:p w14:paraId="15B72C51">
            <w:pPr>
              <w:widowControl/>
              <w:jc w:val="center"/>
              <w:rPr>
                <w:rFonts w:hint="default" w:ascii="Arial" w:hAnsi="Arial" w:cs="Arial"/>
                <w:bCs/>
                <w:kern w:val="0"/>
                <w:szCs w:val="21"/>
                <w:highlight w:val="none"/>
              </w:rPr>
            </w:pPr>
            <w:r>
              <w:rPr>
                <w:rFonts w:hint="default" w:ascii="Arial" w:hAnsi="Arial" w:cs="Arial"/>
                <w:bCs/>
                <w:kern w:val="0"/>
                <w:szCs w:val="21"/>
                <w:highlight w:val="none"/>
              </w:rPr>
              <w:t>资产总额（Z）</w:t>
            </w:r>
          </w:p>
        </w:tc>
        <w:tc>
          <w:tcPr>
            <w:tcW w:w="1079" w:type="dxa"/>
            <w:tcBorders>
              <w:top w:val="nil"/>
              <w:left w:val="nil"/>
              <w:bottom w:val="single" w:color="auto" w:sz="4" w:space="0"/>
              <w:right w:val="single" w:color="auto" w:sz="4" w:space="0"/>
            </w:tcBorders>
            <w:vAlign w:val="center"/>
          </w:tcPr>
          <w:p w14:paraId="4CF33FD6">
            <w:pPr>
              <w:widowControl/>
              <w:jc w:val="center"/>
              <w:rPr>
                <w:rFonts w:hint="default" w:ascii="Arial" w:hAnsi="Arial" w:cs="Arial"/>
                <w:bCs/>
                <w:kern w:val="0"/>
                <w:szCs w:val="21"/>
                <w:highlight w:val="none"/>
              </w:rPr>
            </w:pPr>
            <w:r>
              <w:rPr>
                <w:rFonts w:hint="default" w:ascii="Arial" w:hAnsi="Arial" w:cs="Arial"/>
                <w:bCs/>
                <w:kern w:val="0"/>
                <w:szCs w:val="21"/>
                <w:highlight w:val="none"/>
              </w:rPr>
              <w:t>万元</w:t>
            </w:r>
          </w:p>
        </w:tc>
        <w:tc>
          <w:tcPr>
            <w:tcW w:w="1630" w:type="dxa"/>
            <w:tcBorders>
              <w:top w:val="nil"/>
              <w:left w:val="nil"/>
              <w:bottom w:val="single" w:color="auto" w:sz="4" w:space="0"/>
              <w:right w:val="single" w:color="auto" w:sz="4" w:space="0"/>
            </w:tcBorders>
            <w:vAlign w:val="center"/>
          </w:tcPr>
          <w:p w14:paraId="0F41F7CC">
            <w:pPr>
              <w:widowControl/>
              <w:jc w:val="center"/>
              <w:rPr>
                <w:rFonts w:hint="default" w:ascii="Arial" w:hAnsi="Arial" w:cs="Arial"/>
                <w:bCs/>
                <w:kern w:val="0"/>
                <w:szCs w:val="21"/>
                <w:highlight w:val="none"/>
              </w:rPr>
            </w:pPr>
            <w:r>
              <w:rPr>
                <w:rFonts w:hint="default" w:ascii="Arial" w:hAnsi="Arial" w:cs="Arial"/>
                <w:bCs/>
                <w:kern w:val="0"/>
                <w:szCs w:val="21"/>
                <w:highlight w:val="none"/>
              </w:rPr>
              <w:t>5000≤Z＜80000</w:t>
            </w:r>
          </w:p>
        </w:tc>
        <w:tc>
          <w:tcPr>
            <w:tcW w:w="1358" w:type="dxa"/>
            <w:tcBorders>
              <w:top w:val="nil"/>
              <w:left w:val="nil"/>
              <w:bottom w:val="single" w:color="auto" w:sz="4" w:space="0"/>
              <w:right w:val="single" w:color="auto" w:sz="4" w:space="0"/>
            </w:tcBorders>
            <w:vAlign w:val="center"/>
          </w:tcPr>
          <w:p w14:paraId="5606D7D4">
            <w:pPr>
              <w:widowControl/>
              <w:jc w:val="center"/>
              <w:rPr>
                <w:rFonts w:hint="default" w:ascii="Arial" w:hAnsi="Arial" w:cs="Arial"/>
                <w:bCs/>
                <w:kern w:val="0"/>
                <w:szCs w:val="21"/>
                <w:highlight w:val="none"/>
              </w:rPr>
            </w:pPr>
            <w:r>
              <w:rPr>
                <w:rFonts w:hint="default" w:ascii="Arial" w:hAnsi="Arial" w:cs="Arial"/>
                <w:bCs/>
                <w:kern w:val="0"/>
                <w:szCs w:val="21"/>
                <w:highlight w:val="none"/>
              </w:rPr>
              <w:t>300≤Z＜5000</w:t>
            </w:r>
          </w:p>
        </w:tc>
        <w:tc>
          <w:tcPr>
            <w:tcW w:w="1023" w:type="dxa"/>
            <w:tcBorders>
              <w:top w:val="nil"/>
              <w:left w:val="nil"/>
              <w:bottom w:val="single" w:color="auto" w:sz="4" w:space="0"/>
              <w:right w:val="single" w:color="auto" w:sz="4" w:space="0"/>
            </w:tcBorders>
            <w:vAlign w:val="center"/>
          </w:tcPr>
          <w:p w14:paraId="3FBF66FB">
            <w:pPr>
              <w:widowControl/>
              <w:jc w:val="center"/>
              <w:rPr>
                <w:rFonts w:hint="default" w:ascii="Arial" w:hAnsi="Arial" w:cs="Arial"/>
                <w:bCs/>
                <w:kern w:val="0"/>
                <w:szCs w:val="21"/>
                <w:highlight w:val="none"/>
              </w:rPr>
            </w:pPr>
            <w:r>
              <w:rPr>
                <w:rFonts w:hint="default" w:ascii="Arial" w:hAnsi="Arial" w:cs="Arial"/>
                <w:bCs/>
                <w:kern w:val="0"/>
                <w:szCs w:val="21"/>
                <w:highlight w:val="none"/>
              </w:rPr>
              <w:t>Z＜300</w:t>
            </w:r>
          </w:p>
        </w:tc>
      </w:tr>
      <w:tr w14:paraId="21003251">
        <w:tblPrEx>
          <w:tblCellMar>
            <w:top w:w="0" w:type="dxa"/>
            <w:left w:w="108" w:type="dxa"/>
            <w:bottom w:w="0" w:type="dxa"/>
            <w:right w:w="108" w:type="dxa"/>
          </w:tblCellMar>
        </w:tblPrEx>
        <w:trPr>
          <w:trHeight w:val="90" w:hRule="atLeast"/>
          <w:jc w:val="center"/>
        </w:trPr>
        <w:tc>
          <w:tcPr>
            <w:tcW w:w="1505" w:type="dxa"/>
            <w:vMerge w:val="restart"/>
            <w:tcBorders>
              <w:top w:val="nil"/>
              <w:left w:val="single" w:color="auto" w:sz="4" w:space="0"/>
              <w:bottom w:val="single" w:color="auto" w:sz="4" w:space="0"/>
              <w:right w:val="single" w:color="auto" w:sz="4" w:space="0"/>
            </w:tcBorders>
            <w:vAlign w:val="center"/>
          </w:tcPr>
          <w:p w14:paraId="0126B24B">
            <w:pPr>
              <w:widowControl/>
              <w:jc w:val="center"/>
              <w:rPr>
                <w:rFonts w:hint="default" w:ascii="Arial" w:hAnsi="Arial" w:cs="Arial"/>
                <w:bCs/>
                <w:kern w:val="0"/>
                <w:szCs w:val="21"/>
                <w:highlight w:val="none"/>
              </w:rPr>
            </w:pPr>
            <w:r>
              <w:rPr>
                <w:rFonts w:hint="default" w:ascii="Arial" w:hAnsi="Arial" w:cs="Arial"/>
                <w:bCs/>
                <w:kern w:val="0"/>
                <w:szCs w:val="21"/>
                <w:highlight w:val="none"/>
              </w:rPr>
              <w:t>批发业</w:t>
            </w:r>
          </w:p>
        </w:tc>
        <w:tc>
          <w:tcPr>
            <w:tcW w:w="1702" w:type="dxa"/>
            <w:tcBorders>
              <w:top w:val="nil"/>
              <w:left w:val="nil"/>
              <w:bottom w:val="single" w:color="auto" w:sz="4" w:space="0"/>
              <w:right w:val="single" w:color="auto" w:sz="4" w:space="0"/>
            </w:tcBorders>
            <w:vAlign w:val="center"/>
          </w:tcPr>
          <w:p w14:paraId="377210BF">
            <w:pPr>
              <w:widowControl/>
              <w:jc w:val="center"/>
              <w:rPr>
                <w:rFonts w:hint="default" w:ascii="Arial" w:hAnsi="Arial" w:cs="Arial"/>
                <w:bCs/>
                <w:kern w:val="0"/>
                <w:szCs w:val="21"/>
                <w:highlight w:val="none"/>
              </w:rPr>
            </w:pPr>
            <w:r>
              <w:rPr>
                <w:rFonts w:hint="default" w:ascii="Arial" w:hAnsi="Arial" w:cs="Arial"/>
                <w:bCs/>
                <w:kern w:val="0"/>
                <w:szCs w:val="21"/>
                <w:highlight w:val="none"/>
              </w:rPr>
              <w:t>从业人员（X）</w:t>
            </w:r>
          </w:p>
        </w:tc>
        <w:tc>
          <w:tcPr>
            <w:tcW w:w="1079" w:type="dxa"/>
            <w:tcBorders>
              <w:top w:val="nil"/>
              <w:left w:val="nil"/>
              <w:bottom w:val="single" w:color="auto" w:sz="4" w:space="0"/>
              <w:right w:val="single" w:color="auto" w:sz="4" w:space="0"/>
            </w:tcBorders>
            <w:vAlign w:val="center"/>
          </w:tcPr>
          <w:p w14:paraId="682105CE">
            <w:pPr>
              <w:widowControl/>
              <w:jc w:val="center"/>
              <w:rPr>
                <w:rFonts w:hint="default" w:ascii="Arial" w:hAnsi="Arial" w:cs="Arial"/>
                <w:bCs/>
                <w:kern w:val="0"/>
                <w:szCs w:val="21"/>
                <w:highlight w:val="none"/>
              </w:rPr>
            </w:pPr>
            <w:r>
              <w:rPr>
                <w:rFonts w:hint="default" w:ascii="Arial" w:hAnsi="Arial" w:cs="Arial"/>
                <w:bCs/>
                <w:kern w:val="0"/>
                <w:szCs w:val="21"/>
                <w:highlight w:val="none"/>
              </w:rPr>
              <w:t>人</w:t>
            </w:r>
          </w:p>
        </w:tc>
        <w:tc>
          <w:tcPr>
            <w:tcW w:w="1630" w:type="dxa"/>
            <w:tcBorders>
              <w:top w:val="nil"/>
              <w:left w:val="nil"/>
              <w:bottom w:val="single" w:color="auto" w:sz="4" w:space="0"/>
              <w:right w:val="single" w:color="auto" w:sz="4" w:space="0"/>
            </w:tcBorders>
            <w:vAlign w:val="center"/>
          </w:tcPr>
          <w:p w14:paraId="6BD2E469">
            <w:pPr>
              <w:widowControl/>
              <w:jc w:val="center"/>
              <w:rPr>
                <w:rFonts w:hint="default" w:ascii="Arial" w:hAnsi="Arial" w:cs="Arial"/>
                <w:bCs/>
                <w:kern w:val="0"/>
                <w:szCs w:val="21"/>
                <w:highlight w:val="none"/>
              </w:rPr>
            </w:pPr>
            <w:r>
              <w:rPr>
                <w:rFonts w:hint="default" w:ascii="Arial" w:hAnsi="Arial" w:cs="Arial"/>
                <w:bCs/>
                <w:kern w:val="0"/>
                <w:szCs w:val="21"/>
                <w:highlight w:val="none"/>
              </w:rPr>
              <w:t>20≤X＜200</w:t>
            </w:r>
          </w:p>
        </w:tc>
        <w:tc>
          <w:tcPr>
            <w:tcW w:w="1358" w:type="dxa"/>
            <w:tcBorders>
              <w:top w:val="nil"/>
              <w:left w:val="nil"/>
              <w:bottom w:val="single" w:color="auto" w:sz="4" w:space="0"/>
              <w:right w:val="single" w:color="auto" w:sz="4" w:space="0"/>
            </w:tcBorders>
            <w:vAlign w:val="center"/>
          </w:tcPr>
          <w:p w14:paraId="1F3A048A">
            <w:pPr>
              <w:widowControl/>
              <w:jc w:val="center"/>
              <w:rPr>
                <w:rFonts w:hint="default" w:ascii="Arial" w:hAnsi="Arial" w:cs="Arial"/>
                <w:bCs/>
                <w:kern w:val="0"/>
                <w:szCs w:val="21"/>
                <w:highlight w:val="none"/>
              </w:rPr>
            </w:pPr>
            <w:r>
              <w:rPr>
                <w:rFonts w:hint="default" w:ascii="Arial" w:hAnsi="Arial" w:cs="Arial"/>
                <w:bCs/>
                <w:kern w:val="0"/>
                <w:szCs w:val="21"/>
                <w:highlight w:val="none"/>
              </w:rPr>
              <w:t>5≤X＜20</w:t>
            </w:r>
          </w:p>
        </w:tc>
        <w:tc>
          <w:tcPr>
            <w:tcW w:w="1023" w:type="dxa"/>
            <w:tcBorders>
              <w:top w:val="nil"/>
              <w:left w:val="nil"/>
              <w:bottom w:val="single" w:color="auto" w:sz="4" w:space="0"/>
              <w:right w:val="single" w:color="auto" w:sz="4" w:space="0"/>
            </w:tcBorders>
            <w:vAlign w:val="center"/>
          </w:tcPr>
          <w:p w14:paraId="7BDB6FD0">
            <w:pPr>
              <w:widowControl/>
              <w:jc w:val="center"/>
              <w:rPr>
                <w:rFonts w:hint="default" w:ascii="Arial" w:hAnsi="Arial" w:cs="Arial"/>
                <w:bCs/>
                <w:kern w:val="0"/>
                <w:szCs w:val="21"/>
                <w:highlight w:val="none"/>
              </w:rPr>
            </w:pPr>
            <w:r>
              <w:rPr>
                <w:rFonts w:hint="default" w:ascii="Arial" w:hAnsi="Arial" w:cs="Arial"/>
                <w:bCs/>
                <w:kern w:val="0"/>
                <w:szCs w:val="21"/>
                <w:highlight w:val="none"/>
              </w:rPr>
              <w:t>X＜5</w:t>
            </w:r>
          </w:p>
        </w:tc>
      </w:tr>
      <w:tr w14:paraId="6334CFB2">
        <w:tblPrEx>
          <w:tblCellMar>
            <w:top w:w="0" w:type="dxa"/>
            <w:left w:w="108" w:type="dxa"/>
            <w:bottom w:w="0" w:type="dxa"/>
            <w:right w:w="108" w:type="dxa"/>
          </w:tblCellMar>
        </w:tblPrEx>
        <w:trPr>
          <w:trHeight w:val="90" w:hRule="atLeast"/>
          <w:jc w:val="center"/>
        </w:trPr>
        <w:tc>
          <w:tcPr>
            <w:tcW w:w="1505" w:type="dxa"/>
            <w:vMerge w:val="continue"/>
            <w:tcBorders>
              <w:top w:val="nil"/>
              <w:left w:val="single" w:color="auto" w:sz="4" w:space="0"/>
              <w:bottom w:val="single" w:color="auto" w:sz="4" w:space="0"/>
              <w:right w:val="single" w:color="auto" w:sz="4" w:space="0"/>
            </w:tcBorders>
            <w:vAlign w:val="center"/>
          </w:tcPr>
          <w:p w14:paraId="72AEF1CD">
            <w:pPr>
              <w:widowControl/>
              <w:jc w:val="center"/>
              <w:rPr>
                <w:rFonts w:hint="default" w:ascii="Arial" w:hAnsi="Arial" w:cs="Arial"/>
                <w:bCs/>
                <w:kern w:val="0"/>
                <w:szCs w:val="21"/>
                <w:highlight w:val="none"/>
              </w:rPr>
            </w:pPr>
          </w:p>
        </w:tc>
        <w:tc>
          <w:tcPr>
            <w:tcW w:w="1702" w:type="dxa"/>
            <w:tcBorders>
              <w:top w:val="nil"/>
              <w:left w:val="nil"/>
              <w:bottom w:val="single" w:color="auto" w:sz="4" w:space="0"/>
              <w:right w:val="single" w:color="auto" w:sz="4" w:space="0"/>
            </w:tcBorders>
            <w:vAlign w:val="center"/>
          </w:tcPr>
          <w:p w14:paraId="23AED2E2">
            <w:pPr>
              <w:widowControl/>
              <w:jc w:val="center"/>
              <w:rPr>
                <w:rFonts w:hint="default" w:ascii="Arial" w:hAnsi="Arial" w:cs="Arial"/>
                <w:bCs/>
                <w:kern w:val="0"/>
                <w:szCs w:val="21"/>
                <w:highlight w:val="none"/>
              </w:rPr>
            </w:pPr>
            <w:r>
              <w:rPr>
                <w:rFonts w:hint="default" w:ascii="Arial" w:hAnsi="Arial" w:cs="Arial"/>
                <w:bCs/>
                <w:kern w:val="0"/>
                <w:szCs w:val="21"/>
                <w:highlight w:val="none"/>
              </w:rPr>
              <w:t>营业收入（Y）</w:t>
            </w:r>
          </w:p>
        </w:tc>
        <w:tc>
          <w:tcPr>
            <w:tcW w:w="1079" w:type="dxa"/>
            <w:tcBorders>
              <w:top w:val="nil"/>
              <w:left w:val="nil"/>
              <w:bottom w:val="single" w:color="auto" w:sz="4" w:space="0"/>
              <w:right w:val="single" w:color="auto" w:sz="4" w:space="0"/>
            </w:tcBorders>
            <w:vAlign w:val="center"/>
          </w:tcPr>
          <w:p w14:paraId="408F6E58">
            <w:pPr>
              <w:widowControl/>
              <w:jc w:val="center"/>
              <w:rPr>
                <w:rFonts w:hint="default" w:ascii="Arial" w:hAnsi="Arial" w:cs="Arial"/>
                <w:bCs/>
                <w:kern w:val="0"/>
                <w:szCs w:val="21"/>
                <w:highlight w:val="none"/>
              </w:rPr>
            </w:pPr>
            <w:r>
              <w:rPr>
                <w:rFonts w:hint="default" w:ascii="Arial" w:hAnsi="Arial" w:cs="Arial"/>
                <w:bCs/>
                <w:kern w:val="0"/>
                <w:szCs w:val="21"/>
                <w:highlight w:val="none"/>
              </w:rPr>
              <w:t>万元</w:t>
            </w:r>
          </w:p>
        </w:tc>
        <w:tc>
          <w:tcPr>
            <w:tcW w:w="1630" w:type="dxa"/>
            <w:tcBorders>
              <w:top w:val="nil"/>
              <w:left w:val="nil"/>
              <w:bottom w:val="single" w:color="auto" w:sz="4" w:space="0"/>
              <w:right w:val="single" w:color="auto" w:sz="4" w:space="0"/>
            </w:tcBorders>
            <w:vAlign w:val="center"/>
          </w:tcPr>
          <w:p w14:paraId="315249F7">
            <w:pPr>
              <w:widowControl/>
              <w:jc w:val="center"/>
              <w:rPr>
                <w:rFonts w:hint="default" w:ascii="Arial" w:hAnsi="Arial" w:cs="Arial"/>
                <w:bCs/>
                <w:kern w:val="0"/>
                <w:szCs w:val="21"/>
                <w:highlight w:val="none"/>
              </w:rPr>
            </w:pPr>
            <w:r>
              <w:rPr>
                <w:rFonts w:hint="default" w:ascii="Arial" w:hAnsi="Arial" w:cs="Arial"/>
                <w:bCs/>
                <w:kern w:val="0"/>
                <w:szCs w:val="21"/>
                <w:highlight w:val="none"/>
              </w:rPr>
              <w:t>5000≤Y＜40000</w:t>
            </w:r>
          </w:p>
        </w:tc>
        <w:tc>
          <w:tcPr>
            <w:tcW w:w="1358" w:type="dxa"/>
            <w:tcBorders>
              <w:top w:val="nil"/>
              <w:left w:val="nil"/>
              <w:bottom w:val="single" w:color="auto" w:sz="4" w:space="0"/>
              <w:right w:val="single" w:color="auto" w:sz="4" w:space="0"/>
            </w:tcBorders>
            <w:vAlign w:val="center"/>
          </w:tcPr>
          <w:p w14:paraId="37C40FB6">
            <w:pPr>
              <w:widowControl/>
              <w:jc w:val="center"/>
              <w:rPr>
                <w:rFonts w:hint="default" w:ascii="Arial" w:hAnsi="Arial" w:cs="Arial"/>
                <w:bCs/>
                <w:kern w:val="0"/>
                <w:szCs w:val="21"/>
                <w:highlight w:val="none"/>
              </w:rPr>
            </w:pPr>
            <w:r>
              <w:rPr>
                <w:rFonts w:hint="default" w:ascii="Arial" w:hAnsi="Arial" w:cs="Arial"/>
                <w:bCs/>
                <w:kern w:val="0"/>
                <w:szCs w:val="21"/>
                <w:highlight w:val="none"/>
              </w:rPr>
              <w:t>1000≤Y＜5000</w:t>
            </w:r>
          </w:p>
        </w:tc>
        <w:tc>
          <w:tcPr>
            <w:tcW w:w="1023" w:type="dxa"/>
            <w:tcBorders>
              <w:top w:val="nil"/>
              <w:left w:val="nil"/>
              <w:bottom w:val="single" w:color="auto" w:sz="4" w:space="0"/>
              <w:right w:val="single" w:color="auto" w:sz="4" w:space="0"/>
            </w:tcBorders>
            <w:vAlign w:val="center"/>
          </w:tcPr>
          <w:p w14:paraId="28ADB9B7">
            <w:pPr>
              <w:widowControl/>
              <w:jc w:val="center"/>
              <w:rPr>
                <w:rFonts w:hint="default" w:ascii="Arial" w:hAnsi="Arial" w:cs="Arial"/>
                <w:bCs/>
                <w:kern w:val="0"/>
                <w:szCs w:val="21"/>
                <w:highlight w:val="none"/>
              </w:rPr>
            </w:pPr>
            <w:r>
              <w:rPr>
                <w:rFonts w:hint="default" w:ascii="Arial" w:hAnsi="Arial" w:cs="Arial"/>
                <w:bCs/>
                <w:kern w:val="0"/>
                <w:szCs w:val="21"/>
                <w:highlight w:val="none"/>
              </w:rPr>
              <w:t>Y＜1000</w:t>
            </w:r>
          </w:p>
        </w:tc>
      </w:tr>
      <w:tr w14:paraId="592DD6D2">
        <w:tblPrEx>
          <w:tblCellMar>
            <w:top w:w="0" w:type="dxa"/>
            <w:left w:w="108" w:type="dxa"/>
            <w:bottom w:w="0" w:type="dxa"/>
            <w:right w:w="108" w:type="dxa"/>
          </w:tblCellMar>
        </w:tblPrEx>
        <w:trPr>
          <w:trHeight w:val="90" w:hRule="atLeast"/>
          <w:jc w:val="center"/>
        </w:trPr>
        <w:tc>
          <w:tcPr>
            <w:tcW w:w="1505" w:type="dxa"/>
            <w:vMerge w:val="restart"/>
            <w:tcBorders>
              <w:top w:val="nil"/>
              <w:left w:val="single" w:color="auto" w:sz="4" w:space="0"/>
              <w:bottom w:val="single" w:color="auto" w:sz="4" w:space="0"/>
              <w:right w:val="single" w:color="auto" w:sz="4" w:space="0"/>
            </w:tcBorders>
            <w:vAlign w:val="center"/>
          </w:tcPr>
          <w:p w14:paraId="6BCB42A6">
            <w:pPr>
              <w:widowControl/>
              <w:jc w:val="center"/>
              <w:rPr>
                <w:rFonts w:hint="default" w:ascii="Arial" w:hAnsi="Arial" w:cs="Arial"/>
                <w:bCs/>
                <w:kern w:val="0"/>
                <w:szCs w:val="21"/>
                <w:highlight w:val="none"/>
              </w:rPr>
            </w:pPr>
            <w:r>
              <w:rPr>
                <w:rFonts w:hint="default" w:ascii="Arial" w:hAnsi="Arial" w:cs="Arial"/>
                <w:bCs/>
                <w:kern w:val="0"/>
                <w:szCs w:val="21"/>
                <w:highlight w:val="none"/>
              </w:rPr>
              <w:t>零售业</w:t>
            </w:r>
          </w:p>
        </w:tc>
        <w:tc>
          <w:tcPr>
            <w:tcW w:w="1702" w:type="dxa"/>
            <w:tcBorders>
              <w:top w:val="nil"/>
              <w:left w:val="nil"/>
              <w:bottom w:val="single" w:color="auto" w:sz="4" w:space="0"/>
              <w:right w:val="single" w:color="auto" w:sz="4" w:space="0"/>
            </w:tcBorders>
            <w:vAlign w:val="center"/>
          </w:tcPr>
          <w:p w14:paraId="6DCC8F24">
            <w:pPr>
              <w:widowControl/>
              <w:jc w:val="center"/>
              <w:rPr>
                <w:rFonts w:hint="default" w:ascii="Arial" w:hAnsi="Arial" w:cs="Arial"/>
                <w:bCs/>
                <w:kern w:val="0"/>
                <w:szCs w:val="21"/>
                <w:highlight w:val="none"/>
              </w:rPr>
            </w:pPr>
            <w:r>
              <w:rPr>
                <w:rFonts w:hint="default" w:ascii="Arial" w:hAnsi="Arial" w:cs="Arial"/>
                <w:bCs/>
                <w:kern w:val="0"/>
                <w:szCs w:val="21"/>
                <w:highlight w:val="none"/>
              </w:rPr>
              <w:t>从业人员（X）</w:t>
            </w:r>
          </w:p>
        </w:tc>
        <w:tc>
          <w:tcPr>
            <w:tcW w:w="1079" w:type="dxa"/>
            <w:tcBorders>
              <w:top w:val="nil"/>
              <w:left w:val="nil"/>
              <w:bottom w:val="single" w:color="auto" w:sz="4" w:space="0"/>
              <w:right w:val="single" w:color="auto" w:sz="4" w:space="0"/>
            </w:tcBorders>
            <w:vAlign w:val="center"/>
          </w:tcPr>
          <w:p w14:paraId="64453522">
            <w:pPr>
              <w:widowControl/>
              <w:jc w:val="center"/>
              <w:rPr>
                <w:rFonts w:hint="default" w:ascii="Arial" w:hAnsi="Arial" w:cs="Arial"/>
                <w:bCs/>
                <w:kern w:val="0"/>
                <w:szCs w:val="21"/>
                <w:highlight w:val="none"/>
              </w:rPr>
            </w:pPr>
            <w:r>
              <w:rPr>
                <w:rFonts w:hint="default" w:ascii="Arial" w:hAnsi="Arial" w:cs="Arial"/>
                <w:bCs/>
                <w:kern w:val="0"/>
                <w:szCs w:val="21"/>
                <w:highlight w:val="none"/>
              </w:rPr>
              <w:t>人</w:t>
            </w:r>
          </w:p>
        </w:tc>
        <w:tc>
          <w:tcPr>
            <w:tcW w:w="1630" w:type="dxa"/>
            <w:tcBorders>
              <w:top w:val="nil"/>
              <w:left w:val="nil"/>
              <w:bottom w:val="single" w:color="auto" w:sz="4" w:space="0"/>
              <w:right w:val="single" w:color="auto" w:sz="4" w:space="0"/>
            </w:tcBorders>
            <w:vAlign w:val="center"/>
          </w:tcPr>
          <w:p w14:paraId="3125A06C">
            <w:pPr>
              <w:widowControl/>
              <w:jc w:val="center"/>
              <w:rPr>
                <w:rFonts w:hint="default" w:ascii="Arial" w:hAnsi="Arial" w:cs="Arial"/>
                <w:bCs/>
                <w:kern w:val="0"/>
                <w:szCs w:val="21"/>
                <w:highlight w:val="none"/>
              </w:rPr>
            </w:pPr>
            <w:r>
              <w:rPr>
                <w:rFonts w:hint="default" w:ascii="Arial" w:hAnsi="Arial" w:cs="Arial"/>
                <w:bCs/>
                <w:kern w:val="0"/>
                <w:szCs w:val="21"/>
                <w:highlight w:val="none"/>
              </w:rPr>
              <w:t>50≤X＜300</w:t>
            </w:r>
          </w:p>
        </w:tc>
        <w:tc>
          <w:tcPr>
            <w:tcW w:w="1358" w:type="dxa"/>
            <w:tcBorders>
              <w:top w:val="nil"/>
              <w:left w:val="nil"/>
              <w:bottom w:val="single" w:color="auto" w:sz="4" w:space="0"/>
              <w:right w:val="single" w:color="auto" w:sz="4" w:space="0"/>
            </w:tcBorders>
            <w:vAlign w:val="center"/>
          </w:tcPr>
          <w:p w14:paraId="78736C4F">
            <w:pPr>
              <w:widowControl/>
              <w:jc w:val="center"/>
              <w:rPr>
                <w:rFonts w:hint="default" w:ascii="Arial" w:hAnsi="Arial" w:cs="Arial"/>
                <w:bCs/>
                <w:kern w:val="0"/>
                <w:szCs w:val="21"/>
                <w:highlight w:val="none"/>
              </w:rPr>
            </w:pPr>
            <w:r>
              <w:rPr>
                <w:rFonts w:hint="default" w:ascii="Arial" w:hAnsi="Arial" w:cs="Arial"/>
                <w:bCs/>
                <w:kern w:val="0"/>
                <w:szCs w:val="21"/>
                <w:highlight w:val="none"/>
              </w:rPr>
              <w:t>10≤X＜50</w:t>
            </w:r>
          </w:p>
        </w:tc>
        <w:tc>
          <w:tcPr>
            <w:tcW w:w="1023" w:type="dxa"/>
            <w:tcBorders>
              <w:top w:val="nil"/>
              <w:left w:val="nil"/>
              <w:bottom w:val="single" w:color="auto" w:sz="4" w:space="0"/>
              <w:right w:val="single" w:color="auto" w:sz="4" w:space="0"/>
            </w:tcBorders>
            <w:vAlign w:val="center"/>
          </w:tcPr>
          <w:p w14:paraId="07FEDBCC">
            <w:pPr>
              <w:widowControl/>
              <w:jc w:val="center"/>
              <w:rPr>
                <w:rFonts w:hint="default" w:ascii="Arial" w:hAnsi="Arial" w:cs="Arial"/>
                <w:bCs/>
                <w:kern w:val="0"/>
                <w:szCs w:val="21"/>
                <w:highlight w:val="none"/>
              </w:rPr>
            </w:pPr>
            <w:r>
              <w:rPr>
                <w:rFonts w:hint="default" w:ascii="Arial" w:hAnsi="Arial" w:cs="Arial"/>
                <w:bCs/>
                <w:kern w:val="0"/>
                <w:szCs w:val="21"/>
                <w:highlight w:val="none"/>
              </w:rPr>
              <w:t>X＜10</w:t>
            </w:r>
          </w:p>
        </w:tc>
      </w:tr>
      <w:tr w14:paraId="7B6D69B3">
        <w:tblPrEx>
          <w:tblCellMar>
            <w:top w:w="0" w:type="dxa"/>
            <w:left w:w="108" w:type="dxa"/>
            <w:bottom w:w="0" w:type="dxa"/>
            <w:right w:w="108" w:type="dxa"/>
          </w:tblCellMar>
        </w:tblPrEx>
        <w:trPr>
          <w:trHeight w:val="90" w:hRule="atLeast"/>
          <w:jc w:val="center"/>
        </w:trPr>
        <w:tc>
          <w:tcPr>
            <w:tcW w:w="1505" w:type="dxa"/>
            <w:vMerge w:val="continue"/>
            <w:tcBorders>
              <w:top w:val="nil"/>
              <w:left w:val="single" w:color="auto" w:sz="4" w:space="0"/>
              <w:bottom w:val="single" w:color="auto" w:sz="4" w:space="0"/>
              <w:right w:val="single" w:color="auto" w:sz="4" w:space="0"/>
            </w:tcBorders>
            <w:vAlign w:val="center"/>
          </w:tcPr>
          <w:p w14:paraId="440C0E83">
            <w:pPr>
              <w:widowControl/>
              <w:jc w:val="center"/>
              <w:rPr>
                <w:rFonts w:hint="default" w:ascii="Arial" w:hAnsi="Arial" w:cs="Arial"/>
                <w:bCs/>
                <w:kern w:val="0"/>
                <w:szCs w:val="21"/>
                <w:highlight w:val="none"/>
              </w:rPr>
            </w:pPr>
          </w:p>
        </w:tc>
        <w:tc>
          <w:tcPr>
            <w:tcW w:w="1702" w:type="dxa"/>
            <w:tcBorders>
              <w:top w:val="nil"/>
              <w:left w:val="nil"/>
              <w:bottom w:val="single" w:color="auto" w:sz="4" w:space="0"/>
              <w:right w:val="single" w:color="auto" w:sz="4" w:space="0"/>
            </w:tcBorders>
            <w:vAlign w:val="center"/>
          </w:tcPr>
          <w:p w14:paraId="2DB13FC2">
            <w:pPr>
              <w:widowControl/>
              <w:jc w:val="center"/>
              <w:rPr>
                <w:rFonts w:hint="default" w:ascii="Arial" w:hAnsi="Arial" w:cs="Arial"/>
                <w:bCs/>
                <w:kern w:val="0"/>
                <w:szCs w:val="21"/>
                <w:highlight w:val="none"/>
              </w:rPr>
            </w:pPr>
            <w:r>
              <w:rPr>
                <w:rFonts w:hint="default" w:ascii="Arial" w:hAnsi="Arial" w:cs="Arial"/>
                <w:bCs/>
                <w:kern w:val="0"/>
                <w:szCs w:val="21"/>
                <w:highlight w:val="none"/>
              </w:rPr>
              <w:t>营业收入（Y）</w:t>
            </w:r>
          </w:p>
        </w:tc>
        <w:tc>
          <w:tcPr>
            <w:tcW w:w="1079" w:type="dxa"/>
            <w:tcBorders>
              <w:top w:val="nil"/>
              <w:left w:val="nil"/>
              <w:bottom w:val="single" w:color="auto" w:sz="4" w:space="0"/>
              <w:right w:val="single" w:color="auto" w:sz="4" w:space="0"/>
            </w:tcBorders>
            <w:vAlign w:val="center"/>
          </w:tcPr>
          <w:p w14:paraId="4A36A4E1">
            <w:pPr>
              <w:widowControl/>
              <w:jc w:val="center"/>
              <w:rPr>
                <w:rFonts w:hint="default" w:ascii="Arial" w:hAnsi="Arial" w:cs="Arial"/>
                <w:bCs/>
                <w:kern w:val="0"/>
                <w:szCs w:val="21"/>
                <w:highlight w:val="none"/>
              </w:rPr>
            </w:pPr>
            <w:r>
              <w:rPr>
                <w:rFonts w:hint="default" w:ascii="Arial" w:hAnsi="Arial" w:cs="Arial"/>
                <w:bCs/>
                <w:kern w:val="0"/>
                <w:szCs w:val="21"/>
                <w:highlight w:val="none"/>
              </w:rPr>
              <w:t>万元</w:t>
            </w:r>
          </w:p>
        </w:tc>
        <w:tc>
          <w:tcPr>
            <w:tcW w:w="1630" w:type="dxa"/>
            <w:tcBorders>
              <w:top w:val="nil"/>
              <w:left w:val="nil"/>
              <w:bottom w:val="single" w:color="auto" w:sz="4" w:space="0"/>
              <w:right w:val="single" w:color="auto" w:sz="4" w:space="0"/>
            </w:tcBorders>
            <w:vAlign w:val="center"/>
          </w:tcPr>
          <w:p w14:paraId="18F9FE92">
            <w:pPr>
              <w:widowControl/>
              <w:jc w:val="center"/>
              <w:rPr>
                <w:rFonts w:hint="default" w:ascii="Arial" w:hAnsi="Arial" w:cs="Arial"/>
                <w:bCs/>
                <w:kern w:val="0"/>
                <w:szCs w:val="21"/>
                <w:highlight w:val="none"/>
              </w:rPr>
            </w:pPr>
            <w:r>
              <w:rPr>
                <w:rFonts w:hint="default" w:ascii="Arial" w:hAnsi="Arial" w:cs="Arial"/>
                <w:bCs/>
                <w:kern w:val="0"/>
                <w:szCs w:val="21"/>
                <w:highlight w:val="none"/>
              </w:rPr>
              <w:t>500≤Y＜20000</w:t>
            </w:r>
          </w:p>
        </w:tc>
        <w:tc>
          <w:tcPr>
            <w:tcW w:w="1358" w:type="dxa"/>
            <w:tcBorders>
              <w:top w:val="nil"/>
              <w:left w:val="nil"/>
              <w:bottom w:val="single" w:color="auto" w:sz="4" w:space="0"/>
              <w:right w:val="single" w:color="auto" w:sz="4" w:space="0"/>
            </w:tcBorders>
            <w:vAlign w:val="center"/>
          </w:tcPr>
          <w:p w14:paraId="68BD31E7">
            <w:pPr>
              <w:widowControl/>
              <w:jc w:val="center"/>
              <w:rPr>
                <w:rFonts w:hint="default" w:ascii="Arial" w:hAnsi="Arial" w:cs="Arial"/>
                <w:bCs/>
                <w:kern w:val="0"/>
                <w:szCs w:val="21"/>
                <w:highlight w:val="none"/>
              </w:rPr>
            </w:pPr>
            <w:r>
              <w:rPr>
                <w:rFonts w:hint="default" w:ascii="Arial" w:hAnsi="Arial" w:cs="Arial"/>
                <w:bCs/>
                <w:kern w:val="0"/>
                <w:szCs w:val="21"/>
                <w:highlight w:val="none"/>
              </w:rPr>
              <w:t>100≤Y＜500</w:t>
            </w:r>
          </w:p>
        </w:tc>
        <w:tc>
          <w:tcPr>
            <w:tcW w:w="1023" w:type="dxa"/>
            <w:tcBorders>
              <w:top w:val="nil"/>
              <w:left w:val="nil"/>
              <w:bottom w:val="single" w:color="auto" w:sz="4" w:space="0"/>
              <w:right w:val="single" w:color="auto" w:sz="4" w:space="0"/>
            </w:tcBorders>
            <w:vAlign w:val="center"/>
          </w:tcPr>
          <w:p w14:paraId="733F689A">
            <w:pPr>
              <w:widowControl/>
              <w:jc w:val="center"/>
              <w:rPr>
                <w:rFonts w:hint="default" w:ascii="Arial" w:hAnsi="Arial" w:cs="Arial"/>
                <w:bCs/>
                <w:kern w:val="0"/>
                <w:szCs w:val="21"/>
                <w:highlight w:val="none"/>
              </w:rPr>
            </w:pPr>
            <w:r>
              <w:rPr>
                <w:rFonts w:hint="default" w:ascii="Arial" w:hAnsi="Arial" w:cs="Arial"/>
                <w:bCs/>
                <w:kern w:val="0"/>
                <w:szCs w:val="21"/>
                <w:highlight w:val="none"/>
              </w:rPr>
              <w:t>Y＜100</w:t>
            </w:r>
          </w:p>
        </w:tc>
      </w:tr>
      <w:tr w14:paraId="38A78660">
        <w:tblPrEx>
          <w:tblCellMar>
            <w:top w:w="0" w:type="dxa"/>
            <w:left w:w="108" w:type="dxa"/>
            <w:bottom w:w="0" w:type="dxa"/>
            <w:right w:w="108" w:type="dxa"/>
          </w:tblCellMar>
        </w:tblPrEx>
        <w:trPr>
          <w:trHeight w:val="90" w:hRule="atLeast"/>
          <w:jc w:val="center"/>
        </w:trPr>
        <w:tc>
          <w:tcPr>
            <w:tcW w:w="1505" w:type="dxa"/>
            <w:vMerge w:val="restart"/>
            <w:tcBorders>
              <w:top w:val="nil"/>
              <w:left w:val="single" w:color="auto" w:sz="4" w:space="0"/>
              <w:bottom w:val="single" w:color="auto" w:sz="4" w:space="0"/>
              <w:right w:val="single" w:color="auto" w:sz="4" w:space="0"/>
            </w:tcBorders>
            <w:vAlign w:val="center"/>
          </w:tcPr>
          <w:p w14:paraId="39B84F85">
            <w:pPr>
              <w:widowControl/>
              <w:jc w:val="center"/>
              <w:rPr>
                <w:rFonts w:hint="default" w:ascii="Arial" w:hAnsi="Arial" w:cs="Arial"/>
                <w:bCs/>
                <w:kern w:val="0"/>
                <w:szCs w:val="21"/>
                <w:highlight w:val="none"/>
              </w:rPr>
            </w:pPr>
            <w:r>
              <w:rPr>
                <w:rFonts w:hint="default" w:ascii="Arial" w:hAnsi="Arial" w:cs="Arial"/>
                <w:bCs/>
                <w:kern w:val="0"/>
                <w:szCs w:val="21"/>
                <w:highlight w:val="none"/>
              </w:rPr>
              <w:t>交通运输业</w:t>
            </w:r>
          </w:p>
        </w:tc>
        <w:tc>
          <w:tcPr>
            <w:tcW w:w="1702" w:type="dxa"/>
            <w:tcBorders>
              <w:top w:val="nil"/>
              <w:left w:val="nil"/>
              <w:bottom w:val="single" w:color="auto" w:sz="4" w:space="0"/>
              <w:right w:val="single" w:color="auto" w:sz="4" w:space="0"/>
            </w:tcBorders>
            <w:vAlign w:val="center"/>
          </w:tcPr>
          <w:p w14:paraId="2238FA0A">
            <w:pPr>
              <w:widowControl/>
              <w:jc w:val="center"/>
              <w:rPr>
                <w:rFonts w:hint="default" w:ascii="Arial" w:hAnsi="Arial" w:cs="Arial"/>
                <w:bCs/>
                <w:kern w:val="0"/>
                <w:szCs w:val="21"/>
                <w:highlight w:val="none"/>
              </w:rPr>
            </w:pPr>
            <w:r>
              <w:rPr>
                <w:rFonts w:hint="default" w:ascii="Arial" w:hAnsi="Arial" w:cs="Arial"/>
                <w:bCs/>
                <w:kern w:val="0"/>
                <w:szCs w:val="21"/>
                <w:highlight w:val="none"/>
              </w:rPr>
              <w:t>从业人员（X）</w:t>
            </w:r>
          </w:p>
        </w:tc>
        <w:tc>
          <w:tcPr>
            <w:tcW w:w="1079" w:type="dxa"/>
            <w:tcBorders>
              <w:top w:val="nil"/>
              <w:left w:val="nil"/>
              <w:bottom w:val="single" w:color="auto" w:sz="4" w:space="0"/>
              <w:right w:val="single" w:color="auto" w:sz="4" w:space="0"/>
            </w:tcBorders>
            <w:vAlign w:val="center"/>
          </w:tcPr>
          <w:p w14:paraId="0809573C">
            <w:pPr>
              <w:widowControl/>
              <w:jc w:val="center"/>
              <w:rPr>
                <w:rFonts w:hint="default" w:ascii="Arial" w:hAnsi="Arial" w:cs="Arial"/>
                <w:bCs/>
                <w:kern w:val="0"/>
                <w:szCs w:val="21"/>
                <w:highlight w:val="none"/>
              </w:rPr>
            </w:pPr>
            <w:r>
              <w:rPr>
                <w:rFonts w:hint="default" w:ascii="Arial" w:hAnsi="Arial" w:cs="Arial"/>
                <w:bCs/>
                <w:kern w:val="0"/>
                <w:szCs w:val="21"/>
                <w:highlight w:val="none"/>
              </w:rPr>
              <w:t>人</w:t>
            </w:r>
          </w:p>
        </w:tc>
        <w:tc>
          <w:tcPr>
            <w:tcW w:w="1630" w:type="dxa"/>
            <w:tcBorders>
              <w:top w:val="nil"/>
              <w:left w:val="nil"/>
              <w:bottom w:val="single" w:color="auto" w:sz="4" w:space="0"/>
              <w:right w:val="single" w:color="auto" w:sz="4" w:space="0"/>
            </w:tcBorders>
            <w:vAlign w:val="center"/>
          </w:tcPr>
          <w:p w14:paraId="01C0A9A7">
            <w:pPr>
              <w:widowControl/>
              <w:jc w:val="center"/>
              <w:rPr>
                <w:rFonts w:hint="default" w:ascii="Arial" w:hAnsi="Arial" w:cs="Arial"/>
                <w:bCs/>
                <w:kern w:val="0"/>
                <w:szCs w:val="21"/>
                <w:highlight w:val="none"/>
              </w:rPr>
            </w:pPr>
            <w:r>
              <w:rPr>
                <w:rFonts w:hint="default" w:ascii="Arial" w:hAnsi="Arial" w:cs="Arial"/>
                <w:bCs/>
                <w:kern w:val="0"/>
                <w:szCs w:val="21"/>
                <w:highlight w:val="none"/>
              </w:rPr>
              <w:t>300≤X＜1000</w:t>
            </w:r>
          </w:p>
        </w:tc>
        <w:tc>
          <w:tcPr>
            <w:tcW w:w="1358" w:type="dxa"/>
            <w:tcBorders>
              <w:top w:val="nil"/>
              <w:left w:val="nil"/>
              <w:bottom w:val="single" w:color="auto" w:sz="4" w:space="0"/>
              <w:right w:val="single" w:color="auto" w:sz="4" w:space="0"/>
            </w:tcBorders>
            <w:vAlign w:val="center"/>
          </w:tcPr>
          <w:p w14:paraId="5E2DE5F1">
            <w:pPr>
              <w:widowControl/>
              <w:jc w:val="center"/>
              <w:rPr>
                <w:rFonts w:hint="default" w:ascii="Arial" w:hAnsi="Arial" w:cs="Arial"/>
                <w:bCs/>
                <w:kern w:val="0"/>
                <w:szCs w:val="21"/>
                <w:highlight w:val="none"/>
              </w:rPr>
            </w:pPr>
            <w:r>
              <w:rPr>
                <w:rFonts w:hint="default" w:ascii="Arial" w:hAnsi="Arial" w:cs="Arial"/>
                <w:bCs/>
                <w:kern w:val="0"/>
                <w:szCs w:val="21"/>
                <w:highlight w:val="none"/>
              </w:rPr>
              <w:t>20≤X＜300</w:t>
            </w:r>
          </w:p>
        </w:tc>
        <w:tc>
          <w:tcPr>
            <w:tcW w:w="1023" w:type="dxa"/>
            <w:tcBorders>
              <w:top w:val="nil"/>
              <w:left w:val="nil"/>
              <w:bottom w:val="single" w:color="auto" w:sz="4" w:space="0"/>
              <w:right w:val="single" w:color="auto" w:sz="4" w:space="0"/>
            </w:tcBorders>
            <w:vAlign w:val="center"/>
          </w:tcPr>
          <w:p w14:paraId="5E31A70F">
            <w:pPr>
              <w:widowControl/>
              <w:jc w:val="center"/>
              <w:rPr>
                <w:rFonts w:hint="default" w:ascii="Arial" w:hAnsi="Arial" w:cs="Arial"/>
                <w:bCs/>
                <w:kern w:val="0"/>
                <w:szCs w:val="21"/>
                <w:highlight w:val="none"/>
              </w:rPr>
            </w:pPr>
            <w:r>
              <w:rPr>
                <w:rFonts w:hint="default" w:ascii="Arial" w:hAnsi="Arial" w:cs="Arial"/>
                <w:bCs/>
                <w:kern w:val="0"/>
                <w:szCs w:val="21"/>
                <w:highlight w:val="none"/>
              </w:rPr>
              <w:t>X＜20</w:t>
            </w:r>
          </w:p>
        </w:tc>
      </w:tr>
      <w:tr w14:paraId="02B42371">
        <w:tblPrEx>
          <w:tblCellMar>
            <w:top w:w="0" w:type="dxa"/>
            <w:left w:w="108" w:type="dxa"/>
            <w:bottom w:w="0" w:type="dxa"/>
            <w:right w:w="108" w:type="dxa"/>
          </w:tblCellMar>
        </w:tblPrEx>
        <w:trPr>
          <w:trHeight w:val="90" w:hRule="atLeast"/>
          <w:jc w:val="center"/>
        </w:trPr>
        <w:tc>
          <w:tcPr>
            <w:tcW w:w="1505" w:type="dxa"/>
            <w:vMerge w:val="continue"/>
            <w:tcBorders>
              <w:top w:val="nil"/>
              <w:left w:val="single" w:color="auto" w:sz="4" w:space="0"/>
              <w:bottom w:val="single" w:color="auto" w:sz="4" w:space="0"/>
              <w:right w:val="single" w:color="auto" w:sz="4" w:space="0"/>
            </w:tcBorders>
            <w:vAlign w:val="center"/>
          </w:tcPr>
          <w:p w14:paraId="57243DAA">
            <w:pPr>
              <w:widowControl/>
              <w:jc w:val="center"/>
              <w:rPr>
                <w:rFonts w:hint="default" w:ascii="Arial" w:hAnsi="Arial" w:cs="Arial"/>
                <w:bCs/>
                <w:kern w:val="0"/>
                <w:szCs w:val="21"/>
                <w:highlight w:val="none"/>
              </w:rPr>
            </w:pPr>
          </w:p>
        </w:tc>
        <w:tc>
          <w:tcPr>
            <w:tcW w:w="1702" w:type="dxa"/>
            <w:tcBorders>
              <w:top w:val="nil"/>
              <w:left w:val="nil"/>
              <w:bottom w:val="single" w:color="auto" w:sz="4" w:space="0"/>
              <w:right w:val="single" w:color="auto" w:sz="4" w:space="0"/>
            </w:tcBorders>
            <w:vAlign w:val="center"/>
          </w:tcPr>
          <w:p w14:paraId="3A93DE0B">
            <w:pPr>
              <w:widowControl/>
              <w:jc w:val="center"/>
              <w:rPr>
                <w:rFonts w:hint="default" w:ascii="Arial" w:hAnsi="Arial" w:cs="Arial"/>
                <w:bCs/>
                <w:kern w:val="0"/>
                <w:szCs w:val="21"/>
                <w:highlight w:val="none"/>
              </w:rPr>
            </w:pPr>
            <w:r>
              <w:rPr>
                <w:rFonts w:hint="default" w:ascii="Arial" w:hAnsi="Arial" w:cs="Arial"/>
                <w:bCs/>
                <w:kern w:val="0"/>
                <w:szCs w:val="21"/>
                <w:highlight w:val="none"/>
              </w:rPr>
              <w:t>营业收入（Y）</w:t>
            </w:r>
          </w:p>
        </w:tc>
        <w:tc>
          <w:tcPr>
            <w:tcW w:w="1079" w:type="dxa"/>
            <w:tcBorders>
              <w:top w:val="nil"/>
              <w:left w:val="nil"/>
              <w:bottom w:val="single" w:color="auto" w:sz="4" w:space="0"/>
              <w:right w:val="single" w:color="auto" w:sz="4" w:space="0"/>
            </w:tcBorders>
            <w:vAlign w:val="center"/>
          </w:tcPr>
          <w:p w14:paraId="104C0C9C">
            <w:pPr>
              <w:widowControl/>
              <w:jc w:val="center"/>
              <w:rPr>
                <w:rFonts w:hint="default" w:ascii="Arial" w:hAnsi="Arial" w:cs="Arial"/>
                <w:bCs/>
                <w:kern w:val="0"/>
                <w:szCs w:val="21"/>
                <w:highlight w:val="none"/>
              </w:rPr>
            </w:pPr>
            <w:r>
              <w:rPr>
                <w:rFonts w:hint="default" w:ascii="Arial" w:hAnsi="Arial" w:cs="Arial"/>
                <w:bCs/>
                <w:kern w:val="0"/>
                <w:szCs w:val="21"/>
                <w:highlight w:val="none"/>
              </w:rPr>
              <w:t>万元</w:t>
            </w:r>
          </w:p>
        </w:tc>
        <w:tc>
          <w:tcPr>
            <w:tcW w:w="1630" w:type="dxa"/>
            <w:tcBorders>
              <w:top w:val="nil"/>
              <w:left w:val="nil"/>
              <w:bottom w:val="single" w:color="auto" w:sz="4" w:space="0"/>
              <w:right w:val="single" w:color="auto" w:sz="4" w:space="0"/>
            </w:tcBorders>
            <w:vAlign w:val="center"/>
          </w:tcPr>
          <w:p w14:paraId="22CBD658">
            <w:pPr>
              <w:widowControl/>
              <w:jc w:val="center"/>
              <w:rPr>
                <w:rFonts w:hint="default" w:ascii="Arial" w:hAnsi="Arial" w:cs="Arial"/>
                <w:bCs/>
                <w:kern w:val="0"/>
                <w:szCs w:val="21"/>
                <w:highlight w:val="none"/>
              </w:rPr>
            </w:pPr>
            <w:r>
              <w:rPr>
                <w:rFonts w:hint="default" w:ascii="Arial" w:hAnsi="Arial" w:cs="Arial"/>
                <w:bCs/>
                <w:kern w:val="0"/>
                <w:szCs w:val="21"/>
                <w:highlight w:val="none"/>
              </w:rPr>
              <w:t>3000≤Y＜30000</w:t>
            </w:r>
          </w:p>
        </w:tc>
        <w:tc>
          <w:tcPr>
            <w:tcW w:w="1358" w:type="dxa"/>
            <w:tcBorders>
              <w:top w:val="nil"/>
              <w:left w:val="nil"/>
              <w:bottom w:val="single" w:color="auto" w:sz="4" w:space="0"/>
              <w:right w:val="single" w:color="auto" w:sz="4" w:space="0"/>
            </w:tcBorders>
            <w:vAlign w:val="center"/>
          </w:tcPr>
          <w:p w14:paraId="243F837D">
            <w:pPr>
              <w:widowControl/>
              <w:jc w:val="center"/>
              <w:rPr>
                <w:rFonts w:hint="default" w:ascii="Arial" w:hAnsi="Arial" w:cs="Arial"/>
                <w:bCs/>
                <w:kern w:val="0"/>
                <w:szCs w:val="21"/>
                <w:highlight w:val="none"/>
              </w:rPr>
            </w:pPr>
            <w:r>
              <w:rPr>
                <w:rFonts w:hint="default" w:ascii="Arial" w:hAnsi="Arial" w:cs="Arial"/>
                <w:bCs/>
                <w:kern w:val="0"/>
                <w:szCs w:val="21"/>
                <w:highlight w:val="none"/>
              </w:rPr>
              <w:t>200≤Y＜3000</w:t>
            </w:r>
          </w:p>
        </w:tc>
        <w:tc>
          <w:tcPr>
            <w:tcW w:w="1023" w:type="dxa"/>
            <w:tcBorders>
              <w:top w:val="nil"/>
              <w:left w:val="nil"/>
              <w:bottom w:val="single" w:color="auto" w:sz="4" w:space="0"/>
              <w:right w:val="single" w:color="auto" w:sz="4" w:space="0"/>
            </w:tcBorders>
            <w:vAlign w:val="center"/>
          </w:tcPr>
          <w:p w14:paraId="0D5B71AB">
            <w:pPr>
              <w:widowControl/>
              <w:jc w:val="center"/>
              <w:rPr>
                <w:rFonts w:hint="default" w:ascii="Arial" w:hAnsi="Arial" w:cs="Arial"/>
                <w:bCs/>
                <w:kern w:val="0"/>
                <w:szCs w:val="21"/>
                <w:highlight w:val="none"/>
              </w:rPr>
            </w:pPr>
            <w:r>
              <w:rPr>
                <w:rFonts w:hint="default" w:ascii="Arial" w:hAnsi="Arial" w:cs="Arial"/>
                <w:bCs/>
                <w:kern w:val="0"/>
                <w:szCs w:val="21"/>
                <w:highlight w:val="none"/>
              </w:rPr>
              <w:t>Y＜200</w:t>
            </w:r>
          </w:p>
        </w:tc>
      </w:tr>
      <w:tr w14:paraId="4DA08196">
        <w:tblPrEx>
          <w:tblCellMar>
            <w:top w:w="0" w:type="dxa"/>
            <w:left w:w="108" w:type="dxa"/>
            <w:bottom w:w="0" w:type="dxa"/>
            <w:right w:w="108" w:type="dxa"/>
          </w:tblCellMar>
        </w:tblPrEx>
        <w:trPr>
          <w:trHeight w:val="90" w:hRule="atLeast"/>
          <w:jc w:val="center"/>
        </w:trPr>
        <w:tc>
          <w:tcPr>
            <w:tcW w:w="1505" w:type="dxa"/>
            <w:vMerge w:val="restart"/>
            <w:tcBorders>
              <w:top w:val="nil"/>
              <w:left w:val="single" w:color="auto" w:sz="4" w:space="0"/>
              <w:bottom w:val="single" w:color="auto" w:sz="4" w:space="0"/>
              <w:right w:val="single" w:color="auto" w:sz="4" w:space="0"/>
            </w:tcBorders>
            <w:vAlign w:val="center"/>
          </w:tcPr>
          <w:p w14:paraId="1A335418">
            <w:pPr>
              <w:widowControl/>
              <w:jc w:val="center"/>
              <w:rPr>
                <w:rFonts w:hint="default" w:ascii="Arial" w:hAnsi="Arial" w:cs="Arial"/>
                <w:bCs/>
                <w:kern w:val="0"/>
                <w:szCs w:val="21"/>
                <w:highlight w:val="none"/>
              </w:rPr>
            </w:pPr>
            <w:r>
              <w:rPr>
                <w:rFonts w:hint="default" w:ascii="Arial" w:hAnsi="Arial" w:cs="Arial"/>
                <w:bCs/>
                <w:kern w:val="0"/>
                <w:szCs w:val="21"/>
                <w:highlight w:val="none"/>
              </w:rPr>
              <w:t>仓储业</w:t>
            </w:r>
          </w:p>
        </w:tc>
        <w:tc>
          <w:tcPr>
            <w:tcW w:w="1702" w:type="dxa"/>
            <w:tcBorders>
              <w:top w:val="nil"/>
              <w:left w:val="nil"/>
              <w:bottom w:val="single" w:color="auto" w:sz="4" w:space="0"/>
              <w:right w:val="single" w:color="auto" w:sz="4" w:space="0"/>
            </w:tcBorders>
            <w:vAlign w:val="center"/>
          </w:tcPr>
          <w:p w14:paraId="5FC2342D">
            <w:pPr>
              <w:widowControl/>
              <w:jc w:val="center"/>
              <w:rPr>
                <w:rFonts w:hint="default" w:ascii="Arial" w:hAnsi="Arial" w:cs="Arial"/>
                <w:bCs/>
                <w:kern w:val="0"/>
                <w:szCs w:val="21"/>
                <w:highlight w:val="none"/>
              </w:rPr>
            </w:pPr>
            <w:r>
              <w:rPr>
                <w:rFonts w:hint="default" w:ascii="Arial" w:hAnsi="Arial" w:cs="Arial"/>
                <w:bCs/>
                <w:kern w:val="0"/>
                <w:szCs w:val="21"/>
                <w:highlight w:val="none"/>
              </w:rPr>
              <w:t>从业人员（X）</w:t>
            </w:r>
          </w:p>
        </w:tc>
        <w:tc>
          <w:tcPr>
            <w:tcW w:w="1079" w:type="dxa"/>
            <w:tcBorders>
              <w:top w:val="nil"/>
              <w:left w:val="nil"/>
              <w:bottom w:val="single" w:color="auto" w:sz="4" w:space="0"/>
              <w:right w:val="single" w:color="auto" w:sz="4" w:space="0"/>
            </w:tcBorders>
            <w:vAlign w:val="center"/>
          </w:tcPr>
          <w:p w14:paraId="79171894">
            <w:pPr>
              <w:widowControl/>
              <w:jc w:val="center"/>
              <w:rPr>
                <w:rFonts w:hint="default" w:ascii="Arial" w:hAnsi="Arial" w:cs="Arial"/>
                <w:bCs/>
                <w:kern w:val="0"/>
                <w:szCs w:val="21"/>
                <w:highlight w:val="none"/>
              </w:rPr>
            </w:pPr>
            <w:r>
              <w:rPr>
                <w:rFonts w:hint="default" w:ascii="Arial" w:hAnsi="Arial" w:cs="Arial"/>
                <w:bCs/>
                <w:kern w:val="0"/>
                <w:szCs w:val="21"/>
                <w:highlight w:val="none"/>
              </w:rPr>
              <w:t>人</w:t>
            </w:r>
          </w:p>
        </w:tc>
        <w:tc>
          <w:tcPr>
            <w:tcW w:w="1630" w:type="dxa"/>
            <w:tcBorders>
              <w:top w:val="nil"/>
              <w:left w:val="nil"/>
              <w:bottom w:val="single" w:color="auto" w:sz="4" w:space="0"/>
              <w:right w:val="single" w:color="auto" w:sz="4" w:space="0"/>
            </w:tcBorders>
            <w:vAlign w:val="center"/>
          </w:tcPr>
          <w:p w14:paraId="7AC5906D">
            <w:pPr>
              <w:widowControl/>
              <w:jc w:val="center"/>
              <w:rPr>
                <w:rFonts w:hint="default" w:ascii="Arial" w:hAnsi="Arial" w:cs="Arial"/>
                <w:bCs/>
                <w:kern w:val="0"/>
                <w:szCs w:val="21"/>
                <w:highlight w:val="none"/>
              </w:rPr>
            </w:pPr>
            <w:r>
              <w:rPr>
                <w:rFonts w:hint="default" w:ascii="Arial" w:hAnsi="Arial" w:cs="Arial"/>
                <w:bCs/>
                <w:kern w:val="0"/>
                <w:szCs w:val="21"/>
                <w:highlight w:val="none"/>
              </w:rPr>
              <w:t>100≤X＜200</w:t>
            </w:r>
          </w:p>
        </w:tc>
        <w:tc>
          <w:tcPr>
            <w:tcW w:w="1358" w:type="dxa"/>
            <w:tcBorders>
              <w:top w:val="nil"/>
              <w:left w:val="nil"/>
              <w:bottom w:val="single" w:color="auto" w:sz="4" w:space="0"/>
              <w:right w:val="single" w:color="auto" w:sz="4" w:space="0"/>
            </w:tcBorders>
            <w:vAlign w:val="center"/>
          </w:tcPr>
          <w:p w14:paraId="73FE281C">
            <w:pPr>
              <w:widowControl/>
              <w:jc w:val="center"/>
              <w:rPr>
                <w:rFonts w:hint="default" w:ascii="Arial" w:hAnsi="Arial" w:cs="Arial"/>
                <w:bCs/>
                <w:kern w:val="0"/>
                <w:szCs w:val="21"/>
                <w:highlight w:val="none"/>
              </w:rPr>
            </w:pPr>
            <w:r>
              <w:rPr>
                <w:rFonts w:hint="default" w:ascii="Arial" w:hAnsi="Arial" w:cs="Arial"/>
                <w:bCs/>
                <w:kern w:val="0"/>
                <w:szCs w:val="21"/>
                <w:highlight w:val="none"/>
              </w:rPr>
              <w:t>20≤X＜100</w:t>
            </w:r>
          </w:p>
        </w:tc>
        <w:tc>
          <w:tcPr>
            <w:tcW w:w="1023" w:type="dxa"/>
            <w:tcBorders>
              <w:top w:val="nil"/>
              <w:left w:val="nil"/>
              <w:bottom w:val="single" w:color="auto" w:sz="4" w:space="0"/>
              <w:right w:val="single" w:color="auto" w:sz="4" w:space="0"/>
            </w:tcBorders>
            <w:vAlign w:val="center"/>
          </w:tcPr>
          <w:p w14:paraId="2803BF90">
            <w:pPr>
              <w:widowControl/>
              <w:jc w:val="center"/>
              <w:rPr>
                <w:rFonts w:hint="default" w:ascii="Arial" w:hAnsi="Arial" w:cs="Arial"/>
                <w:bCs/>
                <w:kern w:val="0"/>
                <w:szCs w:val="21"/>
                <w:highlight w:val="none"/>
              </w:rPr>
            </w:pPr>
            <w:r>
              <w:rPr>
                <w:rFonts w:hint="default" w:ascii="Arial" w:hAnsi="Arial" w:cs="Arial"/>
                <w:bCs/>
                <w:kern w:val="0"/>
                <w:szCs w:val="21"/>
                <w:highlight w:val="none"/>
              </w:rPr>
              <w:t>X＜20</w:t>
            </w:r>
          </w:p>
        </w:tc>
      </w:tr>
      <w:tr w14:paraId="74A5A9CC">
        <w:tblPrEx>
          <w:tblCellMar>
            <w:top w:w="0" w:type="dxa"/>
            <w:left w:w="108" w:type="dxa"/>
            <w:bottom w:w="0" w:type="dxa"/>
            <w:right w:w="108" w:type="dxa"/>
          </w:tblCellMar>
        </w:tblPrEx>
        <w:trPr>
          <w:trHeight w:val="90" w:hRule="atLeast"/>
          <w:jc w:val="center"/>
        </w:trPr>
        <w:tc>
          <w:tcPr>
            <w:tcW w:w="1505" w:type="dxa"/>
            <w:vMerge w:val="continue"/>
            <w:tcBorders>
              <w:top w:val="nil"/>
              <w:left w:val="single" w:color="auto" w:sz="4" w:space="0"/>
              <w:bottom w:val="single" w:color="auto" w:sz="4" w:space="0"/>
              <w:right w:val="single" w:color="auto" w:sz="4" w:space="0"/>
            </w:tcBorders>
            <w:vAlign w:val="center"/>
          </w:tcPr>
          <w:p w14:paraId="38579315">
            <w:pPr>
              <w:widowControl/>
              <w:jc w:val="center"/>
              <w:rPr>
                <w:rFonts w:hint="default" w:ascii="Arial" w:hAnsi="Arial" w:cs="Arial"/>
                <w:bCs/>
                <w:kern w:val="0"/>
                <w:szCs w:val="21"/>
                <w:highlight w:val="none"/>
              </w:rPr>
            </w:pPr>
          </w:p>
        </w:tc>
        <w:tc>
          <w:tcPr>
            <w:tcW w:w="1702" w:type="dxa"/>
            <w:tcBorders>
              <w:top w:val="nil"/>
              <w:left w:val="nil"/>
              <w:bottom w:val="single" w:color="auto" w:sz="4" w:space="0"/>
              <w:right w:val="single" w:color="auto" w:sz="4" w:space="0"/>
            </w:tcBorders>
            <w:vAlign w:val="center"/>
          </w:tcPr>
          <w:p w14:paraId="15DDDC20">
            <w:pPr>
              <w:widowControl/>
              <w:jc w:val="center"/>
              <w:rPr>
                <w:rFonts w:hint="default" w:ascii="Arial" w:hAnsi="Arial" w:cs="Arial"/>
                <w:bCs/>
                <w:kern w:val="0"/>
                <w:szCs w:val="21"/>
                <w:highlight w:val="none"/>
              </w:rPr>
            </w:pPr>
            <w:r>
              <w:rPr>
                <w:rFonts w:hint="default" w:ascii="Arial" w:hAnsi="Arial" w:cs="Arial"/>
                <w:bCs/>
                <w:kern w:val="0"/>
                <w:szCs w:val="21"/>
                <w:highlight w:val="none"/>
              </w:rPr>
              <w:t>营业收入（Y）</w:t>
            </w:r>
          </w:p>
        </w:tc>
        <w:tc>
          <w:tcPr>
            <w:tcW w:w="1079" w:type="dxa"/>
            <w:tcBorders>
              <w:top w:val="nil"/>
              <w:left w:val="nil"/>
              <w:bottom w:val="single" w:color="auto" w:sz="4" w:space="0"/>
              <w:right w:val="single" w:color="auto" w:sz="4" w:space="0"/>
            </w:tcBorders>
            <w:vAlign w:val="center"/>
          </w:tcPr>
          <w:p w14:paraId="1B5385E5">
            <w:pPr>
              <w:widowControl/>
              <w:jc w:val="center"/>
              <w:rPr>
                <w:rFonts w:hint="default" w:ascii="Arial" w:hAnsi="Arial" w:cs="Arial"/>
                <w:bCs/>
                <w:kern w:val="0"/>
                <w:szCs w:val="21"/>
                <w:highlight w:val="none"/>
              </w:rPr>
            </w:pPr>
            <w:r>
              <w:rPr>
                <w:rFonts w:hint="default" w:ascii="Arial" w:hAnsi="Arial" w:cs="Arial"/>
                <w:bCs/>
                <w:kern w:val="0"/>
                <w:szCs w:val="21"/>
                <w:highlight w:val="none"/>
              </w:rPr>
              <w:t>万元</w:t>
            </w:r>
          </w:p>
        </w:tc>
        <w:tc>
          <w:tcPr>
            <w:tcW w:w="1630" w:type="dxa"/>
            <w:tcBorders>
              <w:top w:val="nil"/>
              <w:left w:val="nil"/>
              <w:bottom w:val="single" w:color="auto" w:sz="4" w:space="0"/>
              <w:right w:val="single" w:color="auto" w:sz="4" w:space="0"/>
            </w:tcBorders>
            <w:vAlign w:val="center"/>
          </w:tcPr>
          <w:p w14:paraId="2202CDDB">
            <w:pPr>
              <w:widowControl/>
              <w:jc w:val="center"/>
              <w:rPr>
                <w:rFonts w:hint="default" w:ascii="Arial" w:hAnsi="Arial" w:cs="Arial"/>
                <w:bCs/>
                <w:kern w:val="0"/>
                <w:szCs w:val="21"/>
                <w:highlight w:val="none"/>
              </w:rPr>
            </w:pPr>
            <w:r>
              <w:rPr>
                <w:rFonts w:hint="default" w:ascii="Arial" w:hAnsi="Arial" w:cs="Arial"/>
                <w:bCs/>
                <w:kern w:val="0"/>
                <w:szCs w:val="21"/>
                <w:highlight w:val="none"/>
              </w:rPr>
              <w:t>1000≤Y＜30000</w:t>
            </w:r>
          </w:p>
        </w:tc>
        <w:tc>
          <w:tcPr>
            <w:tcW w:w="1358" w:type="dxa"/>
            <w:tcBorders>
              <w:top w:val="nil"/>
              <w:left w:val="nil"/>
              <w:bottom w:val="single" w:color="auto" w:sz="4" w:space="0"/>
              <w:right w:val="single" w:color="auto" w:sz="4" w:space="0"/>
            </w:tcBorders>
            <w:vAlign w:val="center"/>
          </w:tcPr>
          <w:p w14:paraId="3EFCC733">
            <w:pPr>
              <w:widowControl/>
              <w:jc w:val="center"/>
              <w:rPr>
                <w:rFonts w:hint="default" w:ascii="Arial" w:hAnsi="Arial" w:cs="Arial"/>
                <w:bCs/>
                <w:kern w:val="0"/>
                <w:szCs w:val="21"/>
                <w:highlight w:val="none"/>
              </w:rPr>
            </w:pPr>
            <w:r>
              <w:rPr>
                <w:rFonts w:hint="default" w:ascii="Arial" w:hAnsi="Arial" w:cs="Arial"/>
                <w:bCs/>
                <w:kern w:val="0"/>
                <w:szCs w:val="21"/>
                <w:highlight w:val="none"/>
              </w:rPr>
              <w:t>100≤Y＜1000</w:t>
            </w:r>
          </w:p>
        </w:tc>
        <w:tc>
          <w:tcPr>
            <w:tcW w:w="1023" w:type="dxa"/>
            <w:tcBorders>
              <w:top w:val="nil"/>
              <w:left w:val="nil"/>
              <w:bottom w:val="single" w:color="auto" w:sz="4" w:space="0"/>
              <w:right w:val="single" w:color="auto" w:sz="4" w:space="0"/>
            </w:tcBorders>
            <w:vAlign w:val="center"/>
          </w:tcPr>
          <w:p w14:paraId="6C9F8314">
            <w:pPr>
              <w:widowControl/>
              <w:jc w:val="center"/>
              <w:rPr>
                <w:rFonts w:hint="default" w:ascii="Arial" w:hAnsi="Arial" w:cs="Arial"/>
                <w:bCs/>
                <w:kern w:val="0"/>
                <w:szCs w:val="21"/>
                <w:highlight w:val="none"/>
              </w:rPr>
            </w:pPr>
            <w:r>
              <w:rPr>
                <w:rFonts w:hint="default" w:ascii="Arial" w:hAnsi="Arial" w:cs="Arial"/>
                <w:bCs/>
                <w:kern w:val="0"/>
                <w:szCs w:val="21"/>
                <w:highlight w:val="none"/>
              </w:rPr>
              <w:t>Y＜100</w:t>
            </w:r>
          </w:p>
        </w:tc>
      </w:tr>
      <w:tr w14:paraId="24705299">
        <w:tblPrEx>
          <w:tblCellMar>
            <w:top w:w="0" w:type="dxa"/>
            <w:left w:w="108" w:type="dxa"/>
            <w:bottom w:w="0" w:type="dxa"/>
            <w:right w:w="108" w:type="dxa"/>
          </w:tblCellMar>
        </w:tblPrEx>
        <w:trPr>
          <w:trHeight w:val="90" w:hRule="atLeast"/>
          <w:jc w:val="center"/>
        </w:trPr>
        <w:tc>
          <w:tcPr>
            <w:tcW w:w="1505" w:type="dxa"/>
            <w:vMerge w:val="restart"/>
            <w:tcBorders>
              <w:top w:val="nil"/>
              <w:left w:val="single" w:color="auto" w:sz="4" w:space="0"/>
              <w:bottom w:val="single" w:color="auto" w:sz="4" w:space="0"/>
              <w:right w:val="single" w:color="auto" w:sz="4" w:space="0"/>
            </w:tcBorders>
            <w:vAlign w:val="center"/>
          </w:tcPr>
          <w:p w14:paraId="6FD590AB">
            <w:pPr>
              <w:widowControl/>
              <w:jc w:val="center"/>
              <w:rPr>
                <w:rFonts w:hint="default" w:ascii="Arial" w:hAnsi="Arial" w:cs="Arial"/>
                <w:bCs/>
                <w:kern w:val="0"/>
                <w:szCs w:val="21"/>
                <w:highlight w:val="none"/>
              </w:rPr>
            </w:pPr>
            <w:r>
              <w:rPr>
                <w:rFonts w:hint="default" w:ascii="Arial" w:hAnsi="Arial" w:cs="Arial"/>
                <w:bCs/>
                <w:kern w:val="0"/>
                <w:szCs w:val="21"/>
                <w:highlight w:val="none"/>
              </w:rPr>
              <w:t>邮政业</w:t>
            </w:r>
          </w:p>
        </w:tc>
        <w:tc>
          <w:tcPr>
            <w:tcW w:w="1702" w:type="dxa"/>
            <w:tcBorders>
              <w:top w:val="nil"/>
              <w:left w:val="nil"/>
              <w:bottom w:val="single" w:color="auto" w:sz="4" w:space="0"/>
              <w:right w:val="single" w:color="auto" w:sz="4" w:space="0"/>
            </w:tcBorders>
            <w:vAlign w:val="center"/>
          </w:tcPr>
          <w:p w14:paraId="2C77031D">
            <w:pPr>
              <w:widowControl/>
              <w:jc w:val="center"/>
              <w:rPr>
                <w:rFonts w:hint="default" w:ascii="Arial" w:hAnsi="Arial" w:cs="Arial"/>
                <w:bCs/>
                <w:kern w:val="0"/>
                <w:szCs w:val="21"/>
                <w:highlight w:val="none"/>
              </w:rPr>
            </w:pPr>
            <w:r>
              <w:rPr>
                <w:rFonts w:hint="default" w:ascii="Arial" w:hAnsi="Arial" w:cs="Arial"/>
                <w:bCs/>
                <w:kern w:val="0"/>
                <w:szCs w:val="21"/>
                <w:highlight w:val="none"/>
              </w:rPr>
              <w:t>从业人员（X）</w:t>
            </w:r>
          </w:p>
        </w:tc>
        <w:tc>
          <w:tcPr>
            <w:tcW w:w="1079" w:type="dxa"/>
            <w:tcBorders>
              <w:top w:val="nil"/>
              <w:left w:val="nil"/>
              <w:bottom w:val="single" w:color="auto" w:sz="4" w:space="0"/>
              <w:right w:val="single" w:color="auto" w:sz="4" w:space="0"/>
            </w:tcBorders>
            <w:vAlign w:val="center"/>
          </w:tcPr>
          <w:p w14:paraId="4E234DBF">
            <w:pPr>
              <w:widowControl/>
              <w:jc w:val="center"/>
              <w:rPr>
                <w:rFonts w:hint="default" w:ascii="Arial" w:hAnsi="Arial" w:cs="Arial"/>
                <w:bCs/>
                <w:kern w:val="0"/>
                <w:szCs w:val="21"/>
                <w:highlight w:val="none"/>
              </w:rPr>
            </w:pPr>
            <w:r>
              <w:rPr>
                <w:rFonts w:hint="default" w:ascii="Arial" w:hAnsi="Arial" w:cs="Arial"/>
                <w:bCs/>
                <w:kern w:val="0"/>
                <w:szCs w:val="21"/>
                <w:highlight w:val="none"/>
              </w:rPr>
              <w:t>人</w:t>
            </w:r>
          </w:p>
        </w:tc>
        <w:tc>
          <w:tcPr>
            <w:tcW w:w="1630" w:type="dxa"/>
            <w:tcBorders>
              <w:top w:val="nil"/>
              <w:left w:val="nil"/>
              <w:bottom w:val="single" w:color="auto" w:sz="4" w:space="0"/>
              <w:right w:val="single" w:color="auto" w:sz="4" w:space="0"/>
            </w:tcBorders>
            <w:vAlign w:val="center"/>
          </w:tcPr>
          <w:p w14:paraId="47989ACB">
            <w:pPr>
              <w:widowControl/>
              <w:jc w:val="center"/>
              <w:rPr>
                <w:rFonts w:hint="default" w:ascii="Arial" w:hAnsi="Arial" w:cs="Arial"/>
                <w:bCs/>
                <w:kern w:val="0"/>
                <w:szCs w:val="21"/>
                <w:highlight w:val="none"/>
              </w:rPr>
            </w:pPr>
            <w:r>
              <w:rPr>
                <w:rFonts w:hint="default" w:ascii="Arial" w:hAnsi="Arial" w:cs="Arial"/>
                <w:bCs/>
                <w:kern w:val="0"/>
                <w:szCs w:val="21"/>
                <w:highlight w:val="none"/>
              </w:rPr>
              <w:t>300≤X＜1000</w:t>
            </w:r>
          </w:p>
        </w:tc>
        <w:tc>
          <w:tcPr>
            <w:tcW w:w="1358" w:type="dxa"/>
            <w:tcBorders>
              <w:top w:val="nil"/>
              <w:left w:val="nil"/>
              <w:bottom w:val="single" w:color="auto" w:sz="4" w:space="0"/>
              <w:right w:val="single" w:color="auto" w:sz="4" w:space="0"/>
            </w:tcBorders>
            <w:vAlign w:val="center"/>
          </w:tcPr>
          <w:p w14:paraId="124D2A8F">
            <w:pPr>
              <w:widowControl/>
              <w:jc w:val="center"/>
              <w:rPr>
                <w:rFonts w:hint="default" w:ascii="Arial" w:hAnsi="Arial" w:cs="Arial"/>
                <w:bCs/>
                <w:kern w:val="0"/>
                <w:szCs w:val="21"/>
                <w:highlight w:val="none"/>
              </w:rPr>
            </w:pPr>
            <w:r>
              <w:rPr>
                <w:rFonts w:hint="default" w:ascii="Arial" w:hAnsi="Arial" w:cs="Arial"/>
                <w:bCs/>
                <w:kern w:val="0"/>
                <w:szCs w:val="21"/>
                <w:highlight w:val="none"/>
              </w:rPr>
              <w:t>20≤X＜300</w:t>
            </w:r>
          </w:p>
        </w:tc>
        <w:tc>
          <w:tcPr>
            <w:tcW w:w="1023" w:type="dxa"/>
            <w:tcBorders>
              <w:top w:val="nil"/>
              <w:left w:val="nil"/>
              <w:bottom w:val="single" w:color="auto" w:sz="4" w:space="0"/>
              <w:right w:val="single" w:color="auto" w:sz="4" w:space="0"/>
            </w:tcBorders>
            <w:vAlign w:val="center"/>
          </w:tcPr>
          <w:p w14:paraId="742938A5">
            <w:pPr>
              <w:widowControl/>
              <w:jc w:val="center"/>
              <w:rPr>
                <w:rFonts w:hint="default" w:ascii="Arial" w:hAnsi="Arial" w:cs="Arial"/>
                <w:bCs/>
                <w:kern w:val="0"/>
                <w:szCs w:val="21"/>
                <w:highlight w:val="none"/>
              </w:rPr>
            </w:pPr>
            <w:r>
              <w:rPr>
                <w:rFonts w:hint="default" w:ascii="Arial" w:hAnsi="Arial" w:cs="Arial"/>
                <w:bCs/>
                <w:kern w:val="0"/>
                <w:szCs w:val="21"/>
                <w:highlight w:val="none"/>
              </w:rPr>
              <w:t>X＜20</w:t>
            </w:r>
          </w:p>
        </w:tc>
      </w:tr>
      <w:tr w14:paraId="1A1ACD77">
        <w:tblPrEx>
          <w:tblCellMar>
            <w:top w:w="0" w:type="dxa"/>
            <w:left w:w="108" w:type="dxa"/>
            <w:bottom w:w="0" w:type="dxa"/>
            <w:right w:w="108" w:type="dxa"/>
          </w:tblCellMar>
        </w:tblPrEx>
        <w:trPr>
          <w:trHeight w:val="90" w:hRule="atLeast"/>
          <w:jc w:val="center"/>
        </w:trPr>
        <w:tc>
          <w:tcPr>
            <w:tcW w:w="1505" w:type="dxa"/>
            <w:vMerge w:val="continue"/>
            <w:tcBorders>
              <w:top w:val="nil"/>
              <w:left w:val="single" w:color="auto" w:sz="4" w:space="0"/>
              <w:bottom w:val="single" w:color="auto" w:sz="4" w:space="0"/>
              <w:right w:val="single" w:color="auto" w:sz="4" w:space="0"/>
            </w:tcBorders>
            <w:vAlign w:val="center"/>
          </w:tcPr>
          <w:p w14:paraId="6B05E75D">
            <w:pPr>
              <w:widowControl/>
              <w:jc w:val="center"/>
              <w:rPr>
                <w:rFonts w:hint="default" w:ascii="Arial" w:hAnsi="Arial" w:cs="Arial"/>
                <w:bCs/>
                <w:kern w:val="0"/>
                <w:szCs w:val="21"/>
                <w:highlight w:val="none"/>
              </w:rPr>
            </w:pPr>
          </w:p>
        </w:tc>
        <w:tc>
          <w:tcPr>
            <w:tcW w:w="1702" w:type="dxa"/>
            <w:tcBorders>
              <w:top w:val="nil"/>
              <w:left w:val="nil"/>
              <w:bottom w:val="single" w:color="auto" w:sz="4" w:space="0"/>
              <w:right w:val="single" w:color="auto" w:sz="4" w:space="0"/>
            </w:tcBorders>
            <w:vAlign w:val="center"/>
          </w:tcPr>
          <w:p w14:paraId="4AFE59E3">
            <w:pPr>
              <w:widowControl/>
              <w:jc w:val="center"/>
              <w:rPr>
                <w:rFonts w:hint="default" w:ascii="Arial" w:hAnsi="Arial" w:cs="Arial"/>
                <w:bCs/>
                <w:kern w:val="0"/>
                <w:szCs w:val="21"/>
                <w:highlight w:val="none"/>
              </w:rPr>
            </w:pPr>
            <w:r>
              <w:rPr>
                <w:rFonts w:hint="default" w:ascii="Arial" w:hAnsi="Arial" w:cs="Arial"/>
                <w:bCs/>
                <w:kern w:val="0"/>
                <w:szCs w:val="21"/>
                <w:highlight w:val="none"/>
              </w:rPr>
              <w:t>营业收入（Y）</w:t>
            </w:r>
          </w:p>
        </w:tc>
        <w:tc>
          <w:tcPr>
            <w:tcW w:w="1079" w:type="dxa"/>
            <w:tcBorders>
              <w:top w:val="nil"/>
              <w:left w:val="nil"/>
              <w:bottom w:val="single" w:color="auto" w:sz="4" w:space="0"/>
              <w:right w:val="single" w:color="auto" w:sz="4" w:space="0"/>
            </w:tcBorders>
            <w:vAlign w:val="center"/>
          </w:tcPr>
          <w:p w14:paraId="3FC53291">
            <w:pPr>
              <w:widowControl/>
              <w:jc w:val="center"/>
              <w:rPr>
                <w:rFonts w:hint="default" w:ascii="Arial" w:hAnsi="Arial" w:cs="Arial"/>
                <w:bCs/>
                <w:kern w:val="0"/>
                <w:szCs w:val="21"/>
                <w:highlight w:val="none"/>
              </w:rPr>
            </w:pPr>
            <w:r>
              <w:rPr>
                <w:rFonts w:hint="default" w:ascii="Arial" w:hAnsi="Arial" w:cs="Arial"/>
                <w:bCs/>
                <w:kern w:val="0"/>
                <w:szCs w:val="21"/>
                <w:highlight w:val="none"/>
              </w:rPr>
              <w:t>万元</w:t>
            </w:r>
          </w:p>
        </w:tc>
        <w:tc>
          <w:tcPr>
            <w:tcW w:w="1630" w:type="dxa"/>
            <w:tcBorders>
              <w:top w:val="nil"/>
              <w:left w:val="nil"/>
              <w:bottom w:val="single" w:color="auto" w:sz="4" w:space="0"/>
              <w:right w:val="single" w:color="auto" w:sz="4" w:space="0"/>
            </w:tcBorders>
            <w:vAlign w:val="center"/>
          </w:tcPr>
          <w:p w14:paraId="761023EC">
            <w:pPr>
              <w:widowControl/>
              <w:jc w:val="center"/>
              <w:rPr>
                <w:rFonts w:hint="default" w:ascii="Arial" w:hAnsi="Arial" w:cs="Arial"/>
                <w:bCs/>
                <w:kern w:val="0"/>
                <w:szCs w:val="21"/>
                <w:highlight w:val="none"/>
              </w:rPr>
            </w:pPr>
            <w:r>
              <w:rPr>
                <w:rFonts w:hint="default" w:ascii="Arial" w:hAnsi="Arial" w:cs="Arial"/>
                <w:bCs/>
                <w:kern w:val="0"/>
                <w:szCs w:val="21"/>
                <w:highlight w:val="none"/>
              </w:rPr>
              <w:t>2000≤Y＜30000</w:t>
            </w:r>
          </w:p>
        </w:tc>
        <w:tc>
          <w:tcPr>
            <w:tcW w:w="1358" w:type="dxa"/>
            <w:tcBorders>
              <w:top w:val="nil"/>
              <w:left w:val="nil"/>
              <w:bottom w:val="single" w:color="auto" w:sz="4" w:space="0"/>
              <w:right w:val="single" w:color="auto" w:sz="4" w:space="0"/>
            </w:tcBorders>
            <w:vAlign w:val="center"/>
          </w:tcPr>
          <w:p w14:paraId="17B76964">
            <w:pPr>
              <w:widowControl/>
              <w:jc w:val="center"/>
              <w:rPr>
                <w:rFonts w:hint="default" w:ascii="Arial" w:hAnsi="Arial" w:cs="Arial"/>
                <w:bCs/>
                <w:kern w:val="0"/>
                <w:szCs w:val="21"/>
                <w:highlight w:val="none"/>
              </w:rPr>
            </w:pPr>
            <w:r>
              <w:rPr>
                <w:rFonts w:hint="default" w:ascii="Arial" w:hAnsi="Arial" w:cs="Arial"/>
                <w:bCs/>
                <w:kern w:val="0"/>
                <w:szCs w:val="21"/>
                <w:highlight w:val="none"/>
              </w:rPr>
              <w:t>100≤Y＜2000</w:t>
            </w:r>
          </w:p>
        </w:tc>
        <w:tc>
          <w:tcPr>
            <w:tcW w:w="1023" w:type="dxa"/>
            <w:tcBorders>
              <w:top w:val="nil"/>
              <w:left w:val="nil"/>
              <w:bottom w:val="single" w:color="auto" w:sz="4" w:space="0"/>
              <w:right w:val="single" w:color="auto" w:sz="4" w:space="0"/>
            </w:tcBorders>
            <w:vAlign w:val="center"/>
          </w:tcPr>
          <w:p w14:paraId="094C1D56">
            <w:pPr>
              <w:widowControl/>
              <w:jc w:val="center"/>
              <w:rPr>
                <w:rFonts w:hint="default" w:ascii="Arial" w:hAnsi="Arial" w:cs="Arial"/>
                <w:bCs/>
                <w:kern w:val="0"/>
                <w:szCs w:val="21"/>
                <w:highlight w:val="none"/>
              </w:rPr>
            </w:pPr>
            <w:r>
              <w:rPr>
                <w:rFonts w:hint="default" w:ascii="Arial" w:hAnsi="Arial" w:cs="Arial"/>
                <w:bCs/>
                <w:kern w:val="0"/>
                <w:szCs w:val="21"/>
                <w:highlight w:val="none"/>
              </w:rPr>
              <w:t>Y＜100</w:t>
            </w:r>
          </w:p>
        </w:tc>
      </w:tr>
      <w:tr w14:paraId="7B0C1C31">
        <w:tblPrEx>
          <w:tblCellMar>
            <w:top w:w="0" w:type="dxa"/>
            <w:left w:w="108" w:type="dxa"/>
            <w:bottom w:w="0" w:type="dxa"/>
            <w:right w:w="108" w:type="dxa"/>
          </w:tblCellMar>
        </w:tblPrEx>
        <w:trPr>
          <w:trHeight w:val="90" w:hRule="atLeast"/>
          <w:jc w:val="center"/>
        </w:trPr>
        <w:tc>
          <w:tcPr>
            <w:tcW w:w="1505" w:type="dxa"/>
            <w:vMerge w:val="restart"/>
            <w:tcBorders>
              <w:top w:val="nil"/>
              <w:left w:val="single" w:color="auto" w:sz="4" w:space="0"/>
              <w:bottom w:val="single" w:color="auto" w:sz="4" w:space="0"/>
              <w:right w:val="single" w:color="auto" w:sz="4" w:space="0"/>
            </w:tcBorders>
            <w:vAlign w:val="center"/>
          </w:tcPr>
          <w:p w14:paraId="4D1039AB">
            <w:pPr>
              <w:widowControl/>
              <w:jc w:val="center"/>
              <w:rPr>
                <w:rFonts w:hint="default" w:ascii="Arial" w:hAnsi="Arial" w:cs="Arial"/>
                <w:bCs/>
                <w:kern w:val="0"/>
                <w:szCs w:val="21"/>
                <w:highlight w:val="none"/>
              </w:rPr>
            </w:pPr>
            <w:r>
              <w:rPr>
                <w:rFonts w:hint="default" w:ascii="Arial" w:hAnsi="Arial" w:cs="Arial"/>
                <w:bCs/>
                <w:kern w:val="0"/>
                <w:szCs w:val="21"/>
                <w:highlight w:val="none"/>
              </w:rPr>
              <w:t>住宿业</w:t>
            </w:r>
          </w:p>
        </w:tc>
        <w:tc>
          <w:tcPr>
            <w:tcW w:w="1702" w:type="dxa"/>
            <w:tcBorders>
              <w:top w:val="nil"/>
              <w:left w:val="nil"/>
              <w:bottom w:val="single" w:color="auto" w:sz="4" w:space="0"/>
              <w:right w:val="single" w:color="auto" w:sz="4" w:space="0"/>
            </w:tcBorders>
            <w:vAlign w:val="center"/>
          </w:tcPr>
          <w:p w14:paraId="1410AF12">
            <w:pPr>
              <w:widowControl/>
              <w:jc w:val="center"/>
              <w:rPr>
                <w:rFonts w:hint="default" w:ascii="Arial" w:hAnsi="Arial" w:cs="Arial"/>
                <w:bCs/>
                <w:kern w:val="0"/>
                <w:szCs w:val="21"/>
                <w:highlight w:val="none"/>
              </w:rPr>
            </w:pPr>
            <w:r>
              <w:rPr>
                <w:rFonts w:hint="default" w:ascii="Arial" w:hAnsi="Arial" w:cs="Arial"/>
                <w:bCs/>
                <w:kern w:val="0"/>
                <w:szCs w:val="21"/>
                <w:highlight w:val="none"/>
              </w:rPr>
              <w:t>从业人员（X）</w:t>
            </w:r>
          </w:p>
        </w:tc>
        <w:tc>
          <w:tcPr>
            <w:tcW w:w="1079" w:type="dxa"/>
            <w:tcBorders>
              <w:top w:val="nil"/>
              <w:left w:val="nil"/>
              <w:bottom w:val="single" w:color="auto" w:sz="4" w:space="0"/>
              <w:right w:val="single" w:color="auto" w:sz="4" w:space="0"/>
            </w:tcBorders>
            <w:vAlign w:val="center"/>
          </w:tcPr>
          <w:p w14:paraId="228A13AA">
            <w:pPr>
              <w:widowControl/>
              <w:jc w:val="center"/>
              <w:rPr>
                <w:rFonts w:hint="default" w:ascii="Arial" w:hAnsi="Arial" w:cs="Arial"/>
                <w:bCs/>
                <w:kern w:val="0"/>
                <w:szCs w:val="21"/>
                <w:highlight w:val="none"/>
              </w:rPr>
            </w:pPr>
            <w:r>
              <w:rPr>
                <w:rFonts w:hint="default" w:ascii="Arial" w:hAnsi="Arial" w:cs="Arial"/>
                <w:bCs/>
                <w:kern w:val="0"/>
                <w:szCs w:val="21"/>
                <w:highlight w:val="none"/>
              </w:rPr>
              <w:t>人</w:t>
            </w:r>
          </w:p>
        </w:tc>
        <w:tc>
          <w:tcPr>
            <w:tcW w:w="1630" w:type="dxa"/>
            <w:tcBorders>
              <w:top w:val="nil"/>
              <w:left w:val="nil"/>
              <w:bottom w:val="single" w:color="auto" w:sz="4" w:space="0"/>
              <w:right w:val="single" w:color="auto" w:sz="4" w:space="0"/>
            </w:tcBorders>
            <w:vAlign w:val="center"/>
          </w:tcPr>
          <w:p w14:paraId="79396E9C">
            <w:pPr>
              <w:widowControl/>
              <w:jc w:val="center"/>
              <w:rPr>
                <w:rFonts w:hint="default" w:ascii="Arial" w:hAnsi="Arial" w:cs="Arial"/>
                <w:bCs/>
                <w:kern w:val="0"/>
                <w:szCs w:val="21"/>
                <w:highlight w:val="none"/>
              </w:rPr>
            </w:pPr>
            <w:r>
              <w:rPr>
                <w:rFonts w:hint="default" w:ascii="Arial" w:hAnsi="Arial" w:cs="Arial"/>
                <w:bCs/>
                <w:kern w:val="0"/>
                <w:szCs w:val="21"/>
                <w:highlight w:val="none"/>
              </w:rPr>
              <w:t>100≤X＜300</w:t>
            </w:r>
          </w:p>
        </w:tc>
        <w:tc>
          <w:tcPr>
            <w:tcW w:w="1358" w:type="dxa"/>
            <w:tcBorders>
              <w:top w:val="nil"/>
              <w:left w:val="nil"/>
              <w:bottom w:val="single" w:color="auto" w:sz="4" w:space="0"/>
              <w:right w:val="single" w:color="auto" w:sz="4" w:space="0"/>
            </w:tcBorders>
            <w:vAlign w:val="center"/>
          </w:tcPr>
          <w:p w14:paraId="1F284131">
            <w:pPr>
              <w:widowControl/>
              <w:jc w:val="center"/>
              <w:rPr>
                <w:rFonts w:hint="default" w:ascii="Arial" w:hAnsi="Arial" w:cs="Arial"/>
                <w:bCs/>
                <w:kern w:val="0"/>
                <w:szCs w:val="21"/>
                <w:highlight w:val="none"/>
              </w:rPr>
            </w:pPr>
            <w:r>
              <w:rPr>
                <w:rFonts w:hint="default" w:ascii="Arial" w:hAnsi="Arial" w:cs="Arial"/>
                <w:bCs/>
                <w:kern w:val="0"/>
                <w:szCs w:val="21"/>
                <w:highlight w:val="none"/>
              </w:rPr>
              <w:t>10≤X＜100</w:t>
            </w:r>
          </w:p>
        </w:tc>
        <w:tc>
          <w:tcPr>
            <w:tcW w:w="1023" w:type="dxa"/>
            <w:tcBorders>
              <w:top w:val="nil"/>
              <w:left w:val="nil"/>
              <w:bottom w:val="single" w:color="auto" w:sz="4" w:space="0"/>
              <w:right w:val="single" w:color="auto" w:sz="4" w:space="0"/>
            </w:tcBorders>
            <w:vAlign w:val="center"/>
          </w:tcPr>
          <w:p w14:paraId="0FA437CC">
            <w:pPr>
              <w:widowControl/>
              <w:jc w:val="center"/>
              <w:rPr>
                <w:rFonts w:hint="default" w:ascii="Arial" w:hAnsi="Arial" w:cs="Arial"/>
                <w:bCs/>
                <w:kern w:val="0"/>
                <w:szCs w:val="21"/>
                <w:highlight w:val="none"/>
              </w:rPr>
            </w:pPr>
            <w:r>
              <w:rPr>
                <w:rFonts w:hint="default" w:ascii="Arial" w:hAnsi="Arial" w:cs="Arial"/>
                <w:bCs/>
                <w:kern w:val="0"/>
                <w:szCs w:val="21"/>
                <w:highlight w:val="none"/>
              </w:rPr>
              <w:t>X＜10</w:t>
            </w:r>
          </w:p>
        </w:tc>
      </w:tr>
      <w:tr w14:paraId="0D1461B2">
        <w:tblPrEx>
          <w:tblCellMar>
            <w:top w:w="0" w:type="dxa"/>
            <w:left w:w="108" w:type="dxa"/>
            <w:bottom w:w="0" w:type="dxa"/>
            <w:right w:w="108" w:type="dxa"/>
          </w:tblCellMar>
        </w:tblPrEx>
        <w:trPr>
          <w:trHeight w:val="90" w:hRule="atLeast"/>
          <w:jc w:val="center"/>
        </w:trPr>
        <w:tc>
          <w:tcPr>
            <w:tcW w:w="1505" w:type="dxa"/>
            <w:vMerge w:val="continue"/>
            <w:tcBorders>
              <w:top w:val="nil"/>
              <w:left w:val="single" w:color="auto" w:sz="4" w:space="0"/>
              <w:bottom w:val="single" w:color="auto" w:sz="4" w:space="0"/>
              <w:right w:val="single" w:color="auto" w:sz="4" w:space="0"/>
            </w:tcBorders>
            <w:vAlign w:val="center"/>
          </w:tcPr>
          <w:p w14:paraId="06A4DFEF">
            <w:pPr>
              <w:widowControl/>
              <w:jc w:val="center"/>
              <w:rPr>
                <w:rFonts w:hint="default" w:ascii="Arial" w:hAnsi="Arial" w:cs="Arial"/>
                <w:bCs/>
                <w:kern w:val="0"/>
                <w:szCs w:val="21"/>
                <w:highlight w:val="none"/>
              </w:rPr>
            </w:pPr>
          </w:p>
        </w:tc>
        <w:tc>
          <w:tcPr>
            <w:tcW w:w="1702" w:type="dxa"/>
            <w:tcBorders>
              <w:top w:val="nil"/>
              <w:left w:val="nil"/>
              <w:bottom w:val="single" w:color="auto" w:sz="4" w:space="0"/>
              <w:right w:val="single" w:color="auto" w:sz="4" w:space="0"/>
            </w:tcBorders>
            <w:vAlign w:val="center"/>
          </w:tcPr>
          <w:p w14:paraId="6EF3F01E">
            <w:pPr>
              <w:widowControl/>
              <w:jc w:val="center"/>
              <w:rPr>
                <w:rFonts w:hint="default" w:ascii="Arial" w:hAnsi="Arial" w:cs="Arial"/>
                <w:bCs/>
                <w:kern w:val="0"/>
                <w:szCs w:val="21"/>
                <w:highlight w:val="none"/>
              </w:rPr>
            </w:pPr>
            <w:r>
              <w:rPr>
                <w:rFonts w:hint="default" w:ascii="Arial" w:hAnsi="Arial" w:cs="Arial"/>
                <w:bCs/>
                <w:kern w:val="0"/>
                <w:szCs w:val="21"/>
                <w:highlight w:val="none"/>
              </w:rPr>
              <w:t>营业收入（Y）</w:t>
            </w:r>
          </w:p>
        </w:tc>
        <w:tc>
          <w:tcPr>
            <w:tcW w:w="1079" w:type="dxa"/>
            <w:tcBorders>
              <w:top w:val="nil"/>
              <w:left w:val="nil"/>
              <w:bottom w:val="single" w:color="auto" w:sz="4" w:space="0"/>
              <w:right w:val="single" w:color="auto" w:sz="4" w:space="0"/>
            </w:tcBorders>
            <w:vAlign w:val="center"/>
          </w:tcPr>
          <w:p w14:paraId="709DA49F">
            <w:pPr>
              <w:widowControl/>
              <w:jc w:val="center"/>
              <w:rPr>
                <w:rFonts w:hint="default" w:ascii="Arial" w:hAnsi="Arial" w:cs="Arial"/>
                <w:bCs/>
                <w:kern w:val="0"/>
                <w:szCs w:val="21"/>
                <w:highlight w:val="none"/>
              </w:rPr>
            </w:pPr>
            <w:r>
              <w:rPr>
                <w:rFonts w:hint="default" w:ascii="Arial" w:hAnsi="Arial" w:cs="Arial"/>
                <w:bCs/>
                <w:kern w:val="0"/>
                <w:szCs w:val="21"/>
                <w:highlight w:val="none"/>
              </w:rPr>
              <w:t>万元</w:t>
            </w:r>
          </w:p>
        </w:tc>
        <w:tc>
          <w:tcPr>
            <w:tcW w:w="1630" w:type="dxa"/>
            <w:tcBorders>
              <w:top w:val="nil"/>
              <w:left w:val="nil"/>
              <w:bottom w:val="single" w:color="auto" w:sz="4" w:space="0"/>
              <w:right w:val="single" w:color="auto" w:sz="4" w:space="0"/>
            </w:tcBorders>
            <w:vAlign w:val="center"/>
          </w:tcPr>
          <w:p w14:paraId="1AF1168C">
            <w:pPr>
              <w:widowControl/>
              <w:jc w:val="center"/>
              <w:rPr>
                <w:rFonts w:hint="default" w:ascii="Arial" w:hAnsi="Arial" w:cs="Arial"/>
                <w:bCs/>
                <w:kern w:val="0"/>
                <w:szCs w:val="21"/>
                <w:highlight w:val="none"/>
              </w:rPr>
            </w:pPr>
            <w:r>
              <w:rPr>
                <w:rFonts w:hint="default" w:ascii="Arial" w:hAnsi="Arial" w:cs="Arial"/>
                <w:bCs/>
                <w:kern w:val="0"/>
                <w:szCs w:val="21"/>
                <w:highlight w:val="none"/>
              </w:rPr>
              <w:t>2000≤Y＜10000</w:t>
            </w:r>
          </w:p>
        </w:tc>
        <w:tc>
          <w:tcPr>
            <w:tcW w:w="1358" w:type="dxa"/>
            <w:tcBorders>
              <w:top w:val="nil"/>
              <w:left w:val="nil"/>
              <w:bottom w:val="single" w:color="auto" w:sz="4" w:space="0"/>
              <w:right w:val="single" w:color="auto" w:sz="4" w:space="0"/>
            </w:tcBorders>
            <w:vAlign w:val="center"/>
          </w:tcPr>
          <w:p w14:paraId="3E9E2E9D">
            <w:pPr>
              <w:widowControl/>
              <w:jc w:val="center"/>
              <w:rPr>
                <w:rFonts w:hint="default" w:ascii="Arial" w:hAnsi="Arial" w:cs="Arial"/>
                <w:bCs/>
                <w:kern w:val="0"/>
                <w:szCs w:val="21"/>
                <w:highlight w:val="none"/>
              </w:rPr>
            </w:pPr>
            <w:r>
              <w:rPr>
                <w:rFonts w:hint="default" w:ascii="Arial" w:hAnsi="Arial" w:cs="Arial"/>
                <w:bCs/>
                <w:kern w:val="0"/>
                <w:szCs w:val="21"/>
                <w:highlight w:val="none"/>
              </w:rPr>
              <w:t>100≤Y＜2000</w:t>
            </w:r>
          </w:p>
        </w:tc>
        <w:tc>
          <w:tcPr>
            <w:tcW w:w="1023" w:type="dxa"/>
            <w:tcBorders>
              <w:top w:val="nil"/>
              <w:left w:val="nil"/>
              <w:bottom w:val="single" w:color="auto" w:sz="4" w:space="0"/>
              <w:right w:val="single" w:color="auto" w:sz="4" w:space="0"/>
            </w:tcBorders>
            <w:vAlign w:val="center"/>
          </w:tcPr>
          <w:p w14:paraId="5239826F">
            <w:pPr>
              <w:widowControl/>
              <w:jc w:val="center"/>
              <w:rPr>
                <w:rFonts w:hint="default" w:ascii="Arial" w:hAnsi="Arial" w:cs="Arial"/>
                <w:bCs/>
                <w:kern w:val="0"/>
                <w:szCs w:val="21"/>
                <w:highlight w:val="none"/>
              </w:rPr>
            </w:pPr>
            <w:r>
              <w:rPr>
                <w:rFonts w:hint="default" w:ascii="Arial" w:hAnsi="Arial" w:cs="Arial"/>
                <w:bCs/>
                <w:kern w:val="0"/>
                <w:szCs w:val="21"/>
                <w:highlight w:val="none"/>
              </w:rPr>
              <w:t>Y＜100</w:t>
            </w:r>
          </w:p>
        </w:tc>
      </w:tr>
      <w:tr w14:paraId="5B6FA350">
        <w:tblPrEx>
          <w:tblCellMar>
            <w:top w:w="0" w:type="dxa"/>
            <w:left w:w="108" w:type="dxa"/>
            <w:bottom w:w="0" w:type="dxa"/>
            <w:right w:w="108" w:type="dxa"/>
          </w:tblCellMar>
        </w:tblPrEx>
        <w:trPr>
          <w:trHeight w:val="90" w:hRule="atLeast"/>
          <w:jc w:val="center"/>
        </w:trPr>
        <w:tc>
          <w:tcPr>
            <w:tcW w:w="1505" w:type="dxa"/>
            <w:vMerge w:val="restart"/>
            <w:tcBorders>
              <w:top w:val="nil"/>
              <w:left w:val="single" w:color="auto" w:sz="4" w:space="0"/>
              <w:bottom w:val="single" w:color="auto" w:sz="4" w:space="0"/>
              <w:right w:val="single" w:color="auto" w:sz="4" w:space="0"/>
            </w:tcBorders>
            <w:vAlign w:val="center"/>
          </w:tcPr>
          <w:p w14:paraId="75F3D8EA">
            <w:pPr>
              <w:widowControl/>
              <w:jc w:val="center"/>
              <w:rPr>
                <w:rFonts w:hint="default" w:ascii="Arial" w:hAnsi="Arial" w:cs="Arial"/>
                <w:bCs/>
                <w:kern w:val="0"/>
                <w:szCs w:val="21"/>
                <w:highlight w:val="none"/>
              </w:rPr>
            </w:pPr>
            <w:r>
              <w:rPr>
                <w:rFonts w:hint="default" w:ascii="Arial" w:hAnsi="Arial" w:cs="Arial"/>
                <w:bCs/>
                <w:kern w:val="0"/>
                <w:szCs w:val="21"/>
                <w:highlight w:val="none"/>
              </w:rPr>
              <w:t>餐饮业</w:t>
            </w:r>
          </w:p>
        </w:tc>
        <w:tc>
          <w:tcPr>
            <w:tcW w:w="1702" w:type="dxa"/>
            <w:tcBorders>
              <w:top w:val="nil"/>
              <w:left w:val="nil"/>
              <w:bottom w:val="single" w:color="auto" w:sz="4" w:space="0"/>
              <w:right w:val="single" w:color="auto" w:sz="4" w:space="0"/>
            </w:tcBorders>
            <w:vAlign w:val="center"/>
          </w:tcPr>
          <w:p w14:paraId="0EED6F45">
            <w:pPr>
              <w:widowControl/>
              <w:jc w:val="center"/>
              <w:rPr>
                <w:rFonts w:hint="default" w:ascii="Arial" w:hAnsi="Arial" w:cs="Arial"/>
                <w:bCs/>
                <w:kern w:val="0"/>
                <w:szCs w:val="21"/>
                <w:highlight w:val="none"/>
              </w:rPr>
            </w:pPr>
            <w:r>
              <w:rPr>
                <w:rFonts w:hint="default" w:ascii="Arial" w:hAnsi="Arial" w:cs="Arial"/>
                <w:bCs/>
                <w:kern w:val="0"/>
                <w:szCs w:val="21"/>
                <w:highlight w:val="none"/>
              </w:rPr>
              <w:t>从业人员（X）</w:t>
            </w:r>
          </w:p>
        </w:tc>
        <w:tc>
          <w:tcPr>
            <w:tcW w:w="1079" w:type="dxa"/>
            <w:tcBorders>
              <w:top w:val="nil"/>
              <w:left w:val="nil"/>
              <w:bottom w:val="single" w:color="auto" w:sz="4" w:space="0"/>
              <w:right w:val="single" w:color="auto" w:sz="4" w:space="0"/>
            </w:tcBorders>
            <w:vAlign w:val="center"/>
          </w:tcPr>
          <w:p w14:paraId="6F61A37F">
            <w:pPr>
              <w:widowControl/>
              <w:jc w:val="center"/>
              <w:rPr>
                <w:rFonts w:hint="default" w:ascii="Arial" w:hAnsi="Arial" w:cs="Arial"/>
                <w:bCs/>
                <w:kern w:val="0"/>
                <w:szCs w:val="21"/>
                <w:highlight w:val="none"/>
              </w:rPr>
            </w:pPr>
            <w:r>
              <w:rPr>
                <w:rFonts w:hint="default" w:ascii="Arial" w:hAnsi="Arial" w:cs="Arial"/>
                <w:bCs/>
                <w:kern w:val="0"/>
                <w:szCs w:val="21"/>
                <w:highlight w:val="none"/>
              </w:rPr>
              <w:t>人</w:t>
            </w:r>
          </w:p>
        </w:tc>
        <w:tc>
          <w:tcPr>
            <w:tcW w:w="1630" w:type="dxa"/>
            <w:tcBorders>
              <w:top w:val="nil"/>
              <w:left w:val="nil"/>
              <w:bottom w:val="single" w:color="auto" w:sz="4" w:space="0"/>
              <w:right w:val="single" w:color="auto" w:sz="4" w:space="0"/>
            </w:tcBorders>
            <w:vAlign w:val="center"/>
          </w:tcPr>
          <w:p w14:paraId="24C5E681">
            <w:pPr>
              <w:widowControl/>
              <w:jc w:val="center"/>
              <w:rPr>
                <w:rFonts w:hint="default" w:ascii="Arial" w:hAnsi="Arial" w:cs="Arial"/>
                <w:bCs/>
                <w:kern w:val="0"/>
                <w:szCs w:val="21"/>
                <w:highlight w:val="none"/>
              </w:rPr>
            </w:pPr>
            <w:r>
              <w:rPr>
                <w:rFonts w:hint="default" w:ascii="Arial" w:hAnsi="Arial" w:cs="Arial"/>
                <w:bCs/>
                <w:kern w:val="0"/>
                <w:szCs w:val="21"/>
                <w:highlight w:val="none"/>
              </w:rPr>
              <w:t>100≤X＜300</w:t>
            </w:r>
          </w:p>
        </w:tc>
        <w:tc>
          <w:tcPr>
            <w:tcW w:w="1358" w:type="dxa"/>
            <w:tcBorders>
              <w:top w:val="nil"/>
              <w:left w:val="nil"/>
              <w:bottom w:val="single" w:color="auto" w:sz="4" w:space="0"/>
              <w:right w:val="single" w:color="auto" w:sz="4" w:space="0"/>
            </w:tcBorders>
            <w:vAlign w:val="center"/>
          </w:tcPr>
          <w:p w14:paraId="6E4EBBFA">
            <w:pPr>
              <w:widowControl/>
              <w:jc w:val="center"/>
              <w:rPr>
                <w:rFonts w:hint="default" w:ascii="Arial" w:hAnsi="Arial" w:cs="Arial"/>
                <w:bCs/>
                <w:kern w:val="0"/>
                <w:szCs w:val="21"/>
                <w:highlight w:val="none"/>
              </w:rPr>
            </w:pPr>
            <w:r>
              <w:rPr>
                <w:rFonts w:hint="default" w:ascii="Arial" w:hAnsi="Arial" w:cs="Arial"/>
                <w:bCs/>
                <w:kern w:val="0"/>
                <w:szCs w:val="21"/>
                <w:highlight w:val="none"/>
              </w:rPr>
              <w:t>10≤X＜100</w:t>
            </w:r>
          </w:p>
        </w:tc>
        <w:tc>
          <w:tcPr>
            <w:tcW w:w="1023" w:type="dxa"/>
            <w:tcBorders>
              <w:top w:val="nil"/>
              <w:left w:val="nil"/>
              <w:bottom w:val="single" w:color="auto" w:sz="4" w:space="0"/>
              <w:right w:val="single" w:color="auto" w:sz="4" w:space="0"/>
            </w:tcBorders>
            <w:vAlign w:val="center"/>
          </w:tcPr>
          <w:p w14:paraId="4E50E984">
            <w:pPr>
              <w:widowControl/>
              <w:jc w:val="center"/>
              <w:rPr>
                <w:rFonts w:hint="default" w:ascii="Arial" w:hAnsi="Arial" w:cs="Arial"/>
                <w:bCs/>
                <w:kern w:val="0"/>
                <w:szCs w:val="21"/>
                <w:highlight w:val="none"/>
              </w:rPr>
            </w:pPr>
            <w:r>
              <w:rPr>
                <w:rFonts w:hint="default" w:ascii="Arial" w:hAnsi="Arial" w:cs="Arial"/>
                <w:bCs/>
                <w:kern w:val="0"/>
                <w:szCs w:val="21"/>
                <w:highlight w:val="none"/>
              </w:rPr>
              <w:t>X＜10</w:t>
            </w:r>
          </w:p>
        </w:tc>
      </w:tr>
      <w:tr w14:paraId="74AD7E56">
        <w:tblPrEx>
          <w:tblCellMar>
            <w:top w:w="0" w:type="dxa"/>
            <w:left w:w="108" w:type="dxa"/>
            <w:bottom w:w="0" w:type="dxa"/>
            <w:right w:w="108" w:type="dxa"/>
          </w:tblCellMar>
        </w:tblPrEx>
        <w:trPr>
          <w:trHeight w:val="90" w:hRule="atLeast"/>
          <w:jc w:val="center"/>
        </w:trPr>
        <w:tc>
          <w:tcPr>
            <w:tcW w:w="1505" w:type="dxa"/>
            <w:vMerge w:val="continue"/>
            <w:tcBorders>
              <w:top w:val="nil"/>
              <w:left w:val="single" w:color="auto" w:sz="4" w:space="0"/>
              <w:bottom w:val="single" w:color="auto" w:sz="4" w:space="0"/>
              <w:right w:val="single" w:color="auto" w:sz="4" w:space="0"/>
            </w:tcBorders>
            <w:vAlign w:val="center"/>
          </w:tcPr>
          <w:p w14:paraId="1C263E51">
            <w:pPr>
              <w:widowControl/>
              <w:jc w:val="center"/>
              <w:rPr>
                <w:rFonts w:hint="default" w:ascii="Arial" w:hAnsi="Arial" w:cs="Arial"/>
                <w:bCs/>
                <w:kern w:val="0"/>
                <w:szCs w:val="21"/>
                <w:highlight w:val="none"/>
              </w:rPr>
            </w:pPr>
          </w:p>
        </w:tc>
        <w:tc>
          <w:tcPr>
            <w:tcW w:w="1702" w:type="dxa"/>
            <w:tcBorders>
              <w:top w:val="nil"/>
              <w:left w:val="nil"/>
              <w:bottom w:val="single" w:color="auto" w:sz="4" w:space="0"/>
              <w:right w:val="single" w:color="auto" w:sz="4" w:space="0"/>
            </w:tcBorders>
            <w:vAlign w:val="center"/>
          </w:tcPr>
          <w:p w14:paraId="6B2CBF5D">
            <w:pPr>
              <w:widowControl/>
              <w:jc w:val="center"/>
              <w:rPr>
                <w:rFonts w:hint="default" w:ascii="Arial" w:hAnsi="Arial" w:cs="Arial"/>
                <w:bCs/>
                <w:kern w:val="0"/>
                <w:szCs w:val="21"/>
                <w:highlight w:val="none"/>
              </w:rPr>
            </w:pPr>
            <w:r>
              <w:rPr>
                <w:rFonts w:hint="default" w:ascii="Arial" w:hAnsi="Arial" w:cs="Arial"/>
                <w:bCs/>
                <w:kern w:val="0"/>
                <w:szCs w:val="21"/>
                <w:highlight w:val="none"/>
              </w:rPr>
              <w:t>营业收入（Y）</w:t>
            </w:r>
          </w:p>
        </w:tc>
        <w:tc>
          <w:tcPr>
            <w:tcW w:w="1079" w:type="dxa"/>
            <w:tcBorders>
              <w:top w:val="nil"/>
              <w:left w:val="nil"/>
              <w:bottom w:val="single" w:color="auto" w:sz="4" w:space="0"/>
              <w:right w:val="single" w:color="auto" w:sz="4" w:space="0"/>
            </w:tcBorders>
            <w:vAlign w:val="center"/>
          </w:tcPr>
          <w:p w14:paraId="0F29E1B9">
            <w:pPr>
              <w:widowControl/>
              <w:jc w:val="center"/>
              <w:rPr>
                <w:rFonts w:hint="default" w:ascii="Arial" w:hAnsi="Arial" w:cs="Arial"/>
                <w:bCs/>
                <w:kern w:val="0"/>
                <w:szCs w:val="21"/>
                <w:highlight w:val="none"/>
              </w:rPr>
            </w:pPr>
            <w:r>
              <w:rPr>
                <w:rFonts w:hint="default" w:ascii="Arial" w:hAnsi="Arial" w:cs="Arial"/>
                <w:bCs/>
                <w:kern w:val="0"/>
                <w:szCs w:val="21"/>
                <w:highlight w:val="none"/>
              </w:rPr>
              <w:t>万元</w:t>
            </w:r>
          </w:p>
        </w:tc>
        <w:tc>
          <w:tcPr>
            <w:tcW w:w="1630" w:type="dxa"/>
            <w:tcBorders>
              <w:top w:val="nil"/>
              <w:left w:val="nil"/>
              <w:bottom w:val="single" w:color="auto" w:sz="4" w:space="0"/>
              <w:right w:val="single" w:color="auto" w:sz="4" w:space="0"/>
            </w:tcBorders>
            <w:vAlign w:val="center"/>
          </w:tcPr>
          <w:p w14:paraId="42CDEE97">
            <w:pPr>
              <w:widowControl/>
              <w:jc w:val="center"/>
              <w:rPr>
                <w:rFonts w:hint="default" w:ascii="Arial" w:hAnsi="Arial" w:cs="Arial"/>
                <w:bCs/>
                <w:kern w:val="0"/>
                <w:szCs w:val="21"/>
                <w:highlight w:val="none"/>
              </w:rPr>
            </w:pPr>
            <w:r>
              <w:rPr>
                <w:rFonts w:hint="default" w:ascii="Arial" w:hAnsi="Arial" w:cs="Arial"/>
                <w:bCs/>
                <w:kern w:val="0"/>
                <w:szCs w:val="21"/>
                <w:highlight w:val="none"/>
              </w:rPr>
              <w:t>2000≤Y＜10000</w:t>
            </w:r>
          </w:p>
        </w:tc>
        <w:tc>
          <w:tcPr>
            <w:tcW w:w="1358" w:type="dxa"/>
            <w:tcBorders>
              <w:top w:val="nil"/>
              <w:left w:val="nil"/>
              <w:bottom w:val="single" w:color="auto" w:sz="4" w:space="0"/>
              <w:right w:val="single" w:color="auto" w:sz="4" w:space="0"/>
            </w:tcBorders>
            <w:vAlign w:val="center"/>
          </w:tcPr>
          <w:p w14:paraId="248A40B1">
            <w:pPr>
              <w:widowControl/>
              <w:jc w:val="center"/>
              <w:rPr>
                <w:rFonts w:hint="default" w:ascii="Arial" w:hAnsi="Arial" w:cs="Arial"/>
                <w:bCs/>
                <w:kern w:val="0"/>
                <w:szCs w:val="21"/>
                <w:highlight w:val="none"/>
              </w:rPr>
            </w:pPr>
            <w:r>
              <w:rPr>
                <w:rFonts w:hint="default" w:ascii="Arial" w:hAnsi="Arial" w:cs="Arial"/>
                <w:bCs/>
                <w:kern w:val="0"/>
                <w:szCs w:val="21"/>
                <w:highlight w:val="none"/>
              </w:rPr>
              <w:t>100≤Y＜2000</w:t>
            </w:r>
          </w:p>
        </w:tc>
        <w:tc>
          <w:tcPr>
            <w:tcW w:w="1023" w:type="dxa"/>
            <w:tcBorders>
              <w:top w:val="nil"/>
              <w:left w:val="nil"/>
              <w:bottom w:val="single" w:color="auto" w:sz="4" w:space="0"/>
              <w:right w:val="single" w:color="auto" w:sz="4" w:space="0"/>
            </w:tcBorders>
            <w:vAlign w:val="center"/>
          </w:tcPr>
          <w:p w14:paraId="0437BC3C">
            <w:pPr>
              <w:widowControl/>
              <w:jc w:val="center"/>
              <w:rPr>
                <w:rFonts w:hint="default" w:ascii="Arial" w:hAnsi="Arial" w:cs="Arial"/>
                <w:bCs/>
                <w:kern w:val="0"/>
                <w:szCs w:val="21"/>
                <w:highlight w:val="none"/>
              </w:rPr>
            </w:pPr>
            <w:r>
              <w:rPr>
                <w:rFonts w:hint="default" w:ascii="Arial" w:hAnsi="Arial" w:cs="Arial"/>
                <w:bCs/>
                <w:kern w:val="0"/>
                <w:szCs w:val="21"/>
                <w:highlight w:val="none"/>
              </w:rPr>
              <w:t>Y＜100</w:t>
            </w:r>
          </w:p>
        </w:tc>
      </w:tr>
      <w:tr w14:paraId="7A952509">
        <w:tblPrEx>
          <w:tblCellMar>
            <w:top w:w="0" w:type="dxa"/>
            <w:left w:w="108" w:type="dxa"/>
            <w:bottom w:w="0" w:type="dxa"/>
            <w:right w:w="108" w:type="dxa"/>
          </w:tblCellMar>
        </w:tblPrEx>
        <w:trPr>
          <w:trHeight w:val="90" w:hRule="atLeast"/>
          <w:jc w:val="center"/>
        </w:trPr>
        <w:tc>
          <w:tcPr>
            <w:tcW w:w="1505" w:type="dxa"/>
            <w:vMerge w:val="restart"/>
            <w:tcBorders>
              <w:top w:val="nil"/>
              <w:left w:val="single" w:color="auto" w:sz="4" w:space="0"/>
              <w:bottom w:val="single" w:color="auto" w:sz="4" w:space="0"/>
              <w:right w:val="single" w:color="auto" w:sz="4" w:space="0"/>
            </w:tcBorders>
            <w:vAlign w:val="center"/>
          </w:tcPr>
          <w:p w14:paraId="444E7BC8">
            <w:pPr>
              <w:widowControl/>
              <w:jc w:val="center"/>
              <w:rPr>
                <w:rFonts w:hint="default" w:ascii="Arial" w:hAnsi="Arial" w:cs="Arial"/>
                <w:bCs/>
                <w:kern w:val="0"/>
                <w:szCs w:val="21"/>
                <w:highlight w:val="none"/>
              </w:rPr>
            </w:pPr>
            <w:r>
              <w:rPr>
                <w:rFonts w:hint="default" w:ascii="Arial" w:hAnsi="Arial" w:cs="Arial"/>
                <w:bCs/>
                <w:kern w:val="0"/>
                <w:szCs w:val="21"/>
                <w:highlight w:val="none"/>
              </w:rPr>
              <w:t>信息传输业</w:t>
            </w:r>
          </w:p>
        </w:tc>
        <w:tc>
          <w:tcPr>
            <w:tcW w:w="1702" w:type="dxa"/>
            <w:tcBorders>
              <w:top w:val="nil"/>
              <w:left w:val="nil"/>
              <w:bottom w:val="single" w:color="auto" w:sz="4" w:space="0"/>
              <w:right w:val="single" w:color="auto" w:sz="4" w:space="0"/>
            </w:tcBorders>
            <w:vAlign w:val="center"/>
          </w:tcPr>
          <w:p w14:paraId="27FBEE09">
            <w:pPr>
              <w:widowControl/>
              <w:jc w:val="center"/>
              <w:rPr>
                <w:rFonts w:hint="default" w:ascii="Arial" w:hAnsi="Arial" w:cs="Arial"/>
                <w:bCs/>
                <w:kern w:val="0"/>
                <w:szCs w:val="21"/>
                <w:highlight w:val="none"/>
              </w:rPr>
            </w:pPr>
            <w:r>
              <w:rPr>
                <w:rFonts w:hint="default" w:ascii="Arial" w:hAnsi="Arial" w:cs="Arial"/>
                <w:bCs/>
                <w:kern w:val="0"/>
                <w:szCs w:val="21"/>
                <w:highlight w:val="none"/>
              </w:rPr>
              <w:t>从业人员（X）</w:t>
            </w:r>
          </w:p>
        </w:tc>
        <w:tc>
          <w:tcPr>
            <w:tcW w:w="1079" w:type="dxa"/>
            <w:tcBorders>
              <w:top w:val="nil"/>
              <w:left w:val="nil"/>
              <w:bottom w:val="single" w:color="auto" w:sz="4" w:space="0"/>
              <w:right w:val="single" w:color="auto" w:sz="4" w:space="0"/>
            </w:tcBorders>
            <w:vAlign w:val="center"/>
          </w:tcPr>
          <w:p w14:paraId="237A1C7C">
            <w:pPr>
              <w:widowControl/>
              <w:jc w:val="center"/>
              <w:rPr>
                <w:rFonts w:hint="default" w:ascii="Arial" w:hAnsi="Arial" w:cs="Arial"/>
                <w:bCs/>
                <w:kern w:val="0"/>
                <w:szCs w:val="21"/>
                <w:highlight w:val="none"/>
              </w:rPr>
            </w:pPr>
            <w:r>
              <w:rPr>
                <w:rFonts w:hint="default" w:ascii="Arial" w:hAnsi="Arial" w:cs="Arial"/>
                <w:bCs/>
                <w:kern w:val="0"/>
                <w:szCs w:val="21"/>
                <w:highlight w:val="none"/>
              </w:rPr>
              <w:t>人</w:t>
            </w:r>
          </w:p>
        </w:tc>
        <w:tc>
          <w:tcPr>
            <w:tcW w:w="1630" w:type="dxa"/>
            <w:tcBorders>
              <w:top w:val="nil"/>
              <w:left w:val="nil"/>
              <w:bottom w:val="single" w:color="auto" w:sz="4" w:space="0"/>
              <w:right w:val="single" w:color="auto" w:sz="4" w:space="0"/>
            </w:tcBorders>
            <w:vAlign w:val="center"/>
          </w:tcPr>
          <w:p w14:paraId="50942333">
            <w:pPr>
              <w:widowControl/>
              <w:jc w:val="center"/>
              <w:rPr>
                <w:rFonts w:hint="default" w:ascii="Arial" w:hAnsi="Arial" w:cs="Arial"/>
                <w:bCs/>
                <w:kern w:val="0"/>
                <w:szCs w:val="21"/>
                <w:highlight w:val="none"/>
              </w:rPr>
            </w:pPr>
            <w:r>
              <w:rPr>
                <w:rFonts w:hint="default" w:ascii="Arial" w:hAnsi="Arial" w:cs="Arial"/>
                <w:bCs/>
                <w:kern w:val="0"/>
                <w:szCs w:val="21"/>
                <w:highlight w:val="none"/>
              </w:rPr>
              <w:t>100≤X＜2000</w:t>
            </w:r>
          </w:p>
        </w:tc>
        <w:tc>
          <w:tcPr>
            <w:tcW w:w="1358" w:type="dxa"/>
            <w:tcBorders>
              <w:top w:val="nil"/>
              <w:left w:val="nil"/>
              <w:bottom w:val="single" w:color="auto" w:sz="4" w:space="0"/>
              <w:right w:val="single" w:color="auto" w:sz="4" w:space="0"/>
            </w:tcBorders>
            <w:vAlign w:val="center"/>
          </w:tcPr>
          <w:p w14:paraId="3080205A">
            <w:pPr>
              <w:widowControl/>
              <w:jc w:val="center"/>
              <w:rPr>
                <w:rFonts w:hint="default" w:ascii="Arial" w:hAnsi="Arial" w:cs="Arial"/>
                <w:bCs/>
                <w:kern w:val="0"/>
                <w:szCs w:val="21"/>
                <w:highlight w:val="none"/>
              </w:rPr>
            </w:pPr>
            <w:r>
              <w:rPr>
                <w:rFonts w:hint="default" w:ascii="Arial" w:hAnsi="Arial" w:cs="Arial"/>
                <w:bCs/>
                <w:kern w:val="0"/>
                <w:szCs w:val="21"/>
                <w:highlight w:val="none"/>
              </w:rPr>
              <w:t>10≤X＜100</w:t>
            </w:r>
          </w:p>
        </w:tc>
        <w:tc>
          <w:tcPr>
            <w:tcW w:w="1023" w:type="dxa"/>
            <w:tcBorders>
              <w:top w:val="nil"/>
              <w:left w:val="nil"/>
              <w:bottom w:val="single" w:color="auto" w:sz="4" w:space="0"/>
              <w:right w:val="single" w:color="auto" w:sz="4" w:space="0"/>
            </w:tcBorders>
            <w:vAlign w:val="center"/>
          </w:tcPr>
          <w:p w14:paraId="53C9BB7D">
            <w:pPr>
              <w:widowControl/>
              <w:jc w:val="center"/>
              <w:rPr>
                <w:rFonts w:hint="default" w:ascii="Arial" w:hAnsi="Arial" w:cs="Arial"/>
                <w:bCs/>
                <w:kern w:val="0"/>
                <w:szCs w:val="21"/>
                <w:highlight w:val="none"/>
              </w:rPr>
            </w:pPr>
            <w:r>
              <w:rPr>
                <w:rFonts w:hint="default" w:ascii="Arial" w:hAnsi="Arial" w:cs="Arial"/>
                <w:bCs/>
                <w:kern w:val="0"/>
                <w:szCs w:val="21"/>
                <w:highlight w:val="none"/>
              </w:rPr>
              <w:t>X＜10</w:t>
            </w:r>
          </w:p>
        </w:tc>
      </w:tr>
      <w:tr w14:paraId="4AAA3D11">
        <w:tblPrEx>
          <w:tblCellMar>
            <w:top w:w="0" w:type="dxa"/>
            <w:left w:w="108" w:type="dxa"/>
            <w:bottom w:w="0" w:type="dxa"/>
            <w:right w:w="108" w:type="dxa"/>
          </w:tblCellMar>
        </w:tblPrEx>
        <w:trPr>
          <w:trHeight w:val="90" w:hRule="atLeast"/>
          <w:jc w:val="center"/>
        </w:trPr>
        <w:tc>
          <w:tcPr>
            <w:tcW w:w="1505" w:type="dxa"/>
            <w:vMerge w:val="continue"/>
            <w:tcBorders>
              <w:top w:val="nil"/>
              <w:left w:val="single" w:color="auto" w:sz="4" w:space="0"/>
              <w:bottom w:val="single" w:color="auto" w:sz="4" w:space="0"/>
              <w:right w:val="single" w:color="auto" w:sz="4" w:space="0"/>
            </w:tcBorders>
            <w:vAlign w:val="center"/>
          </w:tcPr>
          <w:p w14:paraId="0568355B">
            <w:pPr>
              <w:widowControl/>
              <w:jc w:val="center"/>
              <w:rPr>
                <w:rFonts w:hint="default" w:ascii="Arial" w:hAnsi="Arial" w:cs="Arial"/>
                <w:bCs/>
                <w:kern w:val="0"/>
                <w:szCs w:val="21"/>
                <w:highlight w:val="none"/>
              </w:rPr>
            </w:pPr>
          </w:p>
        </w:tc>
        <w:tc>
          <w:tcPr>
            <w:tcW w:w="1702" w:type="dxa"/>
            <w:tcBorders>
              <w:top w:val="nil"/>
              <w:left w:val="nil"/>
              <w:bottom w:val="single" w:color="auto" w:sz="4" w:space="0"/>
              <w:right w:val="single" w:color="auto" w:sz="4" w:space="0"/>
            </w:tcBorders>
            <w:vAlign w:val="center"/>
          </w:tcPr>
          <w:p w14:paraId="62BC7869">
            <w:pPr>
              <w:widowControl/>
              <w:jc w:val="center"/>
              <w:rPr>
                <w:rFonts w:hint="default" w:ascii="Arial" w:hAnsi="Arial" w:cs="Arial"/>
                <w:bCs/>
                <w:kern w:val="0"/>
                <w:szCs w:val="21"/>
                <w:highlight w:val="none"/>
              </w:rPr>
            </w:pPr>
            <w:r>
              <w:rPr>
                <w:rFonts w:hint="default" w:ascii="Arial" w:hAnsi="Arial" w:cs="Arial"/>
                <w:bCs/>
                <w:kern w:val="0"/>
                <w:szCs w:val="21"/>
                <w:highlight w:val="none"/>
              </w:rPr>
              <w:t>营业收入（Y）</w:t>
            </w:r>
          </w:p>
        </w:tc>
        <w:tc>
          <w:tcPr>
            <w:tcW w:w="1079" w:type="dxa"/>
            <w:tcBorders>
              <w:top w:val="nil"/>
              <w:left w:val="nil"/>
              <w:bottom w:val="single" w:color="auto" w:sz="4" w:space="0"/>
              <w:right w:val="single" w:color="auto" w:sz="4" w:space="0"/>
            </w:tcBorders>
            <w:vAlign w:val="center"/>
          </w:tcPr>
          <w:p w14:paraId="41F9ADC0">
            <w:pPr>
              <w:widowControl/>
              <w:jc w:val="center"/>
              <w:rPr>
                <w:rFonts w:hint="default" w:ascii="Arial" w:hAnsi="Arial" w:cs="Arial"/>
                <w:bCs/>
                <w:kern w:val="0"/>
                <w:szCs w:val="21"/>
                <w:highlight w:val="none"/>
              </w:rPr>
            </w:pPr>
            <w:r>
              <w:rPr>
                <w:rFonts w:hint="default" w:ascii="Arial" w:hAnsi="Arial" w:cs="Arial"/>
                <w:bCs/>
                <w:kern w:val="0"/>
                <w:szCs w:val="21"/>
                <w:highlight w:val="none"/>
              </w:rPr>
              <w:t>万元</w:t>
            </w:r>
          </w:p>
        </w:tc>
        <w:tc>
          <w:tcPr>
            <w:tcW w:w="1630" w:type="dxa"/>
            <w:tcBorders>
              <w:top w:val="nil"/>
              <w:left w:val="nil"/>
              <w:bottom w:val="single" w:color="auto" w:sz="4" w:space="0"/>
              <w:right w:val="single" w:color="auto" w:sz="4" w:space="0"/>
            </w:tcBorders>
            <w:vAlign w:val="center"/>
          </w:tcPr>
          <w:p w14:paraId="31AA4B70">
            <w:pPr>
              <w:widowControl/>
              <w:jc w:val="center"/>
              <w:rPr>
                <w:rFonts w:hint="default" w:ascii="Arial" w:hAnsi="Arial" w:cs="Arial"/>
                <w:bCs/>
                <w:kern w:val="0"/>
                <w:szCs w:val="21"/>
                <w:highlight w:val="none"/>
              </w:rPr>
            </w:pPr>
            <w:r>
              <w:rPr>
                <w:rFonts w:hint="default" w:ascii="Arial" w:hAnsi="Arial" w:cs="Arial"/>
                <w:bCs/>
                <w:kern w:val="0"/>
                <w:szCs w:val="21"/>
                <w:highlight w:val="none"/>
              </w:rPr>
              <w:t>1000≤Y＜100000</w:t>
            </w:r>
          </w:p>
        </w:tc>
        <w:tc>
          <w:tcPr>
            <w:tcW w:w="1358" w:type="dxa"/>
            <w:tcBorders>
              <w:top w:val="nil"/>
              <w:left w:val="nil"/>
              <w:bottom w:val="single" w:color="auto" w:sz="4" w:space="0"/>
              <w:right w:val="single" w:color="auto" w:sz="4" w:space="0"/>
            </w:tcBorders>
            <w:vAlign w:val="center"/>
          </w:tcPr>
          <w:p w14:paraId="62A385DC">
            <w:pPr>
              <w:widowControl/>
              <w:jc w:val="center"/>
              <w:rPr>
                <w:rFonts w:hint="default" w:ascii="Arial" w:hAnsi="Arial" w:cs="Arial"/>
                <w:bCs/>
                <w:kern w:val="0"/>
                <w:szCs w:val="21"/>
                <w:highlight w:val="none"/>
              </w:rPr>
            </w:pPr>
            <w:r>
              <w:rPr>
                <w:rFonts w:hint="default" w:ascii="Arial" w:hAnsi="Arial" w:cs="Arial"/>
                <w:bCs/>
                <w:kern w:val="0"/>
                <w:szCs w:val="21"/>
                <w:highlight w:val="none"/>
              </w:rPr>
              <w:t>100≤Y＜1000</w:t>
            </w:r>
          </w:p>
        </w:tc>
        <w:tc>
          <w:tcPr>
            <w:tcW w:w="1023" w:type="dxa"/>
            <w:tcBorders>
              <w:top w:val="nil"/>
              <w:left w:val="nil"/>
              <w:bottom w:val="single" w:color="auto" w:sz="4" w:space="0"/>
              <w:right w:val="single" w:color="auto" w:sz="4" w:space="0"/>
            </w:tcBorders>
            <w:vAlign w:val="center"/>
          </w:tcPr>
          <w:p w14:paraId="32947C03">
            <w:pPr>
              <w:widowControl/>
              <w:jc w:val="center"/>
              <w:rPr>
                <w:rFonts w:hint="default" w:ascii="Arial" w:hAnsi="Arial" w:cs="Arial"/>
                <w:bCs/>
                <w:kern w:val="0"/>
                <w:szCs w:val="21"/>
                <w:highlight w:val="none"/>
              </w:rPr>
            </w:pPr>
            <w:r>
              <w:rPr>
                <w:rFonts w:hint="default" w:ascii="Arial" w:hAnsi="Arial" w:cs="Arial"/>
                <w:bCs/>
                <w:kern w:val="0"/>
                <w:szCs w:val="21"/>
                <w:highlight w:val="none"/>
              </w:rPr>
              <w:t>Y＜100</w:t>
            </w:r>
          </w:p>
        </w:tc>
      </w:tr>
      <w:tr w14:paraId="5547D5BC">
        <w:tblPrEx>
          <w:tblCellMar>
            <w:top w:w="0" w:type="dxa"/>
            <w:left w:w="108" w:type="dxa"/>
            <w:bottom w:w="0" w:type="dxa"/>
            <w:right w:w="108" w:type="dxa"/>
          </w:tblCellMar>
        </w:tblPrEx>
        <w:trPr>
          <w:trHeight w:val="90" w:hRule="atLeast"/>
          <w:jc w:val="center"/>
        </w:trPr>
        <w:tc>
          <w:tcPr>
            <w:tcW w:w="1505" w:type="dxa"/>
            <w:vMerge w:val="restart"/>
            <w:tcBorders>
              <w:top w:val="nil"/>
              <w:left w:val="single" w:color="auto" w:sz="4" w:space="0"/>
              <w:bottom w:val="single" w:color="auto" w:sz="4" w:space="0"/>
              <w:right w:val="single" w:color="auto" w:sz="4" w:space="0"/>
            </w:tcBorders>
            <w:vAlign w:val="center"/>
          </w:tcPr>
          <w:p w14:paraId="0B6EF2F0">
            <w:pPr>
              <w:widowControl/>
              <w:jc w:val="center"/>
              <w:rPr>
                <w:rFonts w:hint="default" w:ascii="Arial" w:hAnsi="Arial" w:cs="Arial"/>
                <w:bCs/>
                <w:kern w:val="0"/>
                <w:szCs w:val="21"/>
                <w:highlight w:val="none"/>
              </w:rPr>
            </w:pPr>
            <w:r>
              <w:rPr>
                <w:rFonts w:hint="default" w:ascii="Arial" w:hAnsi="Arial" w:cs="Arial"/>
                <w:bCs/>
                <w:kern w:val="0"/>
                <w:szCs w:val="21"/>
                <w:highlight w:val="none"/>
              </w:rPr>
              <w:t>软件和信息技术服务业</w:t>
            </w:r>
          </w:p>
        </w:tc>
        <w:tc>
          <w:tcPr>
            <w:tcW w:w="1702" w:type="dxa"/>
            <w:tcBorders>
              <w:top w:val="nil"/>
              <w:left w:val="nil"/>
              <w:bottom w:val="single" w:color="auto" w:sz="4" w:space="0"/>
              <w:right w:val="single" w:color="auto" w:sz="4" w:space="0"/>
            </w:tcBorders>
            <w:vAlign w:val="center"/>
          </w:tcPr>
          <w:p w14:paraId="7FE08CC7">
            <w:pPr>
              <w:widowControl/>
              <w:jc w:val="center"/>
              <w:rPr>
                <w:rFonts w:hint="default" w:ascii="Arial" w:hAnsi="Arial" w:cs="Arial"/>
                <w:bCs/>
                <w:kern w:val="0"/>
                <w:szCs w:val="21"/>
                <w:highlight w:val="none"/>
              </w:rPr>
            </w:pPr>
            <w:r>
              <w:rPr>
                <w:rFonts w:hint="default" w:ascii="Arial" w:hAnsi="Arial" w:cs="Arial"/>
                <w:bCs/>
                <w:kern w:val="0"/>
                <w:szCs w:val="21"/>
                <w:highlight w:val="none"/>
              </w:rPr>
              <w:t>从业人员（X）</w:t>
            </w:r>
          </w:p>
        </w:tc>
        <w:tc>
          <w:tcPr>
            <w:tcW w:w="1079" w:type="dxa"/>
            <w:tcBorders>
              <w:top w:val="nil"/>
              <w:left w:val="nil"/>
              <w:bottom w:val="single" w:color="auto" w:sz="4" w:space="0"/>
              <w:right w:val="single" w:color="auto" w:sz="4" w:space="0"/>
            </w:tcBorders>
            <w:vAlign w:val="center"/>
          </w:tcPr>
          <w:p w14:paraId="3AE380DD">
            <w:pPr>
              <w:widowControl/>
              <w:jc w:val="center"/>
              <w:rPr>
                <w:rFonts w:hint="default" w:ascii="Arial" w:hAnsi="Arial" w:cs="Arial"/>
                <w:bCs/>
                <w:kern w:val="0"/>
                <w:szCs w:val="21"/>
                <w:highlight w:val="none"/>
              </w:rPr>
            </w:pPr>
            <w:r>
              <w:rPr>
                <w:rFonts w:hint="default" w:ascii="Arial" w:hAnsi="Arial" w:cs="Arial"/>
                <w:bCs/>
                <w:kern w:val="0"/>
                <w:szCs w:val="21"/>
                <w:highlight w:val="none"/>
              </w:rPr>
              <w:t>人</w:t>
            </w:r>
          </w:p>
        </w:tc>
        <w:tc>
          <w:tcPr>
            <w:tcW w:w="1630" w:type="dxa"/>
            <w:tcBorders>
              <w:top w:val="nil"/>
              <w:left w:val="nil"/>
              <w:bottom w:val="single" w:color="auto" w:sz="4" w:space="0"/>
              <w:right w:val="single" w:color="auto" w:sz="4" w:space="0"/>
            </w:tcBorders>
            <w:vAlign w:val="center"/>
          </w:tcPr>
          <w:p w14:paraId="710722AC">
            <w:pPr>
              <w:widowControl/>
              <w:jc w:val="center"/>
              <w:rPr>
                <w:rFonts w:hint="default" w:ascii="Arial" w:hAnsi="Arial" w:cs="Arial"/>
                <w:bCs/>
                <w:kern w:val="0"/>
                <w:szCs w:val="21"/>
                <w:highlight w:val="none"/>
              </w:rPr>
            </w:pPr>
            <w:r>
              <w:rPr>
                <w:rFonts w:hint="default" w:ascii="Arial" w:hAnsi="Arial" w:cs="Arial"/>
                <w:bCs/>
                <w:kern w:val="0"/>
                <w:szCs w:val="21"/>
                <w:highlight w:val="none"/>
              </w:rPr>
              <w:t>100≤X＜300</w:t>
            </w:r>
          </w:p>
        </w:tc>
        <w:tc>
          <w:tcPr>
            <w:tcW w:w="1358" w:type="dxa"/>
            <w:tcBorders>
              <w:top w:val="nil"/>
              <w:left w:val="nil"/>
              <w:bottom w:val="single" w:color="auto" w:sz="4" w:space="0"/>
              <w:right w:val="single" w:color="auto" w:sz="4" w:space="0"/>
            </w:tcBorders>
            <w:vAlign w:val="center"/>
          </w:tcPr>
          <w:p w14:paraId="719D197C">
            <w:pPr>
              <w:widowControl/>
              <w:jc w:val="center"/>
              <w:rPr>
                <w:rFonts w:hint="default" w:ascii="Arial" w:hAnsi="Arial" w:cs="Arial"/>
                <w:bCs/>
                <w:kern w:val="0"/>
                <w:szCs w:val="21"/>
                <w:highlight w:val="none"/>
              </w:rPr>
            </w:pPr>
            <w:r>
              <w:rPr>
                <w:rFonts w:hint="default" w:ascii="Arial" w:hAnsi="Arial" w:cs="Arial"/>
                <w:bCs/>
                <w:kern w:val="0"/>
                <w:szCs w:val="21"/>
                <w:highlight w:val="none"/>
              </w:rPr>
              <w:t>10≤X＜100</w:t>
            </w:r>
          </w:p>
        </w:tc>
        <w:tc>
          <w:tcPr>
            <w:tcW w:w="1023" w:type="dxa"/>
            <w:tcBorders>
              <w:top w:val="nil"/>
              <w:left w:val="nil"/>
              <w:bottom w:val="single" w:color="auto" w:sz="4" w:space="0"/>
              <w:right w:val="single" w:color="auto" w:sz="4" w:space="0"/>
            </w:tcBorders>
            <w:vAlign w:val="center"/>
          </w:tcPr>
          <w:p w14:paraId="5061CD9D">
            <w:pPr>
              <w:widowControl/>
              <w:jc w:val="center"/>
              <w:rPr>
                <w:rFonts w:hint="default" w:ascii="Arial" w:hAnsi="Arial" w:cs="Arial"/>
                <w:bCs/>
                <w:kern w:val="0"/>
                <w:szCs w:val="21"/>
                <w:highlight w:val="none"/>
              </w:rPr>
            </w:pPr>
            <w:r>
              <w:rPr>
                <w:rFonts w:hint="default" w:ascii="Arial" w:hAnsi="Arial" w:cs="Arial"/>
                <w:bCs/>
                <w:kern w:val="0"/>
                <w:szCs w:val="21"/>
                <w:highlight w:val="none"/>
              </w:rPr>
              <w:t>X＜10</w:t>
            </w:r>
          </w:p>
        </w:tc>
      </w:tr>
      <w:tr w14:paraId="5DD835E0">
        <w:tblPrEx>
          <w:tblCellMar>
            <w:top w:w="0" w:type="dxa"/>
            <w:left w:w="108" w:type="dxa"/>
            <w:bottom w:w="0" w:type="dxa"/>
            <w:right w:w="108" w:type="dxa"/>
          </w:tblCellMar>
        </w:tblPrEx>
        <w:trPr>
          <w:trHeight w:val="90" w:hRule="atLeast"/>
          <w:jc w:val="center"/>
        </w:trPr>
        <w:tc>
          <w:tcPr>
            <w:tcW w:w="1505" w:type="dxa"/>
            <w:vMerge w:val="continue"/>
            <w:tcBorders>
              <w:top w:val="nil"/>
              <w:left w:val="single" w:color="auto" w:sz="4" w:space="0"/>
              <w:bottom w:val="single" w:color="auto" w:sz="4" w:space="0"/>
              <w:right w:val="single" w:color="auto" w:sz="4" w:space="0"/>
            </w:tcBorders>
            <w:vAlign w:val="center"/>
          </w:tcPr>
          <w:p w14:paraId="3D8DA055">
            <w:pPr>
              <w:widowControl/>
              <w:jc w:val="center"/>
              <w:rPr>
                <w:rFonts w:hint="default" w:ascii="Arial" w:hAnsi="Arial" w:cs="Arial"/>
                <w:bCs/>
                <w:kern w:val="0"/>
                <w:szCs w:val="21"/>
                <w:highlight w:val="none"/>
              </w:rPr>
            </w:pPr>
          </w:p>
        </w:tc>
        <w:tc>
          <w:tcPr>
            <w:tcW w:w="1702" w:type="dxa"/>
            <w:tcBorders>
              <w:top w:val="nil"/>
              <w:left w:val="nil"/>
              <w:bottom w:val="single" w:color="auto" w:sz="4" w:space="0"/>
              <w:right w:val="single" w:color="auto" w:sz="4" w:space="0"/>
            </w:tcBorders>
            <w:vAlign w:val="center"/>
          </w:tcPr>
          <w:p w14:paraId="53354EFC">
            <w:pPr>
              <w:widowControl/>
              <w:jc w:val="center"/>
              <w:rPr>
                <w:rFonts w:hint="default" w:ascii="Arial" w:hAnsi="Arial" w:cs="Arial"/>
                <w:bCs/>
                <w:kern w:val="0"/>
                <w:szCs w:val="21"/>
                <w:highlight w:val="none"/>
              </w:rPr>
            </w:pPr>
            <w:r>
              <w:rPr>
                <w:rFonts w:hint="default" w:ascii="Arial" w:hAnsi="Arial" w:cs="Arial"/>
                <w:bCs/>
                <w:kern w:val="0"/>
                <w:szCs w:val="21"/>
                <w:highlight w:val="none"/>
              </w:rPr>
              <w:t>营业收入（Y）</w:t>
            </w:r>
          </w:p>
        </w:tc>
        <w:tc>
          <w:tcPr>
            <w:tcW w:w="1079" w:type="dxa"/>
            <w:tcBorders>
              <w:top w:val="nil"/>
              <w:left w:val="nil"/>
              <w:bottom w:val="single" w:color="auto" w:sz="4" w:space="0"/>
              <w:right w:val="single" w:color="auto" w:sz="4" w:space="0"/>
            </w:tcBorders>
            <w:vAlign w:val="center"/>
          </w:tcPr>
          <w:p w14:paraId="0F83E68E">
            <w:pPr>
              <w:widowControl/>
              <w:jc w:val="center"/>
              <w:rPr>
                <w:rFonts w:hint="default" w:ascii="Arial" w:hAnsi="Arial" w:cs="Arial"/>
                <w:bCs/>
                <w:kern w:val="0"/>
                <w:szCs w:val="21"/>
                <w:highlight w:val="none"/>
              </w:rPr>
            </w:pPr>
            <w:r>
              <w:rPr>
                <w:rFonts w:hint="default" w:ascii="Arial" w:hAnsi="Arial" w:cs="Arial"/>
                <w:bCs/>
                <w:kern w:val="0"/>
                <w:szCs w:val="21"/>
                <w:highlight w:val="none"/>
              </w:rPr>
              <w:t>万元</w:t>
            </w:r>
          </w:p>
        </w:tc>
        <w:tc>
          <w:tcPr>
            <w:tcW w:w="1630" w:type="dxa"/>
            <w:tcBorders>
              <w:top w:val="nil"/>
              <w:left w:val="nil"/>
              <w:bottom w:val="single" w:color="auto" w:sz="4" w:space="0"/>
              <w:right w:val="single" w:color="auto" w:sz="4" w:space="0"/>
            </w:tcBorders>
            <w:vAlign w:val="center"/>
          </w:tcPr>
          <w:p w14:paraId="67E9308F">
            <w:pPr>
              <w:widowControl/>
              <w:jc w:val="center"/>
              <w:rPr>
                <w:rFonts w:hint="default" w:ascii="Arial" w:hAnsi="Arial" w:cs="Arial"/>
                <w:bCs/>
                <w:kern w:val="0"/>
                <w:szCs w:val="21"/>
                <w:highlight w:val="none"/>
              </w:rPr>
            </w:pPr>
            <w:r>
              <w:rPr>
                <w:rFonts w:hint="default" w:ascii="Arial" w:hAnsi="Arial" w:cs="Arial"/>
                <w:bCs/>
                <w:kern w:val="0"/>
                <w:szCs w:val="21"/>
                <w:highlight w:val="none"/>
              </w:rPr>
              <w:t>1000≤Y＜10000</w:t>
            </w:r>
          </w:p>
        </w:tc>
        <w:tc>
          <w:tcPr>
            <w:tcW w:w="1358" w:type="dxa"/>
            <w:tcBorders>
              <w:top w:val="nil"/>
              <w:left w:val="nil"/>
              <w:bottom w:val="single" w:color="auto" w:sz="4" w:space="0"/>
              <w:right w:val="single" w:color="auto" w:sz="4" w:space="0"/>
            </w:tcBorders>
            <w:vAlign w:val="center"/>
          </w:tcPr>
          <w:p w14:paraId="1170CA16">
            <w:pPr>
              <w:widowControl/>
              <w:jc w:val="center"/>
              <w:rPr>
                <w:rFonts w:hint="default" w:ascii="Arial" w:hAnsi="Arial" w:cs="Arial"/>
                <w:bCs/>
                <w:kern w:val="0"/>
                <w:szCs w:val="21"/>
                <w:highlight w:val="none"/>
              </w:rPr>
            </w:pPr>
            <w:r>
              <w:rPr>
                <w:rFonts w:hint="default" w:ascii="Arial" w:hAnsi="Arial" w:cs="Arial"/>
                <w:bCs/>
                <w:kern w:val="0"/>
                <w:szCs w:val="21"/>
                <w:highlight w:val="none"/>
              </w:rPr>
              <w:t>50≤Y＜1000</w:t>
            </w:r>
          </w:p>
        </w:tc>
        <w:tc>
          <w:tcPr>
            <w:tcW w:w="1023" w:type="dxa"/>
            <w:tcBorders>
              <w:top w:val="nil"/>
              <w:left w:val="nil"/>
              <w:bottom w:val="single" w:color="auto" w:sz="4" w:space="0"/>
              <w:right w:val="single" w:color="auto" w:sz="4" w:space="0"/>
            </w:tcBorders>
            <w:vAlign w:val="center"/>
          </w:tcPr>
          <w:p w14:paraId="4A2F23C8">
            <w:pPr>
              <w:widowControl/>
              <w:jc w:val="center"/>
              <w:rPr>
                <w:rFonts w:hint="default" w:ascii="Arial" w:hAnsi="Arial" w:cs="Arial"/>
                <w:bCs/>
                <w:kern w:val="0"/>
                <w:szCs w:val="21"/>
                <w:highlight w:val="none"/>
              </w:rPr>
            </w:pPr>
            <w:r>
              <w:rPr>
                <w:rFonts w:hint="default" w:ascii="Arial" w:hAnsi="Arial" w:cs="Arial"/>
                <w:bCs/>
                <w:kern w:val="0"/>
                <w:szCs w:val="21"/>
                <w:highlight w:val="none"/>
              </w:rPr>
              <w:t>Y＜50</w:t>
            </w:r>
          </w:p>
        </w:tc>
      </w:tr>
      <w:tr w14:paraId="35EFCC84">
        <w:tblPrEx>
          <w:tblCellMar>
            <w:top w:w="0" w:type="dxa"/>
            <w:left w:w="108" w:type="dxa"/>
            <w:bottom w:w="0" w:type="dxa"/>
            <w:right w:w="108" w:type="dxa"/>
          </w:tblCellMar>
        </w:tblPrEx>
        <w:trPr>
          <w:trHeight w:val="90" w:hRule="atLeast"/>
          <w:jc w:val="center"/>
        </w:trPr>
        <w:tc>
          <w:tcPr>
            <w:tcW w:w="1505" w:type="dxa"/>
            <w:vMerge w:val="restart"/>
            <w:tcBorders>
              <w:top w:val="nil"/>
              <w:left w:val="single" w:color="auto" w:sz="4" w:space="0"/>
              <w:bottom w:val="single" w:color="auto" w:sz="4" w:space="0"/>
              <w:right w:val="single" w:color="auto" w:sz="4" w:space="0"/>
            </w:tcBorders>
            <w:vAlign w:val="center"/>
          </w:tcPr>
          <w:p w14:paraId="76AC51F0">
            <w:pPr>
              <w:widowControl/>
              <w:jc w:val="center"/>
              <w:rPr>
                <w:rFonts w:hint="default" w:ascii="Arial" w:hAnsi="Arial" w:cs="Arial"/>
                <w:bCs/>
                <w:kern w:val="0"/>
                <w:szCs w:val="21"/>
                <w:highlight w:val="none"/>
              </w:rPr>
            </w:pPr>
            <w:r>
              <w:rPr>
                <w:rFonts w:hint="default" w:ascii="Arial" w:hAnsi="Arial" w:cs="Arial"/>
                <w:bCs/>
                <w:kern w:val="0"/>
                <w:szCs w:val="21"/>
                <w:highlight w:val="none"/>
              </w:rPr>
              <w:t>房地产开发经营</w:t>
            </w:r>
          </w:p>
        </w:tc>
        <w:tc>
          <w:tcPr>
            <w:tcW w:w="1702" w:type="dxa"/>
            <w:tcBorders>
              <w:top w:val="nil"/>
              <w:left w:val="nil"/>
              <w:bottom w:val="single" w:color="auto" w:sz="4" w:space="0"/>
              <w:right w:val="single" w:color="auto" w:sz="4" w:space="0"/>
            </w:tcBorders>
            <w:vAlign w:val="center"/>
          </w:tcPr>
          <w:p w14:paraId="14AFE790">
            <w:pPr>
              <w:widowControl/>
              <w:jc w:val="center"/>
              <w:rPr>
                <w:rFonts w:hint="default" w:ascii="Arial" w:hAnsi="Arial" w:cs="Arial"/>
                <w:bCs/>
                <w:kern w:val="0"/>
                <w:szCs w:val="21"/>
                <w:highlight w:val="none"/>
              </w:rPr>
            </w:pPr>
            <w:r>
              <w:rPr>
                <w:rFonts w:hint="default" w:ascii="Arial" w:hAnsi="Arial" w:cs="Arial"/>
                <w:bCs/>
                <w:kern w:val="0"/>
                <w:szCs w:val="21"/>
                <w:highlight w:val="none"/>
              </w:rPr>
              <w:t>营业收入（Y）</w:t>
            </w:r>
          </w:p>
        </w:tc>
        <w:tc>
          <w:tcPr>
            <w:tcW w:w="1079" w:type="dxa"/>
            <w:tcBorders>
              <w:top w:val="nil"/>
              <w:left w:val="nil"/>
              <w:bottom w:val="single" w:color="auto" w:sz="4" w:space="0"/>
              <w:right w:val="single" w:color="auto" w:sz="4" w:space="0"/>
            </w:tcBorders>
            <w:vAlign w:val="center"/>
          </w:tcPr>
          <w:p w14:paraId="16350BC1">
            <w:pPr>
              <w:widowControl/>
              <w:jc w:val="center"/>
              <w:rPr>
                <w:rFonts w:hint="default" w:ascii="Arial" w:hAnsi="Arial" w:cs="Arial"/>
                <w:bCs/>
                <w:kern w:val="0"/>
                <w:szCs w:val="21"/>
                <w:highlight w:val="none"/>
              </w:rPr>
            </w:pPr>
            <w:r>
              <w:rPr>
                <w:rFonts w:hint="default" w:ascii="Arial" w:hAnsi="Arial" w:cs="Arial"/>
                <w:bCs/>
                <w:kern w:val="0"/>
                <w:szCs w:val="21"/>
                <w:highlight w:val="none"/>
              </w:rPr>
              <w:t>万元</w:t>
            </w:r>
          </w:p>
        </w:tc>
        <w:tc>
          <w:tcPr>
            <w:tcW w:w="1630" w:type="dxa"/>
            <w:tcBorders>
              <w:top w:val="nil"/>
              <w:left w:val="nil"/>
              <w:bottom w:val="single" w:color="auto" w:sz="4" w:space="0"/>
              <w:right w:val="single" w:color="auto" w:sz="4" w:space="0"/>
            </w:tcBorders>
            <w:vAlign w:val="center"/>
          </w:tcPr>
          <w:p w14:paraId="7EFDB844">
            <w:pPr>
              <w:widowControl/>
              <w:jc w:val="center"/>
              <w:rPr>
                <w:rFonts w:hint="default" w:ascii="Arial" w:hAnsi="Arial" w:cs="Arial"/>
                <w:bCs/>
                <w:kern w:val="0"/>
                <w:szCs w:val="21"/>
                <w:highlight w:val="none"/>
              </w:rPr>
            </w:pPr>
            <w:r>
              <w:rPr>
                <w:rFonts w:hint="default" w:ascii="Arial" w:hAnsi="Arial" w:cs="Arial"/>
                <w:bCs/>
                <w:kern w:val="0"/>
                <w:szCs w:val="21"/>
                <w:highlight w:val="none"/>
              </w:rPr>
              <w:t>1000≤Y＜200000</w:t>
            </w:r>
          </w:p>
        </w:tc>
        <w:tc>
          <w:tcPr>
            <w:tcW w:w="1358" w:type="dxa"/>
            <w:tcBorders>
              <w:top w:val="nil"/>
              <w:left w:val="nil"/>
              <w:bottom w:val="single" w:color="auto" w:sz="4" w:space="0"/>
              <w:right w:val="single" w:color="auto" w:sz="4" w:space="0"/>
            </w:tcBorders>
            <w:vAlign w:val="center"/>
          </w:tcPr>
          <w:p w14:paraId="5FBA0B5B">
            <w:pPr>
              <w:widowControl/>
              <w:jc w:val="center"/>
              <w:rPr>
                <w:rFonts w:hint="default" w:ascii="Arial" w:hAnsi="Arial" w:cs="Arial"/>
                <w:bCs/>
                <w:kern w:val="0"/>
                <w:szCs w:val="21"/>
                <w:highlight w:val="none"/>
              </w:rPr>
            </w:pPr>
            <w:r>
              <w:rPr>
                <w:rFonts w:hint="default" w:ascii="Arial" w:hAnsi="Arial" w:cs="Arial"/>
                <w:bCs/>
                <w:kern w:val="0"/>
                <w:szCs w:val="21"/>
                <w:highlight w:val="none"/>
              </w:rPr>
              <w:t>100≤X＜1000</w:t>
            </w:r>
          </w:p>
        </w:tc>
        <w:tc>
          <w:tcPr>
            <w:tcW w:w="1023" w:type="dxa"/>
            <w:tcBorders>
              <w:top w:val="nil"/>
              <w:left w:val="nil"/>
              <w:bottom w:val="single" w:color="auto" w:sz="4" w:space="0"/>
              <w:right w:val="single" w:color="auto" w:sz="4" w:space="0"/>
            </w:tcBorders>
            <w:vAlign w:val="center"/>
          </w:tcPr>
          <w:p w14:paraId="6491EECA">
            <w:pPr>
              <w:widowControl/>
              <w:jc w:val="center"/>
              <w:rPr>
                <w:rFonts w:hint="default" w:ascii="Arial" w:hAnsi="Arial" w:cs="Arial"/>
                <w:bCs/>
                <w:kern w:val="0"/>
                <w:szCs w:val="21"/>
                <w:highlight w:val="none"/>
              </w:rPr>
            </w:pPr>
            <w:r>
              <w:rPr>
                <w:rFonts w:hint="default" w:ascii="Arial" w:hAnsi="Arial" w:cs="Arial"/>
                <w:bCs/>
                <w:kern w:val="0"/>
                <w:szCs w:val="21"/>
                <w:highlight w:val="none"/>
              </w:rPr>
              <w:t>X＜100</w:t>
            </w:r>
          </w:p>
        </w:tc>
      </w:tr>
      <w:tr w14:paraId="5232A456">
        <w:tblPrEx>
          <w:tblCellMar>
            <w:top w:w="0" w:type="dxa"/>
            <w:left w:w="108" w:type="dxa"/>
            <w:bottom w:w="0" w:type="dxa"/>
            <w:right w:w="108" w:type="dxa"/>
          </w:tblCellMar>
        </w:tblPrEx>
        <w:trPr>
          <w:trHeight w:val="90" w:hRule="atLeast"/>
          <w:jc w:val="center"/>
        </w:trPr>
        <w:tc>
          <w:tcPr>
            <w:tcW w:w="1505" w:type="dxa"/>
            <w:vMerge w:val="continue"/>
            <w:tcBorders>
              <w:top w:val="nil"/>
              <w:left w:val="single" w:color="auto" w:sz="4" w:space="0"/>
              <w:bottom w:val="single" w:color="auto" w:sz="4" w:space="0"/>
              <w:right w:val="single" w:color="auto" w:sz="4" w:space="0"/>
            </w:tcBorders>
            <w:vAlign w:val="center"/>
          </w:tcPr>
          <w:p w14:paraId="2728BEB6">
            <w:pPr>
              <w:widowControl/>
              <w:jc w:val="center"/>
              <w:rPr>
                <w:rFonts w:hint="default" w:ascii="Arial" w:hAnsi="Arial" w:cs="Arial"/>
                <w:bCs/>
                <w:kern w:val="0"/>
                <w:szCs w:val="21"/>
                <w:highlight w:val="none"/>
              </w:rPr>
            </w:pPr>
          </w:p>
        </w:tc>
        <w:tc>
          <w:tcPr>
            <w:tcW w:w="1702" w:type="dxa"/>
            <w:tcBorders>
              <w:top w:val="nil"/>
              <w:left w:val="nil"/>
              <w:bottom w:val="single" w:color="auto" w:sz="4" w:space="0"/>
              <w:right w:val="single" w:color="auto" w:sz="4" w:space="0"/>
            </w:tcBorders>
            <w:vAlign w:val="center"/>
          </w:tcPr>
          <w:p w14:paraId="6E434B9A">
            <w:pPr>
              <w:widowControl/>
              <w:jc w:val="center"/>
              <w:rPr>
                <w:rFonts w:hint="default" w:ascii="Arial" w:hAnsi="Arial" w:cs="Arial"/>
                <w:bCs/>
                <w:kern w:val="0"/>
                <w:szCs w:val="21"/>
                <w:highlight w:val="none"/>
              </w:rPr>
            </w:pPr>
            <w:r>
              <w:rPr>
                <w:rFonts w:hint="default" w:ascii="Arial" w:hAnsi="Arial" w:cs="Arial"/>
                <w:bCs/>
                <w:kern w:val="0"/>
                <w:szCs w:val="21"/>
                <w:highlight w:val="none"/>
              </w:rPr>
              <w:t>资产总额（Z）</w:t>
            </w:r>
          </w:p>
        </w:tc>
        <w:tc>
          <w:tcPr>
            <w:tcW w:w="1079" w:type="dxa"/>
            <w:tcBorders>
              <w:top w:val="nil"/>
              <w:left w:val="nil"/>
              <w:bottom w:val="single" w:color="auto" w:sz="4" w:space="0"/>
              <w:right w:val="single" w:color="auto" w:sz="4" w:space="0"/>
            </w:tcBorders>
            <w:vAlign w:val="center"/>
          </w:tcPr>
          <w:p w14:paraId="25CBD333">
            <w:pPr>
              <w:widowControl/>
              <w:jc w:val="center"/>
              <w:rPr>
                <w:rFonts w:hint="default" w:ascii="Arial" w:hAnsi="Arial" w:cs="Arial"/>
                <w:bCs/>
                <w:kern w:val="0"/>
                <w:szCs w:val="21"/>
                <w:highlight w:val="none"/>
              </w:rPr>
            </w:pPr>
            <w:r>
              <w:rPr>
                <w:rFonts w:hint="default" w:ascii="Arial" w:hAnsi="Arial" w:cs="Arial"/>
                <w:bCs/>
                <w:kern w:val="0"/>
                <w:szCs w:val="21"/>
                <w:highlight w:val="none"/>
              </w:rPr>
              <w:t>万元</w:t>
            </w:r>
          </w:p>
        </w:tc>
        <w:tc>
          <w:tcPr>
            <w:tcW w:w="1630" w:type="dxa"/>
            <w:tcBorders>
              <w:top w:val="nil"/>
              <w:left w:val="nil"/>
              <w:bottom w:val="single" w:color="auto" w:sz="4" w:space="0"/>
              <w:right w:val="single" w:color="auto" w:sz="4" w:space="0"/>
            </w:tcBorders>
            <w:vAlign w:val="center"/>
          </w:tcPr>
          <w:p w14:paraId="5F1FF986">
            <w:pPr>
              <w:widowControl/>
              <w:jc w:val="center"/>
              <w:rPr>
                <w:rFonts w:hint="default" w:ascii="Arial" w:hAnsi="Arial" w:cs="Arial"/>
                <w:bCs/>
                <w:kern w:val="0"/>
                <w:szCs w:val="21"/>
                <w:highlight w:val="none"/>
              </w:rPr>
            </w:pPr>
            <w:r>
              <w:rPr>
                <w:rFonts w:hint="default" w:ascii="Arial" w:hAnsi="Arial" w:cs="Arial"/>
                <w:bCs/>
                <w:kern w:val="0"/>
                <w:szCs w:val="21"/>
                <w:highlight w:val="none"/>
              </w:rPr>
              <w:t>5000≤Z＜10000</w:t>
            </w:r>
          </w:p>
        </w:tc>
        <w:tc>
          <w:tcPr>
            <w:tcW w:w="1358" w:type="dxa"/>
            <w:tcBorders>
              <w:top w:val="nil"/>
              <w:left w:val="nil"/>
              <w:bottom w:val="single" w:color="auto" w:sz="4" w:space="0"/>
              <w:right w:val="single" w:color="auto" w:sz="4" w:space="0"/>
            </w:tcBorders>
            <w:vAlign w:val="center"/>
          </w:tcPr>
          <w:p w14:paraId="3161DD87">
            <w:pPr>
              <w:widowControl/>
              <w:jc w:val="center"/>
              <w:rPr>
                <w:rFonts w:hint="default" w:ascii="Arial" w:hAnsi="Arial" w:cs="Arial"/>
                <w:bCs/>
                <w:kern w:val="0"/>
                <w:szCs w:val="21"/>
                <w:highlight w:val="none"/>
              </w:rPr>
            </w:pPr>
            <w:r>
              <w:rPr>
                <w:rFonts w:hint="default" w:ascii="Arial" w:hAnsi="Arial" w:cs="Arial"/>
                <w:bCs/>
                <w:kern w:val="0"/>
                <w:szCs w:val="21"/>
                <w:highlight w:val="none"/>
              </w:rPr>
              <w:t>2000≤Y＜5000</w:t>
            </w:r>
          </w:p>
        </w:tc>
        <w:tc>
          <w:tcPr>
            <w:tcW w:w="1023" w:type="dxa"/>
            <w:tcBorders>
              <w:top w:val="nil"/>
              <w:left w:val="nil"/>
              <w:bottom w:val="single" w:color="auto" w:sz="4" w:space="0"/>
              <w:right w:val="single" w:color="auto" w:sz="4" w:space="0"/>
            </w:tcBorders>
            <w:vAlign w:val="center"/>
          </w:tcPr>
          <w:p w14:paraId="06661F26">
            <w:pPr>
              <w:widowControl/>
              <w:jc w:val="center"/>
              <w:rPr>
                <w:rFonts w:hint="default" w:ascii="Arial" w:hAnsi="Arial" w:cs="Arial"/>
                <w:bCs/>
                <w:kern w:val="0"/>
                <w:szCs w:val="21"/>
                <w:highlight w:val="none"/>
              </w:rPr>
            </w:pPr>
            <w:r>
              <w:rPr>
                <w:rFonts w:hint="default" w:ascii="Arial" w:hAnsi="Arial" w:cs="Arial"/>
                <w:bCs/>
                <w:kern w:val="0"/>
                <w:szCs w:val="21"/>
                <w:highlight w:val="none"/>
              </w:rPr>
              <w:t>Y＜2000</w:t>
            </w:r>
          </w:p>
        </w:tc>
      </w:tr>
      <w:tr w14:paraId="7DA2F5A2">
        <w:tblPrEx>
          <w:tblCellMar>
            <w:top w:w="0" w:type="dxa"/>
            <w:left w:w="108" w:type="dxa"/>
            <w:bottom w:w="0" w:type="dxa"/>
            <w:right w:w="108" w:type="dxa"/>
          </w:tblCellMar>
        </w:tblPrEx>
        <w:trPr>
          <w:trHeight w:val="90" w:hRule="atLeast"/>
          <w:jc w:val="center"/>
        </w:trPr>
        <w:tc>
          <w:tcPr>
            <w:tcW w:w="1505" w:type="dxa"/>
            <w:vMerge w:val="restart"/>
            <w:tcBorders>
              <w:top w:val="nil"/>
              <w:left w:val="single" w:color="auto" w:sz="4" w:space="0"/>
              <w:bottom w:val="single" w:color="auto" w:sz="4" w:space="0"/>
              <w:right w:val="single" w:color="auto" w:sz="4" w:space="0"/>
            </w:tcBorders>
            <w:vAlign w:val="center"/>
          </w:tcPr>
          <w:p w14:paraId="236791BC">
            <w:pPr>
              <w:widowControl/>
              <w:jc w:val="center"/>
              <w:rPr>
                <w:rFonts w:hint="default" w:ascii="Arial" w:hAnsi="Arial" w:cs="Arial"/>
                <w:bCs/>
                <w:kern w:val="0"/>
                <w:szCs w:val="21"/>
                <w:highlight w:val="none"/>
              </w:rPr>
            </w:pPr>
            <w:r>
              <w:rPr>
                <w:rFonts w:hint="default" w:ascii="Arial" w:hAnsi="Arial" w:cs="Arial"/>
                <w:bCs/>
                <w:kern w:val="0"/>
                <w:szCs w:val="21"/>
                <w:highlight w:val="none"/>
              </w:rPr>
              <w:t>物业管理</w:t>
            </w:r>
          </w:p>
        </w:tc>
        <w:tc>
          <w:tcPr>
            <w:tcW w:w="1702" w:type="dxa"/>
            <w:tcBorders>
              <w:top w:val="nil"/>
              <w:left w:val="nil"/>
              <w:bottom w:val="single" w:color="auto" w:sz="4" w:space="0"/>
              <w:right w:val="single" w:color="auto" w:sz="4" w:space="0"/>
            </w:tcBorders>
            <w:vAlign w:val="center"/>
          </w:tcPr>
          <w:p w14:paraId="35D07F0C">
            <w:pPr>
              <w:widowControl/>
              <w:jc w:val="center"/>
              <w:rPr>
                <w:rFonts w:hint="default" w:ascii="Arial" w:hAnsi="Arial" w:cs="Arial"/>
                <w:bCs/>
                <w:kern w:val="0"/>
                <w:szCs w:val="21"/>
                <w:highlight w:val="none"/>
              </w:rPr>
            </w:pPr>
            <w:r>
              <w:rPr>
                <w:rFonts w:hint="default" w:ascii="Arial" w:hAnsi="Arial" w:cs="Arial"/>
                <w:bCs/>
                <w:kern w:val="0"/>
                <w:szCs w:val="21"/>
                <w:highlight w:val="none"/>
              </w:rPr>
              <w:t>从业人员（X）</w:t>
            </w:r>
          </w:p>
        </w:tc>
        <w:tc>
          <w:tcPr>
            <w:tcW w:w="1079" w:type="dxa"/>
            <w:tcBorders>
              <w:top w:val="nil"/>
              <w:left w:val="nil"/>
              <w:bottom w:val="single" w:color="auto" w:sz="4" w:space="0"/>
              <w:right w:val="single" w:color="auto" w:sz="4" w:space="0"/>
            </w:tcBorders>
            <w:vAlign w:val="center"/>
          </w:tcPr>
          <w:p w14:paraId="415CA410">
            <w:pPr>
              <w:widowControl/>
              <w:jc w:val="center"/>
              <w:rPr>
                <w:rFonts w:hint="default" w:ascii="Arial" w:hAnsi="Arial" w:cs="Arial"/>
                <w:bCs/>
                <w:kern w:val="0"/>
                <w:szCs w:val="21"/>
                <w:highlight w:val="none"/>
              </w:rPr>
            </w:pPr>
            <w:r>
              <w:rPr>
                <w:rFonts w:hint="default" w:ascii="Arial" w:hAnsi="Arial" w:cs="Arial"/>
                <w:bCs/>
                <w:kern w:val="0"/>
                <w:szCs w:val="21"/>
                <w:highlight w:val="none"/>
              </w:rPr>
              <w:t>人</w:t>
            </w:r>
          </w:p>
        </w:tc>
        <w:tc>
          <w:tcPr>
            <w:tcW w:w="1630" w:type="dxa"/>
            <w:tcBorders>
              <w:top w:val="nil"/>
              <w:left w:val="nil"/>
              <w:bottom w:val="single" w:color="auto" w:sz="4" w:space="0"/>
              <w:right w:val="single" w:color="auto" w:sz="4" w:space="0"/>
            </w:tcBorders>
            <w:vAlign w:val="center"/>
          </w:tcPr>
          <w:p w14:paraId="02EC5967">
            <w:pPr>
              <w:widowControl/>
              <w:jc w:val="center"/>
              <w:rPr>
                <w:rFonts w:hint="default" w:ascii="Arial" w:hAnsi="Arial" w:cs="Arial"/>
                <w:bCs/>
                <w:kern w:val="0"/>
                <w:szCs w:val="21"/>
                <w:highlight w:val="none"/>
              </w:rPr>
            </w:pPr>
            <w:r>
              <w:rPr>
                <w:rFonts w:hint="default" w:ascii="Arial" w:hAnsi="Arial" w:cs="Arial"/>
                <w:bCs/>
                <w:kern w:val="0"/>
                <w:szCs w:val="21"/>
                <w:highlight w:val="none"/>
              </w:rPr>
              <w:t>300≤X＜1000</w:t>
            </w:r>
          </w:p>
        </w:tc>
        <w:tc>
          <w:tcPr>
            <w:tcW w:w="1358" w:type="dxa"/>
            <w:tcBorders>
              <w:top w:val="nil"/>
              <w:left w:val="nil"/>
              <w:bottom w:val="single" w:color="auto" w:sz="4" w:space="0"/>
              <w:right w:val="single" w:color="auto" w:sz="4" w:space="0"/>
            </w:tcBorders>
            <w:vAlign w:val="center"/>
          </w:tcPr>
          <w:p w14:paraId="2E2A8DDF">
            <w:pPr>
              <w:widowControl/>
              <w:jc w:val="center"/>
              <w:rPr>
                <w:rFonts w:hint="default" w:ascii="Arial" w:hAnsi="Arial" w:cs="Arial"/>
                <w:bCs/>
                <w:kern w:val="0"/>
                <w:szCs w:val="21"/>
                <w:highlight w:val="none"/>
              </w:rPr>
            </w:pPr>
            <w:r>
              <w:rPr>
                <w:rFonts w:hint="default" w:ascii="Arial" w:hAnsi="Arial" w:cs="Arial"/>
                <w:bCs/>
                <w:kern w:val="0"/>
                <w:szCs w:val="21"/>
                <w:highlight w:val="none"/>
              </w:rPr>
              <w:t>100≤X＜300</w:t>
            </w:r>
          </w:p>
        </w:tc>
        <w:tc>
          <w:tcPr>
            <w:tcW w:w="1023" w:type="dxa"/>
            <w:tcBorders>
              <w:top w:val="nil"/>
              <w:left w:val="nil"/>
              <w:bottom w:val="single" w:color="auto" w:sz="4" w:space="0"/>
              <w:right w:val="single" w:color="auto" w:sz="4" w:space="0"/>
            </w:tcBorders>
            <w:vAlign w:val="center"/>
          </w:tcPr>
          <w:p w14:paraId="74B46345">
            <w:pPr>
              <w:widowControl/>
              <w:jc w:val="center"/>
              <w:rPr>
                <w:rFonts w:hint="default" w:ascii="Arial" w:hAnsi="Arial" w:cs="Arial"/>
                <w:bCs/>
                <w:kern w:val="0"/>
                <w:szCs w:val="21"/>
                <w:highlight w:val="none"/>
              </w:rPr>
            </w:pPr>
            <w:r>
              <w:rPr>
                <w:rFonts w:hint="default" w:ascii="Arial" w:hAnsi="Arial" w:cs="Arial"/>
                <w:bCs/>
                <w:kern w:val="0"/>
                <w:szCs w:val="21"/>
                <w:highlight w:val="none"/>
              </w:rPr>
              <w:t>X＜100</w:t>
            </w:r>
          </w:p>
        </w:tc>
      </w:tr>
      <w:tr w14:paraId="2256447E">
        <w:tblPrEx>
          <w:tblCellMar>
            <w:top w:w="0" w:type="dxa"/>
            <w:left w:w="108" w:type="dxa"/>
            <w:bottom w:w="0" w:type="dxa"/>
            <w:right w:w="108" w:type="dxa"/>
          </w:tblCellMar>
        </w:tblPrEx>
        <w:trPr>
          <w:trHeight w:val="90" w:hRule="atLeast"/>
          <w:jc w:val="center"/>
        </w:trPr>
        <w:tc>
          <w:tcPr>
            <w:tcW w:w="1505" w:type="dxa"/>
            <w:vMerge w:val="continue"/>
            <w:tcBorders>
              <w:top w:val="nil"/>
              <w:left w:val="single" w:color="auto" w:sz="4" w:space="0"/>
              <w:bottom w:val="single" w:color="auto" w:sz="4" w:space="0"/>
              <w:right w:val="single" w:color="auto" w:sz="4" w:space="0"/>
            </w:tcBorders>
            <w:vAlign w:val="center"/>
          </w:tcPr>
          <w:p w14:paraId="79556462">
            <w:pPr>
              <w:widowControl/>
              <w:jc w:val="center"/>
              <w:rPr>
                <w:rFonts w:hint="default" w:ascii="Arial" w:hAnsi="Arial" w:cs="Arial"/>
                <w:bCs/>
                <w:kern w:val="0"/>
                <w:szCs w:val="21"/>
                <w:highlight w:val="none"/>
              </w:rPr>
            </w:pPr>
          </w:p>
        </w:tc>
        <w:tc>
          <w:tcPr>
            <w:tcW w:w="1702" w:type="dxa"/>
            <w:tcBorders>
              <w:top w:val="nil"/>
              <w:left w:val="nil"/>
              <w:bottom w:val="single" w:color="auto" w:sz="4" w:space="0"/>
              <w:right w:val="single" w:color="auto" w:sz="4" w:space="0"/>
            </w:tcBorders>
            <w:vAlign w:val="center"/>
          </w:tcPr>
          <w:p w14:paraId="32043383">
            <w:pPr>
              <w:widowControl/>
              <w:jc w:val="center"/>
              <w:rPr>
                <w:rFonts w:hint="default" w:ascii="Arial" w:hAnsi="Arial" w:cs="Arial"/>
                <w:bCs/>
                <w:kern w:val="0"/>
                <w:szCs w:val="21"/>
                <w:highlight w:val="none"/>
              </w:rPr>
            </w:pPr>
            <w:r>
              <w:rPr>
                <w:rFonts w:hint="default" w:ascii="Arial" w:hAnsi="Arial" w:cs="Arial"/>
                <w:bCs/>
                <w:kern w:val="0"/>
                <w:szCs w:val="21"/>
                <w:highlight w:val="none"/>
              </w:rPr>
              <w:t>营业收入（Y）</w:t>
            </w:r>
          </w:p>
        </w:tc>
        <w:tc>
          <w:tcPr>
            <w:tcW w:w="1079" w:type="dxa"/>
            <w:tcBorders>
              <w:top w:val="nil"/>
              <w:left w:val="nil"/>
              <w:bottom w:val="single" w:color="auto" w:sz="4" w:space="0"/>
              <w:right w:val="single" w:color="auto" w:sz="4" w:space="0"/>
            </w:tcBorders>
            <w:vAlign w:val="center"/>
          </w:tcPr>
          <w:p w14:paraId="11569AC7">
            <w:pPr>
              <w:widowControl/>
              <w:jc w:val="center"/>
              <w:rPr>
                <w:rFonts w:hint="default" w:ascii="Arial" w:hAnsi="Arial" w:cs="Arial"/>
                <w:bCs/>
                <w:kern w:val="0"/>
                <w:szCs w:val="21"/>
                <w:highlight w:val="none"/>
              </w:rPr>
            </w:pPr>
            <w:r>
              <w:rPr>
                <w:rFonts w:hint="default" w:ascii="Arial" w:hAnsi="Arial" w:cs="Arial"/>
                <w:bCs/>
                <w:kern w:val="0"/>
                <w:szCs w:val="21"/>
                <w:highlight w:val="none"/>
              </w:rPr>
              <w:t>万元</w:t>
            </w:r>
          </w:p>
        </w:tc>
        <w:tc>
          <w:tcPr>
            <w:tcW w:w="1630" w:type="dxa"/>
            <w:tcBorders>
              <w:top w:val="nil"/>
              <w:left w:val="nil"/>
              <w:bottom w:val="single" w:color="auto" w:sz="4" w:space="0"/>
              <w:right w:val="single" w:color="auto" w:sz="4" w:space="0"/>
            </w:tcBorders>
            <w:vAlign w:val="center"/>
          </w:tcPr>
          <w:p w14:paraId="70C49ACE">
            <w:pPr>
              <w:widowControl/>
              <w:jc w:val="center"/>
              <w:rPr>
                <w:rFonts w:hint="default" w:ascii="Arial" w:hAnsi="Arial" w:cs="Arial"/>
                <w:bCs/>
                <w:kern w:val="0"/>
                <w:szCs w:val="21"/>
                <w:highlight w:val="none"/>
              </w:rPr>
            </w:pPr>
            <w:r>
              <w:rPr>
                <w:rFonts w:hint="default" w:ascii="Arial" w:hAnsi="Arial" w:cs="Arial"/>
                <w:bCs/>
                <w:kern w:val="0"/>
                <w:szCs w:val="21"/>
                <w:highlight w:val="none"/>
              </w:rPr>
              <w:t>1000≤Y＜5000</w:t>
            </w:r>
          </w:p>
        </w:tc>
        <w:tc>
          <w:tcPr>
            <w:tcW w:w="1358" w:type="dxa"/>
            <w:tcBorders>
              <w:top w:val="nil"/>
              <w:left w:val="nil"/>
              <w:bottom w:val="single" w:color="auto" w:sz="4" w:space="0"/>
              <w:right w:val="single" w:color="auto" w:sz="4" w:space="0"/>
            </w:tcBorders>
            <w:vAlign w:val="center"/>
          </w:tcPr>
          <w:p w14:paraId="6BF8ABD4">
            <w:pPr>
              <w:widowControl/>
              <w:jc w:val="center"/>
              <w:rPr>
                <w:rFonts w:hint="default" w:ascii="Arial" w:hAnsi="Arial" w:cs="Arial"/>
                <w:bCs/>
                <w:kern w:val="0"/>
                <w:szCs w:val="21"/>
                <w:highlight w:val="none"/>
              </w:rPr>
            </w:pPr>
            <w:r>
              <w:rPr>
                <w:rFonts w:hint="default" w:ascii="Arial" w:hAnsi="Arial" w:cs="Arial"/>
                <w:bCs/>
                <w:kern w:val="0"/>
                <w:szCs w:val="21"/>
                <w:highlight w:val="none"/>
              </w:rPr>
              <w:t>500≤Y＜1000</w:t>
            </w:r>
          </w:p>
        </w:tc>
        <w:tc>
          <w:tcPr>
            <w:tcW w:w="1023" w:type="dxa"/>
            <w:tcBorders>
              <w:top w:val="nil"/>
              <w:left w:val="nil"/>
              <w:bottom w:val="single" w:color="auto" w:sz="4" w:space="0"/>
              <w:right w:val="single" w:color="auto" w:sz="4" w:space="0"/>
            </w:tcBorders>
            <w:vAlign w:val="center"/>
          </w:tcPr>
          <w:p w14:paraId="4CAD987C">
            <w:pPr>
              <w:widowControl/>
              <w:jc w:val="center"/>
              <w:rPr>
                <w:rFonts w:hint="default" w:ascii="Arial" w:hAnsi="Arial" w:cs="Arial"/>
                <w:bCs/>
                <w:kern w:val="0"/>
                <w:szCs w:val="21"/>
                <w:highlight w:val="none"/>
              </w:rPr>
            </w:pPr>
            <w:r>
              <w:rPr>
                <w:rFonts w:hint="default" w:ascii="Arial" w:hAnsi="Arial" w:cs="Arial"/>
                <w:bCs/>
                <w:kern w:val="0"/>
                <w:szCs w:val="21"/>
                <w:highlight w:val="none"/>
              </w:rPr>
              <w:t>Y＜500</w:t>
            </w:r>
          </w:p>
        </w:tc>
      </w:tr>
      <w:tr w14:paraId="7E96F7A4">
        <w:tblPrEx>
          <w:tblCellMar>
            <w:top w:w="0" w:type="dxa"/>
            <w:left w:w="108" w:type="dxa"/>
            <w:bottom w:w="0" w:type="dxa"/>
            <w:right w:w="108" w:type="dxa"/>
          </w:tblCellMar>
        </w:tblPrEx>
        <w:trPr>
          <w:trHeight w:val="90" w:hRule="atLeast"/>
          <w:jc w:val="center"/>
        </w:trPr>
        <w:tc>
          <w:tcPr>
            <w:tcW w:w="1505" w:type="dxa"/>
            <w:vMerge w:val="restart"/>
            <w:tcBorders>
              <w:top w:val="nil"/>
              <w:left w:val="single" w:color="auto" w:sz="4" w:space="0"/>
              <w:bottom w:val="single" w:color="auto" w:sz="4" w:space="0"/>
              <w:right w:val="single" w:color="auto" w:sz="4" w:space="0"/>
            </w:tcBorders>
            <w:vAlign w:val="center"/>
          </w:tcPr>
          <w:p w14:paraId="35E9FE57">
            <w:pPr>
              <w:widowControl/>
              <w:jc w:val="center"/>
              <w:rPr>
                <w:rFonts w:hint="default" w:ascii="Arial" w:hAnsi="Arial" w:cs="Arial"/>
                <w:bCs/>
                <w:kern w:val="0"/>
                <w:szCs w:val="21"/>
                <w:highlight w:val="none"/>
              </w:rPr>
            </w:pPr>
            <w:r>
              <w:rPr>
                <w:rFonts w:hint="default" w:ascii="Arial" w:hAnsi="Arial" w:cs="Arial"/>
                <w:bCs/>
                <w:kern w:val="0"/>
                <w:szCs w:val="21"/>
                <w:highlight w:val="none"/>
              </w:rPr>
              <w:t>租赁和商务服务业</w:t>
            </w:r>
          </w:p>
        </w:tc>
        <w:tc>
          <w:tcPr>
            <w:tcW w:w="1702" w:type="dxa"/>
            <w:tcBorders>
              <w:top w:val="nil"/>
              <w:left w:val="nil"/>
              <w:bottom w:val="single" w:color="auto" w:sz="4" w:space="0"/>
              <w:right w:val="single" w:color="auto" w:sz="4" w:space="0"/>
            </w:tcBorders>
            <w:vAlign w:val="center"/>
          </w:tcPr>
          <w:p w14:paraId="2FAB4C94">
            <w:pPr>
              <w:widowControl/>
              <w:jc w:val="center"/>
              <w:rPr>
                <w:rFonts w:hint="default" w:ascii="Arial" w:hAnsi="Arial" w:cs="Arial"/>
                <w:bCs/>
                <w:kern w:val="0"/>
                <w:szCs w:val="21"/>
                <w:highlight w:val="none"/>
              </w:rPr>
            </w:pPr>
            <w:r>
              <w:rPr>
                <w:rFonts w:hint="default" w:ascii="Arial" w:hAnsi="Arial" w:cs="Arial"/>
                <w:bCs/>
                <w:kern w:val="0"/>
                <w:szCs w:val="21"/>
                <w:highlight w:val="none"/>
              </w:rPr>
              <w:t>从业人员（X）</w:t>
            </w:r>
          </w:p>
        </w:tc>
        <w:tc>
          <w:tcPr>
            <w:tcW w:w="1079" w:type="dxa"/>
            <w:tcBorders>
              <w:top w:val="nil"/>
              <w:left w:val="nil"/>
              <w:bottom w:val="single" w:color="auto" w:sz="4" w:space="0"/>
              <w:right w:val="single" w:color="auto" w:sz="4" w:space="0"/>
            </w:tcBorders>
            <w:vAlign w:val="center"/>
          </w:tcPr>
          <w:p w14:paraId="36AB2A43">
            <w:pPr>
              <w:widowControl/>
              <w:jc w:val="center"/>
              <w:rPr>
                <w:rFonts w:hint="default" w:ascii="Arial" w:hAnsi="Arial" w:cs="Arial"/>
                <w:bCs/>
                <w:kern w:val="0"/>
                <w:szCs w:val="21"/>
                <w:highlight w:val="none"/>
              </w:rPr>
            </w:pPr>
            <w:r>
              <w:rPr>
                <w:rFonts w:hint="default" w:ascii="Arial" w:hAnsi="Arial" w:cs="Arial"/>
                <w:bCs/>
                <w:kern w:val="0"/>
                <w:szCs w:val="21"/>
                <w:highlight w:val="none"/>
              </w:rPr>
              <w:t>人</w:t>
            </w:r>
          </w:p>
        </w:tc>
        <w:tc>
          <w:tcPr>
            <w:tcW w:w="1630" w:type="dxa"/>
            <w:tcBorders>
              <w:top w:val="nil"/>
              <w:left w:val="nil"/>
              <w:bottom w:val="single" w:color="auto" w:sz="4" w:space="0"/>
              <w:right w:val="single" w:color="auto" w:sz="4" w:space="0"/>
            </w:tcBorders>
            <w:vAlign w:val="center"/>
          </w:tcPr>
          <w:p w14:paraId="67577ED4">
            <w:pPr>
              <w:widowControl/>
              <w:jc w:val="center"/>
              <w:rPr>
                <w:rFonts w:hint="default" w:ascii="Arial" w:hAnsi="Arial" w:cs="Arial"/>
                <w:bCs/>
                <w:kern w:val="0"/>
                <w:szCs w:val="21"/>
                <w:highlight w:val="none"/>
              </w:rPr>
            </w:pPr>
            <w:r>
              <w:rPr>
                <w:rFonts w:hint="default" w:ascii="Arial" w:hAnsi="Arial" w:cs="Arial"/>
                <w:bCs/>
                <w:kern w:val="0"/>
                <w:szCs w:val="21"/>
                <w:highlight w:val="none"/>
              </w:rPr>
              <w:t>100≤X＜300</w:t>
            </w:r>
          </w:p>
        </w:tc>
        <w:tc>
          <w:tcPr>
            <w:tcW w:w="1358" w:type="dxa"/>
            <w:tcBorders>
              <w:top w:val="nil"/>
              <w:left w:val="nil"/>
              <w:bottom w:val="single" w:color="auto" w:sz="4" w:space="0"/>
              <w:right w:val="single" w:color="auto" w:sz="4" w:space="0"/>
            </w:tcBorders>
            <w:vAlign w:val="center"/>
          </w:tcPr>
          <w:p w14:paraId="118E61DC">
            <w:pPr>
              <w:widowControl/>
              <w:jc w:val="center"/>
              <w:rPr>
                <w:rFonts w:hint="default" w:ascii="Arial" w:hAnsi="Arial" w:cs="Arial"/>
                <w:bCs/>
                <w:kern w:val="0"/>
                <w:szCs w:val="21"/>
                <w:highlight w:val="none"/>
              </w:rPr>
            </w:pPr>
            <w:r>
              <w:rPr>
                <w:rFonts w:hint="default" w:ascii="Arial" w:hAnsi="Arial" w:cs="Arial"/>
                <w:bCs/>
                <w:kern w:val="0"/>
                <w:szCs w:val="21"/>
                <w:highlight w:val="none"/>
              </w:rPr>
              <w:t>10≤X＜100</w:t>
            </w:r>
          </w:p>
        </w:tc>
        <w:tc>
          <w:tcPr>
            <w:tcW w:w="1023" w:type="dxa"/>
            <w:tcBorders>
              <w:top w:val="nil"/>
              <w:left w:val="nil"/>
              <w:bottom w:val="single" w:color="auto" w:sz="4" w:space="0"/>
              <w:right w:val="single" w:color="auto" w:sz="4" w:space="0"/>
            </w:tcBorders>
            <w:vAlign w:val="center"/>
          </w:tcPr>
          <w:p w14:paraId="3F6AB631">
            <w:pPr>
              <w:widowControl/>
              <w:jc w:val="center"/>
              <w:rPr>
                <w:rFonts w:hint="default" w:ascii="Arial" w:hAnsi="Arial" w:cs="Arial"/>
                <w:bCs/>
                <w:kern w:val="0"/>
                <w:szCs w:val="21"/>
                <w:highlight w:val="none"/>
              </w:rPr>
            </w:pPr>
            <w:r>
              <w:rPr>
                <w:rFonts w:hint="default" w:ascii="Arial" w:hAnsi="Arial" w:cs="Arial"/>
                <w:bCs/>
                <w:kern w:val="0"/>
                <w:szCs w:val="21"/>
                <w:highlight w:val="none"/>
              </w:rPr>
              <w:t>X＜10</w:t>
            </w:r>
          </w:p>
        </w:tc>
      </w:tr>
      <w:tr w14:paraId="4265D8AA">
        <w:tblPrEx>
          <w:tblCellMar>
            <w:top w:w="0" w:type="dxa"/>
            <w:left w:w="108" w:type="dxa"/>
            <w:bottom w:w="0" w:type="dxa"/>
            <w:right w:w="108" w:type="dxa"/>
          </w:tblCellMar>
        </w:tblPrEx>
        <w:trPr>
          <w:trHeight w:val="90" w:hRule="atLeast"/>
          <w:jc w:val="center"/>
        </w:trPr>
        <w:tc>
          <w:tcPr>
            <w:tcW w:w="1505" w:type="dxa"/>
            <w:vMerge w:val="continue"/>
            <w:tcBorders>
              <w:top w:val="nil"/>
              <w:left w:val="single" w:color="auto" w:sz="4" w:space="0"/>
              <w:bottom w:val="single" w:color="auto" w:sz="4" w:space="0"/>
              <w:right w:val="single" w:color="auto" w:sz="4" w:space="0"/>
            </w:tcBorders>
            <w:vAlign w:val="center"/>
          </w:tcPr>
          <w:p w14:paraId="3A4F872D">
            <w:pPr>
              <w:widowControl/>
              <w:jc w:val="center"/>
              <w:rPr>
                <w:rFonts w:hint="default" w:ascii="Arial" w:hAnsi="Arial" w:cs="Arial"/>
                <w:bCs/>
                <w:kern w:val="0"/>
                <w:szCs w:val="21"/>
                <w:highlight w:val="none"/>
              </w:rPr>
            </w:pPr>
          </w:p>
        </w:tc>
        <w:tc>
          <w:tcPr>
            <w:tcW w:w="1702" w:type="dxa"/>
            <w:tcBorders>
              <w:top w:val="nil"/>
              <w:left w:val="nil"/>
              <w:bottom w:val="single" w:color="auto" w:sz="4" w:space="0"/>
              <w:right w:val="single" w:color="auto" w:sz="4" w:space="0"/>
            </w:tcBorders>
            <w:vAlign w:val="center"/>
          </w:tcPr>
          <w:p w14:paraId="6E530198">
            <w:pPr>
              <w:widowControl/>
              <w:jc w:val="center"/>
              <w:rPr>
                <w:rFonts w:hint="default" w:ascii="Arial" w:hAnsi="Arial" w:cs="Arial"/>
                <w:bCs/>
                <w:kern w:val="0"/>
                <w:szCs w:val="21"/>
                <w:highlight w:val="none"/>
              </w:rPr>
            </w:pPr>
            <w:r>
              <w:rPr>
                <w:rFonts w:hint="default" w:ascii="Arial" w:hAnsi="Arial" w:cs="Arial"/>
                <w:bCs/>
                <w:kern w:val="0"/>
                <w:szCs w:val="21"/>
                <w:highlight w:val="none"/>
              </w:rPr>
              <w:t>资产总额（Z）</w:t>
            </w:r>
          </w:p>
        </w:tc>
        <w:tc>
          <w:tcPr>
            <w:tcW w:w="1079" w:type="dxa"/>
            <w:tcBorders>
              <w:top w:val="nil"/>
              <w:left w:val="nil"/>
              <w:bottom w:val="single" w:color="auto" w:sz="4" w:space="0"/>
              <w:right w:val="single" w:color="auto" w:sz="4" w:space="0"/>
            </w:tcBorders>
            <w:vAlign w:val="center"/>
          </w:tcPr>
          <w:p w14:paraId="1C370B14">
            <w:pPr>
              <w:widowControl/>
              <w:jc w:val="center"/>
              <w:rPr>
                <w:rFonts w:hint="default" w:ascii="Arial" w:hAnsi="Arial" w:cs="Arial"/>
                <w:bCs/>
                <w:kern w:val="0"/>
                <w:szCs w:val="21"/>
                <w:highlight w:val="none"/>
              </w:rPr>
            </w:pPr>
            <w:r>
              <w:rPr>
                <w:rFonts w:hint="default" w:ascii="Arial" w:hAnsi="Arial" w:cs="Arial"/>
                <w:bCs/>
                <w:kern w:val="0"/>
                <w:szCs w:val="21"/>
                <w:highlight w:val="none"/>
              </w:rPr>
              <w:t>万元</w:t>
            </w:r>
          </w:p>
        </w:tc>
        <w:tc>
          <w:tcPr>
            <w:tcW w:w="1630" w:type="dxa"/>
            <w:tcBorders>
              <w:top w:val="nil"/>
              <w:left w:val="nil"/>
              <w:bottom w:val="single" w:color="auto" w:sz="4" w:space="0"/>
              <w:right w:val="single" w:color="auto" w:sz="4" w:space="0"/>
            </w:tcBorders>
            <w:vAlign w:val="center"/>
          </w:tcPr>
          <w:p w14:paraId="5509E25C">
            <w:pPr>
              <w:widowControl/>
              <w:jc w:val="center"/>
              <w:rPr>
                <w:rFonts w:hint="default" w:ascii="Arial" w:hAnsi="Arial" w:cs="Arial"/>
                <w:bCs/>
                <w:kern w:val="0"/>
                <w:szCs w:val="21"/>
                <w:highlight w:val="none"/>
              </w:rPr>
            </w:pPr>
            <w:r>
              <w:rPr>
                <w:rFonts w:hint="default" w:ascii="Arial" w:hAnsi="Arial" w:cs="Arial"/>
                <w:bCs/>
                <w:kern w:val="0"/>
                <w:szCs w:val="21"/>
                <w:highlight w:val="none"/>
              </w:rPr>
              <w:t>8000≤Z＜120000</w:t>
            </w:r>
          </w:p>
        </w:tc>
        <w:tc>
          <w:tcPr>
            <w:tcW w:w="1358" w:type="dxa"/>
            <w:tcBorders>
              <w:top w:val="nil"/>
              <w:left w:val="nil"/>
              <w:bottom w:val="single" w:color="auto" w:sz="4" w:space="0"/>
              <w:right w:val="single" w:color="auto" w:sz="4" w:space="0"/>
            </w:tcBorders>
            <w:vAlign w:val="center"/>
          </w:tcPr>
          <w:p w14:paraId="673B331D">
            <w:pPr>
              <w:widowControl/>
              <w:jc w:val="center"/>
              <w:rPr>
                <w:rFonts w:hint="default" w:ascii="Arial" w:hAnsi="Arial" w:cs="Arial"/>
                <w:bCs/>
                <w:kern w:val="0"/>
                <w:szCs w:val="21"/>
                <w:highlight w:val="none"/>
              </w:rPr>
            </w:pPr>
            <w:r>
              <w:rPr>
                <w:rFonts w:hint="default" w:ascii="Arial" w:hAnsi="Arial" w:cs="Arial"/>
                <w:bCs/>
                <w:kern w:val="0"/>
                <w:szCs w:val="21"/>
                <w:highlight w:val="none"/>
              </w:rPr>
              <w:t>100≤Z＜8000</w:t>
            </w:r>
          </w:p>
        </w:tc>
        <w:tc>
          <w:tcPr>
            <w:tcW w:w="1023" w:type="dxa"/>
            <w:tcBorders>
              <w:top w:val="nil"/>
              <w:left w:val="nil"/>
              <w:bottom w:val="single" w:color="auto" w:sz="4" w:space="0"/>
              <w:right w:val="single" w:color="auto" w:sz="4" w:space="0"/>
            </w:tcBorders>
            <w:vAlign w:val="center"/>
          </w:tcPr>
          <w:p w14:paraId="63B838C5">
            <w:pPr>
              <w:widowControl/>
              <w:jc w:val="center"/>
              <w:rPr>
                <w:rFonts w:hint="default" w:ascii="Arial" w:hAnsi="Arial" w:cs="Arial"/>
                <w:bCs/>
                <w:kern w:val="0"/>
                <w:szCs w:val="21"/>
                <w:highlight w:val="none"/>
              </w:rPr>
            </w:pPr>
            <w:r>
              <w:rPr>
                <w:rFonts w:hint="default" w:ascii="Arial" w:hAnsi="Arial" w:cs="Arial"/>
                <w:bCs/>
                <w:kern w:val="0"/>
                <w:szCs w:val="21"/>
                <w:highlight w:val="none"/>
              </w:rPr>
              <w:t>Y＜100</w:t>
            </w:r>
          </w:p>
        </w:tc>
      </w:tr>
      <w:tr w14:paraId="3C937B2C">
        <w:tblPrEx>
          <w:tblCellMar>
            <w:top w:w="0" w:type="dxa"/>
            <w:left w:w="108" w:type="dxa"/>
            <w:bottom w:w="0" w:type="dxa"/>
            <w:right w:w="108" w:type="dxa"/>
          </w:tblCellMar>
        </w:tblPrEx>
        <w:trPr>
          <w:trHeight w:val="90" w:hRule="atLeast"/>
          <w:jc w:val="center"/>
        </w:trPr>
        <w:tc>
          <w:tcPr>
            <w:tcW w:w="1505" w:type="dxa"/>
            <w:tcBorders>
              <w:top w:val="nil"/>
              <w:left w:val="single" w:color="auto" w:sz="4" w:space="0"/>
              <w:bottom w:val="single" w:color="auto" w:sz="4" w:space="0"/>
              <w:right w:val="single" w:color="auto" w:sz="4" w:space="0"/>
            </w:tcBorders>
            <w:vAlign w:val="center"/>
          </w:tcPr>
          <w:p w14:paraId="4B9778D8">
            <w:pPr>
              <w:widowControl/>
              <w:jc w:val="center"/>
              <w:rPr>
                <w:rFonts w:hint="default" w:ascii="Arial" w:hAnsi="Arial" w:cs="Arial"/>
                <w:bCs/>
                <w:kern w:val="0"/>
                <w:szCs w:val="21"/>
                <w:highlight w:val="none"/>
              </w:rPr>
            </w:pPr>
            <w:r>
              <w:rPr>
                <w:rFonts w:hint="default" w:ascii="Arial" w:hAnsi="Arial" w:cs="Arial"/>
                <w:bCs/>
                <w:kern w:val="0"/>
                <w:szCs w:val="21"/>
                <w:highlight w:val="none"/>
              </w:rPr>
              <w:t>其他未列明行业</w:t>
            </w:r>
          </w:p>
        </w:tc>
        <w:tc>
          <w:tcPr>
            <w:tcW w:w="1702" w:type="dxa"/>
            <w:tcBorders>
              <w:top w:val="nil"/>
              <w:left w:val="nil"/>
              <w:bottom w:val="single" w:color="auto" w:sz="4" w:space="0"/>
              <w:right w:val="single" w:color="auto" w:sz="4" w:space="0"/>
            </w:tcBorders>
            <w:vAlign w:val="center"/>
          </w:tcPr>
          <w:p w14:paraId="15E952E0">
            <w:pPr>
              <w:widowControl/>
              <w:jc w:val="center"/>
              <w:rPr>
                <w:rFonts w:hint="default" w:ascii="Arial" w:hAnsi="Arial" w:cs="Arial"/>
                <w:bCs/>
                <w:kern w:val="0"/>
                <w:szCs w:val="21"/>
                <w:highlight w:val="none"/>
              </w:rPr>
            </w:pPr>
            <w:r>
              <w:rPr>
                <w:rFonts w:hint="default" w:ascii="Arial" w:hAnsi="Arial" w:cs="Arial"/>
                <w:bCs/>
                <w:kern w:val="0"/>
                <w:szCs w:val="21"/>
                <w:highlight w:val="none"/>
              </w:rPr>
              <w:t>从业人员（X）</w:t>
            </w:r>
          </w:p>
        </w:tc>
        <w:tc>
          <w:tcPr>
            <w:tcW w:w="1079" w:type="dxa"/>
            <w:tcBorders>
              <w:top w:val="nil"/>
              <w:left w:val="nil"/>
              <w:bottom w:val="single" w:color="auto" w:sz="4" w:space="0"/>
              <w:right w:val="single" w:color="auto" w:sz="4" w:space="0"/>
            </w:tcBorders>
            <w:vAlign w:val="center"/>
          </w:tcPr>
          <w:p w14:paraId="00859890">
            <w:pPr>
              <w:widowControl/>
              <w:jc w:val="center"/>
              <w:rPr>
                <w:rFonts w:hint="default" w:ascii="Arial" w:hAnsi="Arial" w:cs="Arial"/>
                <w:bCs/>
                <w:kern w:val="0"/>
                <w:szCs w:val="21"/>
                <w:highlight w:val="none"/>
              </w:rPr>
            </w:pPr>
            <w:r>
              <w:rPr>
                <w:rFonts w:hint="default" w:ascii="Arial" w:hAnsi="Arial" w:cs="Arial"/>
                <w:bCs/>
                <w:kern w:val="0"/>
                <w:szCs w:val="21"/>
                <w:highlight w:val="none"/>
              </w:rPr>
              <w:t>人</w:t>
            </w:r>
          </w:p>
        </w:tc>
        <w:tc>
          <w:tcPr>
            <w:tcW w:w="1630" w:type="dxa"/>
            <w:tcBorders>
              <w:top w:val="nil"/>
              <w:left w:val="nil"/>
              <w:bottom w:val="single" w:color="auto" w:sz="4" w:space="0"/>
              <w:right w:val="single" w:color="auto" w:sz="4" w:space="0"/>
            </w:tcBorders>
            <w:vAlign w:val="center"/>
          </w:tcPr>
          <w:p w14:paraId="020A020D">
            <w:pPr>
              <w:widowControl/>
              <w:jc w:val="center"/>
              <w:rPr>
                <w:rFonts w:hint="default" w:ascii="Arial" w:hAnsi="Arial" w:cs="Arial"/>
                <w:bCs/>
                <w:kern w:val="0"/>
                <w:szCs w:val="21"/>
                <w:highlight w:val="none"/>
              </w:rPr>
            </w:pPr>
            <w:r>
              <w:rPr>
                <w:rFonts w:hint="default" w:ascii="Arial" w:hAnsi="Arial" w:cs="Arial"/>
                <w:bCs/>
                <w:kern w:val="0"/>
                <w:szCs w:val="21"/>
                <w:highlight w:val="none"/>
              </w:rPr>
              <w:t>100≤X＜300</w:t>
            </w:r>
          </w:p>
        </w:tc>
        <w:tc>
          <w:tcPr>
            <w:tcW w:w="1358" w:type="dxa"/>
            <w:tcBorders>
              <w:top w:val="nil"/>
              <w:left w:val="nil"/>
              <w:bottom w:val="single" w:color="auto" w:sz="4" w:space="0"/>
              <w:right w:val="single" w:color="auto" w:sz="4" w:space="0"/>
            </w:tcBorders>
            <w:vAlign w:val="center"/>
          </w:tcPr>
          <w:p w14:paraId="03E9C347">
            <w:pPr>
              <w:widowControl/>
              <w:jc w:val="center"/>
              <w:rPr>
                <w:rFonts w:hint="default" w:ascii="Arial" w:hAnsi="Arial" w:cs="Arial"/>
                <w:bCs/>
                <w:kern w:val="0"/>
                <w:szCs w:val="21"/>
                <w:highlight w:val="none"/>
              </w:rPr>
            </w:pPr>
            <w:r>
              <w:rPr>
                <w:rFonts w:hint="default" w:ascii="Arial" w:hAnsi="Arial" w:cs="Arial"/>
                <w:bCs/>
                <w:kern w:val="0"/>
                <w:szCs w:val="21"/>
                <w:highlight w:val="none"/>
              </w:rPr>
              <w:t>10≤X＜100</w:t>
            </w:r>
          </w:p>
        </w:tc>
        <w:tc>
          <w:tcPr>
            <w:tcW w:w="1023" w:type="dxa"/>
            <w:tcBorders>
              <w:top w:val="nil"/>
              <w:left w:val="nil"/>
              <w:bottom w:val="single" w:color="auto" w:sz="4" w:space="0"/>
              <w:right w:val="single" w:color="auto" w:sz="4" w:space="0"/>
            </w:tcBorders>
            <w:vAlign w:val="center"/>
          </w:tcPr>
          <w:p w14:paraId="78BD2972">
            <w:pPr>
              <w:widowControl/>
              <w:jc w:val="center"/>
              <w:rPr>
                <w:rFonts w:hint="default" w:ascii="Arial" w:hAnsi="Arial" w:cs="Arial"/>
                <w:bCs/>
                <w:kern w:val="0"/>
                <w:szCs w:val="21"/>
                <w:highlight w:val="none"/>
              </w:rPr>
            </w:pPr>
            <w:r>
              <w:rPr>
                <w:rFonts w:hint="default" w:ascii="Arial" w:hAnsi="Arial" w:cs="Arial"/>
                <w:bCs/>
                <w:kern w:val="0"/>
                <w:szCs w:val="21"/>
                <w:highlight w:val="none"/>
              </w:rPr>
              <w:t>X＜10</w:t>
            </w:r>
          </w:p>
        </w:tc>
      </w:tr>
    </w:tbl>
    <w:p w14:paraId="746FDE2E">
      <w:pPr>
        <w:spacing w:line="360" w:lineRule="auto"/>
        <w:ind w:firstLine="525" w:firstLineChars="250"/>
        <w:rPr>
          <w:rFonts w:hint="default" w:ascii="Arial" w:hAnsi="Arial" w:cs="Arial"/>
          <w:szCs w:val="21"/>
          <w:highlight w:val="none"/>
        </w:rPr>
      </w:pPr>
      <w:r>
        <w:rPr>
          <w:rFonts w:hint="default" w:ascii="Arial" w:hAnsi="Arial" w:cs="Arial"/>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2C6C2F00">
      <w:pPr>
        <w:spacing w:line="340" w:lineRule="exact"/>
        <w:ind w:left="-12" w:leftChars="-6" w:firstLine="420" w:firstLineChars="200"/>
        <w:rPr>
          <w:rFonts w:hint="default" w:ascii="Arial" w:hAnsi="Arial" w:cs="Arial"/>
          <w:szCs w:val="21"/>
          <w:highlight w:val="none"/>
        </w:rPr>
      </w:pPr>
    </w:p>
    <w:p w14:paraId="2D1A1D6A">
      <w:pPr>
        <w:pStyle w:val="27"/>
        <w:spacing w:line="276" w:lineRule="auto"/>
        <w:rPr>
          <w:rFonts w:hint="default" w:ascii="Arial" w:hAnsi="Arial" w:cs="Arial"/>
          <w:highlight w:val="none"/>
        </w:rPr>
      </w:pPr>
      <w:r>
        <w:rPr>
          <w:rFonts w:hint="default" w:ascii="Arial" w:hAnsi="Arial" w:cs="Arial"/>
          <w:b/>
          <w:szCs w:val="21"/>
          <w:highlight w:val="none"/>
        </w:rPr>
        <w:br w:type="page"/>
      </w:r>
      <w:bookmarkStart w:id="28" w:name="_Toc524017825"/>
    </w:p>
    <w:p w14:paraId="1ADA8824">
      <w:pPr>
        <w:pStyle w:val="44"/>
        <w:rPr>
          <w:rFonts w:hint="default" w:ascii="Arial" w:hAnsi="Arial" w:cs="Arial"/>
          <w:highlight w:val="none"/>
        </w:rPr>
      </w:pPr>
      <w:bookmarkStart w:id="29" w:name="_Toc6894"/>
      <w:bookmarkStart w:id="30" w:name="_Toc82079289"/>
      <w:bookmarkStart w:id="31" w:name="_Toc82079337"/>
      <w:r>
        <w:rPr>
          <w:rFonts w:hint="default" w:ascii="Arial" w:hAnsi="Arial" w:cs="Arial"/>
          <w:highlight w:val="none"/>
        </w:rPr>
        <w:t>第五章  政府采购合同（合同主要条款及格式）</w:t>
      </w:r>
      <w:bookmarkEnd w:id="28"/>
      <w:bookmarkEnd w:id="29"/>
      <w:bookmarkEnd w:id="30"/>
      <w:bookmarkEnd w:id="31"/>
    </w:p>
    <w:p w14:paraId="4C4484EC">
      <w:pPr>
        <w:spacing w:line="276" w:lineRule="auto"/>
        <w:rPr>
          <w:rFonts w:hint="default" w:ascii="Arial" w:hAnsi="Arial" w:eastAsia="宋体" w:cs="Arial"/>
          <w:highlight w:val="none"/>
          <w:lang w:eastAsia="zh-CN"/>
        </w:rPr>
      </w:pPr>
      <w:r>
        <w:rPr>
          <w:rFonts w:hint="default" w:ascii="Arial" w:hAnsi="Arial" w:cs="Arial"/>
          <w:highlight w:val="none"/>
        </w:rPr>
        <w:t>项目名称：</w:t>
      </w:r>
      <w:r>
        <w:rPr>
          <w:rFonts w:hint="eastAsia" w:ascii="Arial" w:hAnsi="Arial" w:cs="Arial"/>
          <w:highlight w:val="none"/>
          <w:lang w:eastAsia="zh-CN"/>
        </w:rPr>
        <w:t>桂林市第二技工学校2025年市级高技能人才培训基地建设项目</w:t>
      </w:r>
    </w:p>
    <w:p w14:paraId="3D141092">
      <w:pPr>
        <w:spacing w:line="276" w:lineRule="auto"/>
        <w:rPr>
          <w:rFonts w:hint="default" w:ascii="Arial" w:hAnsi="Arial" w:cs="Arial"/>
          <w:highlight w:val="none"/>
        </w:rPr>
      </w:pPr>
      <w:r>
        <w:rPr>
          <w:rFonts w:hint="default" w:ascii="Arial" w:hAnsi="Arial" w:cs="Arial"/>
          <w:highlight w:val="none"/>
        </w:rPr>
        <w:t>项目编号：</w:t>
      </w:r>
    </w:p>
    <w:p w14:paraId="76089539">
      <w:pPr>
        <w:spacing w:line="276" w:lineRule="auto"/>
        <w:rPr>
          <w:rFonts w:hint="default" w:ascii="Arial" w:hAnsi="Arial" w:cs="Arial"/>
          <w:highlight w:val="none"/>
        </w:rPr>
      </w:pPr>
      <w:r>
        <w:rPr>
          <w:rFonts w:hint="default" w:ascii="Arial" w:hAnsi="Arial" w:cs="Arial"/>
          <w:highlight w:val="none"/>
        </w:rPr>
        <w:t>甲方：</w:t>
      </w:r>
      <w:r>
        <w:rPr>
          <w:rFonts w:hint="eastAsia" w:ascii="Arial" w:hAnsi="Arial" w:cs="Arial"/>
          <w:szCs w:val="21"/>
          <w:highlight w:val="none"/>
          <w:u w:val="single"/>
          <w:lang w:eastAsia="zh-CN"/>
        </w:rPr>
        <w:t>桂林市第二技工学校</w:t>
      </w:r>
      <w:r>
        <w:rPr>
          <w:rFonts w:hint="default" w:ascii="Arial" w:hAnsi="Arial" w:cs="Arial"/>
          <w:szCs w:val="21"/>
          <w:highlight w:val="none"/>
        </w:rPr>
        <w:t>（</w:t>
      </w:r>
      <w:r>
        <w:rPr>
          <w:rFonts w:hint="default" w:ascii="Arial" w:hAnsi="Arial" w:cs="Arial"/>
          <w:highlight w:val="none"/>
        </w:rPr>
        <w:t>采购人）</w:t>
      </w:r>
    </w:p>
    <w:p w14:paraId="0E2558D6">
      <w:pPr>
        <w:spacing w:line="288" w:lineRule="auto"/>
        <w:rPr>
          <w:rFonts w:hint="default" w:ascii="Arial" w:hAnsi="Arial" w:cs="Arial"/>
          <w:highlight w:val="none"/>
        </w:rPr>
      </w:pPr>
      <w:r>
        <w:rPr>
          <w:rFonts w:hint="default" w:ascii="Arial" w:hAnsi="Arial" w:cs="Arial"/>
          <w:highlight w:val="none"/>
        </w:rPr>
        <w:t>乙方：</w:t>
      </w:r>
      <w:r>
        <w:rPr>
          <w:rFonts w:hint="default" w:ascii="Arial" w:hAnsi="Arial" w:cs="Arial"/>
          <w:highlight w:val="none"/>
          <w:u w:val="single"/>
        </w:rPr>
        <w:t xml:space="preserve">               </w:t>
      </w:r>
      <w:r>
        <w:rPr>
          <w:rFonts w:hint="default" w:ascii="Arial" w:hAnsi="Arial" w:cs="Arial"/>
          <w:highlight w:val="none"/>
        </w:rPr>
        <w:t>（中标供应商）</w:t>
      </w:r>
    </w:p>
    <w:p w14:paraId="439DCB9F">
      <w:pPr>
        <w:spacing w:line="276" w:lineRule="auto"/>
        <w:rPr>
          <w:rFonts w:hint="default" w:ascii="Arial" w:hAnsi="Arial" w:cs="Arial"/>
          <w:highlight w:val="none"/>
        </w:rPr>
      </w:pPr>
    </w:p>
    <w:p w14:paraId="76C01352">
      <w:pPr>
        <w:spacing w:line="288" w:lineRule="auto"/>
        <w:ind w:firstLine="420" w:firstLineChars="200"/>
        <w:rPr>
          <w:rFonts w:hint="default" w:ascii="Arial" w:hAnsi="Arial" w:cs="Arial"/>
          <w:color w:val="auto"/>
          <w:highlight w:val="none"/>
        </w:rPr>
      </w:pPr>
      <w:r>
        <w:rPr>
          <w:rFonts w:hint="default" w:ascii="Arial" w:hAnsi="Arial" w:cs="Arial"/>
          <w:color w:val="auto"/>
          <w:highlight w:val="none"/>
        </w:rPr>
        <w:t>根据《中华人民共和国政府采购法》、《中华人民共和国政府采购法实施条例》、《中华人民共和国民法典》等法律、法规规定，按照招、投标文件规定条款和中标供应商承诺，甲乙双方签订本采购合同。</w:t>
      </w:r>
    </w:p>
    <w:p w14:paraId="06C4AA19">
      <w:pPr>
        <w:numPr>
          <w:ilvl w:val="0"/>
          <w:numId w:val="7"/>
        </w:numPr>
        <w:spacing w:line="288" w:lineRule="auto"/>
        <w:rPr>
          <w:rFonts w:hint="default" w:ascii="Arial" w:hAnsi="Arial" w:cs="Arial"/>
          <w:b/>
          <w:bCs/>
          <w:color w:val="auto"/>
          <w:highlight w:val="none"/>
        </w:rPr>
      </w:pPr>
      <w:r>
        <w:rPr>
          <w:rFonts w:hint="default" w:ascii="Arial" w:hAnsi="Arial" w:cs="Arial"/>
          <w:b/>
          <w:bCs/>
          <w:color w:val="auto"/>
          <w:highlight w:val="none"/>
        </w:rPr>
        <w:t>合同标的及合同金额</w:t>
      </w:r>
    </w:p>
    <w:tbl>
      <w:tblPr>
        <w:tblStyle w:val="4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134"/>
        <w:gridCol w:w="1559"/>
        <w:gridCol w:w="1418"/>
        <w:gridCol w:w="850"/>
        <w:gridCol w:w="709"/>
        <w:gridCol w:w="1117"/>
        <w:gridCol w:w="1718"/>
      </w:tblGrid>
      <w:tr w14:paraId="22CC4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1" w:hRule="atLeast"/>
        </w:trPr>
        <w:tc>
          <w:tcPr>
            <w:tcW w:w="709" w:type="dxa"/>
            <w:tcBorders>
              <w:top w:val="single" w:color="auto" w:sz="4" w:space="0"/>
              <w:left w:val="single" w:color="auto" w:sz="4" w:space="0"/>
              <w:bottom w:val="single" w:color="auto" w:sz="4" w:space="0"/>
              <w:right w:val="single" w:color="auto" w:sz="4" w:space="0"/>
            </w:tcBorders>
            <w:vAlign w:val="center"/>
          </w:tcPr>
          <w:p w14:paraId="3757C59D">
            <w:pPr>
              <w:keepNext w:val="0"/>
              <w:keepLines w:val="0"/>
              <w:suppressLineNumbers w:val="0"/>
              <w:snapToGrid w:val="0"/>
              <w:spacing w:before="0" w:beforeAutospacing="0" w:after="0" w:afterAutospacing="0" w:line="288" w:lineRule="auto"/>
              <w:ind w:left="0" w:right="0"/>
              <w:jc w:val="center"/>
              <w:rPr>
                <w:rFonts w:hint="default" w:ascii="Arial" w:hAnsi="Arial" w:cs="Arial"/>
                <w:color w:val="auto"/>
                <w:szCs w:val="21"/>
                <w:highlight w:val="none"/>
              </w:rPr>
            </w:pPr>
            <w:r>
              <w:rPr>
                <w:rFonts w:hint="default" w:ascii="Arial" w:hAnsi="Arial" w:cs="Arial"/>
                <w:color w:val="auto"/>
                <w:highlight w:val="none"/>
              </w:rPr>
              <w:t>项号</w:t>
            </w:r>
          </w:p>
        </w:tc>
        <w:tc>
          <w:tcPr>
            <w:tcW w:w="1134" w:type="dxa"/>
            <w:tcBorders>
              <w:top w:val="single" w:color="auto" w:sz="4" w:space="0"/>
              <w:left w:val="single" w:color="auto" w:sz="4" w:space="0"/>
              <w:bottom w:val="single" w:color="auto" w:sz="4" w:space="0"/>
              <w:right w:val="single" w:color="auto" w:sz="4" w:space="0"/>
            </w:tcBorders>
            <w:vAlign w:val="center"/>
          </w:tcPr>
          <w:p w14:paraId="6170EDB9">
            <w:pPr>
              <w:keepNext w:val="0"/>
              <w:keepLines w:val="0"/>
              <w:suppressLineNumbers w:val="0"/>
              <w:snapToGrid w:val="0"/>
              <w:spacing w:before="0" w:beforeAutospacing="0" w:after="0" w:afterAutospacing="0" w:line="288" w:lineRule="auto"/>
              <w:ind w:left="0" w:right="0"/>
              <w:jc w:val="center"/>
              <w:rPr>
                <w:rFonts w:hint="default" w:ascii="Arial" w:hAnsi="Arial" w:cs="Arial"/>
                <w:color w:val="auto"/>
                <w:szCs w:val="21"/>
                <w:highlight w:val="none"/>
              </w:rPr>
            </w:pPr>
            <w:r>
              <w:rPr>
                <w:rFonts w:hint="default" w:ascii="Arial" w:hAnsi="Arial" w:cs="Arial"/>
                <w:color w:val="auto"/>
                <w:highlight w:val="none"/>
              </w:rPr>
              <w:t>货物名称</w:t>
            </w:r>
          </w:p>
        </w:tc>
        <w:tc>
          <w:tcPr>
            <w:tcW w:w="1559" w:type="dxa"/>
            <w:tcBorders>
              <w:top w:val="single" w:color="auto" w:sz="4" w:space="0"/>
              <w:left w:val="single" w:color="auto" w:sz="4" w:space="0"/>
              <w:bottom w:val="single" w:color="auto" w:sz="4" w:space="0"/>
              <w:right w:val="single" w:color="auto" w:sz="4" w:space="0"/>
            </w:tcBorders>
            <w:vAlign w:val="center"/>
          </w:tcPr>
          <w:p w14:paraId="4B769CAC">
            <w:pPr>
              <w:keepNext w:val="0"/>
              <w:keepLines w:val="0"/>
              <w:suppressLineNumbers w:val="0"/>
              <w:snapToGrid w:val="0"/>
              <w:spacing w:before="0" w:beforeAutospacing="0" w:after="0" w:afterAutospacing="0" w:line="288" w:lineRule="auto"/>
              <w:ind w:left="0" w:right="0"/>
              <w:jc w:val="center"/>
              <w:rPr>
                <w:rFonts w:hint="default" w:ascii="Arial" w:hAnsi="Arial" w:cs="Arial"/>
                <w:color w:val="auto"/>
                <w:szCs w:val="21"/>
                <w:highlight w:val="none"/>
              </w:rPr>
            </w:pPr>
            <w:r>
              <w:rPr>
                <w:rFonts w:hint="default" w:ascii="Arial" w:hAnsi="Arial" w:cs="Arial"/>
                <w:color w:val="auto"/>
                <w:highlight w:val="none"/>
              </w:rPr>
              <w:t>生产厂家、品牌、规格型号</w:t>
            </w:r>
          </w:p>
        </w:tc>
        <w:tc>
          <w:tcPr>
            <w:tcW w:w="1418" w:type="dxa"/>
            <w:tcBorders>
              <w:top w:val="single" w:color="auto" w:sz="4" w:space="0"/>
              <w:left w:val="single" w:color="auto" w:sz="4" w:space="0"/>
              <w:bottom w:val="single" w:color="auto" w:sz="4" w:space="0"/>
              <w:right w:val="single" w:color="auto" w:sz="4" w:space="0"/>
            </w:tcBorders>
            <w:vAlign w:val="center"/>
          </w:tcPr>
          <w:p w14:paraId="357BCB82">
            <w:pPr>
              <w:keepNext w:val="0"/>
              <w:keepLines w:val="0"/>
              <w:suppressLineNumbers w:val="0"/>
              <w:snapToGrid w:val="0"/>
              <w:spacing w:before="0" w:beforeAutospacing="0" w:after="0" w:afterAutospacing="0" w:line="288" w:lineRule="auto"/>
              <w:ind w:left="0" w:right="0"/>
              <w:jc w:val="center"/>
              <w:rPr>
                <w:rFonts w:hint="default" w:ascii="Arial" w:hAnsi="Arial" w:cs="Arial"/>
                <w:color w:val="auto"/>
                <w:szCs w:val="21"/>
                <w:highlight w:val="none"/>
              </w:rPr>
            </w:pPr>
            <w:r>
              <w:rPr>
                <w:rFonts w:hint="default" w:ascii="Arial" w:hAnsi="Arial" w:cs="Arial"/>
                <w:color w:val="auto"/>
                <w:highlight w:val="none"/>
              </w:rPr>
              <w:t>技术参数性能指标等</w:t>
            </w:r>
          </w:p>
        </w:tc>
        <w:tc>
          <w:tcPr>
            <w:tcW w:w="850" w:type="dxa"/>
            <w:tcBorders>
              <w:top w:val="single" w:color="auto" w:sz="4" w:space="0"/>
              <w:left w:val="single" w:color="auto" w:sz="4" w:space="0"/>
              <w:bottom w:val="single" w:color="auto" w:sz="4" w:space="0"/>
              <w:right w:val="single" w:color="auto" w:sz="4" w:space="0"/>
            </w:tcBorders>
            <w:vAlign w:val="center"/>
          </w:tcPr>
          <w:p w14:paraId="526E9388">
            <w:pPr>
              <w:keepNext w:val="0"/>
              <w:keepLines w:val="0"/>
              <w:suppressLineNumbers w:val="0"/>
              <w:snapToGrid w:val="0"/>
              <w:spacing w:before="0" w:beforeAutospacing="0" w:after="0" w:afterAutospacing="0" w:line="288" w:lineRule="auto"/>
              <w:ind w:left="0" w:right="0"/>
              <w:jc w:val="center"/>
              <w:rPr>
                <w:rFonts w:hint="default" w:ascii="Arial" w:hAnsi="Arial" w:cs="Arial"/>
                <w:color w:val="auto"/>
                <w:szCs w:val="21"/>
                <w:highlight w:val="none"/>
              </w:rPr>
            </w:pPr>
            <w:r>
              <w:rPr>
                <w:rFonts w:hint="default" w:ascii="Arial" w:hAnsi="Arial" w:cs="Arial"/>
                <w:color w:val="auto"/>
                <w:highlight w:val="none"/>
              </w:rPr>
              <w:t>数量</w:t>
            </w:r>
          </w:p>
          <w:p w14:paraId="17FB71EE">
            <w:pPr>
              <w:keepNext w:val="0"/>
              <w:keepLines w:val="0"/>
              <w:suppressLineNumbers w:val="0"/>
              <w:snapToGrid w:val="0"/>
              <w:spacing w:before="0" w:beforeAutospacing="0" w:after="0" w:afterAutospacing="0" w:line="288" w:lineRule="auto"/>
              <w:ind w:left="0" w:right="0"/>
              <w:jc w:val="center"/>
              <w:rPr>
                <w:rFonts w:hint="default" w:ascii="Arial" w:hAnsi="Arial" w:cs="Arial"/>
                <w:color w:val="auto"/>
                <w:szCs w:val="21"/>
                <w:highlight w:val="none"/>
              </w:rPr>
            </w:pPr>
            <w:r>
              <w:rPr>
                <w:rFonts w:hint="default" w:ascii="Arial" w:hAnsi="Arial" w:cs="Arial"/>
                <w:color w:val="auto"/>
                <w:highlight w:val="none"/>
              </w:rPr>
              <w:t>①</w:t>
            </w:r>
          </w:p>
        </w:tc>
        <w:tc>
          <w:tcPr>
            <w:tcW w:w="709" w:type="dxa"/>
            <w:tcBorders>
              <w:top w:val="single" w:color="auto" w:sz="4" w:space="0"/>
              <w:left w:val="single" w:color="auto" w:sz="4" w:space="0"/>
              <w:bottom w:val="single" w:color="auto" w:sz="4" w:space="0"/>
              <w:right w:val="single" w:color="auto" w:sz="4" w:space="0"/>
            </w:tcBorders>
            <w:vAlign w:val="center"/>
          </w:tcPr>
          <w:p w14:paraId="094B8E15">
            <w:pPr>
              <w:keepNext w:val="0"/>
              <w:keepLines w:val="0"/>
              <w:suppressLineNumbers w:val="0"/>
              <w:snapToGrid w:val="0"/>
              <w:spacing w:before="0" w:beforeAutospacing="0" w:after="0" w:afterAutospacing="0" w:line="288" w:lineRule="auto"/>
              <w:ind w:left="0" w:right="0"/>
              <w:jc w:val="center"/>
              <w:rPr>
                <w:rFonts w:hint="default" w:ascii="Arial" w:hAnsi="Arial" w:cs="Arial"/>
                <w:color w:val="auto"/>
                <w:szCs w:val="21"/>
                <w:highlight w:val="none"/>
              </w:rPr>
            </w:pPr>
            <w:r>
              <w:rPr>
                <w:rFonts w:hint="default" w:ascii="Arial" w:hAnsi="Arial" w:cs="Arial"/>
                <w:color w:val="auto"/>
                <w:highlight w:val="none"/>
              </w:rPr>
              <w:t>单位</w:t>
            </w:r>
          </w:p>
        </w:tc>
        <w:tc>
          <w:tcPr>
            <w:tcW w:w="1117" w:type="dxa"/>
            <w:tcBorders>
              <w:top w:val="single" w:color="auto" w:sz="4" w:space="0"/>
              <w:left w:val="single" w:color="auto" w:sz="4" w:space="0"/>
              <w:bottom w:val="single" w:color="auto" w:sz="4" w:space="0"/>
              <w:right w:val="single" w:color="auto" w:sz="4" w:space="0"/>
            </w:tcBorders>
            <w:vAlign w:val="center"/>
          </w:tcPr>
          <w:p w14:paraId="56C2A89A">
            <w:pPr>
              <w:keepNext w:val="0"/>
              <w:keepLines w:val="0"/>
              <w:suppressLineNumbers w:val="0"/>
              <w:snapToGrid w:val="0"/>
              <w:spacing w:before="0" w:beforeAutospacing="0" w:after="0" w:afterAutospacing="0" w:line="288" w:lineRule="auto"/>
              <w:ind w:left="0" w:right="0"/>
              <w:jc w:val="center"/>
              <w:rPr>
                <w:rFonts w:hint="default" w:ascii="Arial" w:hAnsi="Arial" w:cs="Arial"/>
                <w:color w:val="auto"/>
                <w:szCs w:val="21"/>
                <w:highlight w:val="none"/>
              </w:rPr>
            </w:pPr>
            <w:r>
              <w:rPr>
                <w:rFonts w:hint="default" w:ascii="Arial" w:hAnsi="Arial" w:cs="Arial"/>
                <w:color w:val="auto"/>
                <w:highlight w:val="none"/>
              </w:rPr>
              <w:t>单价（元）</w:t>
            </w:r>
          </w:p>
          <w:p w14:paraId="14C068FD">
            <w:pPr>
              <w:keepNext w:val="0"/>
              <w:keepLines w:val="0"/>
              <w:suppressLineNumbers w:val="0"/>
              <w:snapToGrid w:val="0"/>
              <w:spacing w:before="0" w:beforeAutospacing="0" w:after="0" w:afterAutospacing="0" w:line="288" w:lineRule="auto"/>
              <w:ind w:left="0" w:right="0"/>
              <w:jc w:val="center"/>
              <w:rPr>
                <w:rFonts w:hint="default" w:ascii="Arial" w:hAnsi="Arial" w:cs="Arial"/>
                <w:color w:val="auto"/>
                <w:szCs w:val="21"/>
                <w:highlight w:val="none"/>
              </w:rPr>
            </w:pPr>
            <w:r>
              <w:rPr>
                <w:rFonts w:hint="default" w:ascii="Arial" w:hAnsi="Arial" w:cs="Arial"/>
                <w:color w:val="auto"/>
                <w:highlight w:val="none"/>
              </w:rPr>
              <w:t>②</w:t>
            </w:r>
          </w:p>
        </w:tc>
        <w:tc>
          <w:tcPr>
            <w:tcW w:w="1718" w:type="dxa"/>
            <w:tcBorders>
              <w:top w:val="single" w:color="auto" w:sz="4" w:space="0"/>
              <w:left w:val="single" w:color="auto" w:sz="4" w:space="0"/>
              <w:bottom w:val="single" w:color="auto" w:sz="4" w:space="0"/>
              <w:right w:val="single" w:color="auto" w:sz="4" w:space="0"/>
            </w:tcBorders>
            <w:vAlign w:val="center"/>
          </w:tcPr>
          <w:p w14:paraId="2ECF21DB">
            <w:pPr>
              <w:keepNext w:val="0"/>
              <w:keepLines w:val="0"/>
              <w:suppressLineNumbers w:val="0"/>
              <w:snapToGrid w:val="0"/>
              <w:spacing w:before="0" w:beforeAutospacing="0" w:after="0" w:afterAutospacing="0" w:line="288" w:lineRule="auto"/>
              <w:ind w:left="0" w:right="0"/>
              <w:jc w:val="center"/>
              <w:rPr>
                <w:rFonts w:hint="default" w:ascii="Arial" w:hAnsi="Arial" w:cs="Arial"/>
                <w:color w:val="auto"/>
                <w:szCs w:val="21"/>
                <w:highlight w:val="none"/>
              </w:rPr>
            </w:pPr>
            <w:r>
              <w:rPr>
                <w:rFonts w:hint="default" w:ascii="Arial" w:hAnsi="Arial" w:cs="Arial"/>
                <w:b/>
                <w:bCs/>
                <w:color w:val="auto"/>
                <w:highlight w:val="none"/>
              </w:rPr>
              <w:t>单项合计金</w:t>
            </w:r>
            <w:r>
              <w:rPr>
                <w:rFonts w:hint="default" w:ascii="Arial" w:hAnsi="Arial" w:cs="Arial"/>
                <w:color w:val="auto"/>
                <w:highlight w:val="none"/>
              </w:rPr>
              <w:t>（元）</w:t>
            </w:r>
          </w:p>
          <w:p w14:paraId="19C5B24B">
            <w:pPr>
              <w:keepNext w:val="0"/>
              <w:keepLines w:val="0"/>
              <w:suppressLineNumbers w:val="0"/>
              <w:snapToGrid w:val="0"/>
              <w:spacing w:before="0" w:beforeAutospacing="0" w:after="0" w:afterAutospacing="0" w:line="288" w:lineRule="auto"/>
              <w:ind w:left="0" w:right="0"/>
              <w:jc w:val="center"/>
              <w:rPr>
                <w:rFonts w:hint="default" w:ascii="Arial" w:hAnsi="Arial" w:cs="Arial"/>
                <w:color w:val="auto"/>
                <w:szCs w:val="21"/>
                <w:highlight w:val="none"/>
              </w:rPr>
            </w:pPr>
            <w:r>
              <w:rPr>
                <w:rFonts w:hint="default" w:ascii="Arial" w:hAnsi="Arial" w:cs="Arial"/>
                <w:color w:val="auto"/>
                <w:highlight w:val="none"/>
              </w:rPr>
              <w:t>③＝①×②</w:t>
            </w:r>
          </w:p>
        </w:tc>
      </w:tr>
      <w:tr w14:paraId="36CCD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7" w:hRule="atLeast"/>
        </w:trPr>
        <w:tc>
          <w:tcPr>
            <w:tcW w:w="709" w:type="dxa"/>
            <w:tcBorders>
              <w:top w:val="single" w:color="auto" w:sz="4" w:space="0"/>
              <w:left w:val="single" w:color="auto" w:sz="4" w:space="0"/>
              <w:bottom w:val="single" w:color="auto" w:sz="4" w:space="0"/>
              <w:right w:val="single" w:color="auto" w:sz="4" w:space="0"/>
            </w:tcBorders>
            <w:vAlign w:val="center"/>
          </w:tcPr>
          <w:p w14:paraId="214A2EA2">
            <w:pPr>
              <w:keepNext w:val="0"/>
              <w:keepLines w:val="0"/>
              <w:suppressLineNumbers w:val="0"/>
              <w:snapToGrid w:val="0"/>
              <w:spacing w:before="0" w:beforeAutospacing="0" w:after="0" w:afterAutospacing="0" w:line="288" w:lineRule="auto"/>
              <w:ind w:left="0" w:right="0"/>
              <w:jc w:val="center"/>
              <w:rPr>
                <w:rFonts w:hint="default" w:ascii="Arial" w:hAnsi="Arial" w:cs="Arial"/>
                <w:color w:val="auto"/>
                <w:szCs w:val="21"/>
                <w:highlight w:val="none"/>
              </w:rPr>
            </w:pPr>
            <w:r>
              <w:rPr>
                <w:rFonts w:hint="default" w:ascii="Arial" w:hAnsi="Arial" w:cs="Arial"/>
                <w:color w:val="auto"/>
                <w:highlight w:val="none"/>
              </w:rPr>
              <w:t>1</w:t>
            </w:r>
          </w:p>
        </w:tc>
        <w:tc>
          <w:tcPr>
            <w:tcW w:w="1134" w:type="dxa"/>
            <w:tcBorders>
              <w:top w:val="single" w:color="auto" w:sz="4" w:space="0"/>
              <w:left w:val="single" w:color="auto" w:sz="4" w:space="0"/>
              <w:bottom w:val="single" w:color="auto" w:sz="4" w:space="0"/>
              <w:right w:val="single" w:color="auto" w:sz="4" w:space="0"/>
            </w:tcBorders>
            <w:vAlign w:val="center"/>
          </w:tcPr>
          <w:p w14:paraId="1F8B1445">
            <w:pPr>
              <w:keepNext w:val="0"/>
              <w:keepLines w:val="0"/>
              <w:suppressLineNumbers w:val="0"/>
              <w:snapToGrid w:val="0"/>
              <w:spacing w:before="0" w:beforeAutospacing="0" w:after="0" w:afterAutospacing="0" w:line="288" w:lineRule="auto"/>
              <w:ind w:left="0" w:right="0"/>
              <w:rPr>
                <w:rFonts w:hint="default" w:ascii="Arial" w:hAnsi="Arial" w:cs="Arial"/>
                <w:color w:val="auto"/>
                <w:szCs w:val="21"/>
                <w:highlight w:val="none"/>
              </w:rPr>
            </w:pPr>
          </w:p>
        </w:tc>
        <w:tc>
          <w:tcPr>
            <w:tcW w:w="1559" w:type="dxa"/>
            <w:tcBorders>
              <w:top w:val="single" w:color="auto" w:sz="4" w:space="0"/>
              <w:left w:val="single" w:color="auto" w:sz="4" w:space="0"/>
              <w:bottom w:val="single" w:color="auto" w:sz="4" w:space="0"/>
              <w:right w:val="single" w:color="auto" w:sz="4" w:space="0"/>
            </w:tcBorders>
            <w:vAlign w:val="center"/>
          </w:tcPr>
          <w:p w14:paraId="2357F584">
            <w:pPr>
              <w:keepNext w:val="0"/>
              <w:keepLines w:val="0"/>
              <w:suppressLineNumbers w:val="0"/>
              <w:snapToGrid w:val="0"/>
              <w:spacing w:before="0" w:beforeAutospacing="0" w:after="0" w:afterAutospacing="0" w:line="288" w:lineRule="auto"/>
              <w:ind w:left="0" w:right="0"/>
              <w:rPr>
                <w:rFonts w:hint="default" w:ascii="Arial" w:hAnsi="Arial" w:cs="Arial"/>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vAlign w:val="center"/>
          </w:tcPr>
          <w:p w14:paraId="0B27A210">
            <w:pPr>
              <w:keepNext w:val="0"/>
              <w:keepLines w:val="0"/>
              <w:suppressLineNumbers w:val="0"/>
              <w:snapToGrid w:val="0"/>
              <w:spacing w:before="0" w:beforeAutospacing="0" w:after="0" w:afterAutospacing="0" w:line="288" w:lineRule="auto"/>
              <w:ind w:left="0" w:right="0"/>
              <w:rPr>
                <w:rFonts w:hint="default" w:ascii="Arial" w:hAnsi="Arial" w:cs="Arial"/>
                <w:color w:val="auto"/>
                <w:szCs w:val="21"/>
                <w:highlight w:val="none"/>
              </w:rPr>
            </w:pPr>
          </w:p>
        </w:tc>
        <w:tc>
          <w:tcPr>
            <w:tcW w:w="850" w:type="dxa"/>
            <w:tcBorders>
              <w:top w:val="single" w:color="auto" w:sz="4" w:space="0"/>
              <w:left w:val="single" w:color="auto" w:sz="4" w:space="0"/>
              <w:bottom w:val="single" w:color="auto" w:sz="4" w:space="0"/>
              <w:right w:val="single" w:color="auto" w:sz="4" w:space="0"/>
            </w:tcBorders>
          </w:tcPr>
          <w:p w14:paraId="3E36E86F">
            <w:pPr>
              <w:keepNext w:val="0"/>
              <w:keepLines w:val="0"/>
              <w:suppressLineNumbers w:val="0"/>
              <w:snapToGrid w:val="0"/>
              <w:spacing w:before="0" w:beforeAutospacing="0" w:after="0" w:afterAutospacing="0" w:line="288" w:lineRule="auto"/>
              <w:ind w:left="0" w:right="0"/>
              <w:rPr>
                <w:rFonts w:hint="default" w:ascii="Arial" w:hAnsi="Arial" w:cs="Arial"/>
                <w:color w:val="auto"/>
                <w:szCs w:val="21"/>
                <w:highlight w:val="none"/>
              </w:rPr>
            </w:pPr>
          </w:p>
        </w:tc>
        <w:tc>
          <w:tcPr>
            <w:tcW w:w="709" w:type="dxa"/>
            <w:tcBorders>
              <w:top w:val="single" w:color="auto" w:sz="4" w:space="0"/>
              <w:left w:val="single" w:color="auto" w:sz="4" w:space="0"/>
              <w:bottom w:val="single" w:color="auto" w:sz="4" w:space="0"/>
              <w:right w:val="single" w:color="auto" w:sz="4" w:space="0"/>
            </w:tcBorders>
          </w:tcPr>
          <w:p w14:paraId="3240E996">
            <w:pPr>
              <w:keepNext w:val="0"/>
              <w:keepLines w:val="0"/>
              <w:suppressLineNumbers w:val="0"/>
              <w:snapToGrid w:val="0"/>
              <w:spacing w:before="0" w:beforeAutospacing="0" w:after="0" w:afterAutospacing="0" w:line="288" w:lineRule="auto"/>
              <w:ind w:left="0" w:right="0"/>
              <w:rPr>
                <w:rFonts w:hint="default" w:ascii="Arial" w:hAnsi="Arial" w:cs="Arial"/>
                <w:color w:val="auto"/>
                <w:szCs w:val="21"/>
                <w:highlight w:val="none"/>
              </w:rPr>
            </w:pPr>
          </w:p>
        </w:tc>
        <w:tc>
          <w:tcPr>
            <w:tcW w:w="1117" w:type="dxa"/>
            <w:tcBorders>
              <w:top w:val="single" w:color="auto" w:sz="4" w:space="0"/>
              <w:left w:val="single" w:color="auto" w:sz="4" w:space="0"/>
              <w:bottom w:val="single" w:color="auto" w:sz="4" w:space="0"/>
              <w:right w:val="single" w:color="auto" w:sz="4" w:space="0"/>
            </w:tcBorders>
            <w:vAlign w:val="center"/>
          </w:tcPr>
          <w:p w14:paraId="711C5D24">
            <w:pPr>
              <w:keepNext w:val="0"/>
              <w:keepLines w:val="0"/>
              <w:suppressLineNumbers w:val="0"/>
              <w:snapToGrid w:val="0"/>
              <w:spacing w:before="0" w:beforeAutospacing="0" w:after="0" w:afterAutospacing="0" w:line="288" w:lineRule="auto"/>
              <w:ind w:left="0" w:right="0"/>
              <w:rPr>
                <w:rFonts w:hint="default" w:ascii="Arial" w:hAnsi="Arial" w:cs="Arial"/>
                <w:color w:val="auto"/>
                <w:szCs w:val="21"/>
                <w:highlight w:val="none"/>
              </w:rPr>
            </w:pPr>
          </w:p>
        </w:tc>
        <w:tc>
          <w:tcPr>
            <w:tcW w:w="1718" w:type="dxa"/>
            <w:tcBorders>
              <w:top w:val="single" w:color="auto" w:sz="4" w:space="0"/>
              <w:left w:val="single" w:color="auto" w:sz="4" w:space="0"/>
              <w:bottom w:val="single" w:color="auto" w:sz="4" w:space="0"/>
              <w:right w:val="single" w:color="auto" w:sz="4" w:space="0"/>
            </w:tcBorders>
            <w:vAlign w:val="center"/>
          </w:tcPr>
          <w:p w14:paraId="119E03C3">
            <w:pPr>
              <w:keepNext w:val="0"/>
              <w:keepLines w:val="0"/>
              <w:suppressLineNumbers w:val="0"/>
              <w:snapToGrid w:val="0"/>
              <w:spacing w:before="0" w:beforeAutospacing="0" w:after="0" w:afterAutospacing="0" w:line="288" w:lineRule="auto"/>
              <w:ind w:left="0" w:right="0"/>
              <w:rPr>
                <w:rFonts w:hint="default" w:ascii="Arial" w:hAnsi="Arial" w:cs="Arial"/>
                <w:color w:val="auto"/>
                <w:szCs w:val="21"/>
                <w:highlight w:val="none"/>
              </w:rPr>
            </w:pPr>
          </w:p>
        </w:tc>
      </w:tr>
      <w:tr w14:paraId="5273A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7" w:hRule="atLeast"/>
        </w:trPr>
        <w:tc>
          <w:tcPr>
            <w:tcW w:w="709" w:type="dxa"/>
            <w:tcBorders>
              <w:top w:val="single" w:color="auto" w:sz="4" w:space="0"/>
              <w:left w:val="single" w:color="auto" w:sz="4" w:space="0"/>
              <w:bottom w:val="single" w:color="auto" w:sz="4" w:space="0"/>
              <w:right w:val="single" w:color="auto" w:sz="4" w:space="0"/>
            </w:tcBorders>
            <w:vAlign w:val="center"/>
          </w:tcPr>
          <w:p w14:paraId="0735ACFA">
            <w:pPr>
              <w:keepNext w:val="0"/>
              <w:keepLines w:val="0"/>
              <w:suppressLineNumbers w:val="0"/>
              <w:snapToGrid w:val="0"/>
              <w:spacing w:before="0" w:beforeAutospacing="0" w:after="0" w:afterAutospacing="0" w:line="288" w:lineRule="auto"/>
              <w:ind w:left="0" w:right="0"/>
              <w:jc w:val="center"/>
              <w:rPr>
                <w:rFonts w:hint="default" w:ascii="Arial" w:hAnsi="Arial" w:cs="Arial"/>
                <w:color w:val="auto"/>
                <w:szCs w:val="21"/>
                <w:highlight w:val="none"/>
              </w:rPr>
            </w:pPr>
            <w:r>
              <w:rPr>
                <w:rFonts w:hint="default" w:ascii="Arial" w:hAnsi="Arial" w:cs="Arial"/>
                <w:color w:val="auto"/>
                <w:highlight w:val="none"/>
              </w:rPr>
              <w:t>2</w:t>
            </w:r>
          </w:p>
        </w:tc>
        <w:tc>
          <w:tcPr>
            <w:tcW w:w="1134" w:type="dxa"/>
            <w:tcBorders>
              <w:top w:val="single" w:color="auto" w:sz="4" w:space="0"/>
              <w:left w:val="single" w:color="auto" w:sz="4" w:space="0"/>
              <w:bottom w:val="single" w:color="auto" w:sz="4" w:space="0"/>
              <w:right w:val="single" w:color="auto" w:sz="4" w:space="0"/>
            </w:tcBorders>
            <w:vAlign w:val="center"/>
          </w:tcPr>
          <w:p w14:paraId="2DD096AD">
            <w:pPr>
              <w:keepNext w:val="0"/>
              <w:keepLines w:val="0"/>
              <w:suppressLineNumbers w:val="0"/>
              <w:snapToGrid w:val="0"/>
              <w:spacing w:before="0" w:beforeAutospacing="0" w:after="0" w:afterAutospacing="0" w:line="288" w:lineRule="auto"/>
              <w:ind w:left="0" w:right="0"/>
              <w:rPr>
                <w:rFonts w:hint="default" w:ascii="Arial" w:hAnsi="Arial" w:cs="Arial"/>
                <w:color w:val="auto"/>
                <w:szCs w:val="21"/>
                <w:highlight w:val="none"/>
              </w:rPr>
            </w:pPr>
          </w:p>
        </w:tc>
        <w:tc>
          <w:tcPr>
            <w:tcW w:w="1559" w:type="dxa"/>
            <w:tcBorders>
              <w:top w:val="single" w:color="auto" w:sz="4" w:space="0"/>
              <w:left w:val="single" w:color="auto" w:sz="4" w:space="0"/>
              <w:bottom w:val="single" w:color="auto" w:sz="4" w:space="0"/>
              <w:right w:val="single" w:color="auto" w:sz="4" w:space="0"/>
            </w:tcBorders>
            <w:vAlign w:val="center"/>
          </w:tcPr>
          <w:p w14:paraId="3CFDBBD9">
            <w:pPr>
              <w:keepNext w:val="0"/>
              <w:keepLines w:val="0"/>
              <w:suppressLineNumbers w:val="0"/>
              <w:snapToGrid w:val="0"/>
              <w:spacing w:before="0" w:beforeAutospacing="0" w:after="0" w:afterAutospacing="0" w:line="288" w:lineRule="auto"/>
              <w:ind w:left="0" w:right="0"/>
              <w:rPr>
                <w:rFonts w:hint="default" w:ascii="Arial" w:hAnsi="Arial" w:cs="Arial"/>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vAlign w:val="center"/>
          </w:tcPr>
          <w:p w14:paraId="7448A18E">
            <w:pPr>
              <w:keepNext w:val="0"/>
              <w:keepLines w:val="0"/>
              <w:suppressLineNumbers w:val="0"/>
              <w:snapToGrid w:val="0"/>
              <w:spacing w:before="0" w:beforeAutospacing="0" w:after="0" w:afterAutospacing="0" w:line="288" w:lineRule="auto"/>
              <w:ind w:left="0" w:right="0"/>
              <w:rPr>
                <w:rFonts w:hint="default" w:ascii="Arial" w:hAnsi="Arial" w:cs="Arial"/>
                <w:color w:val="auto"/>
                <w:szCs w:val="21"/>
                <w:highlight w:val="none"/>
              </w:rPr>
            </w:pPr>
          </w:p>
        </w:tc>
        <w:tc>
          <w:tcPr>
            <w:tcW w:w="850" w:type="dxa"/>
            <w:tcBorders>
              <w:top w:val="single" w:color="auto" w:sz="4" w:space="0"/>
              <w:left w:val="single" w:color="auto" w:sz="4" w:space="0"/>
              <w:bottom w:val="single" w:color="auto" w:sz="4" w:space="0"/>
              <w:right w:val="single" w:color="auto" w:sz="4" w:space="0"/>
            </w:tcBorders>
          </w:tcPr>
          <w:p w14:paraId="1EF2B3AA">
            <w:pPr>
              <w:keepNext w:val="0"/>
              <w:keepLines w:val="0"/>
              <w:suppressLineNumbers w:val="0"/>
              <w:snapToGrid w:val="0"/>
              <w:spacing w:before="0" w:beforeAutospacing="0" w:after="0" w:afterAutospacing="0" w:line="288" w:lineRule="auto"/>
              <w:ind w:left="0" w:right="0"/>
              <w:rPr>
                <w:rFonts w:hint="default" w:ascii="Arial" w:hAnsi="Arial" w:cs="Arial"/>
                <w:color w:val="auto"/>
                <w:szCs w:val="21"/>
                <w:highlight w:val="none"/>
              </w:rPr>
            </w:pPr>
          </w:p>
        </w:tc>
        <w:tc>
          <w:tcPr>
            <w:tcW w:w="709" w:type="dxa"/>
            <w:tcBorders>
              <w:top w:val="single" w:color="auto" w:sz="4" w:space="0"/>
              <w:left w:val="single" w:color="auto" w:sz="4" w:space="0"/>
              <w:bottom w:val="single" w:color="auto" w:sz="4" w:space="0"/>
              <w:right w:val="single" w:color="auto" w:sz="4" w:space="0"/>
            </w:tcBorders>
          </w:tcPr>
          <w:p w14:paraId="6C327C66">
            <w:pPr>
              <w:keepNext w:val="0"/>
              <w:keepLines w:val="0"/>
              <w:suppressLineNumbers w:val="0"/>
              <w:snapToGrid w:val="0"/>
              <w:spacing w:before="0" w:beforeAutospacing="0" w:after="0" w:afterAutospacing="0" w:line="288" w:lineRule="auto"/>
              <w:ind w:left="0" w:right="0"/>
              <w:rPr>
                <w:rFonts w:hint="default" w:ascii="Arial" w:hAnsi="Arial" w:cs="Arial"/>
                <w:color w:val="auto"/>
                <w:szCs w:val="21"/>
                <w:highlight w:val="none"/>
              </w:rPr>
            </w:pPr>
          </w:p>
        </w:tc>
        <w:tc>
          <w:tcPr>
            <w:tcW w:w="1117" w:type="dxa"/>
            <w:tcBorders>
              <w:top w:val="single" w:color="auto" w:sz="4" w:space="0"/>
              <w:left w:val="single" w:color="auto" w:sz="4" w:space="0"/>
              <w:bottom w:val="single" w:color="auto" w:sz="4" w:space="0"/>
              <w:right w:val="single" w:color="auto" w:sz="4" w:space="0"/>
            </w:tcBorders>
            <w:vAlign w:val="center"/>
          </w:tcPr>
          <w:p w14:paraId="748C68A9">
            <w:pPr>
              <w:keepNext w:val="0"/>
              <w:keepLines w:val="0"/>
              <w:suppressLineNumbers w:val="0"/>
              <w:snapToGrid w:val="0"/>
              <w:spacing w:before="0" w:beforeAutospacing="0" w:after="0" w:afterAutospacing="0" w:line="288" w:lineRule="auto"/>
              <w:ind w:left="0" w:right="0"/>
              <w:rPr>
                <w:rFonts w:hint="default" w:ascii="Arial" w:hAnsi="Arial" w:cs="Arial"/>
                <w:color w:val="auto"/>
                <w:szCs w:val="21"/>
                <w:highlight w:val="none"/>
              </w:rPr>
            </w:pPr>
          </w:p>
        </w:tc>
        <w:tc>
          <w:tcPr>
            <w:tcW w:w="1718" w:type="dxa"/>
            <w:tcBorders>
              <w:top w:val="single" w:color="auto" w:sz="4" w:space="0"/>
              <w:left w:val="single" w:color="auto" w:sz="4" w:space="0"/>
              <w:bottom w:val="single" w:color="auto" w:sz="4" w:space="0"/>
              <w:right w:val="single" w:color="auto" w:sz="4" w:space="0"/>
            </w:tcBorders>
            <w:vAlign w:val="center"/>
          </w:tcPr>
          <w:p w14:paraId="44F1FEAC">
            <w:pPr>
              <w:keepNext w:val="0"/>
              <w:keepLines w:val="0"/>
              <w:suppressLineNumbers w:val="0"/>
              <w:snapToGrid w:val="0"/>
              <w:spacing w:before="0" w:beforeAutospacing="0" w:after="0" w:afterAutospacing="0" w:line="288" w:lineRule="auto"/>
              <w:ind w:left="0" w:right="0"/>
              <w:rPr>
                <w:rFonts w:hint="default" w:ascii="Arial" w:hAnsi="Arial" w:cs="Arial"/>
                <w:color w:val="auto"/>
                <w:szCs w:val="21"/>
                <w:highlight w:val="none"/>
              </w:rPr>
            </w:pPr>
          </w:p>
        </w:tc>
      </w:tr>
      <w:tr w14:paraId="4D1B5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7" w:hRule="atLeast"/>
        </w:trPr>
        <w:tc>
          <w:tcPr>
            <w:tcW w:w="709" w:type="dxa"/>
            <w:tcBorders>
              <w:top w:val="single" w:color="auto" w:sz="4" w:space="0"/>
              <w:left w:val="single" w:color="auto" w:sz="4" w:space="0"/>
              <w:bottom w:val="single" w:color="auto" w:sz="4" w:space="0"/>
              <w:right w:val="single" w:color="auto" w:sz="4" w:space="0"/>
            </w:tcBorders>
            <w:vAlign w:val="center"/>
          </w:tcPr>
          <w:p w14:paraId="7691ACC2">
            <w:pPr>
              <w:keepNext w:val="0"/>
              <w:keepLines w:val="0"/>
              <w:suppressLineNumbers w:val="0"/>
              <w:snapToGrid w:val="0"/>
              <w:spacing w:before="0" w:beforeAutospacing="0" w:after="0" w:afterAutospacing="0" w:line="288" w:lineRule="auto"/>
              <w:ind w:left="0" w:right="0"/>
              <w:jc w:val="center"/>
              <w:rPr>
                <w:rFonts w:hint="default" w:ascii="Arial" w:hAnsi="Arial" w:cs="Arial"/>
                <w:color w:val="auto"/>
                <w:szCs w:val="21"/>
                <w:highlight w:val="none"/>
              </w:rPr>
            </w:pPr>
            <w:r>
              <w:rPr>
                <w:rFonts w:hint="default" w:ascii="Arial" w:hAnsi="Arial" w:cs="Arial"/>
                <w:color w:val="auto"/>
                <w:highlight w:val="none"/>
              </w:rPr>
              <w:t>…</w:t>
            </w:r>
          </w:p>
        </w:tc>
        <w:tc>
          <w:tcPr>
            <w:tcW w:w="1134" w:type="dxa"/>
            <w:tcBorders>
              <w:top w:val="single" w:color="auto" w:sz="4" w:space="0"/>
              <w:left w:val="single" w:color="auto" w:sz="4" w:space="0"/>
              <w:bottom w:val="single" w:color="auto" w:sz="4" w:space="0"/>
              <w:right w:val="single" w:color="auto" w:sz="4" w:space="0"/>
            </w:tcBorders>
            <w:vAlign w:val="center"/>
          </w:tcPr>
          <w:p w14:paraId="0A0435B4">
            <w:pPr>
              <w:keepNext w:val="0"/>
              <w:keepLines w:val="0"/>
              <w:suppressLineNumbers w:val="0"/>
              <w:snapToGrid w:val="0"/>
              <w:spacing w:before="0" w:beforeAutospacing="0" w:after="0" w:afterAutospacing="0" w:line="288" w:lineRule="auto"/>
              <w:ind w:left="0" w:right="0"/>
              <w:rPr>
                <w:rFonts w:hint="default" w:ascii="Arial" w:hAnsi="Arial" w:cs="Arial"/>
                <w:color w:val="auto"/>
                <w:szCs w:val="21"/>
                <w:highlight w:val="none"/>
              </w:rPr>
            </w:pPr>
          </w:p>
        </w:tc>
        <w:tc>
          <w:tcPr>
            <w:tcW w:w="1559" w:type="dxa"/>
            <w:tcBorders>
              <w:top w:val="single" w:color="auto" w:sz="4" w:space="0"/>
              <w:left w:val="single" w:color="auto" w:sz="4" w:space="0"/>
              <w:bottom w:val="single" w:color="auto" w:sz="4" w:space="0"/>
              <w:right w:val="single" w:color="auto" w:sz="4" w:space="0"/>
            </w:tcBorders>
            <w:vAlign w:val="center"/>
          </w:tcPr>
          <w:p w14:paraId="51B2F912">
            <w:pPr>
              <w:keepNext w:val="0"/>
              <w:keepLines w:val="0"/>
              <w:suppressLineNumbers w:val="0"/>
              <w:snapToGrid w:val="0"/>
              <w:spacing w:before="0" w:beforeAutospacing="0" w:after="0" w:afterAutospacing="0" w:line="288" w:lineRule="auto"/>
              <w:ind w:left="0" w:right="0"/>
              <w:rPr>
                <w:rFonts w:hint="default" w:ascii="Arial" w:hAnsi="Arial" w:cs="Arial"/>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vAlign w:val="center"/>
          </w:tcPr>
          <w:p w14:paraId="20981A25">
            <w:pPr>
              <w:keepNext w:val="0"/>
              <w:keepLines w:val="0"/>
              <w:suppressLineNumbers w:val="0"/>
              <w:snapToGrid w:val="0"/>
              <w:spacing w:before="0" w:beforeAutospacing="0" w:after="0" w:afterAutospacing="0" w:line="288" w:lineRule="auto"/>
              <w:ind w:left="0" w:right="0"/>
              <w:rPr>
                <w:rFonts w:hint="default" w:ascii="Arial" w:hAnsi="Arial" w:cs="Arial"/>
                <w:color w:val="auto"/>
                <w:szCs w:val="21"/>
                <w:highlight w:val="none"/>
              </w:rPr>
            </w:pPr>
          </w:p>
        </w:tc>
        <w:tc>
          <w:tcPr>
            <w:tcW w:w="850" w:type="dxa"/>
            <w:tcBorders>
              <w:top w:val="single" w:color="auto" w:sz="4" w:space="0"/>
              <w:left w:val="single" w:color="auto" w:sz="4" w:space="0"/>
              <w:bottom w:val="single" w:color="auto" w:sz="4" w:space="0"/>
              <w:right w:val="single" w:color="auto" w:sz="4" w:space="0"/>
            </w:tcBorders>
          </w:tcPr>
          <w:p w14:paraId="4BDC6685">
            <w:pPr>
              <w:keepNext w:val="0"/>
              <w:keepLines w:val="0"/>
              <w:suppressLineNumbers w:val="0"/>
              <w:snapToGrid w:val="0"/>
              <w:spacing w:before="0" w:beforeAutospacing="0" w:after="0" w:afterAutospacing="0" w:line="288" w:lineRule="auto"/>
              <w:ind w:left="0" w:right="0"/>
              <w:rPr>
                <w:rFonts w:hint="default" w:ascii="Arial" w:hAnsi="Arial" w:cs="Arial"/>
                <w:color w:val="auto"/>
                <w:szCs w:val="21"/>
                <w:highlight w:val="none"/>
              </w:rPr>
            </w:pPr>
          </w:p>
        </w:tc>
        <w:tc>
          <w:tcPr>
            <w:tcW w:w="709" w:type="dxa"/>
            <w:tcBorders>
              <w:top w:val="single" w:color="auto" w:sz="4" w:space="0"/>
              <w:left w:val="single" w:color="auto" w:sz="4" w:space="0"/>
              <w:bottom w:val="single" w:color="auto" w:sz="4" w:space="0"/>
              <w:right w:val="single" w:color="auto" w:sz="4" w:space="0"/>
            </w:tcBorders>
          </w:tcPr>
          <w:p w14:paraId="21FC0403">
            <w:pPr>
              <w:keepNext w:val="0"/>
              <w:keepLines w:val="0"/>
              <w:suppressLineNumbers w:val="0"/>
              <w:snapToGrid w:val="0"/>
              <w:spacing w:before="0" w:beforeAutospacing="0" w:after="0" w:afterAutospacing="0" w:line="288" w:lineRule="auto"/>
              <w:ind w:left="0" w:right="0"/>
              <w:rPr>
                <w:rFonts w:hint="default" w:ascii="Arial" w:hAnsi="Arial" w:cs="Arial"/>
                <w:color w:val="auto"/>
                <w:szCs w:val="21"/>
                <w:highlight w:val="none"/>
              </w:rPr>
            </w:pPr>
          </w:p>
        </w:tc>
        <w:tc>
          <w:tcPr>
            <w:tcW w:w="1117" w:type="dxa"/>
            <w:tcBorders>
              <w:top w:val="single" w:color="auto" w:sz="4" w:space="0"/>
              <w:left w:val="single" w:color="auto" w:sz="4" w:space="0"/>
              <w:bottom w:val="single" w:color="auto" w:sz="4" w:space="0"/>
              <w:right w:val="single" w:color="auto" w:sz="4" w:space="0"/>
            </w:tcBorders>
            <w:vAlign w:val="center"/>
          </w:tcPr>
          <w:p w14:paraId="794962E8">
            <w:pPr>
              <w:keepNext w:val="0"/>
              <w:keepLines w:val="0"/>
              <w:suppressLineNumbers w:val="0"/>
              <w:snapToGrid w:val="0"/>
              <w:spacing w:before="0" w:beforeAutospacing="0" w:after="0" w:afterAutospacing="0" w:line="288" w:lineRule="auto"/>
              <w:ind w:left="0" w:right="0"/>
              <w:rPr>
                <w:rFonts w:hint="default" w:ascii="Arial" w:hAnsi="Arial" w:cs="Arial"/>
                <w:color w:val="auto"/>
                <w:szCs w:val="21"/>
                <w:highlight w:val="none"/>
              </w:rPr>
            </w:pPr>
          </w:p>
        </w:tc>
        <w:tc>
          <w:tcPr>
            <w:tcW w:w="1718" w:type="dxa"/>
            <w:tcBorders>
              <w:top w:val="single" w:color="auto" w:sz="4" w:space="0"/>
              <w:left w:val="single" w:color="auto" w:sz="4" w:space="0"/>
              <w:bottom w:val="single" w:color="auto" w:sz="4" w:space="0"/>
              <w:right w:val="single" w:color="auto" w:sz="4" w:space="0"/>
            </w:tcBorders>
            <w:vAlign w:val="center"/>
          </w:tcPr>
          <w:p w14:paraId="477FE4B0">
            <w:pPr>
              <w:keepNext w:val="0"/>
              <w:keepLines w:val="0"/>
              <w:suppressLineNumbers w:val="0"/>
              <w:snapToGrid w:val="0"/>
              <w:spacing w:before="0" w:beforeAutospacing="0" w:after="0" w:afterAutospacing="0" w:line="288" w:lineRule="auto"/>
              <w:ind w:left="0" w:right="0"/>
              <w:rPr>
                <w:rFonts w:hint="default" w:ascii="Arial" w:hAnsi="Arial" w:cs="Arial"/>
                <w:color w:val="auto"/>
                <w:szCs w:val="21"/>
                <w:highlight w:val="none"/>
              </w:rPr>
            </w:pPr>
          </w:p>
        </w:tc>
      </w:tr>
      <w:tr w14:paraId="45921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7" w:hRule="atLeast"/>
        </w:trPr>
        <w:tc>
          <w:tcPr>
            <w:tcW w:w="709" w:type="dxa"/>
            <w:tcBorders>
              <w:top w:val="single" w:color="auto" w:sz="4" w:space="0"/>
              <w:left w:val="single" w:color="auto" w:sz="4" w:space="0"/>
              <w:bottom w:val="single" w:color="auto" w:sz="4" w:space="0"/>
              <w:right w:val="single" w:color="auto" w:sz="4" w:space="0"/>
            </w:tcBorders>
            <w:vAlign w:val="center"/>
          </w:tcPr>
          <w:p w14:paraId="42EB2C83">
            <w:pPr>
              <w:keepNext w:val="0"/>
              <w:keepLines w:val="0"/>
              <w:suppressLineNumbers w:val="0"/>
              <w:snapToGrid w:val="0"/>
              <w:spacing w:before="0" w:beforeAutospacing="0" w:after="0" w:afterAutospacing="0" w:line="288" w:lineRule="auto"/>
              <w:ind w:left="0" w:right="0"/>
              <w:jc w:val="center"/>
              <w:rPr>
                <w:rFonts w:hint="default" w:ascii="Arial" w:hAnsi="Arial" w:cs="Arial"/>
                <w:color w:val="auto"/>
                <w:szCs w:val="21"/>
                <w:highlight w:val="none"/>
              </w:rPr>
            </w:pPr>
            <w:r>
              <w:rPr>
                <w:rFonts w:hint="default" w:ascii="Arial" w:hAnsi="Arial" w:cs="Arial"/>
                <w:color w:val="auto"/>
                <w:highlight w:val="none"/>
              </w:rPr>
              <w:t>N</w:t>
            </w:r>
          </w:p>
        </w:tc>
        <w:tc>
          <w:tcPr>
            <w:tcW w:w="1134" w:type="dxa"/>
            <w:tcBorders>
              <w:top w:val="single" w:color="auto" w:sz="4" w:space="0"/>
              <w:left w:val="single" w:color="auto" w:sz="4" w:space="0"/>
              <w:bottom w:val="single" w:color="auto" w:sz="4" w:space="0"/>
              <w:right w:val="single" w:color="auto" w:sz="4" w:space="0"/>
            </w:tcBorders>
            <w:vAlign w:val="center"/>
          </w:tcPr>
          <w:p w14:paraId="3CB91828">
            <w:pPr>
              <w:keepNext w:val="0"/>
              <w:keepLines w:val="0"/>
              <w:suppressLineNumbers w:val="0"/>
              <w:snapToGrid w:val="0"/>
              <w:spacing w:before="0" w:beforeAutospacing="0" w:after="0" w:afterAutospacing="0" w:line="288" w:lineRule="auto"/>
              <w:ind w:left="0" w:right="0"/>
              <w:rPr>
                <w:rFonts w:hint="default" w:ascii="Arial" w:hAnsi="Arial" w:cs="Arial"/>
                <w:color w:val="auto"/>
                <w:szCs w:val="21"/>
                <w:highlight w:val="none"/>
              </w:rPr>
            </w:pPr>
          </w:p>
        </w:tc>
        <w:tc>
          <w:tcPr>
            <w:tcW w:w="1559" w:type="dxa"/>
            <w:tcBorders>
              <w:top w:val="single" w:color="auto" w:sz="4" w:space="0"/>
              <w:left w:val="single" w:color="auto" w:sz="4" w:space="0"/>
              <w:bottom w:val="single" w:color="auto" w:sz="4" w:space="0"/>
              <w:right w:val="single" w:color="auto" w:sz="4" w:space="0"/>
            </w:tcBorders>
            <w:vAlign w:val="center"/>
          </w:tcPr>
          <w:p w14:paraId="7BE83647">
            <w:pPr>
              <w:keepNext w:val="0"/>
              <w:keepLines w:val="0"/>
              <w:suppressLineNumbers w:val="0"/>
              <w:snapToGrid w:val="0"/>
              <w:spacing w:before="0" w:beforeAutospacing="0" w:after="0" w:afterAutospacing="0" w:line="288" w:lineRule="auto"/>
              <w:ind w:left="0" w:right="0"/>
              <w:rPr>
                <w:rFonts w:hint="default" w:ascii="Arial" w:hAnsi="Arial" w:cs="Arial"/>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vAlign w:val="center"/>
          </w:tcPr>
          <w:p w14:paraId="54B3CC69">
            <w:pPr>
              <w:keepNext w:val="0"/>
              <w:keepLines w:val="0"/>
              <w:suppressLineNumbers w:val="0"/>
              <w:snapToGrid w:val="0"/>
              <w:spacing w:before="0" w:beforeAutospacing="0" w:after="0" w:afterAutospacing="0" w:line="288" w:lineRule="auto"/>
              <w:ind w:left="0" w:right="0"/>
              <w:rPr>
                <w:rFonts w:hint="default" w:ascii="Arial" w:hAnsi="Arial" w:cs="Arial"/>
                <w:color w:val="auto"/>
                <w:szCs w:val="21"/>
                <w:highlight w:val="none"/>
              </w:rPr>
            </w:pPr>
          </w:p>
        </w:tc>
        <w:tc>
          <w:tcPr>
            <w:tcW w:w="850" w:type="dxa"/>
            <w:tcBorders>
              <w:top w:val="single" w:color="auto" w:sz="4" w:space="0"/>
              <w:left w:val="single" w:color="auto" w:sz="4" w:space="0"/>
              <w:bottom w:val="single" w:color="auto" w:sz="4" w:space="0"/>
              <w:right w:val="single" w:color="auto" w:sz="4" w:space="0"/>
            </w:tcBorders>
          </w:tcPr>
          <w:p w14:paraId="0848ED68">
            <w:pPr>
              <w:keepNext w:val="0"/>
              <w:keepLines w:val="0"/>
              <w:suppressLineNumbers w:val="0"/>
              <w:snapToGrid w:val="0"/>
              <w:spacing w:before="0" w:beforeAutospacing="0" w:after="0" w:afterAutospacing="0" w:line="288" w:lineRule="auto"/>
              <w:ind w:left="0" w:right="0"/>
              <w:rPr>
                <w:rFonts w:hint="default" w:ascii="Arial" w:hAnsi="Arial" w:cs="Arial"/>
                <w:color w:val="auto"/>
                <w:szCs w:val="21"/>
                <w:highlight w:val="none"/>
              </w:rPr>
            </w:pPr>
          </w:p>
        </w:tc>
        <w:tc>
          <w:tcPr>
            <w:tcW w:w="709" w:type="dxa"/>
            <w:tcBorders>
              <w:top w:val="single" w:color="auto" w:sz="4" w:space="0"/>
              <w:left w:val="single" w:color="auto" w:sz="4" w:space="0"/>
              <w:bottom w:val="single" w:color="auto" w:sz="4" w:space="0"/>
              <w:right w:val="single" w:color="auto" w:sz="4" w:space="0"/>
            </w:tcBorders>
          </w:tcPr>
          <w:p w14:paraId="30FC8D3D">
            <w:pPr>
              <w:keepNext w:val="0"/>
              <w:keepLines w:val="0"/>
              <w:suppressLineNumbers w:val="0"/>
              <w:snapToGrid w:val="0"/>
              <w:spacing w:before="0" w:beforeAutospacing="0" w:after="0" w:afterAutospacing="0" w:line="288" w:lineRule="auto"/>
              <w:ind w:left="0" w:right="0"/>
              <w:rPr>
                <w:rFonts w:hint="default" w:ascii="Arial" w:hAnsi="Arial" w:cs="Arial"/>
                <w:color w:val="auto"/>
                <w:szCs w:val="21"/>
                <w:highlight w:val="none"/>
              </w:rPr>
            </w:pPr>
          </w:p>
        </w:tc>
        <w:tc>
          <w:tcPr>
            <w:tcW w:w="1117" w:type="dxa"/>
            <w:tcBorders>
              <w:top w:val="single" w:color="auto" w:sz="4" w:space="0"/>
              <w:left w:val="single" w:color="auto" w:sz="4" w:space="0"/>
              <w:bottom w:val="single" w:color="auto" w:sz="4" w:space="0"/>
              <w:right w:val="single" w:color="auto" w:sz="4" w:space="0"/>
            </w:tcBorders>
            <w:vAlign w:val="center"/>
          </w:tcPr>
          <w:p w14:paraId="0E26F1B9">
            <w:pPr>
              <w:keepNext w:val="0"/>
              <w:keepLines w:val="0"/>
              <w:suppressLineNumbers w:val="0"/>
              <w:snapToGrid w:val="0"/>
              <w:spacing w:before="0" w:beforeAutospacing="0" w:after="0" w:afterAutospacing="0" w:line="288" w:lineRule="auto"/>
              <w:ind w:left="0" w:right="0"/>
              <w:rPr>
                <w:rFonts w:hint="default" w:ascii="Arial" w:hAnsi="Arial" w:cs="Arial"/>
                <w:color w:val="auto"/>
                <w:szCs w:val="21"/>
                <w:highlight w:val="none"/>
              </w:rPr>
            </w:pPr>
          </w:p>
        </w:tc>
        <w:tc>
          <w:tcPr>
            <w:tcW w:w="1718" w:type="dxa"/>
            <w:tcBorders>
              <w:top w:val="single" w:color="auto" w:sz="4" w:space="0"/>
              <w:left w:val="single" w:color="auto" w:sz="4" w:space="0"/>
              <w:bottom w:val="single" w:color="auto" w:sz="4" w:space="0"/>
              <w:right w:val="single" w:color="auto" w:sz="4" w:space="0"/>
            </w:tcBorders>
            <w:vAlign w:val="center"/>
          </w:tcPr>
          <w:p w14:paraId="308DC193">
            <w:pPr>
              <w:keepNext w:val="0"/>
              <w:keepLines w:val="0"/>
              <w:suppressLineNumbers w:val="0"/>
              <w:snapToGrid w:val="0"/>
              <w:spacing w:before="0" w:beforeAutospacing="0" w:after="0" w:afterAutospacing="0" w:line="288" w:lineRule="auto"/>
              <w:ind w:left="0" w:right="0"/>
              <w:rPr>
                <w:rFonts w:hint="default" w:ascii="Arial" w:hAnsi="Arial" w:cs="Arial"/>
                <w:color w:val="auto"/>
                <w:szCs w:val="21"/>
                <w:highlight w:val="none"/>
              </w:rPr>
            </w:pPr>
          </w:p>
        </w:tc>
      </w:tr>
      <w:tr w14:paraId="2F94D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7" w:hRule="atLeast"/>
        </w:trPr>
        <w:tc>
          <w:tcPr>
            <w:tcW w:w="7496" w:type="dxa"/>
            <w:gridSpan w:val="7"/>
            <w:tcBorders>
              <w:top w:val="single" w:color="auto" w:sz="4" w:space="0"/>
              <w:left w:val="single" w:color="auto" w:sz="4" w:space="0"/>
              <w:bottom w:val="single" w:color="auto" w:sz="4" w:space="0"/>
              <w:right w:val="single" w:color="auto" w:sz="4" w:space="0"/>
            </w:tcBorders>
            <w:vAlign w:val="center"/>
          </w:tcPr>
          <w:p w14:paraId="08970D5D">
            <w:pPr>
              <w:keepNext w:val="0"/>
              <w:keepLines w:val="0"/>
              <w:suppressLineNumbers w:val="0"/>
              <w:snapToGrid w:val="0"/>
              <w:spacing w:before="0" w:beforeAutospacing="0" w:after="0" w:afterAutospacing="0" w:line="288" w:lineRule="auto"/>
              <w:ind w:left="0" w:right="0"/>
              <w:rPr>
                <w:rFonts w:hint="default" w:ascii="Arial" w:hAnsi="Arial" w:cs="Arial"/>
                <w:color w:val="auto"/>
                <w:szCs w:val="21"/>
                <w:highlight w:val="none"/>
              </w:rPr>
            </w:pPr>
            <w:r>
              <w:rPr>
                <w:rFonts w:hint="default" w:ascii="Arial" w:hAnsi="Arial" w:cs="Arial"/>
                <w:color w:val="auto"/>
                <w:highlight w:val="none"/>
              </w:rPr>
              <w:t xml:space="preserve">                                                      合     计</w:t>
            </w:r>
          </w:p>
        </w:tc>
        <w:tc>
          <w:tcPr>
            <w:tcW w:w="1718" w:type="dxa"/>
            <w:tcBorders>
              <w:top w:val="single" w:color="auto" w:sz="4" w:space="0"/>
              <w:left w:val="single" w:color="auto" w:sz="4" w:space="0"/>
              <w:bottom w:val="single" w:color="auto" w:sz="4" w:space="0"/>
              <w:right w:val="single" w:color="auto" w:sz="4" w:space="0"/>
            </w:tcBorders>
            <w:vAlign w:val="center"/>
          </w:tcPr>
          <w:p w14:paraId="0E04878A">
            <w:pPr>
              <w:keepNext w:val="0"/>
              <w:keepLines w:val="0"/>
              <w:suppressLineNumbers w:val="0"/>
              <w:snapToGrid w:val="0"/>
              <w:spacing w:before="0" w:beforeAutospacing="0" w:after="0" w:afterAutospacing="0" w:line="288" w:lineRule="auto"/>
              <w:ind w:left="0" w:right="0"/>
              <w:rPr>
                <w:rFonts w:hint="default" w:ascii="Arial" w:hAnsi="Arial" w:cs="Arial"/>
                <w:color w:val="auto"/>
                <w:szCs w:val="21"/>
                <w:highlight w:val="none"/>
              </w:rPr>
            </w:pPr>
          </w:p>
        </w:tc>
      </w:tr>
    </w:tbl>
    <w:p w14:paraId="3C08CCA2">
      <w:pPr>
        <w:spacing w:line="288" w:lineRule="auto"/>
        <w:ind w:right="619" w:rightChars="295" w:firstLine="411" w:firstLineChars="196"/>
        <w:rPr>
          <w:rFonts w:hint="default" w:ascii="Arial" w:hAnsi="Arial" w:cs="Arial"/>
          <w:color w:val="auto"/>
          <w:szCs w:val="21"/>
          <w:highlight w:val="none"/>
        </w:rPr>
      </w:pPr>
      <w:r>
        <w:rPr>
          <w:rFonts w:hint="default" w:ascii="Arial" w:hAnsi="Arial" w:cs="Arial"/>
          <w:color w:val="auto"/>
          <w:highlight w:val="none"/>
        </w:rPr>
        <w:t>根据《中标通知书》的中标内容，合同的总金额为：（大写）</w:t>
      </w:r>
      <w:r>
        <w:rPr>
          <w:rFonts w:hint="default" w:ascii="Arial" w:hAnsi="Arial" w:cs="Arial"/>
          <w:color w:val="auto"/>
          <w:highlight w:val="none"/>
          <w:u w:val="single"/>
        </w:rPr>
        <w:t>　　　　　　　　　　　</w:t>
      </w:r>
      <w:r>
        <w:rPr>
          <w:rFonts w:hint="default" w:ascii="Arial" w:hAnsi="Arial" w:cs="Arial"/>
          <w:color w:val="auto"/>
          <w:highlight w:val="none"/>
        </w:rPr>
        <w:t>人民币（¥</w:t>
      </w:r>
      <w:r>
        <w:rPr>
          <w:rFonts w:hint="default" w:ascii="Arial" w:hAnsi="Arial" w:cs="Arial"/>
          <w:color w:val="auto"/>
          <w:highlight w:val="none"/>
          <w:u w:val="single"/>
        </w:rPr>
        <w:t>　　　　　　　　　　　　　</w:t>
      </w:r>
      <w:r>
        <w:rPr>
          <w:rFonts w:hint="default" w:ascii="Arial" w:hAnsi="Arial" w:cs="Arial"/>
          <w:color w:val="auto"/>
          <w:highlight w:val="none"/>
        </w:rPr>
        <w:t>元）</w:t>
      </w:r>
    </w:p>
    <w:p w14:paraId="755453FA">
      <w:pPr>
        <w:spacing w:line="288" w:lineRule="auto"/>
        <w:ind w:firstLine="411" w:firstLineChars="196"/>
        <w:rPr>
          <w:rFonts w:hint="default" w:ascii="Arial" w:hAnsi="Arial" w:cs="Arial"/>
          <w:b/>
          <w:bCs/>
          <w:color w:val="auto"/>
          <w:highlight w:val="none"/>
        </w:rPr>
      </w:pPr>
      <w:r>
        <w:rPr>
          <w:rFonts w:hint="default" w:ascii="Arial" w:hAnsi="Arial" w:cs="Arial"/>
          <w:b/>
          <w:bCs/>
          <w:color w:val="auto"/>
          <w:highlight w:val="none"/>
        </w:rPr>
        <w:t>第二条  质量保证</w:t>
      </w:r>
    </w:p>
    <w:p w14:paraId="0A02E908">
      <w:pPr>
        <w:spacing w:line="288" w:lineRule="auto"/>
        <w:ind w:firstLine="411" w:firstLineChars="196"/>
        <w:rPr>
          <w:rFonts w:hint="default" w:ascii="Arial" w:hAnsi="Arial" w:cs="Arial"/>
          <w:color w:val="auto"/>
          <w:highlight w:val="none"/>
        </w:rPr>
      </w:pPr>
      <w:r>
        <w:rPr>
          <w:rFonts w:hint="default" w:ascii="Arial" w:hAnsi="Arial" w:cs="Arial"/>
          <w:color w:val="auto"/>
          <w:highlight w:val="none"/>
        </w:rPr>
        <w:t>1.乙方应按投标文件承诺的货物规格型号、技术参数、质量标准等向甲方提供未经使用的全新原装产品，且在正常安装使用和保养条件下，其使用寿命期内各项指标均达到质量标准。乙方提供的节能和环境标志产品必须是列入现行政府采购清单目录内的产品。</w:t>
      </w:r>
    </w:p>
    <w:p w14:paraId="1455E923">
      <w:pPr>
        <w:spacing w:line="288" w:lineRule="auto"/>
        <w:ind w:firstLine="435"/>
        <w:rPr>
          <w:rFonts w:hint="default" w:ascii="Arial" w:hAnsi="Arial" w:cs="Arial"/>
          <w:color w:val="auto"/>
          <w:highlight w:val="none"/>
        </w:rPr>
      </w:pPr>
      <w:r>
        <w:rPr>
          <w:rFonts w:hint="default" w:ascii="Arial" w:hAnsi="Arial" w:cs="Arial"/>
          <w:color w:val="auto"/>
          <w:highlight w:val="none"/>
        </w:rPr>
        <w:t>2.乙方提供货物的质量保证期为自交货物验收合格之日起至</w:t>
      </w:r>
      <w:r>
        <w:rPr>
          <w:rFonts w:hint="default" w:ascii="Arial" w:hAnsi="Arial" w:cs="Arial"/>
          <w:color w:val="auto"/>
          <w:highlight w:val="none"/>
          <w:u w:val="single"/>
          <w:lang w:val="en-US" w:eastAsia="zh-CN"/>
        </w:rPr>
        <w:t xml:space="preserve">  </w:t>
      </w:r>
      <w:r>
        <w:rPr>
          <w:rFonts w:hint="default" w:ascii="Arial" w:hAnsi="Arial" w:cs="Arial"/>
          <w:color w:val="auto"/>
          <w:highlight w:val="none"/>
        </w:rPr>
        <w:t>个月内止（厂家规定质保期超过一年的，按厂家规定，“货物采购需求”有规定的，按规定执行）。在质保期内因货物本身的质量问题发生故障，乙方应负责免费修理和更换零部件。对达不到技术要求者，根据实际情况，经双方协商，可按以下办法处理：</w:t>
      </w:r>
    </w:p>
    <w:p w14:paraId="17D29446">
      <w:pPr>
        <w:spacing w:line="288" w:lineRule="auto"/>
        <w:ind w:firstLine="435"/>
        <w:rPr>
          <w:rFonts w:hint="default" w:ascii="Arial" w:hAnsi="Arial" w:cs="Arial"/>
          <w:color w:val="auto"/>
          <w:highlight w:val="none"/>
        </w:rPr>
      </w:pPr>
      <w:r>
        <w:rPr>
          <w:rFonts w:hint="default" w:ascii="Arial" w:hAnsi="Arial" w:cs="Arial"/>
          <w:color w:val="auto"/>
          <w:highlight w:val="none"/>
        </w:rPr>
        <w:t>（1）更换：</w:t>
      </w:r>
      <w:r>
        <w:rPr>
          <w:rFonts w:hint="default" w:ascii="Arial" w:hAnsi="Arial" w:cs="Arial"/>
          <w:highlight w:val="none"/>
          <w:lang w:val="en-US" w:eastAsia="zh-CN"/>
        </w:rPr>
        <w:t>由乙方承担货物更换过程中所需支付的所有费用</w:t>
      </w:r>
      <w:r>
        <w:rPr>
          <w:rFonts w:hint="default" w:ascii="Arial" w:hAnsi="Arial" w:cs="Arial"/>
          <w:color w:val="auto"/>
          <w:highlight w:val="none"/>
        </w:rPr>
        <w:t>。</w:t>
      </w:r>
    </w:p>
    <w:p w14:paraId="7781E220">
      <w:pPr>
        <w:spacing w:line="288" w:lineRule="auto"/>
        <w:ind w:firstLine="420" w:firstLineChars="200"/>
        <w:rPr>
          <w:rFonts w:hint="default" w:ascii="Arial" w:hAnsi="Arial" w:cs="Arial"/>
          <w:color w:val="auto"/>
          <w:highlight w:val="none"/>
        </w:rPr>
      </w:pPr>
      <w:r>
        <w:rPr>
          <w:rFonts w:hint="default" w:ascii="Arial" w:hAnsi="Arial" w:cs="Arial"/>
          <w:color w:val="auto"/>
          <w:highlight w:val="none"/>
        </w:rPr>
        <w:t>（2）退货处理：乙方应退还甲方</w:t>
      </w:r>
      <w:r>
        <w:rPr>
          <w:rFonts w:hint="default" w:ascii="Arial" w:hAnsi="Arial" w:cs="Arial"/>
          <w:color w:val="auto"/>
          <w:highlight w:val="none"/>
          <w:lang w:val="en-US" w:eastAsia="zh-CN"/>
        </w:rPr>
        <w:t>已经</w:t>
      </w:r>
      <w:r>
        <w:rPr>
          <w:rFonts w:hint="default" w:ascii="Arial" w:hAnsi="Arial" w:cs="Arial"/>
          <w:color w:val="auto"/>
          <w:highlight w:val="none"/>
        </w:rPr>
        <w:t>支付的合同款，同时应承担该货物</w:t>
      </w:r>
      <w:r>
        <w:rPr>
          <w:rFonts w:hint="default" w:ascii="Arial" w:hAnsi="Arial" w:cs="Arial"/>
          <w:color w:val="auto"/>
          <w:highlight w:val="none"/>
          <w:lang w:val="en-US" w:eastAsia="zh-CN"/>
        </w:rPr>
        <w:t>所需支付的所有</w:t>
      </w:r>
      <w:r>
        <w:rPr>
          <w:rFonts w:hint="default" w:ascii="Arial" w:hAnsi="Arial" w:cs="Arial"/>
          <w:color w:val="auto"/>
          <w:highlight w:val="none"/>
        </w:rPr>
        <w:t>费用（</w:t>
      </w:r>
      <w:r>
        <w:rPr>
          <w:rFonts w:hint="default" w:ascii="Arial" w:hAnsi="Arial" w:cs="Arial"/>
          <w:color w:val="auto"/>
          <w:highlight w:val="none"/>
          <w:lang w:val="en-US" w:eastAsia="zh-CN"/>
        </w:rPr>
        <w:t>包括但不限于</w:t>
      </w:r>
      <w:r>
        <w:rPr>
          <w:rFonts w:hint="default" w:ascii="Arial" w:hAnsi="Arial" w:cs="Arial"/>
          <w:color w:val="auto"/>
          <w:highlight w:val="none"/>
        </w:rPr>
        <w:t>运输、保险、检验、贷款利息及银行手续费等）</w:t>
      </w:r>
      <w:r>
        <w:rPr>
          <w:rFonts w:hint="default" w:ascii="Arial" w:hAnsi="Arial" w:cs="Arial"/>
          <w:color w:val="auto"/>
          <w:highlight w:val="none"/>
          <w:lang w:eastAsia="zh-CN"/>
        </w:rPr>
        <w:t>。</w:t>
      </w:r>
    </w:p>
    <w:p w14:paraId="536B53E2">
      <w:pPr>
        <w:spacing w:line="288" w:lineRule="auto"/>
        <w:ind w:firstLine="411" w:firstLineChars="196"/>
        <w:rPr>
          <w:rFonts w:hint="default" w:ascii="Arial" w:hAnsi="Arial" w:cs="Arial"/>
          <w:b/>
          <w:bCs/>
          <w:color w:val="auto"/>
          <w:highlight w:val="none"/>
        </w:rPr>
      </w:pPr>
      <w:r>
        <w:rPr>
          <w:rFonts w:hint="default" w:ascii="Arial" w:hAnsi="Arial" w:cs="Arial"/>
          <w:b/>
          <w:bCs/>
          <w:color w:val="auto"/>
          <w:highlight w:val="none"/>
        </w:rPr>
        <w:t>第三条  权力保证</w:t>
      </w:r>
    </w:p>
    <w:p w14:paraId="37350517">
      <w:pPr>
        <w:spacing w:line="288" w:lineRule="auto"/>
        <w:ind w:firstLine="411" w:firstLineChars="196"/>
        <w:rPr>
          <w:rFonts w:hint="default" w:ascii="Arial" w:hAnsi="Arial" w:cs="Arial"/>
          <w:color w:val="auto"/>
          <w:highlight w:val="none"/>
        </w:rPr>
      </w:pPr>
      <w:r>
        <w:rPr>
          <w:rFonts w:hint="default" w:ascii="Arial" w:hAnsi="Arial" w:cs="Arial"/>
          <w:color w:val="auto"/>
          <w:highlight w:val="none"/>
        </w:rPr>
        <w:t>1.乙方应保证所提供货物在使用时不会侵犯任何第三方的专利权、商标权、工业设计权或其他权利。</w:t>
      </w:r>
    </w:p>
    <w:p w14:paraId="08A82BAD">
      <w:pPr>
        <w:spacing w:line="288" w:lineRule="auto"/>
        <w:ind w:firstLine="420" w:firstLineChars="200"/>
        <w:rPr>
          <w:rFonts w:hint="default" w:ascii="Arial" w:hAnsi="Arial" w:cs="Arial"/>
          <w:color w:val="auto"/>
          <w:highlight w:val="none"/>
        </w:rPr>
      </w:pPr>
      <w:r>
        <w:rPr>
          <w:rFonts w:hint="default" w:ascii="Arial" w:hAnsi="Arial" w:cs="Arial"/>
          <w:color w:val="auto"/>
          <w:highlight w:val="none"/>
        </w:rPr>
        <w:t>2.乙方应按招标文件规定的时间向甲方提供使用货物的有关技术资料。</w:t>
      </w:r>
    </w:p>
    <w:p w14:paraId="489E0FA4">
      <w:pPr>
        <w:spacing w:line="288" w:lineRule="auto"/>
        <w:rPr>
          <w:rFonts w:hint="default" w:ascii="Arial" w:hAnsi="Arial" w:cs="Arial"/>
          <w:color w:val="auto"/>
          <w:highlight w:val="none"/>
        </w:rPr>
      </w:pPr>
      <w:r>
        <w:rPr>
          <w:rFonts w:hint="default" w:ascii="Arial" w:hAnsi="Arial" w:cs="Arial"/>
          <w:color w:val="auto"/>
          <w:highlight w:val="none"/>
        </w:rPr>
        <w:t xml:space="preserve">    3.乙方保证所交付的货物的所有权完全属于乙方且无任何抵押、质押、查封等产权瑕疵。</w:t>
      </w:r>
    </w:p>
    <w:p w14:paraId="4A2B79CE">
      <w:pPr>
        <w:spacing w:line="288" w:lineRule="auto"/>
        <w:ind w:firstLine="420" w:firstLineChars="200"/>
        <w:rPr>
          <w:rFonts w:hint="default" w:ascii="Arial" w:hAnsi="Arial" w:cs="Arial"/>
          <w:b/>
          <w:bCs/>
          <w:color w:val="auto"/>
          <w:highlight w:val="none"/>
        </w:rPr>
      </w:pPr>
      <w:r>
        <w:rPr>
          <w:rFonts w:hint="default" w:ascii="Arial" w:hAnsi="Arial" w:cs="Arial"/>
          <w:b/>
          <w:bCs/>
          <w:color w:val="auto"/>
          <w:highlight w:val="none"/>
        </w:rPr>
        <w:t>第四条  货物包装、运输</w:t>
      </w:r>
    </w:p>
    <w:p w14:paraId="2A0B4789">
      <w:pPr>
        <w:spacing w:line="288" w:lineRule="auto"/>
        <w:ind w:firstLine="420" w:firstLineChars="200"/>
        <w:rPr>
          <w:rFonts w:hint="default" w:ascii="Arial" w:hAnsi="Arial" w:cs="Arial"/>
          <w:color w:val="auto"/>
          <w:highlight w:val="none"/>
        </w:rPr>
      </w:pPr>
      <w:r>
        <w:rPr>
          <w:rFonts w:hint="default" w:ascii="Arial" w:hAnsi="Arial" w:cs="Arial"/>
          <w:color w:val="auto"/>
          <w:highlight w:val="none"/>
        </w:rPr>
        <w:t>1.乙方应在货物发运前对其进行满足运输距离、防潮、防震、防锈和防破损装卸等要求包装，以保证货物安全运达甲方指定地点。</w:t>
      </w:r>
    </w:p>
    <w:p w14:paraId="43F8D09E">
      <w:pPr>
        <w:spacing w:line="288" w:lineRule="auto"/>
        <w:ind w:left="420"/>
        <w:rPr>
          <w:rFonts w:hint="default" w:ascii="Arial" w:hAnsi="Arial" w:cs="Arial"/>
          <w:color w:val="auto"/>
          <w:highlight w:val="none"/>
        </w:rPr>
      </w:pPr>
      <w:r>
        <w:rPr>
          <w:rFonts w:hint="default" w:ascii="Arial" w:hAnsi="Arial" w:cs="Arial"/>
          <w:color w:val="auto"/>
          <w:highlight w:val="none"/>
        </w:rPr>
        <w:t>2.使用中文说明书（货物属于进口产品的，供货时应同时附上中文使用说明书）、质量检验证明</w:t>
      </w:r>
    </w:p>
    <w:p w14:paraId="57D9B642">
      <w:pPr>
        <w:spacing w:line="288" w:lineRule="auto"/>
        <w:rPr>
          <w:rFonts w:hint="default" w:ascii="Arial" w:hAnsi="Arial" w:cs="Arial"/>
          <w:color w:val="auto"/>
          <w:highlight w:val="none"/>
        </w:rPr>
      </w:pPr>
      <w:r>
        <w:rPr>
          <w:rFonts w:hint="default" w:ascii="Arial" w:hAnsi="Arial" w:cs="Arial"/>
          <w:color w:val="auto"/>
          <w:highlight w:val="none"/>
        </w:rPr>
        <w:t>书、随配附件和工具以及清单一并附于货物内。</w:t>
      </w:r>
    </w:p>
    <w:p w14:paraId="65FFDDF3">
      <w:pPr>
        <w:spacing w:line="288" w:lineRule="auto"/>
        <w:ind w:firstLine="420" w:firstLineChars="200"/>
        <w:rPr>
          <w:rFonts w:hint="default" w:ascii="Arial" w:hAnsi="Arial" w:cs="Arial"/>
          <w:color w:val="auto"/>
          <w:highlight w:val="none"/>
        </w:rPr>
      </w:pPr>
      <w:r>
        <w:rPr>
          <w:rFonts w:hint="default" w:ascii="Arial" w:hAnsi="Arial" w:cs="Arial"/>
          <w:color w:val="auto"/>
          <w:highlight w:val="none"/>
        </w:rPr>
        <w:t>3.乙方在货物发运手续办理完毕后二十四小时内或货到甲方四十八小时前通知甲方，以准备接货。</w:t>
      </w:r>
    </w:p>
    <w:p w14:paraId="592485C3">
      <w:pPr>
        <w:spacing w:line="288" w:lineRule="auto"/>
        <w:ind w:left="420"/>
        <w:rPr>
          <w:rFonts w:hint="default" w:ascii="Arial" w:hAnsi="Arial" w:cs="Arial"/>
          <w:color w:val="auto"/>
          <w:highlight w:val="none"/>
        </w:rPr>
      </w:pPr>
      <w:r>
        <w:rPr>
          <w:rFonts w:hint="default" w:ascii="Arial" w:hAnsi="Arial" w:cs="Arial"/>
          <w:color w:val="auto"/>
          <w:highlight w:val="none"/>
        </w:rPr>
        <w:t>4.货物在交付甲方前发生的风险均由乙方负责。</w:t>
      </w:r>
    </w:p>
    <w:p w14:paraId="2670370A">
      <w:pPr>
        <w:spacing w:line="288" w:lineRule="auto"/>
        <w:ind w:firstLine="411" w:firstLineChars="196"/>
        <w:rPr>
          <w:rFonts w:hint="default" w:ascii="Arial" w:hAnsi="Arial" w:cs="Arial"/>
          <w:b/>
          <w:bCs/>
          <w:color w:val="auto"/>
          <w:highlight w:val="none"/>
        </w:rPr>
      </w:pPr>
      <w:r>
        <w:rPr>
          <w:rFonts w:hint="default" w:ascii="Arial" w:hAnsi="Arial" w:cs="Arial"/>
          <w:b/>
          <w:bCs/>
          <w:color w:val="auto"/>
          <w:highlight w:val="none"/>
        </w:rPr>
        <w:t>第五条  交付</w:t>
      </w:r>
    </w:p>
    <w:p w14:paraId="3A8C59FD">
      <w:pPr>
        <w:spacing w:line="288" w:lineRule="auto"/>
        <w:ind w:firstLine="420" w:firstLineChars="200"/>
        <w:rPr>
          <w:rFonts w:hint="default" w:ascii="Arial" w:hAnsi="Arial" w:cs="Arial"/>
          <w:color w:val="auto"/>
          <w:highlight w:val="none"/>
        </w:rPr>
      </w:pPr>
      <w:r>
        <w:rPr>
          <w:rFonts w:hint="default" w:ascii="Arial" w:hAnsi="Arial" w:cs="Arial"/>
          <w:color w:val="auto"/>
          <w:highlight w:val="none"/>
        </w:rPr>
        <w:t>1.交付使用期：</w:t>
      </w:r>
      <w:r>
        <w:rPr>
          <w:rFonts w:hint="default" w:ascii="Arial" w:hAnsi="Arial" w:cs="Arial"/>
          <w:color w:val="auto"/>
          <w:highlight w:val="none"/>
          <w:u w:val="single"/>
        </w:rPr>
        <w:t>按乙方投标文件中承诺且不超过采购要求的时间</w:t>
      </w:r>
      <w:r>
        <w:rPr>
          <w:rFonts w:hint="default" w:ascii="Arial" w:hAnsi="Arial" w:cs="Arial"/>
          <w:color w:val="auto"/>
          <w:highlight w:val="none"/>
        </w:rPr>
        <w:t>、地点：</w:t>
      </w:r>
      <w:r>
        <w:rPr>
          <w:rFonts w:hint="default" w:ascii="Arial" w:hAnsi="Arial" w:cs="Arial"/>
          <w:color w:val="auto"/>
          <w:highlight w:val="none"/>
          <w:u w:val="single"/>
        </w:rPr>
        <w:t>广西桂林市采购人指定地点</w:t>
      </w:r>
      <w:r>
        <w:rPr>
          <w:rFonts w:hint="default" w:ascii="Arial" w:hAnsi="Arial" w:cs="Arial"/>
          <w:color w:val="auto"/>
          <w:highlight w:val="none"/>
        </w:rPr>
        <w:t>。</w:t>
      </w:r>
    </w:p>
    <w:p w14:paraId="5C32EE8E">
      <w:pPr>
        <w:spacing w:line="288" w:lineRule="auto"/>
        <w:rPr>
          <w:rFonts w:hint="default" w:ascii="Arial" w:hAnsi="Arial" w:cs="Arial"/>
          <w:color w:val="auto"/>
          <w:highlight w:val="none"/>
        </w:rPr>
      </w:pPr>
      <w:r>
        <w:rPr>
          <w:rFonts w:hint="default" w:ascii="Arial" w:hAnsi="Arial" w:cs="Arial"/>
          <w:color w:val="auto"/>
          <w:highlight w:val="none"/>
        </w:rPr>
        <w:t xml:space="preserve">    2.乙方提供不符合招投标文件和本合同规定的货物，甲方有权拒绝接受。</w:t>
      </w:r>
    </w:p>
    <w:p w14:paraId="274345CF">
      <w:pPr>
        <w:spacing w:line="288" w:lineRule="auto"/>
        <w:rPr>
          <w:rFonts w:hint="default" w:ascii="Arial" w:hAnsi="Arial" w:cs="Arial"/>
          <w:color w:val="auto"/>
          <w:highlight w:val="none"/>
        </w:rPr>
      </w:pPr>
      <w:r>
        <w:rPr>
          <w:rFonts w:hint="default" w:ascii="Arial" w:hAnsi="Arial" w:cs="Arial"/>
          <w:color w:val="auto"/>
          <w:highlight w:val="none"/>
        </w:rPr>
        <w:t xml:space="preserve">    3.乙方应将所有提供货物的装箱清单、用户手册、原厂保修卡、随机资料、工具和备用、备件等交付给甲方，货物属于进口产品的，供货时应同时附上中文使用说明书，如有缺失应及时补齐，否则视为逾期交货。</w:t>
      </w:r>
    </w:p>
    <w:p w14:paraId="733B76B9">
      <w:pPr>
        <w:spacing w:line="288" w:lineRule="auto"/>
        <w:ind w:left="413"/>
        <w:rPr>
          <w:rFonts w:hint="default" w:ascii="Arial" w:hAnsi="Arial" w:cs="Arial"/>
          <w:b/>
          <w:bCs/>
          <w:color w:val="auto"/>
          <w:highlight w:val="none"/>
        </w:rPr>
      </w:pPr>
      <w:r>
        <w:rPr>
          <w:rFonts w:hint="default" w:ascii="Arial" w:hAnsi="Arial" w:cs="Arial"/>
          <w:b/>
          <w:bCs/>
          <w:color w:val="auto"/>
          <w:highlight w:val="none"/>
        </w:rPr>
        <w:t>第六条  调试和验收</w:t>
      </w:r>
    </w:p>
    <w:p w14:paraId="24A992D7">
      <w:pPr>
        <w:spacing w:line="288" w:lineRule="auto"/>
        <w:ind w:firstLine="411" w:firstLineChars="196"/>
        <w:rPr>
          <w:rFonts w:hint="default" w:ascii="Arial" w:hAnsi="Arial" w:cs="Arial"/>
          <w:bCs/>
          <w:color w:val="auto"/>
          <w:szCs w:val="21"/>
          <w:highlight w:val="none"/>
        </w:rPr>
      </w:pPr>
      <w:r>
        <w:rPr>
          <w:rFonts w:hint="default" w:ascii="Arial" w:hAnsi="Arial" w:cs="Arial"/>
          <w:bCs/>
          <w:color w:val="auto"/>
          <w:szCs w:val="21"/>
          <w:highlight w:val="none"/>
        </w:rPr>
        <w:t>1.乙方交货前应对产品做出全面的检查和对验收文件进行整理，并按甲方要求列出清单，作为甲方验收和使用的技术条件依据，验收的结果应随货物交甲方。</w:t>
      </w:r>
    </w:p>
    <w:p w14:paraId="70BF03F7">
      <w:pPr>
        <w:spacing w:line="288" w:lineRule="auto"/>
        <w:ind w:firstLine="411" w:firstLineChars="196"/>
        <w:rPr>
          <w:rFonts w:hint="default" w:ascii="Arial" w:hAnsi="Arial" w:cs="Arial"/>
          <w:bCs/>
          <w:color w:val="auto"/>
          <w:szCs w:val="21"/>
          <w:highlight w:val="none"/>
        </w:rPr>
      </w:pPr>
      <w:r>
        <w:rPr>
          <w:rFonts w:hint="default" w:ascii="Arial" w:hAnsi="Arial" w:cs="Arial"/>
          <w:bCs/>
          <w:color w:val="auto"/>
          <w:szCs w:val="21"/>
          <w:highlight w:val="none"/>
        </w:rPr>
        <w:t>2.甲方依据招标文件、投标文件的技术规格要求及承诺和国家有关质量标准对货物进行现场初步验收，外观、说明书符合招标文件技术要求的，给予签收，初步验收不合格的不予签收。货到后，甲方应当在到货（安装、调试完）后七个工作日内进行验收。验收合格后由甲乙双方签署货物验收单并加盖公章，甲乙双方各执一份。</w:t>
      </w:r>
    </w:p>
    <w:p w14:paraId="08100071">
      <w:pPr>
        <w:spacing w:line="288" w:lineRule="auto"/>
        <w:ind w:firstLine="411" w:firstLineChars="196"/>
        <w:rPr>
          <w:rFonts w:hint="default" w:ascii="Arial" w:hAnsi="Arial" w:cs="Arial"/>
          <w:bCs/>
          <w:color w:val="auto"/>
          <w:szCs w:val="21"/>
          <w:highlight w:val="none"/>
        </w:rPr>
      </w:pPr>
      <w:r>
        <w:rPr>
          <w:rFonts w:hint="default" w:ascii="Arial" w:hAnsi="Arial" w:cs="Arial"/>
          <w:bCs/>
          <w:color w:val="auto"/>
          <w:szCs w:val="21"/>
          <w:highlight w:val="none"/>
        </w:rPr>
        <w:t>3.甲方对乙方提供的货物在使用前进行调试时，乙方需负责安装并培训甲方的使用操作人员，并协助甲方一起调试，直到符合技术要求，甲方才做最终验收。</w:t>
      </w:r>
    </w:p>
    <w:p w14:paraId="68D92147">
      <w:pPr>
        <w:spacing w:line="288" w:lineRule="auto"/>
        <w:ind w:firstLine="411" w:firstLineChars="196"/>
        <w:rPr>
          <w:rFonts w:hint="default" w:ascii="Arial" w:hAnsi="Arial" w:cs="Arial"/>
          <w:bCs/>
          <w:color w:val="auto"/>
          <w:szCs w:val="21"/>
          <w:highlight w:val="none"/>
        </w:rPr>
      </w:pPr>
      <w:r>
        <w:rPr>
          <w:rFonts w:hint="default" w:ascii="Arial" w:hAnsi="Arial" w:cs="Arial"/>
          <w:bCs/>
          <w:color w:val="auto"/>
          <w:szCs w:val="21"/>
          <w:highlight w:val="none"/>
        </w:rPr>
        <w:t>4、对技术复杂的货物，甲方应请国家认可的专业检测机构参与初步验收及最终验收，并由其出具质量检测报告。进口设备必须提供货物清关记录，具备省级（或相当于省级）商检部门的检验证明。</w:t>
      </w:r>
    </w:p>
    <w:p w14:paraId="47AD06C5">
      <w:pPr>
        <w:spacing w:line="288" w:lineRule="auto"/>
        <w:ind w:firstLine="411" w:firstLineChars="196"/>
        <w:rPr>
          <w:rFonts w:hint="default" w:ascii="Arial" w:hAnsi="Arial" w:cs="Arial"/>
          <w:bCs/>
          <w:color w:val="auto"/>
          <w:szCs w:val="21"/>
          <w:highlight w:val="none"/>
        </w:rPr>
      </w:pPr>
      <w:r>
        <w:rPr>
          <w:rFonts w:hint="default" w:ascii="Arial" w:hAnsi="Arial" w:cs="Arial"/>
          <w:bCs/>
          <w:color w:val="auto"/>
          <w:szCs w:val="21"/>
          <w:highlight w:val="none"/>
        </w:rPr>
        <w:t>（1）货物在乙方通知安装调试完毕后七个工作日内初步验收。初步验收合格后，进入一个月试用期；试用期间发生重大质量问题，乙方</w:t>
      </w:r>
      <w:r>
        <w:rPr>
          <w:rFonts w:hint="default" w:ascii="Arial" w:hAnsi="Arial" w:cs="Arial"/>
          <w:bCs/>
          <w:color w:val="auto"/>
          <w:szCs w:val="21"/>
          <w:highlight w:val="none"/>
          <w:lang w:eastAsia="zh-CN"/>
        </w:rPr>
        <w:t>必</w:t>
      </w:r>
      <w:r>
        <w:rPr>
          <w:rFonts w:hint="default" w:ascii="Arial" w:hAnsi="Arial" w:cs="Arial"/>
          <w:bCs/>
          <w:color w:val="auto"/>
          <w:szCs w:val="21"/>
          <w:highlight w:val="none"/>
        </w:rPr>
        <w:t>须更换未经使用的全新原装产品给甲方</w:t>
      </w:r>
      <w:r>
        <w:rPr>
          <w:rFonts w:hint="default" w:ascii="Arial" w:hAnsi="Arial" w:cs="Arial"/>
          <w:bCs/>
          <w:color w:val="auto"/>
          <w:szCs w:val="21"/>
          <w:highlight w:val="none"/>
          <w:lang w:eastAsia="zh-CN"/>
        </w:rPr>
        <w:t>。更换后的产品经上述程序经再次试用一个月，</w:t>
      </w:r>
      <w:r>
        <w:rPr>
          <w:rFonts w:hint="default" w:ascii="Arial" w:hAnsi="Arial" w:cs="Arial"/>
          <w:bCs/>
          <w:color w:val="auto"/>
          <w:szCs w:val="21"/>
          <w:highlight w:val="none"/>
        </w:rPr>
        <w:t>试用期结束</w:t>
      </w:r>
      <w:r>
        <w:rPr>
          <w:rFonts w:hint="default" w:ascii="Arial" w:hAnsi="Arial" w:cs="Arial"/>
          <w:bCs/>
          <w:color w:val="auto"/>
          <w:szCs w:val="21"/>
          <w:highlight w:val="none"/>
          <w:lang w:eastAsia="zh-CN"/>
        </w:rPr>
        <w:t>，如无质量问题，则将在</w:t>
      </w:r>
      <w:r>
        <w:rPr>
          <w:rFonts w:hint="default" w:ascii="Arial" w:hAnsi="Arial" w:cs="Arial"/>
          <w:bCs/>
          <w:color w:val="auto"/>
          <w:szCs w:val="21"/>
          <w:highlight w:val="none"/>
        </w:rPr>
        <w:t>七个工作日内完成最终验收；</w:t>
      </w:r>
      <w:r>
        <w:rPr>
          <w:rFonts w:hint="default" w:ascii="Arial" w:hAnsi="Arial" w:cs="Arial"/>
          <w:bCs/>
          <w:color w:val="auto"/>
          <w:szCs w:val="21"/>
          <w:highlight w:val="none"/>
          <w:lang w:eastAsia="zh-CN"/>
        </w:rPr>
        <w:t>上述所发生的所有费用</w:t>
      </w:r>
      <w:r>
        <w:rPr>
          <w:rFonts w:hint="default" w:ascii="Arial" w:hAnsi="Arial" w:cs="Arial"/>
          <w:bCs/>
          <w:color w:val="auto"/>
          <w:szCs w:val="21"/>
          <w:highlight w:val="none"/>
        </w:rPr>
        <w:t>由乙方承担；</w:t>
      </w:r>
    </w:p>
    <w:p w14:paraId="7E032352">
      <w:pPr>
        <w:spacing w:line="288" w:lineRule="auto"/>
        <w:ind w:firstLine="411" w:firstLineChars="196"/>
        <w:rPr>
          <w:rFonts w:hint="default" w:ascii="Arial" w:hAnsi="Arial" w:cs="Arial"/>
          <w:bCs/>
          <w:color w:val="auto"/>
          <w:szCs w:val="21"/>
          <w:highlight w:val="none"/>
        </w:rPr>
      </w:pPr>
      <w:r>
        <w:rPr>
          <w:rFonts w:hint="default" w:ascii="Arial" w:hAnsi="Arial" w:cs="Arial"/>
          <w:bCs/>
          <w:color w:val="auto"/>
          <w:szCs w:val="21"/>
          <w:highlight w:val="none"/>
        </w:rPr>
        <w:t>（2）验收标准：按国家有关规定以及甲方招标文件的质量要求和技术指标、乙方的投标文件及承诺与本合同约定标准进行验收；甲乙双方如对质量要求和技术指标的约定标准有相互抵触或异议的事项，由甲方在招标与投标文件中按质量要求和技术指标比较优胜的原则确定该项的约定标准进行验收；</w:t>
      </w:r>
    </w:p>
    <w:p w14:paraId="218B10E3">
      <w:pPr>
        <w:spacing w:line="288" w:lineRule="auto"/>
        <w:ind w:firstLine="411" w:firstLineChars="196"/>
        <w:rPr>
          <w:rFonts w:hint="default" w:ascii="Arial" w:hAnsi="Arial" w:cs="Arial"/>
          <w:bCs/>
          <w:color w:val="auto"/>
          <w:szCs w:val="21"/>
          <w:highlight w:val="none"/>
        </w:rPr>
      </w:pPr>
      <w:r>
        <w:rPr>
          <w:rFonts w:hint="default" w:ascii="Arial" w:hAnsi="Arial" w:cs="Arial"/>
          <w:bCs/>
          <w:color w:val="auto"/>
          <w:szCs w:val="21"/>
          <w:highlight w:val="none"/>
        </w:rPr>
        <w:t>（3）验收时如发现所交付的货物有短装、次品、损坏或其它不符合标准及本合同规定之情形者，</w:t>
      </w:r>
      <w:r>
        <w:rPr>
          <w:rFonts w:hint="default" w:ascii="Arial" w:hAnsi="Arial" w:cs="Arial"/>
          <w:bCs/>
          <w:color w:val="auto"/>
          <w:szCs w:val="21"/>
          <w:highlight w:val="none"/>
          <w:lang w:val="en-US" w:eastAsia="zh-CN"/>
        </w:rPr>
        <w:t>乙方须更换</w:t>
      </w:r>
      <w:r>
        <w:rPr>
          <w:rFonts w:hint="default" w:ascii="Arial" w:hAnsi="Arial" w:cs="Arial"/>
          <w:bCs/>
          <w:color w:val="auto"/>
          <w:szCs w:val="21"/>
          <w:highlight w:val="none"/>
        </w:rPr>
        <w:t>未经使用的全新原装产品</w:t>
      </w:r>
      <w:r>
        <w:rPr>
          <w:rFonts w:hint="default" w:ascii="Arial" w:hAnsi="Arial" w:cs="Arial"/>
          <w:bCs/>
          <w:color w:val="auto"/>
          <w:szCs w:val="21"/>
          <w:highlight w:val="none"/>
          <w:lang w:val="en-US" w:eastAsia="zh-CN"/>
        </w:rPr>
        <w:t>给甲方，并</w:t>
      </w:r>
      <w:r>
        <w:rPr>
          <w:rFonts w:hint="default" w:ascii="Arial" w:hAnsi="Arial" w:cs="Arial"/>
          <w:bCs/>
          <w:color w:val="auto"/>
          <w:szCs w:val="21"/>
          <w:highlight w:val="none"/>
        </w:rPr>
        <w:t>由乙方承担所有发生的全部费用</w:t>
      </w:r>
      <w:r>
        <w:rPr>
          <w:rFonts w:hint="default" w:ascii="Arial" w:hAnsi="Arial" w:cs="Arial"/>
          <w:bCs/>
          <w:color w:val="auto"/>
          <w:szCs w:val="21"/>
          <w:highlight w:val="none"/>
          <w:lang w:eastAsia="zh-CN"/>
        </w:rPr>
        <w:t>，</w:t>
      </w:r>
      <w:r>
        <w:rPr>
          <w:rFonts w:hint="default" w:ascii="Arial" w:hAnsi="Arial" w:cs="Arial"/>
          <w:bCs/>
          <w:color w:val="auto"/>
          <w:szCs w:val="21"/>
          <w:highlight w:val="none"/>
        </w:rPr>
        <w:t>甲方应做出详尽的现场记录，或由甲乙双方签署备忘录，此现场记录或备忘录可用作补充、缺失和更换损坏部件的有效证据，由此产生的时间延误与有关费用由乙方承担，验收期限相应顺延；</w:t>
      </w:r>
    </w:p>
    <w:p w14:paraId="5CE7BB04">
      <w:pPr>
        <w:spacing w:line="288" w:lineRule="auto"/>
        <w:ind w:firstLine="411" w:firstLineChars="196"/>
        <w:rPr>
          <w:rFonts w:hint="default" w:ascii="Arial" w:hAnsi="Arial" w:cs="Arial"/>
          <w:bCs/>
          <w:color w:val="auto"/>
          <w:szCs w:val="21"/>
          <w:highlight w:val="none"/>
        </w:rPr>
      </w:pPr>
      <w:r>
        <w:rPr>
          <w:rFonts w:hint="default" w:ascii="Arial" w:hAnsi="Arial" w:cs="Arial"/>
          <w:bCs/>
          <w:color w:val="auto"/>
          <w:szCs w:val="21"/>
          <w:highlight w:val="none"/>
        </w:rPr>
        <w:t>（4）验收结束后，应当出具验收书，列明各项标准的验收情况及项目总体评价，由验收双方共同签署。</w:t>
      </w:r>
    </w:p>
    <w:p w14:paraId="05E18B46">
      <w:pPr>
        <w:spacing w:line="288" w:lineRule="auto"/>
        <w:ind w:firstLine="411" w:firstLineChars="196"/>
        <w:rPr>
          <w:rFonts w:hint="default" w:ascii="Arial" w:hAnsi="Arial" w:cs="Arial"/>
          <w:bCs/>
          <w:color w:val="auto"/>
          <w:szCs w:val="21"/>
          <w:highlight w:val="none"/>
        </w:rPr>
      </w:pPr>
      <w:r>
        <w:rPr>
          <w:rFonts w:hint="default" w:ascii="Arial" w:hAnsi="Arial" w:cs="Arial"/>
          <w:bCs/>
          <w:color w:val="auto"/>
          <w:szCs w:val="21"/>
          <w:highlight w:val="none"/>
        </w:rPr>
        <w:t>5、验收时乙方必须在现场，验收完毕后作出验收结果报告，验收费用由乙方负责。</w:t>
      </w:r>
    </w:p>
    <w:p w14:paraId="77F4576C">
      <w:pPr>
        <w:spacing w:line="288" w:lineRule="auto"/>
        <w:ind w:firstLine="411" w:firstLineChars="196"/>
        <w:rPr>
          <w:rFonts w:hint="default" w:ascii="Arial" w:hAnsi="Arial" w:cs="Arial"/>
          <w:bCs/>
          <w:color w:val="auto"/>
          <w:szCs w:val="21"/>
          <w:highlight w:val="none"/>
        </w:rPr>
      </w:pPr>
      <w:r>
        <w:rPr>
          <w:rFonts w:hint="default" w:ascii="Arial" w:hAnsi="Arial" w:cs="Arial"/>
          <w:bCs/>
          <w:color w:val="auto"/>
          <w:szCs w:val="21"/>
          <w:highlight w:val="none"/>
        </w:rPr>
        <w:t>6、甲方对验收有异议的，在验收后五个工作日内以书面形式向乙方提出，乙方应自收到甲方书面异议后3日内及时予以解决。</w:t>
      </w:r>
    </w:p>
    <w:p w14:paraId="2D5CD1B3">
      <w:pPr>
        <w:spacing w:line="288" w:lineRule="auto"/>
        <w:ind w:firstLine="411" w:firstLineChars="196"/>
        <w:rPr>
          <w:rFonts w:hint="default" w:ascii="Arial" w:hAnsi="Arial" w:cs="Arial"/>
          <w:bCs/>
          <w:color w:val="auto"/>
          <w:szCs w:val="21"/>
          <w:highlight w:val="none"/>
        </w:rPr>
      </w:pPr>
      <w:r>
        <w:rPr>
          <w:rFonts w:hint="default" w:ascii="Arial" w:hAnsi="Arial" w:cs="Arial"/>
          <w:bCs/>
          <w:color w:val="auto"/>
          <w:szCs w:val="21"/>
          <w:highlight w:val="none"/>
        </w:rPr>
        <w:t>7.供应商如非生产厂家，供货时必须提供成交设备生产厂家针对本项目的售后服务承诺书原件，否则不予验收。</w:t>
      </w:r>
    </w:p>
    <w:p w14:paraId="670873BA">
      <w:pPr>
        <w:spacing w:line="288" w:lineRule="auto"/>
        <w:ind w:firstLine="411" w:firstLineChars="196"/>
        <w:rPr>
          <w:rFonts w:hint="default" w:ascii="Arial" w:hAnsi="Arial" w:cs="Arial"/>
          <w:b w:val="0"/>
          <w:bCs w:val="0"/>
          <w:color w:val="auto"/>
          <w:highlight w:val="none"/>
        </w:rPr>
      </w:pPr>
      <w:r>
        <w:rPr>
          <w:rFonts w:hint="default" w:ascii="Arial" w:hAnsi="Arial" w:cs="Arial"/>
          <w:b w:val="0"/>
          <w:bCs w:val="0"/>
          <w:color w:val="auto"/>
          <w:highlight w:val="none"/>
        </w:rPr>
        <w:t>8、供货时，乙方必须提供全新的原装正品，符合有关质量标准的产品；乙方所提供的货物规格、技术标准等质量必须与采购需求及投标文件中承诺的参数一致。甲方根据招标文件要求、投标文件承诺逐条对应及《政府采购货物和服务招标投标管理办法》（财政部令第87号）、《财政部关于进一步加强政府采购需求和履约验收管理的指导意见》（财库〔2016〕205号）进行现场验收，验收产生费用由乙方负责。验收不合格的，乙方应在3个工作日内进行更换、未按要求进行更换或再次验收不合格的，甲方有权单方面解除合同，同时报相关监督管理部门处理，由此造成甲方经济损失的由乙方负责承担全部赔偿责任，甲方有权处理已进场的产品。验收完成后乙方须提供完整的安装、操作、使用和维护手册及设备位置图等所有技术资料、图纸。</w:t>
      </w:r>
    </w:p>
    <w:p w14:paraId="6D1CC294">
      <w:pPr>
        <w:spacing w:line="288" w:lineRule="auto"/>
        <w:ind w:firstLine="411" w:firstLineChars="196"/>
        <w:rPr>
          <w:rFonts w:hint="default" w:ascii="Arial" w:hAnsi="Arial" w:cs="Arial"/>
          <w:b/>
          <w:bCs/>
          <w:color w:val="auto"/>
          <w:highlight w:val="none"/>
        </w:rPr>
      </w:pPr>
      <w:r>
        <w:rPr>
          <w:rFonts w:hint="default" w:ascii="Arial" w:hAnsi="Arial" w:cs="Arial"/>
          <w:b/>
          <w:bCs/>
          <w:color w:val="auto"/>
          <w:highlight w:val="none"/>
        </w:rPr>
        <w:t>第七条  安装和培训</w:t>
      </w:r>
    </w:p>
    <w:p w14:paraId="20F31B9A">
      <w:pPr>
        <w:spacing w:line="288" w:lineRule="auto"/>
        <w:ind w:firstLine="315" w:firstLineChars="150"/>
        <w:rPr>
          <w:rFonts w:hint="default" w:ascii="Arial" w:hAnsi="Arial" w:cs="Arial"/>
          <w:color w:val="auto"/>
          <w:highlight w:val="none"/>
        </w:rPr>
      </w:pPr>
      <w:r>
        <w:rPr>
          <w:rFonts w:hint="default" w:ascii="Arial" w:hAnsi="Arial" w:cs="Arial"/>
          <w:color w:val="auto"/>
          <w:highlight w:val="none"/>
        </w:rPr>
        <w:t xml:space="preserve"> 1.甲方应提供必要安装条件（如场地、电源、水源等）。</w:t>
      </w:r>
    </w:p>
    <w:p w14:paraId="72B73A9F">
      <w:pPr>
        <w:spacing w:line="288" w:lineRule="auto"/>
        <w:ind w:firstLine="315" w:firstLineChars="150"/>
        <w:rPr>
          <w:rFonts w:hint="default" w:ascii="Arial" w:hAnsi="Arial" w:cs="Arial"/>
          <w:color w:val="auto"/>
          <w:highlight w:val="none"/>
        </w:rPr>
      </w:pPr>
      <w:r>
        <w:rPr>
          <w:rFonts w:hint="default" w:ascii="Arial" w:hAnsi="Arial" w:cs="Arial"/>
          <w:color w:val="auto"/>
          <w:highlight w:val="none"/>
        </w:rPr>
        <w:t xml:space="preserve"> 2.乙方负责甲方有关人员的培训。培训时间、地点：</w:t>
      </w:r>
      <w:r>
        <w:rPr>
          <w:rFonts w:hint="default" w:ascii="Arial" w:hAnsi="Arial" w:cs="Arial"/>
          <w:color w:val="auto"/>
          <w:highlight w:val="none"/>
          <w:u w:val="single"/>
        </w:rPr>
        <w:t>广西桂林市采购人指定时间地点</w:t>
      </w:r>
      <w:r>
        <w:rPr>
          <w:rFonts w:hint="default" w:ascii="Arial" w:hAnsi="Arial" w:cs="Arial"/>
          <w:color w:val="auto"/>
          <w:highlight w:val="none"/>
        </w:rPr>
        <w:t>。</w:t>
      </w:r>
    </w:p>
    <w:p w14:paraId="4794F00C">
      <w:pPr>
        <w:spacing w:line="288" w:lineRule="auto"/>
        <w:ind w:firstLine="411" w:firstLineChars="196"/>
        <w:rPr>
          <w:rFonts w:hint="default" w:ascii="Arial" w:hAnsi="Arial" w:cs="Arial"/>
          <w:b/>
          <w:bCs/>
          <w:color w:val="auto"/>
          <w:highlight w:val="none"/>
        </w:rPr>
      </w:pPr>
      <w:r>
        <w:rPr>
          <w:rFonts w:hint="default" w:ascii="Arial" w:hAnsi="Arial" w:cs="Arial"/>
          <w:b/>
          <w:bCs/>
          <w:color w:val="auto"/>
          <w:highlight w:val="none"/>
        </w:rPr>
        <w:t>第八条  售后服务、保修期</w:t>
      </w:r>
    </w:p>
    <w:p w14:paraId="38BE2FD3">
      <w:pPr>
        <w:tabs>
          <w:tab w:val="left" w:pos="0"/>
        </w:tabs>
        <w:spacing w:line="288" w:lineRule="auto"/>
        <w:ind w:firstLine="420" w:firstLineChars="200"/>
        <w:rPr>
          <w:rFonts w:hint="default" w:ascii="Arial" w:hAnsi="Arial" w:cs="Arial"/>
          <w:color w:val="auto"/>
          <w:highlight w:val="none"/>
        </w:rPr>
      </w:pPr>
      <w:r>
        <w:rPr>
          <w:rFonts w:hint="default" w:ascii="Arial" w:hAnsi="Arial" w:cs="Arial"/>
          <w:color w:val="auto"/>
          <w:highlight w:val="none"/>
        </w:rPr>
        <w:t>1.乙方应按照国家有关法律规定和“三包”规定以及招投标文件和本合同所附《服务承诺》，为甲方提供售后服务。</w:t>
      </w:r>
    </w:p>
    <w:p w14:paraId="0D252943">
      <w:pPr>
        <w:spacing w:line="288" w:lineRule="auto"/>
        <w:ind w:firstLine="396" w:firstLineChars="200"/>
        <w:rPr>
          <w:rFonts w:hint="default" w:ascii="Arial" w:hAnsi="Arial" w:cs="Arial"/>
          <w:color w:val="auto"/>
          <w:spacing w:val="-6"/>
          <w:highlight w:val="none"/>
        </w:rPr>
      </w:pPr>
      <w:r>
        <w:rPr>
          <w:rFonts w:hint="default" w:ascii="Arial" w:hAnsi="Arial" w:cs="Arial"/>
          <w:color w:val="auto"/>
          <w:spacing w:val="-6"/>
          <w:highlight w:val="none"/>
        </w:rPr>
        <w:t>2.如在使用过程中发生质量问题，乙方在接到甲方通知后在</w:t>
      </w:r>
      <w:r>
        <w:rPr>
          <w:rFonts w:hint="default" w:ascii="Arial" w:hAnsi="Arial" w:cs="Arial"/>
          <w:color w:val="auto"/>
          <w:spacing w:val="-6"/>
          <w:highlight w:val="none"/>
          <w:u w:val="single"/>
        </w:rPr>
        <w:t>投标文件承诺的时间</w:t>
      </w:r>
      <w:r>
        <w:rPr>
          <w:rFonts w:hint="default" w:ascii="Arial" w:hAnsi="Arial" w:cs="Arial"/>
          <w:color w:val="auto"/>
          <w:spacing w:val="-6"/>
          <w:highlight w:val="none"/>
        </w:rPr>
        <w:t>内到达甲方现场处理。</w:t>
      </w:r>
    </w:p>
    <w:p w14:paraId="069D13C7">
      <w:pPr>
        <w:spacing w:line="288" w:lineRule="auto"/>
        <w:ind w:firstLine="420" w:firstLineChars="200"/>
        <w:rPr>
          <w:rFonts w:hint="default" w:ascii="Arial" w:hAnsi="Arial" w:cs="Arial"/>
          <w:color w:val="auto"/>
          <w:highlight w:val="none"/>
        </w:rPr>
      </w:pPr>
      <w:r>
        <w:rPr>
          <w:rFonts w:hint="default" w:ascii="Arial" w:hAnsi="Arial" w:cs="Arial"/>
          <w:color w:val="auto"/>
          <w:highlight w:val="none"/>
        </w:rPr>
        <w:t>3.在质保期内，乙方应对货物出现的质量及安全问题负责处理解决并承担一切费用。</w:t>
      </w:r>
    </w:p>
    <w:p w14:paraId="5475027A">
      <w:pPr>
        <w:spacing w:line="288" w:lineRule="auto"/>
        <w:ind w:firstLine="420" w:firstLineChars="200"/>
        <w:rPr>
          <w:rFonts w:hint="default" w:ascii="Arial" w:hAnsi="Arial" w:cs="Arial"/>
          <w:color w:val="auto"/>
          <w:highlight w:val="none"/>
        </w:rPr>
      </w:pPr>
      <w:r>
        <w:rPr>
          <w:rFonts w:hint="default" w:ascii="Arial" w:hAnsi="Arial" w:cs="Arial"/>
          <w:color w:val="auto"/>
          <w:highlight w:val="none"/>
        </w:rPr>
        <w:t>4.货物保修（维护）期为</w:t>
      </w:r>
      <w:r>
        <w:rPr>
          <w:rFonts w:hint="default" w:ascii="Arial" w:hAnsi="Arial" w:cs="Arial"/>
          <w:color w:val="auto"/>
          <w:highlight w:val="none"/>
          <w:u w:val="single"/>
        </w:rPr>
        <w:t>按乙方投标文件中承诺且不低于采购要求的时间</w:t>
      </w:r>
      <w:r>
        <w:rPr>
          <w:rFonts w:hint="default" w:ascii="Arial" w:hAnsi="Arial" w:cs="Arial"/>
          <w:color w:val="auto"/>
          <w:highlight w:val="none"/>
        </w:rPr>
        <w:t>，因人为因素出现的故障不在免费保修范围内。超过保修期的货物，终生维修，维修时只收部件成本费。</w:t>
      </w:r>
    </w:p>
    <w:p w14:paraId="0E4CF7C7">
      <w:pPr>
        <w:spacing w:line="288" w:lineRule="auto"/>
        <w:ind w:firstLine="411" w:firstLineChars="196"/>
        <w:rPr>
          <w:rFonts w:hint="default" w:ascii="Arial" w:hAnsi="Arial" w:cs="Arial"/>
          <w:b/>
          <w:bCs/>
          <w:color w:val="auto"/>
          <w:highlight w:val="none"/>
        </w:rPr>
      </w:pPr>
      <w:r>
        <w:rPr>
          <w:rFonts w:hint="default" w:ascii="Arial" w:hAnsi="Arial" w:cs="Arial"/>
          <w:b/>
          <w:bCs/>
          <w:color w:val="auto"/>
          <w:highlight w:val="none"/>
        </w:rPr>
        <w:t>第九条  税费</w:t>
      </w:r>
    </w:p>
    <w:p w14:paraId="5722378E">
      <w:pPr>
        <w:spacing w:line="288" w:lineRule="auto"/>
        <w:ind w:firstLine="411" w:firstLineChars="196"/>
        <w:rPr>
          <w:rFonts w:hint="default" w:ascii="Arial" w:hAnsi="Arial" w:cs="Arial"/>
          <w:color w:val="auto"/>
          <w:highlight w:val="none"/>
        </w:rPr>
      </w:pPr>
      <w:r>
        <w:rPr>
          <w:rFonts w:hint="default" w:ascii="Arial" w:hAnsi="Arial" w:cs="Arial"/>
          <w:color w:val="auto"/>
          <w:highlight w:val="none"/>
        </w:rPr>
        <w:t>本合同执行中相关的一切税费均由乙方负担。</w:t>
      </w:r>
    </w:p>
    <w:p w14:paraId="6073538A">
      <w:pPr>
        <w:spacing w:line="288" w:lineRule="auto"/>
        <w:ind w:firstLine="420"/>
        <w:rPr>
          <w:rFonts w:hint="default" w:ascii="Arial" w:hAnsi="Arial" w:cs="Arial"/>
          <w:color w:val="auto"/>
          <w:szCs w:val="21"/>
          <w:highlight w:val="none"/>
        </w:rPr>
      </w:pPr>
      <w:r>
        <w:rPr>
          <w:rFonts w:hint="default" w:ascii="Arial" w:hAnsi="Arial" w:cs="Arial"/>
          <w:b/>
          <w:bCs/>
          <w:color w:val="auto"/>
          <w:szCs w:val="21"/>
          <w:highlight w:val="none"/>
        </w:rPr>
        <w:t>第十条 履约保证金</w:t>
      </w:r>
    </w:p>
    <w:p w14:paraId="7A77DECE">
      <w:pPr>
        <w:spacing w:line="420" w:lineRule="exact"/>
        <w:ind w:firstLine="420"/>
        <w:rPr>
          <w:rFonts w:hint="default" w:ascii="Arial" w:hAnsi="Arial" w:cs="Arial"/>
          <w:b/>
          <w:bCs/>
          <w:color w:val="auto"/>
          <w:szCs w:val="21"/>
          <w:highlight w:val="none"/>
        </w:rPr>
      </w:pPr>
      <w:r>
        <w:rPr>
          <w:rFonts w:hint="default" w:ascii="Arial" w:hAnsi="Arial" w:cs="Arial"/>
          <w:color w:val="auto"/>
          <w:szCs w:val="21"/>
          <w:highlight w:val="none"/>
        </w:rPr>
        <w:t>1.履约保证金金额：</w:t>
      </w:r>
      <w:r>
        <w:rPr>
          <w:rFonts w:hint="default" w:ascii="Arial" w:hAnsi="Arial" w:cs="Arial"/>
          <w:color w:val="auto"/>
          <w:szCs w:val="21"/>
          <w:highlight w:val="none"/>
          <w:u w:val="single"/>
          <w:lang w:val="en-US" w:eastAsia="zh-CN"/>
        </w:rPr>
        <w:t xml:space="preserve"> 无  </w:t>
      </w:r>
    </w:p>
    <w:p w14:paraId="6FA89342">
      <w:pPr>
        <w:spacing w:line="420" w:lineRule="exact"/>
        <w:ind w:firstLine="420"/>
        <w:rPr>
          <w:rFonts w:hint="default" w:ascii="Arial" w:hAnsi="Arial" w:cs="Arial"/>
          <w:color w:val="auto"/>
          <w:szCs w:val="21"/>
          <w:highlight w:val="none"/>
        </w:rPr>
      </w:pPr>
      <w:r>
        <w:rPr>
          <w:rFonts w:hint="default" w:ascii="Arial" w:hAnsi="Arial" w:cs="Arial"/>
          <w:color w:val="auto"/>
          <w:szCs w:val="21"/>
          <w:highlight w:val="none"/>
        </w:rPr>
        <w:t>履约保证金缴纳形式：供应商可以选择电汇、转账、支票、汇票、本票、保函等形式缴纳或提交；采用保函形式缴纳的，采购人在保证期限届满后及时对收取的保证金进行核实和结算。</w:t>
      </w:r>
    </w:p>
    <w:p w14:paraId="40D11001">
      <w:pPr>
        <w:spacing w:line="420" w:lineRule="exact"/>
        <w:ind w:firstLine="420"/>
        <w:rPr>
          <w:rFonts w:hint="default" w:ascii="Arial" w:hAnsi="Arial" w:cs="Arial"/>
          <w:color w:val="auto"/>
          <w:szCs w:val="21"/>
          <w:highlight w:val="none"/>
        </w:rPr>
      </w:pPr>
      <w:r>
        <w:rPr>
          <w:rFonts w:hint="default" w:ascii="Arial" w:hAnsi="Arial" w:cs="Arial"/>
          <w:color w:val="auto"/>
          <w:szCs w:val="21"/>
          <w:highlight w:val="none"/>
        </w:rPr>
        <w:t xml:space="preserve">履约保证金退还方式及时间、条件、不予退还的情形：履约保证金自合同生效之日起生效至合同材料验收证书或进度款支付函签署之日起28天后失效，项目验收合格后，中标供应商可向采购人申请办理履约保证金的退付手续；如果中标供应商不履行合同约定的义务或其履行不符合合同的约定，采购人有权扣划全部或相应金额的履约保证金。 </w:t>
      </w:r>
    </w:p>
    <w:p w14:paraId="579D0F80">
      <w:pPr>
        <w:spacing w:line="420" w:lineRule="exact"/>
        <w:ind w:firstLine="420"/>
        <w:rPr>
          <w:rFonts w:hint="default" w:ascii="Arial" w:hAnsi="Arial" w:cs="Arial"/>
          <w:color w:val="auto"/>
          <w:szCs w:val="21"/>
          <w:highlight w:val="none"/>
        </w:rPr>
      </w:pPr>
      <w:r>
        <w:rPr>
          <w:rFonts w:hint="default" w:ascii="Arial" w:hAnsi="Arial" w:cs="Arial"/>
          <w:color w:val="auto"/>
          <w:szCs w:val="21"/>
          <w:highlight w:val="none"/>
        </w:rPr>
        <w:t>履约保证金符合退还条件的，采购人在收到中标供应商提交的履约保证金退付申请之日起</w:t>
      </w:r>
      <w:r>
        <w:rPr>
          <w:rFonts w:hint="default" w:ascii="Arial" w:hAnsi="Arial" w:cs="Arial"/>
          <w:color w:val="auto"/>
          <w:szCs w:val="21"/>
          <w:highlight w:val="none"/>
          <w:u w:val="single"/>
        </w:rPr>
        <w:t>/</w:t>
      </w:r>
      <w:r>
        <w:rPr>
          <w:rFonts w:hint="default" w:ascii="Arial" w:hAnsi="Arial" w:cs="Arial"/>
          <w:color w:val="auto"/>
          <w:szCs w:val="21"/>
          <w:highlight w:val="none"/>
        </w:rPr>
        <w:t>天内退还履约保证金，如未在规定时间内退还的，中标供应商可予以催告，采购人应按中国人民银行发布的同期同类贷款基准利率向中标供应商支付自催告日期起的利息。</w:t>
      </w:r>
    </w:p>
    <w:p w14:paraId="55085F9C">
      <w:pPr>
        <w:spacing w:line="288" w:lineRule="auto"/>
        <w:ind w:firstLine="420" w:firstLineChars="200"/>
        <w:rPr>
          <w:rFonts w:hint="default" w:ascii="Arial" w:hAnsi="Arial" w:cs="Arial"/>
          <w:b/>
          <w:bCs/>
          <w:color w:val="auto"/>
          <w:highlight w:val="none"/>
        </w:rPr>
      </w:pPr>
      <w:r>
        <w:rPr>
          <w:rFonts w:hint="default" w:ascii="Arial" w:hAnsi="Arial" w:cs="Arial"/>
          <w:b/>
          <w:bCs/>
          <w:color w:val="auto"/>
          <w:highlight w:val="none"/>
        </w:rPr>
        <w:t>第十一条　付款方式</w:t>
      </w:r>
    </w:p>
    <w:p w14:paraId="2CB126F0">
      <w:pPr>
        <w:spacing w:line="288" w:lineRule="auto"/>
        <w:ind w:firstLine="420" w:firstLineChars="200"/>
        <w:rPr>
          <w:rFonts w:hint="default" w:ascii="Arial" w:hAnsi="Arial" w:cs="Arial"/>
          <w:color w:val="auto"/>
          <w:highlight w:val="none"/>
          <w:lang w:val="en-US" w:eastAsia="zh-CN"/>
        </w:rPr>
      </w:pPr>
      <w:r>
        <w:rPr>
          <w:rFonts w:hint="eastAsia" w:ascii="Arial" w:hAnsi="Arial" w:cs="Arial"/>
          <w:color w:val="auto"/>
          <w:kern w:val="0"/>
          <w:szCs w:val="21"/>
          <w:highlight w:val="none"/>
          <w:u w:val="single"/>
          <w:lang w:val="en-US" w:eastAsia="zh-CN"/>
        </w:rPr>
        <w:t xml:space="preserve">                  </w:t>
      </w:r>
    </w:p>
    <w:p w14:paraId="6B8F0A68">
      <w:pPr>
        <w:spacing w:line="288" w:lineRule="auto"/>
        <w:ind w:firstLine="411" w:firstLineChars="196"/>
        <w:rPr>
          <w:rFonts w:hint="default" w:ascii="Arial" w:hAnsi="Arial" w:cs="Arial"/>
          <w:b/>
          <w:bCs/>
          <w:color w:val="auto"/>
          <w:highlight w:val="none"/>
        </w:rPr>
      </w:pPr>
      <w:r>
        <w:rPr>
          <w:rFonts w:hint="default" w:ascii="Arial" w:hAnsi="Arial" w:cs="Arial"/>
          <w:b/>
          <w:bCs/>
          <w:color w:val="auto"/>
          <w:highlight w:val="none"/>
        </w:rPr>
        <w:t>第十二条  违约责任</w:t>
      </w:r>
    </w:p>
    <w:p w14:paraId="370FF418">
      <w:pPr>
        <w:spacing w:line="288" w:lineRule="auto"/>
        <w:ind w:firstLine="420" w:firstLineChars="200"/>
        <w:rPr>
          <w:rFonts w:hint="default" w:ascii="Arial" w:hAnsi="Arial" w:cs="Arial"/>
          <w:color w:val="auto"/>
          <w:highlight w:val="none"/>
        </w:rPr>
      </w:pPr>
      <w:r>
        <w:rPr>
          <w:rFonts w:hint="default" w:ascii="Arial" w:hAnsi="Arial" w:cs="Arial"/>
          <w:color w:val="auto"/>
          <w:highlight w:val="none"/>
        </w:rPr>
        <w:t>1. 乙方所提供的货物规格、技术标准、材料等质量不合格的，应及时更换，更换不及时的按逾期交货处罚，乙方所提供的货物规格、技术标准、材料等质量不合格的，应及时更换</w:t>
      </w:r>
      <w:r>
        <w:rPr>
          <w:rFonts w:hint="default" w:ascii="Arial" w:hAnsi="Arial" w:cs="Arial"/>
          <w:color w:val="auto"/>
          <w:highlight w:val="none"/>
          <w:lang w:val="en-US" w:eastAsia="zh-CN"/>
        </w:rPr>
        <w:t>而</w:t>
      </w:r>
      <w:r>
        <w:rPr>
          <w:rFonts w:hint="default" w:ascii="Arial" w:hAnsi="Arial" w:cs="Arial"/>
          <w:color w:val="auto"/>
          <w:highlight w:val="none"/>
        </w:rPr>
        <w:t>更换不及时的</w:t>
      </w:r>
      <w:r>
        <w:rPr>
          <w:rFonts w:hint="default" w:ascii="Arial" w:hAnsi="Arial" w:cs="Arial"/>
          <w:color w:val="auto"/>
          <w:highlight w:val="none"/>
          <w:lang w:val="en-US" w:eastAsia="zh-CN"/>
        </w:rPr>
        <w:t>或者未按本合同履行义务的其他违约行为</w:t>
      </w:r>
      <w:r>
        <w:rPr>
          <w:rFonts w:hint="default" w:ascii="Arial" w:hAnsi="Arial" w:cs="Arial"/>
          <w:color w:val="auto"/>
          <w:highlight w:val="none"/>
        </w:rPr>
        <w:t>，乙方应向甲方支付合同金额</w:t>
      </w:r>
      <w:r>
        <w:rPr>
          <w:rFonts w:hint="default" w:ascii="Arial" w:hAnsi="Arial" w:cs="Arial"/>
          <w:color w:val="auto"/>
          <w:highlight w:val="none"/>
          <w:u w:val="single"/>
          <w:lang w:val="en-US" w:eastAsia="zh-CN"/>
        </w:rPr>
        <w:t>2</w:t>
      </w:r>
      <w:r>
        <w:rPr>
          <w:rFonts w:hint="default" w:ascii="Arial" w:hAnsi="Arial" w:cs="Arial"/>
          <w:color w:val="auto"/>
          <w:highlight w:val="none"/>
          <w:u w:val="single"/>
        </w:rPr>
        <w:t>0</w:t>
      </w:r>
      <w:r>
        <w:rPr>
          <w:rFonts w:hint="default" w:ascii="Arial" w:hAnsi="Arial" w:cs="Arial"/>
          <w:color w:val="auto"/>
          <w:highlight w:val="none"/>
        </w:rPr>
        <w:t>%违约金</w:t>
      </w:r>
      <w:r>
        <w:rPr>
          <w:rFonts w:hint="default" w:ascii="Arial" w:hAnsi="Arial" w:cs="Arial"/>
          <w:color w:val="auto"/>
          <w:highlight w:val="none"/>
          <w:lang w:val="en-US" w:eastAsia="zh-CN"/>
        </w:rPr>
        <w:t>且甲方有权选择解除合同或继续履行</w:t>
      </w:r>
      <w:r>
        <w:rPr>
          <w:rFonts w:hint="default" w:ascii="Arial" w:hAnsi="Arial" w:cs="Arial"/>
          <w:color w:val="auto"/>
          <w:highlight w:val="none"/>
          <w:lang w:eastAsia="zh-CN"/>
        </w:rPr>
        <w:t>。</w:t>
      </w:r>
      <w:r>
        <w:rPr>
          <w:rFonts w:hint="default" w:ascii="Arial" w:hAnsi="Arial" w:cs="Arial"/>
          <w:color w:val="auto"/>
          <w:highlight w:val="none"/>
        </w:rPr>
        <w:t>乙方其他违约行为按违约合同金额</w:t>
      </w:r>
      <w:r>
        <w:rPr>
          <w:rFonts w:hint="default" w:ascii="Arial" w:hAnsi="Arial" w:cs="Arial"/>
          <w:color w:val="auto"/>
          <w:highlight w:val="none"/>
          <w:u w:val="single"/>
        </w:rPr>
        <w:t>10</w:t>
      </w:r>
      <w:r>
        <w:rPr>
          <w:rFonts w:hint="default" w:ascii="Arial" w:hAnsi="Arial" w:cs="Arial"/>
          <w:color w:val="auto"/>
          <w:highlight w:val="none"/>
        </w:rPr>
        <w:t>%支付甲方违约金并按违约合同金额</w:t>
      </w:r>
      <w:r>
        <w:rPr>
          <w:rFonts w:hint="default" w:ascii="Arial" w:hAnsi="Arial" w:cs="Arial"/>
          <w:color w:val="auto"/>
          <w:highlight w:val="none"/>
          <w:u w:val="single"/>
        </w:rPr>
        <w:t>10</w:t>
      </w:r>
      <w:r>
        <w:rPr>
          <w:rFonts w:hint="default" w:ascii="Arial" w:hAnsi="Arial" w:cs="Arial"/>
          <w:color w:val="auto"/>
          <w:highlight w:val="none"/>
        </w:rPr>
        <w:t>%赔偿甲方经济损失。</w:t>
      </w:r>
    </w:p>
    <w:p w14:paraId="5D313F12">
      <w:pPr>
        <w:spacing w:line="288" w:lineRule="auto"/>
        <w:ind w:firstLine="359" w:firstLineChars="171"/>
        <w:rPr>
          <w:rFonts w:hint="default" w:ascii="Arial" w:hAnsi="Arial" w:cs="Arial"/>
          <w:color w:val="auto"/>
          <w:highlight w:val="none"/>
        </w:rPr>
      </w:pPr>
      <w:r>
        <w:rPr>
          <w:rFonts w:hint="default" w:ascii="Arial" w:hAnsi="Arial" w:cs="Arial"/>
          <w:color w:val="auto"/>
          <w:highlight w:val="none"/>
        </w:rPr>
        <w:t>2.乙方提供的货物如果侵犯了第三方合法权益而引发的任何纠纷或诉讼，均由乙方负责交涉并承担全部责任</w:t>
      </w:r>
      <w:r>
        <w:rPr>
          <w:rFonts w:hint="default" w:ascii="Arial" w:hAnsi="Arial" w:cs="Arial"/>
          <w:color w:val="auto"/>
          <w:highlight w:val="none"/>
          <w:lang w:eastAsia="zh-CN"/>
        </w:rPr>
        <w:t>，</w:t>
      </w:r>
      <w:r>
        <w:rPr>
          <w:rFonts w:hint="default" w:ascii="Arial" w:hAnsi="Arial" w:cs="Arial"/>
          <w:color w:val="auto"/>
          <w:highlight w:val="none"/>
          <w:lang w:val="en-US" w:eastAsia="zh-CN"/>
        </w:rPr>
        <w:t>若牵涉到甲方或者甲方因此需要支付的一切损失及费用（包括但不限于诉讼费、律师费、鉴定费、评估费、财产保全责任保险费、差旅等费用）均由乙方承担</w:t>
      </w:r>
      <w:r>
        <w:rPr>
          <w:rFonts w:hint="default" w:ascii="Arial" w:hAnsi="Arial" w:cs="Arial"/>
          <w:highlight w:val="none"/>
          <w:lang w:val="en-US" w:eastAsia="zh-CN"/>
        </w:rPr>
        <w:t>”。</w:t>
      </w:r>
    </w:p>
    <w:p w14:paraId="689D3FDF">
      <w:pPr>
        <w:spacing w:line="288" w:lineRule="auto"/>
        <w:ind w:firstLine="420" w:firstLineChars="200"/>
        <w:rPr>
          <w:rFonts w:hint="default" w:ascii="Arial" w:hAnsi="Arial" w:cs="Arial"/>
          <w:color w:val="auto"/>
          <w:highlight w:val="none"/>
        </w:rPr>
      </w:pPr>
      <w:r>
        <w:rPr>
          <w:rFonts w:hint="default" w:ascii="Arial" w:hAnsi="Arial" w:cs="Arial"/>
          <w:color w:val="auto"/>
          <w:highlight w:val="none"/>
        </w:rPr>
        <w:t>3. 因包装、运输引起的货物损坏，按质量不合格处理。</w:t>
      </w:r>
    </w:p>
    <w:p w14:paraId="00B43CA1">
      <w:pPr>
        <w:pStyle w:val="18"/>
        <w:ind w:firstLine="420" w:firstLineChars="200"/>
        <w:rPr>
          <w:rFonts w:hint="default" w:ascii="Arial" w:hAnsi="Arial" w:cs="Arial"/>
          <w:color w:val="auto"/>
          <w:highlight w:val="none"/>
        </w:rPr>
      </w:pPr>
      <w:r>
        <w:rPr>
          <w:rFonts w:hint="default" w:ascii="Arial" w:hAnsi="Arial" w:cs="Arial"/>
          <w:color w:val="auto"/>
          <w:highlight w:val="none"/>
        </w:rPr>
        <w:t>4. 甲方无故延期接收货物、乙方逾期交货的，每天向对方偿付违约货款额</w:t>
      </w:r>
      <w:r>
        <w:rPr>
          <w:rFonts w:hint="default" w:ascii="Arial" w:hAnsi="Arial" w:cs="Arial"/>
          <w:color w:val="auto"/>
          <w:highlight w:val="none"/>
          <w:u w:val="single"/>
        </w:rPr>
        <w:t>1%</w:t>
      </w:r>
      <w:r>
        <w:rPr>
          <w:rFonts w:hint="default" w:ascii="Arial" w:hAnsi="Arial" w:cs="Arial"/>
          <w:color w:val="auto"/>
          <w:highlight w:val="none"/>
        </w:rPr>
        <w:t>违约金，但违约金累计不得超过违约合同金额</w:t>
      </w:r>
      <w:r>
        <w:rPr>
          <w:rFonts w:hint="default" w:ascii="Arial" w:hAnsi="Arial" w:cs="Arial"/>
          <w:color w:val="auto"/>
          <w:highlight w:val="none"/>
          <w:u w:val="single"/>
        </w:rPr>
        <w:t>10%</w:t>
      </w:r>
      <w:r>
        <w:rPr>
          <w:rFonts w:hint="default" w:ascii="Arial" w:hAnsi="Arial" w:cs="Arial"/>
          <w:color w:val="auto"/>
          <w:highlight w:val="none"/>
        </w:rPr>
        <w:t>，超过</w:t>
      </w:r>
      <w:r>
        <w:rPr>
          <w:rFonts w:hint="default" w:ascii="Arial" w:hAnsi="Arial" w:cs="Arial"/>
          <w:color w:val="auto"/>
          <w:highlight w:val="none"/>
          <w:u w:val="single"/>
        </w:rPr>
        <w:t xml:space="preserve"> 7天</w:t>
      </w:r>
      <w:r>
        <w:rPr>
          <w:rFonts w:hint="default" w:ascii="Arial" w:hAnsi="Arial" w:cs="Arial"/>
          <w:color w:val="auto"/>
          <w:highlight w:val="none"/>
        </w:rPr>
        <w:t>对方有权解除合同，违约方承担因此给对方造成经济损失按本合同合同金额</w:t>
      </w:r>
      <w:r>
        <w:rPr>
          <w:rFonts w:hint="default" w:ascii="Arial" w:hAnsi="Arial" w:cs="Arial"/>
          <w:color w:val="auto"/>
          <w:highlight w:val="none"/>
          <w:u w:val="single"/>
        </w:rPr>
        <w:t>10</w:t>
      </w:r>
      <w:r>
        <w:rPr>
          <w:rFonts w:hint="default" w:ascii="Arial" w:hAnsi="Arial" w:cs="Arial"/>
          <w:color w:val="auto"/>
          <w:highlight w:val="none"/>
        </w:rPr>
        <w:t>%赔偿。</w:t>
      </w:r>
    </w:p>
    <w:p w14:paraId="6C26DACE">
      <w:pPr>
        <w:spacing w:line="288" w:lineRule="auto"/>
        <w:ind w:firstLine="420" w:firstLineChars="200"/>
        <w:rPr>
          <w:rFonts w:hint="default" w:ascii="Arial" w:hAnsi="Arial" w:cs="Arial"/>
          <w:color w:val="auto"/>
          <w:highlight w:val="none"/>
        </w:rPr>
      </w:pPr>
      <w:r>
        <w:rPr>
          <w:rFonts w:hint="default" w:ascii="Arial" w:hAnsi="Arial" w:cs="Arial"/>
          <w:color w:val="auto"/>
          <w:highlight w:val="none"/>
        </w:rPr>
        <w:t>5. 乙方未按本合同和投标文件中规定的服务承诺提供售后服务的，乙方应按本合同合同金额</w:t>
      </w:r>
      <w:r>
        <w:rPr>
          <w:rFonts w:hint="default" w:ascii="Arial" w:hAnsi="Arial" w:cs="Arial"/>
          <w:color w:val="auto"/>
          <w:highlight w:val="none"/>
          <w:lang w:val="en-US" w:eastAsia="zh-CN"/>
        </w:rPr>
        <w:t>2</w:t>
      </w:r>
      <w:r>
        <w:rPr>
          <w:rFonts w:hint="default" w:ascii="Arial" w:hAnsi="Arial" w:cs="Arial"/>
          <w:color w:val="auto"/>
          <w:highlight w:val="none"/>
          <w:u w:val="single"/>
          <w:lang w:val="en-US" w:eastAsia="zh-CN"/>
        </w:rPr>
        <w:t>0</w:t>
      </w:r>
      <w:r>
        <w:rPr>
          <w:rFonts w:hint="default" w:ascii="Arial" w:hAnsi="Arial" w:cs="Arial"/>
          <w:color w:val="auto"/>
          <w:highlight w:val="none"/>
        </w:rPr>
        <w:t>%向甲方支付违约金。</w:t>
      </w:r>
    </w:p>
    <w:p w14:paraId="57A83CA0">
      <w:pPr>
        <w:pStyle w:val="18"/>
        <w:ind w:firstLine="420" w:firstLineChars="200"/>
        <w:rPr>
          <w:rFonts w:hint="default" w:ascii="Arial" w:hAnsi="Arial" w:cs="Arial"/>
          <w:highlight w:val="none"/>
        </w:rPr>
      </w:pPr>
      <w:r>
        <w:rPr>
          <w:rFonts w:hint="default" w:ascii="Arial" w:hAnsi="Arial" w:cs="Arial"/>
          <w:color w:val="auto"/>
          <w:highlight w:val="none"/>
        </w:rPr>
        <w:t>6. 乙方提供的货物在质保期内，因设计、工艺或材料的缺陷和其他质量原因造成的问题，由乙方负责按本合同金额的5%向甲方支付赔偿金，</w:t>
      </w:r>
      <w:r>
        <w:rPr>
          <w:rFonts w:hint="default" w:ascii="Arial" w:hAnsi="Arial" w:cs="Arial"/>
          <w:color w:val="auto"/>
          <w:highlight w:val="none"/>
          <w:lang w:val="en-US" w:eastAsia="zh-CN"/>
        </w:rPr>
        <w:t>且</w:t>
      </w:r>
      <w:r>
        <w:rPr>
          <w:rFonts w:hint="default" w:ascii="Arial" w:hAnsi="Arial" w:cs="Arial"/>
          <w:color w:val="auto"/>
          <w:highlight w:val="none"/>
        </w:rPr>
        <w:t>乙方须在3个工作日内补齐</w:t>
      </w:r>
      <w:r>
        <w:rPr>
          <w:rFonts w:hint="default" w:ascii="Arial" w:hAnsi="Arial" w:cs="Arial"/>
          <w:color w:val="auto"/>
          <w:highlight w:val="none"/>
          <w:lang w:val="en-US" w:eastAsia="zh-CN"/>
        </w:rPr>
        <w:t>或解决问题”</w:t>
      </w:r>
      <w:r>
        <w:rPr>
          <w:rFonts w:hint="default" w:ascii="Arial" w:hAnsi="Arial" w:cs="Arial"/>
          <w:color w:val="auto"/>
          <w:highlight w:val="none"/>
        </w:rPr>
        <w:t>。</w:t>
      </w:r>
    </w:p>
    <w:p w14:paraId="27510408">
      <w:pPr>
        <w:spacing w:line="288" w:lineRule="auto"/>
        <w:ind w:firstLine="411" w:firstLineChars="196"/>
        <w:rPr>
          <w:rFonts w:hint="default" w:ascii="Arial" w:hAnsi="Arial" w:cs="Arial"/>
          <w:b/>
          <w:bCs/>
          <w:color w:val="auto"/>
          <w:highlight w:val="none"/>
        </w:rPr>
      </w:pPr>
      <w:r>
        <w:rPr>
          <w:rFonts w:hint="default" w:ascii="Arial" w:hAnsi="Arial" w:cs="Arial"/>
          <w:b/>
          <w:bCs/>
          <w:color w:val="auto"/>
          <w:highlight w:val="none"/>
        </w:rPr>
        <w:t>第十三条  不可抗力事件处理</w:t>
      </w:r>
    </w:p>
    <w:p w14:paraId="5C7D0FDE">
      <w:pPr>
        <w:spacing w:line="288" w:lineRule="auto"/>
        <w:ind w:firstLine="420" w:firstLineChars="200"/>
        <w:rPr>
          <w:rFonts w:hint="default" w:ascii="Arial" w:hAnsi="Arial" w:cs="Arial"/>
          <w:color w:val="auto"/>
          <w:highlight w:val="none"/>
        </w:rPr>
      </w:pPr>
      <w:r>
        <w:rPr>
          <w:rFonts w:hint="default" w:ascii="Arial" w:hAnsi="Arial" w:cs="Arial"/>
          <w:color w:val="auto"/>
          <w:highlight w:val="none"/>
        </w:rPr>
        <w:t>1.在合同有效期内，乙方因不可抗力事件导致不能履行合同，则合同履行期可延长，其延长期与不可抗力影响期相同。</w:t>
      </w:r>
    </w:p>
    <w:p w14:paraId="5544A40E">
      <w:pPr>
        <w:spacing w:line="288" w:lineRule="auto"/>
        <w:ind w:left="420"/>
        <w:rPr>
          <w:rFonts w:hint="default" w:ascii="Arial" w:hAnsi="Arial" w:cs="Arial"/>
          <w:color w:val="auto"/>
          <w:highlight w:val="none"/>
        </w:rPr>
      </w:pPr>
      <w:r>
        <w:rPr>
          <w:rFonts w:hint="default" w:ascii="Arial" w:hAnsi="Arial" w:cs="Arial"/>
          <w:color w:val="auto"/>
          <w:highlight w:val="none"/>
        </w:rPr>
        <w:t>2.不可抗力事件发生后，应立即通知对方，并寄送有关权威机构出具的证明。</w:t>
      </w:r>
    </w:p>
    <w:p w14:paraId="11323B47">
      <w:pPr>
        <w:spacing w:line="288" w:lineRule="auto"/>
        <w:ind w:left="420"/>
        <w:rPr>
          <w:rFonts w:hint="default" w:ascii="Arial" w:hAnsi="Arial" w:cs="Arial"/>
          <w:color w:val="auto"/>
          <w:highlight w:val="none"/>
        </w:rPr>
      </w:pPr>
      <w:r>
        <w:rPr>
          <w:rFonts w:hint="default" w:ascii="Arial" w:hAnsi="Arial" w:cs="Arial"/>
          <w:color w:val="auto"/>
          <w:highlight w:val="none"/>
        </w:rPr>
        <w:t>3.不可抗力事件延续一百二十天以上，双方应通过友好协商，确定是否继续履行合同。</w:t>
      </w:r>
    </w:p>
    <w:p w14:paraId="18E3F605">
      <w:pPr>
        <w:spacing w:line="288" w:lineRule="auto"/>
        <w:ind w:firstLine="411" w:firstLineChars="196"/>
        <w:rPr>
          <w:rFonts w:hint="default" w:ascii="Arial" w:hAnsi="Arial" w:cs="Arial"/>
          <w:b/>
          <w:bCs/>
          <w:color w:val="auto"/>
          <w:highlight w:val="none"/>
        </w:rPr>
      </w:pPr>
      <w:r>
        <w:rPr>
          <w:rFonts w:hint="default" w:ascii="Arial" w:hAnsi="Arial" w:cs="Arial"/>
          <w:b/>
          <w:bCs/>
          <w:color w:val="auto"/>
          <w:highlight w:val="none"/>
        </w:rPr>
        <w:t>第十四条  合同争议解决</w:t>
      </w:r>
    </w:p>
    <w:p w14:paraId="3727E020">
      <w:pPr>
        <w:spacing w:line="288" w:lineRule="auto"/>
        <w:ind w:firstLine="420" w:firstLineChars="200"/>
        <w:rPr>
          <w:rFonts w:hint="default" w:ascii="Arial" w:hAnsi="Arial" w:cs="Arial"/>
          <w:color w:val="auto"/>
          <w:highlight w:val="none"/>
        </w:rPr>
      </w:pPr>
      <w:r>
        <w:rPr>
          <w:rFonts w:hint="default" w:ascii="Arial" w:hAnsi="Arial" w:cs="Arial"/>
          <w:color w:val="auto"/>
          <w:highlight w:val="none"/>
        </w:rPr>
        <w:t>1.因货物质量问题发生争议的，应邀请国家认可的质量检测机构对货物质量进行鉴定。货物符合标准的，鉴定费由甲方承担；货物不符合标准的，鉴定费由乙方承担。</w:t>
      </w:r>
    </w:p>
    <w:p w14:paraId="63C66F2A">
      <w:pPr>
        <w:spacing w:line="288" w:lineRule="auto"/>
        <w:ind w:firstLine="420" w:firstLineChars="200"/>
        <w:rPr>
          <w:rFonts w:hint="default" w:ascii="Arial" w:hAnsi="Arial" w:cs="Arial"/>
          <w:color w:val="auto"/>
          <w:highlight w:val="none"/>
        </w:rPr>
      </w:pPr>
      <w:r>
        <w:rPr>
          <w:rFonts w:hint="default" w:ascii="Arial" w:hAnsi="Arial" w:cs="Arial"/>
          <w:color w:val="auto"/>
          <w:highlight w:val="none"/>
        </w:rPr>
        <w:t>2.因履行本合同引起的或与本合同有关的争议，甲乙双方应首先通过友好协商解决，如果协商不能解决，向甲方所在地人民法院提起诉讼。</w:t>
      </w:r>
    </w:p>
    <w:p w14:paraId="6ECC5302">
      <w:pPr>
        <w:spacing w:line="288" w:lineRule="auto"/>
        <w:ind w:left="435"/>
        <w:rPr>
          <w:rFonts w:hint="default" w:ascii="Arial" w:hAnsi="Arial" w:cs="Arial"/>
          <w:color w:val="auto"/>
          <w:highlight w:val="none"/>
        </w:rPr>
      </w:pPr>
      <w:r>
        <w:rPr>
          <w:rFonts w:hint="default" w:ascii="Arial" w:hAnsi="Arial" w:cs="Arial"/>
          <w:color w:val="auto"/>
          <w:highlight w:val="none"/>
        </w:rPr>
        <w:t>3.诉讼期间，本合同继续履行。</w:t>
      </w:r>
    </w:p>
    <w:p w14:paraId="16AAA5A7">
      <w:pPr>
        <w:spacing w:line="288" w:lineRule="auto"/>
        <w:ind w:firstLine="411" w:firstLineChars="196"/>
        <w:rPr>
          <w:rFonts w:hint="default" w:ascii="Arial" w:hAnsi="Arial" w:cs="Arial"/>
          <w:b/>
          <w:bCs/>
          <w:color w:val="auto"/>
          <w:highlight w:val="none"/>
        </w:rPr>
      </w:pPr>
      <w:r>
        <w:rPr>
          <w:rFonts w:hint="default" w:ascii="Arial" w:hAnsi="Arial" w:cs="Arial"/>
          <w:b/>
          <w:bCs/>
          <w:color w:val="auto"/>
          <w:highlight w:val="none"/>
        </w:rPr>
        <w:t>第十五条  合同生效及其它</w:t>
      </w:r>
    </w:p>
    <w:p w14:paraId="34E61F14">
      <w:pPr>
        <w:spacing w:line="288" w:lineRule="auto"/>
        <w:ind w:firstLine="411" w:firstLineChars="196"/>
        <w:rPr>
          <w:rFonts w:hint="default" w:ascii="Arial" w:hAnsi="Arial" w:cs="Arial"/>
          <w:color w:val="auto"/>
          <w:highlight w:val="none"/>
        </w:rPr>
      </w:pPr>
      <w:r>
        <w:rPr>
          <w:rFonts w:hint="default" w:ascii="Arial" w:hAnsi="Arial" w:cs="Arial"/>
          <w:color w:val="auto"/>
          <w:highlight w:val="none"/>
        </w:rPr>
        <w:t>1．本合同履行期限为：</w:t>
      </w:r>
      <w:r>
        <w:rPr>
          <w:rFonts w:hint="default" w:ascii="Arial" w:hAnsi="Arial" w:cs="Arial"/>
          <w:color w:val="auto"/>
          <w:highlight w:val="none"/>
          <w:u w:val="single"/>
          <w:lang w:val="en-US" w:eastAsia="zh-CN"/>
        </w:rPr>
        <w:t xml:space="preserve">             </w:t>
      </w:r>
      <w:r>
        <w:rPr>
          <w:rFonts w:hint="default" w:ascii="Arial" w:hAnsi="Arial" w:cs="Arial"/>
          <w:color w:val="auto"/>
          <w:highlight w:val="none"/>
          <w:lang w:val="en-US" w:eastAsia="zh-CN"/>
        </w:rPr>
        <w:t xml:space="preserve"> </w:t>
      </w:r>
      <w:r>
        <w:rPr>
          <w:rFonts w:hint="default" w:ascii="Arial" w:hAnsi="Arial" w:cs="Arial"/>
          <w:color w:val="auto"/>
          <w:highlight w:val="none"/>
        </w:rPr>
        <w:t>；合同履行地点为：</w:t>
      </w:r>
      <w:r>
        <w:rPr>
          <w:rFonts w:hint="default" w:ascii="Arial" w:hAnsi="Arial" w:cs="Arial"/>
          <w:color w:val="auto"/>
          <w:highlight w:val="none"/>
          <w:u w:val="single"/>
          <w:lang w:val="en-US" w:eastAsia="zh-CN"/>
        </w:rPr>
        <w:t xml:space="preserve">           </w:t>
      </w:r>
      <w:r>
        <w:rPr>
          <w:rFonts w:hint="default" w:ascii="Arial" w:hAnsi="Arial" w:cs="Arial"/>
          <w:color w:val="auto"/>
          <w:highlight w:val="none"/>
          <w:lang w:val="en-US" w:eastAsia="zh-CN"/>
        </w:rPr>
        <w:t xml:space="preserve"> </w:t>
      </w:r>
      <w:r>
        <w:rPr>
          <w:rFonts w:hint="default" w:ascii="Arial" w:hAnsi="Arial" w:cs="Arial"/>
          <w:color w:val="auto"/>
          <w:highlight w:val="none"/>
        </w:rPr>
        <w:t>；合同履行的方式：</w:t>
      </w:r>
      <w:r>
        <w:rPr>
          <w:rFonts w:hint="default" w:ascii="Arial" w:hAnsi="Arial" w:cs="Arial"/>
          <w:color w:val="auto"/>
          <w:highlight w:val="none"/>
          <w:u w:val="single"/>
        </w:rPr>
        <w:t xml:space="preserve"> 按照本合同约定  </w:t>
      </w:r>
      <w:r>
        <w:rPr>
          <w:rFonts w:hint="default" w:ascii="Arial" w:hAnsi="Arial" w:cs="Arial"/>
          <w:color w:val="auto"/>
          <w:highlight w:val="none"/>
        </w:rPr>
        <w:t>。</w:t>
      </w:r>
    </w:p>
    <w:p w14:paraId="1DDCCFA7">
      <w:pPr>
        <w:spacing w:line="288" w:lineRule="auto"/>
        <w:ind w:firstLine="420" w:firstLineChars="200"/>
        <w:rPr>
          <w:rFonts w:hint="default" w:ascii="Arial" w:hAnsi="Arial" w:cs="Arial"/>
          <w:color w:val="auto"/>
          <w:highlight w:val="none"/>
        </w:rPr>
      </w:pPr>
      <w:r>
        <w:rPr>
          <w:rFonts w:hint="default" w:ascii="Arial" w:hAnsi="Arial" w:cs="Arial"/>
          <w:color w:val="auto"/>
          <w:highlight w:val="none"/>
        </w:rPr>
        <w:t>2.合同经甲乙双方法定代表人、负责人、自然人或相应的授权代表签字并加盖投标人公章后生效。</w:t>
      </w:r>
    </w:p>
    <w:p w14:paraId="0A8A73FE">
      <w:pPr>
        <w:spacing w:line="288" w:lineRule="auto"/>
        <w:ind w:firstLine="420" w:firstLineChars="200"/>
        <w:rPr>
          <w:rFonts w:hint="default" w:ascii="Arial" w:hAnsi="Arial" w:cs="Arial"/>
          <w:color w:val="auto"/>
          <w:highlight w:val="none"/>
        </w:rPr>
      </w:pPr>
      <w:r>
        <w:rPr>
          <w:rFonts w:hint="default" w:ascii="Arial" w:hAnsi="Arial" w:cs="Arial"/>
          <w:color w:val="auto"/>
          <w:highlight w:val="none"/>
        </w:rPr>
        <w:t>3.合同执行中涉及采购资金和采购内容修改或补充的，需经</w:t>
      </w:r>
      <w:r>
        <w:rPr>
          <w:rFonts w:hint="eastAsia" w:ascii="Arial" w:hAnsi="Arial" w:cs="Arial"/>
          <w:color w:val="auto"/>
          <w:highlight w:val="none"/>
          <w:lang w:eastAsia="zh-CN"/>
        </w:rPr>
        <w:t>桂林市政府采购监督管理科</w:t>
      </w:r>
      <w:r>
        <w:rPr>
          <w:rFonts w:hint="default" w:ascii="Arial" w:hAnsi="Arial" w:cs="Arial"/>
          <w:color w:val="auto"/>
          <w:highlight w:val="none"/>
        </w:rPr>
        <w:t>审批，并签订书面补充协议报</w:t>
      </w:r>
      <w:r>
        <w:rPr>
          <w:rFonts w:hint="eastAsia" w:ascii="Arial" w:hAnsi="Arial" w:cs="Arial"/>
          <w:color w:val="auto"/>
          <w:highlight w:val="none"/>
          <w:lang w:eastAsia="zh-CN"/>
        </w:rPr>
        <w:t>桂林市政府采购监督管理科</w:t>
      </w:r>
      <w:r>
        <w:rPr>
          <w:rFonts w:hint="default" w:ascii="Arial" w:hAnsi="Arial" w:cs="Arial"/>
          <w:color w:val="auto"/>
          <w:highlight w:val="none"/>
        </w:rPr>
        <w:t>备案，方可作为主合同不可分割的一部分。</w:t>
      </w:r>
    </w:p>
    <w:p w14:paraId="20E1B547">
      <w:pPr>
        <w:spacing w:line="288" w:lineRule="auto"/>
        <w:ind w:left="435"/>
        <w:rPr>
          <w:rFonts w:hint="default" w:ascii="Arial" w:hAnsi="Arial" w:cs="Arial"/>
          <w:color w:val="auto"/>
          <w:highlight w:val="none"/>
        </w:rPr>
      </w:pPr>
      <w:r>
        <w:rPr>
          <w:rFonts w:hint="default" w:ascii="Arial" w:hAnsi="Arial" w:cs="Arial"/>
          <w:color w:val="auto"/>
          <w:highlight w:val="none"/>
        </w:rPr>
        <w:t>4.本合同未尽事宜，遵照《民法典》有关条文执行。</w:t>
      </w:r>
    </w:p>
    <w:p w14:paraId="052C4F5F">
      <w:pPr>
        <w:spacing w:line="288" w:lineRule="auto"/>
        <w:ind w:firstLine="411" w:firstLineChars="196"/>
        <w:rPr>
          <w:rFonts w:hint="default" w:ascii="Arial" w:hAnsi="Arial" w:cs="Arial"/>
          <w:b/>
          <w:bCs/>
          <w:color w:val="auto"/>
          <w:highlight w:val="none"/>
        </w:rPr>
      </w:pPr>
      <w:r>
        <w:rPr>
          <w:rFonts w:hint="default" w:ascii="Arial" w:hAnsi="Arial" w:cs="Arial"/>
          <w:b/>
          <w:bCs/>
          <w:color w:val="auto"/>
          <w:highlight w:val="none"/>
        </w:rPr>
        <w:t>第十六条  合同的变更、终止与转让</w:t>
      </w:r>
    </w:p>
    <w:p w14:paraId="5F4EBE2C">
      <w:pPr>
        <w:spacing w:line="288" w:lineRule="auto"/>
        <w:ind w:firstLine="420" w:firstLineChars="200"/>
        <w:rPr>
          <w:rFonts w:hint="default" w:ascii="Arial" w:hAnsi="Arial" w:cs="Arial"/>
          <w:color w:val="auto"/>
          <w:highlight w:val="none"/>
        </w:rPr>
      </w:pPr>
      <w:r>
        <w:rPr>
          <w:rFonts w:hint="default" w:ascii="Arial" w:hAnsi="Arial" w:cs="Arial"/>
          <w:color w:val="auto"/>
          <w:highlight w:val="none"/>
        </w:rPr>
        <w:t>1.除《中华人民共和国政府采购法》第五十条规定的情形外，本合同一经签订，甲乙双方不得擅自变更，中止或终止。</w:t>
      </w:r>
    </w:p>
    <w:p w14:paraId="210591EE">
      <w:pPr>
        <w:spacing w:line="288" w:lineRule="auto"/>
        <w:ind w:left="420"/>
        <w:rPr>
          <w:rFonts w:hint="default" w:ascii="Arial" w:hAnsi="Arial" w:cs="Arial"/>
          <w:color w:val="auto"/>
          <w:highlight w:val="none"/>
        </w:rPr>
      </w:pPr>
      <w:r>
        <w:rPr>
          <w:rFonts w:hint="default" w:ascii="Arial" w:hAnsi="Arial" w:cs="Arial"/>
          <w:color w:val="auto"/>
          <w:highlight w:val="none"/>
        </w:rPr>
        <w:t>2.乙方不得擅自转让（无进口资格的供应商委托进口货物除外）其应履行的合同义务。</w:t>
      </w:r>
    </w:p>
    <w:p w14:paraId="460CEFD2">
      <w:pPr>
        <w:spacing w:line="288" w:lineRule="auto"/>
        <w:ind w:firstLine="420" w:firstLineChars="200"/>
        <w:rPr>
          <w:rFonts w:hint="default" w:ascii="Arial" w:hAnsi="Arial" w:cs="Arial"/>
          <w:b/>
          <w:bCs/>
          <w:color w:val="auto"/>
          <w:highlight w:val="none"/>
        </w:rPr>
      </w:pPr>
      <w:r>
        <w:rPr>
          <w:rFonts w:hint="default" w:ascii="Arial" w:hAnsi="Arial" w:cs="Arial"/>
          <w:b/>
          <w:bCs/>
          <w:color w:val="auto"/>
          <w:highlight w:val="none"/>
        </w:rPr>
        <w:t>第十七条  签订本合同依据：</w:t>
      </w:r>
    </w:p>
    <w:p w14:paraId="3150891D">
      <w:pPr>
        <w:spacing w:line="288" w:lineRule="auto"/>
        <w:ind w:left="420"/>
        <w:rPr>
          <w:rFonts w:hint="default" w:ascii="Arial" w:hAnsi="Arial" w:cs="Arial"/>
          <w:color w:val="auto"/>
          <w:highlight w:val="none"/>
        </w:rPr>
      </w:pPr>
      <w:r>
        <w:rPr>
          <w:rFonts w:hint="default" w:ascii="Arial" w:hAnsi="Arial" w:cs="Arial"/>
          <w:color w:val="auto"/>
          <w:highlight w:val="none"/>
        </w:rPr>
        <w:t>1.招标文件；</w:t>
      </w:r>
    </w:p>
    <w:p w14:paraId="3DC75AC1">
      <w:pPr>
        <w:spacing w:line="288" w:lineRule="auto"/>
        <w:ind w:left="420"/>
        <w:rPr>
          <w:rFonts w:hint="default" w:ascii="Arial" w:hAnsi="Arial" w:cs="Arial"/>
          <w:color w:val="auto"/>
          <w:highlight w:val="none"/>
        </w:rPr>
      </w:pPr>
      <w:r>
        <w:rPr>
          <w:rFonts w:hint="default" w:ascii="Arial" w:hAnsi="Arial" w:cs="Arial"/>
          <w:color w:val="auto"/>
          <w:highlight w:val="none"/>
        </w:rPr>
        <w:t>2.乙方提供的投标（或应答）文件；</w:t>
      </w:r>
    </w:p>
    <w:p w14:paraId="19AB21E7">
      <w:pPr>
        <w:spacing w:line="288" w:lineRule="auto"/>
        <w:ind w:left="420"/>
        <w:rPr>
          <w:rFonts w:hint="default" w:ascii="Arial" w:hAnsi="Arial" w:cs="Arial"/>
          <w:color w:val="auto"/>
          <w:highlight w:val="none"/>
        </w:rPr>
      </w:pPr>
      <w:r>
        <w:rPr>
          <w:rFonts w:hint="default" w:ascii="Arial" w:hAnsi="Arial" w:cs="Arial"/>
          <w:color w:val="auto"/>
          <w:highlight w:val="none"/>
        </w:rPr>
        <w:t>3.投标报价明细表；</w:t>
      </w:r>
    </w:p>
    <w:p w14:paraId="429C8275">
      <w:pPr>
        <w:spacing w:line="288" w:lineRule="auto"/>
        <w:ind w:left="420"/>
        <w:rPr>
          <w:rFonts w:hint="default" w:ascii="Arial" w:hAnsi="Arial" w:cs="Arial"/>
          <w:color w:val="auto"/>
          <w:highlight w:val="none"/>
        </w:rPr>
      </w:pPr>
      <w:r>
        <w:rPr>
          <w:rFonts w:hint="default" w:ascii="Arial" w:hAnsi="Arial" w:cs="Arial"/>
          <w:color w:val="auto"/>
          <w:highlight w:val="none"/>
        </w:rPr>
        <w:t>4.技术规格、商务要求偏离表；</w:t>
      </w:r>
    </w:p>
    <w:p w14:paraId="40FF287A">
      <w:pPr>
        <w:spacing w:line="288" w:lineRule="auto"/>
        <w:ind w:left="420"/>
        <w:rPr>
          <w:rFonts w:hint="default" w:ascii="Arial" w:hAnsi="Arial" w:cs="Arial"/>
          <w:color w:val="auto"/>
          <w:highlight w:val="none"/>
        </w:rPr>
      </w:pPr>
      <w:r>
        <w:rPr>
          <w:rFonts w:hint="default" w:ascii="Arial" w:hAnsi="Arial" w:cs="Arial"/>
          <w:color w:val="auto"/>
          <w:highlight w:val="none"/>
        </w:rPr>
        <w:t>5.售后服务承诺书；</w:t>
      </w:r>
    </w:p>
    <w:p w14:paraId="6E2BD911">
      <w:pPr>
        <w:spacing w:line="288" w:lineRule="auto"/>
        <w:ind w:left="420"/>
        <w:rPr>
          <w:rFonts w:hint="default" w:ascii="Arial" w:hAnsi="Arial" w:cs="Arial"/>
          <w:color w:val="auto"/>
          <w:highlight w:val="none"/>
        </w:rPr>
      </w:pPr>
      <w:r>
        <w:rPr>
          <w:rFonts w:hint="default" w:ascii="Arial" w:hAnsi="Arial" w:cs="Arial"/>
          <w:color w:val="auto"/>
          <w:highlight w:val="none"/>
        </w:rPr>
        <w:t>6.中标通知书。</w:t>
      </w:r>
    </w:p>
    <w:p w14:paraId="3AE82F85">
      <w:pPr>
        <w:spacing w:line="276" w:lineRule="auto"/>
        <w:ind w:firstLine="420" w:firstLineChars="200"/>
        <w:rPr>
          <w:rFonts w:hint="default" w:ascii="Arial" w:hAnsi="Arial" w:cs="Arial"/>
          <w:color w:val="auto"/>
          <w:highlight w:val="none"/>
        </w:rPr>
      </w:pPr>
      <w:r>
        <w:rPr>
          <w:rFonts w:hint="default" w:ascii="Arial" w:hAnsi="Arial" w:cs="Arial"/>
          <w:color w:val="auto"/>
          <w:szCs w:val="21"/>
          <w:highlight w:val="none"/>
        </w:rPr>
        <w:t>本合同甲乙双方签字盖章后生效，一式四份，具有同等法律效力，甲、乙双方各一份。</w:t>
      </w:r>
      <w:r>
        <w:rPr>
          <w:rFonts w:hint="default" w:ascii="Arial" w:hAnsi="Arial" w:cs="Arial"/>
          <w:color w:val="auto"/>
          <w:highlight w:val="none"/>
        </w:rPr>
        <w:t>政府采购合同双方自签订之日起1个工作日内将合同原件两份交采购代理机构。</w:t>
      </w:r>
    </w:p>
    <w:p w14:paraId="449B87D6">
      <w:pPr>
        <w:spacing w:line="276" w:lineRule="auto"/>
        <w:ind w:firstLine="420" w:firstLineChars="200"/>
        <w:rPr>
          <w:rFonts w:hint="default" w:ascii="Arial" w:hAnsi="Arial" w:cs="Arial"/>
          <w:color w:val="auto"/>
          <w:highlight w:val="none"/>
        </w:rPr>
      </w:pPr>
    </w:p>
    <w:p w14:paraId="4E9A9391">
      <w:pPr>
        <w:spacing w:line="276" w:lineRule="auto"/>
        <w:rPr>
          <w:rFonts w:hint="default" w:ascii="Arial" w:hAnsi="Arial" w:cs="Arial"/>
          <w:szCs w:val="21"/>
          <w:highlight w:val="none"/>
          <w:u w:val="single"/>
        </w:rPr>
      </w:pPr>
      <w:r>
        <w:rPr>
          <w:rFonts w:hint="default" w:ascii="Arial" w:hAnsi="Arial" w:cs="Arial"/>
          <w:szCs w:val="21"/>
          <w:highlight w:val="none"/>
        </w:rPr>
        <w:t>甲方（公章）：</w:t>
      </w:r>
      <w:r>
        <w:rPr>
          <w:rFonts w:hint="default" w:ascii="Arial" w:hAnsi="Arial" w:cs="Arial"/>
          <w:szCs w:val="21"/>
          <w:highlight w:val="none"/>
          <w:u w:val="single"/>
        </w:rPr>
        <w:t xml:space="preserve">                          </w:t>
      </w:r>
      <w:r>
        <w:rPr>
          <w:rFonts w:hint="default" w:ascii="Arial" w:hAnsi="Arial" w:cs="Arial"/>
          <w:szCs w:val="21"/>
          <w:highlight w:val="none"/>
        </w:rPr>
        <w:t xml:space="preserve">     乙方（公章，自然人除外）：</w:t>
      </w:r>
      <w:r>
        <w:rPr>
          <w:rFonts w:hint="default" w:ascii="Arial" w:hAnsi="Arial" w:cs="Arial"/>
          <w:szCs w:val="21"/>
          <w:highlight w:val="none"/>
          <w:u w:val="single"/>
        </w:rPr>
        <w:t xml:space="preserve">                           </w:t>
      </w:r>
    </w:p>
    <w:p w14:paraId="3C6B314F">
      <w:pPr>
        <w:spacing w:line="276" w:lineRule="auto"/>
        <w:ind w:left="4620" w:hanging="4620" w:hangingChars="2200"/>
        <w:rPr>
          <w:rFonts w:hint="default" w:ascii="Arial" w:hAnsi="Arial" w:cs="Arial"/>
          <w:szCs w:val="21"/>
          <w:highlight w:val="none"/>
          <w:u w:val="single"/>
        </w:rPr>
      </w:pPr>
      <w:r>
        <w:rPr>
          <w:rFonts w:hint="default" w:ascii="Arial" w:hAnsi="Arial" w:cs="Arial"/>
          <w:szCs w:val="21"/>
          <w:highlight w:val="none"/>
        </w:rPr>
        <w:t>法定代表人签字：</w:t>
      </w:r>
      <w:r>
        <w:rPr>
          <w:rFonts w:hint="default" w:ascii="Arial" w:hAnsi="Arial" w:cs="Arial"/>
          <w:szCs w:val="21"/>
          <w:highlight w:val="none"/>
          <w:u w:val="single"/>
        </w:rPr>
        <w:t xml:space="preserve">                      </w:t>
      </w:r>
      <w:r>
        <w:rPr>
          <w:rFonts w:hint="default" w:ascii="Arial" w:hAnsi="Arial" w:cs="Arial"/>
          <w:szCs w:val="21"/>
          <w:highlight w:val="none"/>
        </w:rPr>
        <w:t xml:space="preserve">      </w:t>
      </w:r>
      <w:r>
        <w:rPr>
          <w:rFonts w:hint="default" w:ascii="Arial" w:hAnsi="Arial" w:cs="Arial"/>
          <w:highlight w:val="none"/>
        </w:rPr>
        <w:t>法定代表人（负责人、自然人）签字（属自然人的应在签名处加盖大拇指指印）</w:t>
      </w:r>
      <w:r>
        <w:rPr>
          <w:rFonts w:hint="default" w:ascii="Arial" w:hAnsi="Arial" w:cs="Arial"/>
          <w:szCs w:val="21"/>
          <w:highlight w:val="none"/>
        </w:rPr>
        <w:t>：</w:t>
      </w:r>
      <w:r>
        <w:rPr>
          <w:rFonts w:hint="default" w:ascii="Arial" w:hAnsi="Arial" w:cs="Arial"/>
          <w:szCs w:val="21"/>
          <w:highlight w:val="none"/>
          <w:u w:val="single"/>
        </w:rPr>
        <w:t xml:space="preserve">                                 </w:t>
      </w:r>
    </w:p>
    <w:p w14:paraId="21C93912">
      <w:pPr>
        <w:tabs>
          <w:tab w:val="left" w:pos="4680"/>
        </w:tabs>
        <w:spacing w:line="276" w:lineRule="auto"/>
        <w:rPr>
          <w:rFonts w:hint="default" w:ascii="Arial" w:hAnsi="Arial" w:cs="Arial"/>
          <w:szCs w:val="21"/>
          <w:highlight w:val="none"/>
          <w:u w:val="single"/>
        </w:rPr>
      </w:pPr>
      <w:r>
        <w:rPr>
          <w:rFonts w:hint="default" w:ascii="Arial" w:hAnsi="Arial" w:cs="Arial"/>
          <w:szCs w:val="21"/>
          <w:highlight w:val="none"/>
        </w:rPr>
        <w:t>委托代理人：</w:t>
      </w:r>
      <w:r>
        <w:rPr>
          <w:rFonts w:hint="default" w:ascii="Arial" w:hAnsi="Arial" w:cs="Arial"/>
          <w:szCs w:val="21"/>
          <w:highlight w:val="none"/>
          <w:u w:val="single"/>
        </w:rPr>
        <w:t xml:space="preserve">                           </w:t>
      </w:r>
      <w:r>
        <w:rPr>
          <w:rFonts w:hint="default" w:ascii="Arial" w:hAnsi="Arial" w:cs="Arial"/>
          <w:szCs w:val="21"/>
          <w:highlight w:val="none"/>
        </w:rPr>
        <w:t xml:space="preserve">     委托代理人：</w:t>
      </w:r>
      <w:r>
        <w:rPr>
          <w:rFonts w:hint="default" w:ascii="Arial" w:hAnsi="Arial" w:cs="Arial"/>
          <w:szCs w:val="21"/>
          <w:highlight w:val="none"/>
          <w:u w:val="single"/>
        </w:rPr>
        <w:t xml:space="preserve">                                 </w:t>
      </w:r>
    </w:p>
    <w:p w14:paraId="126E277F">
      <w:pPr>
        <w:tabs>
          <w:tab w:val="left" w:pos="5040"/>
        </w:tabs>
        <w:spacing w:line="276" w:lineRule="auto"/>
        <w:rPr>
          <w:rFonts w:hint="default" w:ascii="Arial" w:hAnsi="Arial" w:cs="Arial"/>
          <w:szCs w:val="21"/>
          <w:highlight w:val="none"/>
          <w:u w:val="single"/>
        </w:rPr>
      </w:pPr>
      <w:r>
        <w:rPr>
          <w:rFonts w:hint="default" w:ascii="Arial" w:hAnsi="Arial" w:cs="Arial"/>
          <w:szCs w:val="21"/>
          <w:highlight w:val="none"/>
        </w:rPr>
        <w:t>电  话：</w:t>
      </w:r>
      <w:r>
        <w:rPr>
          <w:rFonts w:hint="default" w:ascii="Arial" w:hAnsi="Arial" w:cs="Arial"/>
          <w:szCs w:val="21"/>
          <w:highlight w:val="none"/>
          <w:u w:val="single"/>
        </w:rPr>
        <w:t xml:space="preserve">                               </w:t>
      </w:r>
      <w:r>
        <w:rPr>
          <w:rFonts w:hint="default" w:ascii="Arial" w:hAnsi="Arial" w:cs="Arial"/>
          <w:szCs w:val="21"/>
          <w:highlight w:val="none"/>
        </w:rPr>
        <w:t xml:space="preserve">     电   话： </w:t>
      </w:r>
      <w:r>
        <w:rPr>
          <w:rFonts w:hint="default" w:ascii="Arial" w:hAnsi="Arial" w:cs="Arial"/>
          <w:szCs w:val="21"/>
          <w:highlight w:val="none"/>
          <w:u w:val="single"/>
        </w:rPr>
        <w:t xml:space="preserve">                                  </w:t>
      </w:r>
    </w:p>
    <w:p w14:paraId="3137A897">
      <w:pPr>
        <w:tabs>
          <w:tab w:val="left" w:pos="5040"/>
        </w:tabs>
        <w:spacing w:line="276" w:lineRule="auto"/>
        <w:rPr>
          <w:rFonts w:hint="default" w:ascii="Arial" w:hAnsi="Arial" w:cs="Arial"/>
          <w:szCs w:val="21"/>
          <w:highlight w:val="none"/>
        </w:rPr>
      </w:pPr>
      <w:r>
        <w:rPr>
          <w:rFonts w:hint="default" w:ascii="Arial" w:hAnsi="Arial" w:cs="Arial"/>
          <w:szCs w:val="21"/>
          <w:highlight w:val="none"/>
        </w:rPr>
        <w:t>开户名称：</w:t>
      </w:r>
      <w:r>
        <w:rPr>
          <w:rFonts w:hint="default" w:ascii="Arial" w:hAnsi="Arial" w:cs="Arial"/>
          <w:szCs w:val="21"/>
          <w:highlight w:val="none"/>
          <w:u w:val="single"/>
        </w:rPr>
        <w:t xml:space="preserve">                             </w:t>
      </w:r>
      <w:r>
        <w:rPr>
          <w:rFonts w:hint="default" w:ascii="Arial" w:hAnsi="Arial" w:cs="Arial"/>
          <w:szCs w:val="21"/>
          <w:highlight w:val="none"/>
        </w:rPr>
        <w:t xml:space="preserve">     开户名称：</w:t>
      </w:r>
      <w:r>
        <w:rPr>
          <w:rFonts w:hint="default" w:ascii="Arial" w:hAnsi="Arial" w:cs="Arial"/>
          <w:szCs w:val="21"/>
          <w:highlight w:val="none"/>
          <w:u w:val="single"/>
        </w:rPr>
        <w:t xml:space="preserve">                                   </w:t>
      </w:r>
      <w:r>
        <w:rPr>
          <w:rFonts w:hint="default" w:ascii="Arial" w:hAnsi="Arial" w:cs="Arial"/>
          <w:szCs w:val="21"/>
          <w:highlight w:val="none"/>
        </w:rPr>
        <w:t xml:space="preserve">     </w:t>
      </w:r>
    </w:p>
    <w:p w14:paraId="2261E167">
      <w:pPr>
        <w:tabs>
          <w:tab w:val="left" w:pos="5040"/>
        </w:tabs>
        <w:spacing w:line="276" w:lineRule="auto"/>
        <w:rPr>
          <w:rFonts w:hint="default" w:ascii="Arial" w:hAnsi="Arial" w:cs="Arial"/>
          <w:szCs w:val="21"/>
          <w:highlight w:val="none"/>
        </w:rPr>
      </w:pPr>
      <w:r>
        <w:rPr>
          <w:rFonts w:hint="default" w:ascii="Arial" w:hAnsi="Arial" w:cs="Arial"/>
          <w:szCs w:val="21"/>
          <w:highlight w:val="none"/>
        </w:rPr>
        <w:t>开户银行：</w:t>
      </w:r>
      <w:r>
        <w:rPr>
          <w:rFonts w:hint="default" w:ascii="Arial" w:hAnsi="Arial" w:cs="Arial"/>
          <w:szCs w:val="21"/>
          <w:highlight w:val="none"/>
          <w:u w:val="single"/>
        </w:rPr>
        <w:t xml:space="preserve">                             </w:t>
      </w:r>
      <w:r>
        <w:rPr>
          <w:rFonts w:hint="default" w:ascii="Arial" w:hAnsi="Arial" w:cs="Arial"/>
          <w:szCs w:val="21"/>
          <w:highlight w:val="none"/>
        </w:rPr>
        <w:t xml:space="preserve">     开户银行：</w:t>
      </w:r>
      <w:r>
        <w:rPr>
          <w:rFonts w:hint="default" w:ascii="Arial" w:hAnsi="Arial" w:cs="Arial"/>
          <w:szCs w:val="21"/>
          <w:highlight w:val="none"/>
          <w:u w:val="single"/>
        </w:rPr>
        <w:t xml:space="preserve">                                   </w:t>
      </w:r>
      <w:r>
        <w:rPr>
          <w:rFonts w:hint="default" w:ascii="Arial" w:hAnsi="Arial" w:cs="Arial"/>
          <w:szCs w:val="21"/>
          <w:highlight w:val="none"/>
        </w:rPr>
        <w:t xml:space="preserve">     </w:t>
      </w:r>
    </w:p>
    <w:p w14:paraId="70671884">
      <w:pPr>
        <w:tabs>
          <w:tab w:val="left" w:pos="5040"/>
        </w:tabs>
        <w:spacing w:line="276" w:lineRule="auto"/>
        <w:rPr>
          <w:rFonts w:hint="default" w:ascii="Arial" w:hAnsi="Arial" w:cs="Arial"/>
          <w:szCs w:val="21"/>
          <w:highlight w:val="none"/>
        </w:rPr>
      </w:pPr>
      <w:r>
        <w:rPr>
          <w:rFonts w:hint="default" w:ascii="Arial" w:hAnsi="Arial" w:cs="Arial"/>
          <w:szCs w:val="21"/>
          <w:highlight w:val="none"/>
        </w:rPr>
        <w:t>银行账号：</w:t>
      </w:r>
      <w:r>
        <w:rPr>
          <w:rFonts w:hint="default" w:ascii="Arial" w:hAnsi="Arial" w:cs="Arial"/>
          <w:szCs w:val="21"/>
          <w:highlight w:val="none"/>
          <w:u w:val="single"/>
        </w:rPr>
        <w:t xml:space="preserve">                             </w:t>
      </w:r>
      <w:r>
        <w:rPr>
          <w:rFonts w:hint="default" w:ascii="Arial" w:hAnsi="Arial" w:cs="Arial"/>
          <w:szCs w:val="21"/>
          <w:highlight w:val="none"/>
        </w:rPr>
        <w:t xml:space="preserve">     银行账号：</w:t>
      </w:r>
      <w:r>
        <w:rPr>
          <w:rFonts w:hint="default" w:ascii="Arial" w:hAnsi="Arial" w:cs="Arial"/>
          <w:szCs w:val="21"/>
          <w:highlight w:val="none"/>
          <w:u w:val="single"/>
        </w:rPr>
        <w:t xml:space="preserve">                                  </w:t>
      </w:r>
      <w:r>
        <w:rPr>
          <w:rFonts w:hint="default" w:ascii="Arial" w:hAnsi="Arial" w:cs="Arial"/>
          <w:szCs w:val="21"/>
          <w:highlight w:val="none"/>
        </w:rPr>
        <w:t xml:space="preserve">     </w:t>
      </w:r>
    </w:p>
    <w:p w14:paraId="25EC625F">
      <w:pPr>
        <w:rPr>
          <w:rFonts w:hint="default" w:ascii="Arial" w:hAnsi="Arial" w:cs="Arial"/>
          <w:color w:val="auto"/>
          <w:szCs w:val="21"/>
          <w:highlight w:val="none"/>
        </w:rPr>
      </w:pPr>
      <w:r>
        <w:rPr>
          <w:rFonts w:hint="default" w:ascii="Arial" w:hAnsi="Arial" w:cs="Arial"/>
          <w:szCs w:val="21"/>
          <w:highlight w:val="none"/>
        </w:rPr>
        <w:t>日    期：</w:t>
      </w:r>
      <w:r>
        <w:rPr>
          <w:rFonts w:hint="default" w:ascii="Arial" w:hAnsi="Arial" w:cs="Arial"/>
          <w:szCs w:val="21"/>
          <w:highlight w:val="none"/>
          <w:u w:val="single"/>
        </w:rPr>
        <w:t xml:space="preserve">                             </w:t>
      </w:r>
      <w:r>
        <w:rPr>
          <w:rFonts w:hint="default" w:ascii="Arial" w:hAnsi="Arial" w:cs="Arial"/>
          <w:szCs w:val="21"/>
          <w:highlight w:val="none"/>
        </w:rPr>
        <w:t xml:space="preserve">     日    期：</w:t>
      </w:r>
      <w:r>
        <w:rPr>
          <w:rFonts w:hint="default" w:ascii="Arial" w:hAnsi="Arial" w:cs="Arial"/>
          <w:szCs w:val="21"/>
          <w:highlight w:val="none"/>
          <w:u w:val="single"/>
        </w:rPr>
        <w:t xml:space="preserve">                          </w:t>
      </w:r>
      <w:r>
        <w:rPr>
          <w:rFonts w:hint="default" w:ascii="Arial" w:hAnsi="Arial" w:cs="Arial"/>
          <w:color w:val="auto"/>
          <w:szCs w:val="21"/>
          <w:highlight w:val="none"/>
        </w:rPr>
        <w:br w:type="page"/>
      </w:r>
    </w:p>
    <w:p w14:paraId="2EC76B40">
      <w:pPr>
        <w:pStyle w:val="20"/>
        <w:rPr>
          <w:rFonts w:hint="default" w:ascii="Arial" w:hAnsi="Arial" w:cs="Arial"/>
          <w:highlight w:val="none"/>
        </w:rPr>
      </w:pPr>
    </w:p>
    <w:p w14:paraId="4FE3B7EB">
      <w:pPr>
        <w:rPr>
          <w:rFonts w:hint="default" w:ascii="Arial" w:hAnsi="Arial" w:cs="Arial"/>
          <w:highlight w:val="none"/>
        </w:rPr>
      </w:pPr>
    </w:p>
    <w:p w14:paraId="08BFFBDD">
      <w:pPr>
        <w:rPr>
          <w:rFonts w:hint="default" w:ascii="Arial" w:hAnsi="Arial" w:cs="Arial"/>
          <w:highlight w:val="none"/>
        </w:rPr>
      </w:pPr>
    </w:p>
    <w:p w14:paraId="0DE0CC82">
      <w:pPr>
        <w:rPr>
          <w:rFonts w:hint="default" w:ascii="Arial" w:hAnsi="Arial" w:cs="Arial"/>
          <w:highlight w:val="none"/>
        </w:rPr>
      </w:pPr>
    </w:p>
    <w:p w14:paraId="2D83A485">
      <w:pPr>
        <w:rPr>
          <w:rFonts w:hint="default" w:ascii="Arial" w:hAnsi="Arial" w:cs="Arial"/>
          <w:highlight w:val="none"/>
        </w:rPr>
      </w:pPr>
    </w:p>
    <w:p w14:paraId="6A5355D3">
      <w:pPr>
        <w:pStyle w:val="44"/>
        <w:rPr>
          <w:rFonts w:hint="default" w:ascii="Arial" w:hAnsi="Arial" w:cs="Arial"/>
          <w:highlight w:val="none"/>
        </w:rPr>
      </w:pPr>
    </w:p>
    <w:p w14:paraId="283444E4">
      <w:pPr>
        <w:rPr>
          <w:rFonts w:hint="default" w:ascii="Arial" w:hAnsi="Arial" w:cs="Arial"/>
          <w:highlight w:val="none"/>
        </w:rPr>
      </w:pPr>
    </w:p>
    <w:p w14:paraId="45C899F4">
      <w:pPr>
        <w:rPr>
          <w:rFonts w:hint="default" w:ascii="Arial" w:hAnsi="Arial" w:cs="Arial"/>
          <w:highlight w:val="none"/>
        </w:rPr>
      </w:pPr>
    </w:p>
    <w:p w14:paraId="426BBD35">
      <w:pPr>
        <w:pStyle w:val="44"/>
        <w:rPr>
          <w:rFonts w:hint="default" w:ascii="Arial" w:hAnsi="Arial" w:cs="Arial"/>
          <w:highlight w:val="none"/>
        </w:rPr>
      </w:pPr>
    </w:p>
    <w:p w14:paraId="3A494E4A">
      <w:pPr>
        <w:rPr>
          <w:rFonts w:hint="default" w:ascii="Arial" w:hAnsi="Arial" w:cs="Arial"/>
          <w:highlight w:val="none"/>
        </w:rPr>
      </w:pPr>
    </w:p>
    <w:p w14:paraId="1071B0D9">
      <w:pPr>
        <w:pStyle w:val="44"/>
        <w:rPr>
          <w:rFonts w:hint="default" w:ascii="Arial" w:hAnsi="Arial" w:cs="Arial"/>
          <w:highlight w:val="none"/>
        </w:rPr>
      </w:pPr>
    </w:p>
    <w:p w14:paraId="1648823F">
      <w:pPr>
        <w:pStyle w:val="44"/>
        <w:rPr>
          <w:rFonts w:hint="default" w:ascii="Arial" w:hAnsi="Arial" w:cs="Arial"/>
          <w:highlight w:val="none"/>
        </w:rPr>
      </w:pPr>
      <w:bookmarkStart w:id="32" w:name="_Toc82079338"/>
      <w:bookmarkStart w:id="33" w:name="_Toc8228"/>
      <w:bookmarkStart w:id="34" w:name="_Toc82079290"/>
      <w:bookmarkStart w:id="35" w:name="_Toc524017694"/>
      <w:bookmarkStart w:id="36" w:name="_Toc524017826"/>
      <w:r>
        <w:rPr>
          <w:rFonts w:hint="default" w:ascii="Arial" w:hAnsi="Arial" w:cs="Arial"/>
          <w:highlight w:val="none"/>
        </w:rPr>
        <w:t>第六章 投标文件格式</w:t>
      </w:r>
      <w:bookmarkEnd w:id="32"/>
      <w:bookmarkEnd w:id="33"/>
      <w:bookmarkEnd w:id="34"/>
      <w:bookmarkEnd w:id="35"/>
      <w:bookmarkEnd w:id="36"/>
    </w:p>
    <w:p w14:paraId="59766296">
      <w:pPr>
        <w:spacing w:line="400" w:lineRule="exact"/>
        <w:jc w:val="center"/>
        <w:rPr>
          <w:rFonts w:hint="default" w:ascii="Arial" w:hAnsi="Arial" w:cs="Arial"/>
          <w:b/>
          <w:sz w:val="32"/>
          <w:szCs w:val="32"/>
          <w:highlight w:val="none"/>
        </w:rPr>
      </w:pPr>
    </w:p>
    <w:p w14:paraId="46E1A853">
      <w:pPr>
        <w:spacing w:line="400" w:lineRule="exact"/>
        <w:jc w:val="center"/>
        <w:rPr>
          <w:rFonts w:hint="default" w:ascii="Arial" w:hAnsi="Arial" w:cs="Arial"/>
          <w:b/>
          <w:sz w:val="32"/>
          <w:szCs w:val="32"/>
          <w:highlight w:val="none"/>
        </w:rPr>
      </w:pPr>
    </w:p>
    <w:p w14:paraId="52884523">
      <w:pPr>
        <w:spacing w:line="400" w:lineRule="exact"/>
        <w:jc w:val="center"/>
        <w:rPr>
          <w:rFonts w:hint="default" w:ascii="Arial" w:hAnsi="Arial" w:cs="Arial"/>
          <w:b/>
          <w:sz w:val="32"/>
          <w:szCs w:val="32"/>
          <w:highlight w:val="none"/>
        </w:rPr>
      </w:pPr>
    </w:p>
    <w:p w14:paraId="3CF9C74C">
      <w:pPr>
        <w:spacing w:line="400" w:lineRule="exact"/>
        <w:jc w:val="center"/>
        <w:rPr>
          <w:rFonts w:hint="default" w:ascii="Arial" w:hAnsi="Arial" w:cs="Arial"/>
          <w:b/>
          <w:sz w:val="32"/>
          <w:szCs w:val="32"/>
          <w:highlight w:val="none"/>
        </w:rPr>
      </w:pPr>
    </w:p>
    <w:p w14:paraId="1D95ED88">
      <w:pPr>
        <w:spacing w:line="400" w:lineRule="exact"/>
        <w:jc w:val="center"/>
        <w:rPr>
          <w:rFonts w:hint="default" w:ascii="Arial" w:hAnsi="Arial" w:cs="Arial"/>
          <w:b/>
          <w:sz w:val="32"/>
          <w:szCs w:val="32"/>
          <w:highlight w:val="none"/>
        </w:rPr>
      </w:pPr>
    </w:p>
    <w:p w14:paraId="619FF2CD">
      <w:pPr>
        <w:spacing w:line="400" w:lineRule="exact"/>
        <w:jc w:val="center"/>
        <w:rPr>
          <w:rFonts w:hint="default" w:ascii="Arial" w:hAnsi="Arial" w:cs="Arial"/>
          <w:b/>
          <w:sz w:val="32"/>
          <w:szCs w:val="32"/>
          <w:highlight w:val="none"/>
        </w:rPr>
      </w:pPr>
    </w:p>
    <w:p w14:paraId="1BA8B20E">
      <w:pPr>
        <w:spacing w:line="400" w:lineRule="exact"/>
        <w:jc w:val="center"/>
        <w:rPr>
          <w:rFonts w:hint="default" w:ascii="Arial" w:hAnsi="Arial" w:cs="Arial"/>
          <w:b/>
          <w:sz w:val="32"/>
          <w:szCs w:val="32"/>
          <w:highlight w:val="none"/>
        </w:rPr>
      </w:pPr>
    </w:p>
    <w:p w14:paraId="2AC333FA">
      <w:pPr>
        <w:spacing w:line="400" w:lineRule="exact"/>
        <w:jc w:val="center"/>
        <w:rPr>
          <w:rFonts w:hint="default" w:ascii="Arial" w:hAnsi="Arial" w:cs="Arial"/>
          <w:b/>
          <w:sz w:val="32"/>
          <w:szCs w:val="32"/>
          <w:highlight w:val="none"/>
        </w:rPr>
      </w:pPr>
    </w:p>
    <w:p w14:paraId="222486B3">
      <w:pPr>
        <w:spacing w:line="400" w:lineRule="exact"/>
        <w:jc w:val="center"/>
        <w:rPr>
          <w:rFonts w:hint="default" w:ascii="Arial" w:hAnsi="Arial" w:cs="Arial"/>
          <w:b/>
          <w:sz w:val="32"/>
          <w:szCs w:val="32"/>
          <w:highlight w:val="none"/>
        </w:rPr>
      </w:pPr>
    </w:p>
    <w:p w14:paraId="3C228161">
      <w:pPr>
        <w:spacing w:line="400" w:lineRule="exact"/>
        <w:jc w:val="center"/>
        <w:rPr>
          <w:rFonts w:hint="default" w:ascii="Arial" w:hAnsi="Arial" w:cs="Arial"/>
          <w:b/>
          <w:sz w:val="32"/>
          <w:szCs w:val="32"/>
          <w:highlight w:val="none"/>
        </w:rPr>
      </w:pPr>
    </w:p>
    <w:p w14:paraId="093DC458">
      <w:pPr>
        <w:spacing w:line="400" w:lineRule="exact"/>
        <w:jc w:val="center"/>
        <w:rPr>
          <w:rFonts w:hint="default" w:ascii="Arial" w:hAnsi="Arial" w:cs="Arial"/>
          <w:b/>
          <w:sz w:val="32"/>
          <w:szCs w:val="32"/>
          <w:highlight w:val="none"/>
        </w:rPr>
      </w:pPr>
    </w:p>
    <w:p w14:paraId="22655FEB">
      <w:pPr>
        <w:spacing w:line="400" w:lineRule="exact"/>
        <w:jc w:val="center"/>
        <w:rPr>
          <w:rFonts w:hint="default" w:ascii="Arial" w:hAnsi="Arial" w:cs="Arial"/>
          <w:b/>
          <w:sz w:val="32"/>
          <w:szCs w:val="32"/>
          <w:highlight w:val="none"/>
        </w:rPr>
      </w:pPr>
    </w:p>
    <w:p w14:paraId="7F16459F">
      <w:pPr>
        <w:spacing w:line="400" w:lineRule="exact"/>
        <w:jc w:val="center"/>
        <w:rPr>
          <w:rFonts w:hint="default" w:ascii="Arial" w:hAnsi="Arial" w:cs="Arial"/>
          <w:b/>
          <w:sz w:val="32"/>
          <w:szCs w:val="32"/>
          <w:highlight w:val="none"/>
        </w:rPr>
      </w:pPr>
    </w:p>
    <w:p w14:paraId="6D98EE57">
      <w:pPr>
        <w:spacing w:line="400" w:lineRule="exact"/>
        <w:rPr>
          <w:rFonts w:hint="default" w:ascii="Arial" w:hAnsi="Arial" w:cs="Arial"/>
          <w:b/>
          <w:sz w:val="32"/>
          <w:szCs w:val="32"/>
          <w:highlight w:val="none"/>
        </w:rPr>
      </w:pPr>
    </w:p>
    <w:p w14:paraId="45E6D0DF">
      <w:pPr>
        <w:spacing w:line="400" w:lineRule="exact"/>
        <w:rPr>
          <w:rFonts w:hint="default" w:ascii="Arial" w:hAnsi="Arial" w:cs="Arial"/>
          <w:b/>
          <w:sz w:val="32"/>
          <w:szCs w:val="32"/>
          <w:highlight w:val="none"/>
        </w:rPr>
      </w:pPr>
    </w:p>
    <w:p w14:paraId="10B68274">
      <w:pPr>
        <w:spacing w:line="400" w:lineRule="exact"/>
        <w:rPr>
          <w:rFonts w:hint="default" w:ascii="Arial" w:hAnsi="Arial" w:cs="Arial"/>
          <w:b/>
          <w:sz w:val="32"/>
          <w:szCs w:val="32"/>
          <w:highlight w:val="none"/>
        </w:rPr>
      </w:pPr>
    </w:p>
    <w:p w14:paraId="0F346E51">
      <w:pPr>
        <w:spacing w:line="400" w:lineRule="exact"/>
        <w:rPr>
          <w:rFonts w:hint="default" w:ascii="Arial" w:hAnsi="Arial" w:cs="Arial"/>
          <w:b/>
          <w:sz w:val="32"/>
          <w:szCs w:val="32"/>
          <w:highlight w:val="none"/>
        </w:rPr>
      </w:pPr>
    </w:p>
    <w:p w14:paraId="436DEBD4">
      <w:pPr>
        <w:spacing w:line="400" w:lineRule="exact"/>
        <w:rPr>
          <w:rFonts w:hint="default" w:ascii="Arial" w:hAnsi="Arial" w:cs="Arial"/>
          <w:b/>
          <w:sz w:val="32"/>
          <w:szCs w:val="32"/>
          <w:highlight w:val="none"/>
        </w:rPr>
      </w:pPr>
    </w:p>
    <w:p w14:paraId="56C10775">
      <w:pPr>
        <w:spacing w:line="400" w:lineRule="exact"/>
        <w:rPr>
          <w:rFonts w:hint="default" w:ascii="Arial" w:hAnsi="Arial" w:cs="Arial"/>
          <w:b/>
          <w:sz w:val="32"/>
          <w:szCs w:val="32"/>
          <w:highlight w:val="none"/>
        </w:rPr>
      </w:pPr>
    </w:p>
    <w:p w14:paraId="34A425C2">
      <w:pPr>
        <w:spacing w:line="400" w:lineRule="exact"/>
        <w:jc w:val="center"/>
        <w:rPr>
          <w:rFonts w:hint="default" w:ascii="Arial" w:hAnsi="Arial" w:cs="Arial"/>
          <w:b/>
          <w:sz w:val="32"/>
          <w:szCs w:val="32"/>
          <w:highlight w:val="none"/>
        </w:rPr>
      </w:pPr>
    </w:p>
    <w:p w14:paraId="421AAEC0">
      <w:pPr>
        <w:spacing w:line="400" w:lineRule="exact"/>
        <w:jc w:val="center"/>
        <w:rPr>
          <w:rFonts w:hint="default" w:ascii="Arial" w:hAnsi="Arial" w:cs="Arial"/>
          <w:b/>
          <w:sz w:val="32"/>
          <w:szCs w:val="32"/>
          <w:highlight w:val="none"/>
        </w:rPr>
      </w:pPr>
    </w:p>
    <w:p w14:paraId="1CE5E122">
      <w:pPr>
        <w:spacing w:line="400" w:lineRule="exact"/>
        <w:rPr>
          <w:rFonts w:hint="default" w:ascii="Arial" w:hAnsi="Arial" w:cs="Arial"/>
          <w:b/>
          <w:sz w:val="32"/>
          <w:szCs w:val="32"/>
          <w:highlight w:val="none"/>
        </w:rPr>
      </w:pPr>
    </w:p>
    <w:p w14:paraId="2444AA65">
      <w:pPr>
        <w:spacing w:line="400" w:lineRule="exact"/>
        <w:jc w:val="center"/>
        <w:rPr>
          <w:rFonts w:hint="default" w:ascii="Arial" w:hAnsi="Arial" w:cs="Arial"/>
          <w:b/>
          <w:sz w:val="32"/>
          <w:szCs w:val="32"/>
          <w:highlight w:val="none"/>
        </w:rPr>
      </w:pPr>
    </w:p>
    <w:p w14:paraId="6D224D0F">
      <w:pPr>
        <w:spacing w:line="400" w:lineRule="exact"/>
        <w:rPr>
          <w:rFonts w:hint="default" w:ascii="Arial" w:hAnsi="Arial" w:cs="Arial"/>
          <w:b/>
          <w:sz w:val="32"/>
          <w:szCs w:val="32"/>
          <w:highlight w:val="none"/>
        </w:rPr>
      </w:pPr>
      <w:r>
        <w:rPr>
          <w:rFonts w:hint="default" w:ascii="Arial" w:hAnsi="Arial" w:cs="Arial"/>
          <w:b/>
          <w:sz w:val="32"/>
          <w:szCs w:val="32"/>
          <w:highlight w:val="none"/>
        </w:rPr>
        <w:t>一、投标文件组成</w:t>
      </w:r>
    </w:p>
    <w:p w14:paraId="09CB7748">
      <w:pPr>
        <w:spacing w:line="400" w:lineRule="exact"/>
        <w:rPr>
          <w:rFonts w:hint="default" w:ascii="Arial" w:hAnsi="Arial" w:cs="Arial"/>
          <w:b/>
          <w:bCs/>
          <w:sz w:val="24"/>
          <w:highlight w:val="none"/>
        </w:rPr>
      </w:pPr>
    </w:p>
    <w:p w14:paraId="12923ADA">
      <w:pPr>
        <w:spacing w:line="400" w:lineRule="exact"/>
        <w:rPr>
          <w:rFonts w:hint="default" w:ascii="Arial" w:hAnsi="Arial" w:cs="Arial"/>
          <w:b/>
          <w:bCs/>
          <w:sz w:val="24"/>
          <w:highlight w:val="none"/>
        </w:rPr>
      </w:pPr>
    </w:p>
    <w:p w14:paraId="3A2ADFE8">
      <w:pPr>
        <w:spacing w:line="400" w:lineRule="exact"/>
        <w:rPr>
          <w:rFonts w:hint="default" w:ascii="Arial" w:hAnsi="Arial" w:cs="Arial"/>
          <w:b/>
          <w:bCs/>
          <w:sz w:val="24"/>
          <w:highlight w:val="none"/>
        </w:rPr>
      </w:pPr>
      <w:r>
        <w:rPr>
          <w:rFonts w:hint="default" w:ascii="Arial" w:hAnsi="Arial" w:cs="Arial"/>
          <w:b/>
          <w:sz w:val="32"/>
          <w:szCs w:val="32"/>
          <w:highlight w:val="none"/>
        </w:rPr>
        <w:t>（一）投标报价表</w:t>
      </w:r>
    </w:p>
    <w:p w14:paraId="12C3691D">
      <w:pPr>
        <w:spacing w:line="400" w:lineRule="exact"/>
        <w:rPr>
          <w:rFonts w:hint="default" w:ascii="Arial" w:hAnsi="Arial" w:cs="Arial"/>
          <w:b/>
          <w:bCs/>
          <w:sz w:val="24"/>
          <w:highlight w:val="none"/>
        </w:rPr>
      </w:pPr>
    </w:p>
    <w:p w14:paraId="4B613A74">
      <w:pPr>
        <w:spacing w:line="400" w:lineRule="exact"/>
        <w:rPr>
          <w:rFonts w:hint="default" w:ascii="Arial" w:hAnsi="Arial" w:cs="Arial"/>
          <w:b/>
          <w:bCs/>
          <w:sz w:val="24"/>
          <w:highlight w:val="none"/>
        </w:rPr>
      </w:pPr>
    </w:p>
    <w:p w14:paraId="6FE6743D">
      <w:pPr>
        <w:spacing w:line="400" w:lineRule="exact"/>
        <w:rPr>
          <w:rFonts w:hint="default" w:ascii="Arial" w:hAnsi="Arial" w:cs="Arial"/>
          <w:b/>
          <w:bCs/>
          <w:sz w:val="24"/>
          <w:highlight w:val="none"/>
        </w:rPr>
      </w:pPr>
    </w:p>
    <w:p w14:paraId="6BE13D08">
      <w:pPr>
        <w:spacing w:line="400" w:lineRule="exact"/>
        <w:rPr>
          <w:rFonts w:hint="default" w:ascii="Arial" w:hAnsi="Arial" w:cs="Arial"/>
          <w:b/>
          <w:bCs/>
          <w:sz w:val="24"/>
          <w:highlight w:val="none"/>
        </w:rPr>
      </w:pPr>
      <w:r>
        <w:rPr>
          <w:rFonts w:hint="default" w:ascii="Arial" w:hAnsi="Arial" w:cs="Arial"/>
          <w:b/>
          <w:sz w:val="32"/>
          <w:szCs w:val="32"/>
          <w:highlight w:val="none"/>
        </w:rPr>
        <w:t>（二）资格性响应证明材料</w:t>
      </w:r>
    </w:p>
    <w:p w14:paraId="445934B0">
      <w:pPr>
        <w:spacing w:line="400" w:lineRule="exact"/>
        <w:rPr>
          <w:rFonts w:hint="default" w:ascii="Arial" w:hAnsi="Arial" w:cs="Arial"/>
          <w:b/>
          <w:bCs/>
          <w:sz w:val="24"/>
          <w:highlight w:val="none"/>
        </w:rPr>
      </w:pPr>
    </w:p>
    <w:p w14:paraId="7B188650">
      <w:pPr>
        <w:spacing w:line="400" w:lineRule="exact"/>
        <w:rPr>
          <w:rFonts w:hint="default" w:ascii="Arial" w:hAnsi="Arial" w:cs="Arial"/>
          <w:b/>
          <w:bCs/>
          <w:sz w:val="24"/>
          <w:highlight w:val="none"/>
        </w:rPr>
      </w:pPr>
    </w:p>
    <w:p w14:paraId="53294812">
      <w:pPr>
        <w:spacing w:line="400" w:lineRule="exact"/>
        <w:rPr>
          <w:rFonts w:hint="default" w:ascii="Arial" w:hAnsi="Arial" w:cs="Arial"/>
          <w:b/>
          <w:sz w:val="32"/>
          <w:szCs w:val="32"/>
          <w:highlight w:val="none"/>
        </w:rPr>
      </w:pPr>
    </w:p>
    <w:p w14:paraId="38546153">
      <w:pPr>
        <w:spacing w:line="400" w:lineRule="exact"/>
        <w:rPr>
          <w:rFonts w:hint="default" w:ascii="Arial" w:hAnsi="Arial" w:cs="Arial"/>
          <w:b/>
          <w:sz w:val="32"/>
          <w:szCs w:val="32"/>
          <w:highlight w:val="none"/>
        </w:rPr>
      </w:pPr>
      <w:r>
        <w:rPr>
          <w:rFonts w:hint="default" w:ascii="Arial" w:hAnsi="Arial" w:cs="Arial"/>
          <w:b/>
          <w:sz w:val="32"/>
          <w:szCs w:val="32"/>
          <w:highlight w:val="none"/>
        </w:rPr>
        <w:t>（三）商务、技术性响应证明材料</w:t>
      </w:r>
    </w:p>
    <w:p w14:paraId="455E849E">
      <w:pPr>
        <w:spacing w:line="400" w:lineRule="exact"/>
        <w:rPr>
          <w:rFonts w:hint="default" w:ascii="Arial" w:hAnsi="Arial" w:cs="Arial"/>
          <w:b/>
          <w:sz w:val="32"/>
          <w:szCs w:val="32"/>
          <w:highlight w:val="none"/>
        </w:rPr>
      </w:pPr>
    </w:p>
    <w:p w14:paraId="387299F2">
      <w:pPr>
        <w:spacing w:line="400" w:lineRule="exact"/>
        <w:jc w:val="center"/>
        <w:rPr>
          <w:rFonts w:hint="default" w:ascii="Arial" w:hAnsi="Arial" w:cs="Arial"/>
          <w:b/>
          <w:sz w:val="32"/>
          <w:szCs w:val="32"/>
          <w:highlight w:val="none"/>
        </w:rPr>
      </w:pPr>
    </w:p>
    <w:p w14:paraId="151EBD5F">
      <w:pPr>
        <w:spacing w:line="400" w:lineRule="exact"/>
        <w:jc w:val="center"/>
        <w:rPr>
          <w:rFonts w:hint="default" w:ascii="Arial" w:hAnsi="Arial" w:cs="Arial"/>
          <w:b/>
          <w:sz w:val="32"/>
          <w:szCs w:val="32"/>
          <w:highlight w:val="none"/>
        </w:rPr>
      </w:pPr>
    </w:p>
    <w:p w14:paraId="687567AD">
      <w:pPr>
        <w:spacing w:line="400" w:lineRule="exact"/>
        <w:jc w:val="center"/>
        <w:rPr>
          <w:rFonts w:hint="default" w:ascii="Arial" w:hAnsi="Arial" w:cs="Arial"/>
          <w:b/>
          <w:sz w:val="32"/>
          <w:szCs w:val="32"/>
          <w:highlight w:val="none"/>
        </w:rPr>
      </w:pPr>
    </w:p>
    <w:p w14:paraId="0B248261">
      <w:pPr>
        <w:spacing w:line="400" w:lineRule="exact"/>
        <w:jc w:val="center"/>
        <w:rPr>
          <w:rFonts w:hint="default" w:ascii="Arial" w:hAnsi="Arial" w:cs="Arial"/>
          <w:b/>
          <w:sz w:val="32"/>
          <w:szCs w:val="32"/>
          <w:highlight w:val="none"/>
        </w:rPr>
      </w:pPr>
    </w:p>
    <w:p w14:paraId="6654D6A5">
      <w:pPr>
        <w:spacing w:line="400" w:lineRule="exact"/>
        <w:jc w:val="center"/>
        <w:rPr>
          <w:rFonts w:hint="default" w:ascii="Arial" w:hAnsi="Arial" w:cs="Arial"/>
          <w:b/>
          <w:sz w:val="32"/>
          <w:szCs w:val="32"/>
          <w:highlight w:val="none"/>
        </w:rPr>
      </w:pPr>
    </w:p>
    <w:p w14:paraId="0024405A">
      <w:pPr>
        <w:spacing w:line="400" w:lineRule="exact"/>
        <w:jc w:val="center"/>
        <w:rPr>
          <w:rFonts w:hint="default" w:ascii="Arial" w:hAnsi="Arial" w:cs="Arial"/>
          <w:b/>
          <w:sz w:val="32"/>
          <w:szCs w:val="32"/>
          <w:highlight w:val="none"/>
        </w:rPr>
      </w:pPr>
    </w:p>
    <w:p w14:paraId="1336E2C1">
      <w:pPr>
        <w:spacing w:line="400" w:lineRule="exact"/>
        <w:jc w:val="center"/>
        <w:rPr>
          <w:rFonts w:hint="default" w:ascii="Arial" w:hAnsi="Arial" w:cs="Arial"/>
          <w:b/>
          <w:sz w:val="32"/>
          <w:szCs w:val="32"/>
          <w:highlight w:val="none"/>
        </w:rPr>
      </w:pPr>
    </w:p>
    <w:p w14:paraId="610E96BF">
      <w:pPr>
        <w:spacing w:line="400" w:lineRule="exact"/>
        <w:jc w:val="center"/>
        <w:rPr>
          <w:rFonts w:hint="default" w:ascii="Arial" w:hAnsi="Arial" w:cs="Arial"/>
          <w:b/>
          <w:sz w:val="32"/>
          <w:szCs w:val="32"/>
          <w:highlight w:val="none"/>
        </w:rPr>
      </w:pPr>
    </w:p>
    <w:p w14:paraId="299B1E36">
      <w:pPr>
        <w:spacing w:line="400" w:lineRule="exact"/>
        <w:jc w:val="center"/>
        <w:rPr>
          <w:rFonts w:hint="default" w:ascii="Arial" w:hAnsi="Arial" w:cs="Arial"/>
          <w:b/>
          <w:sz w:val="32"/>
          <w:szCs w:val="32"/>
          <w:highlight w:val="none"/>
        </w:rPr>
      </w:pPr>
    </w:p>
    <w:p w14:paraId="10DF904E">
      <w:pPr>
        <w:spacing w:line="400" w:lineRule="exact"/>
        <w:jc w:val="center"/>
        <w:rPr>
          <w:rFonts w:hint="default" w:ascii="Arial" w:hAnsi="Arial" w:cs="Arial"/>
          <w:b/>
          <w:sz w:val="32"/>
          <w:szCs w:val="32"/>
          <w:highlight w:val="none"/>
        </w:rPr>
      </w:pPr>
    </w:p>
    <w:p w14:paraId="398E0DAF">
      <w:pPr>
        <w:spacing w:line="400" w:lineRule="exact"/>
        <w:jc w:val="center"/>
        <w:rPr>
          <w:rFonts w:hint="default" w:ascii="Arial" w:hAnsi="Arial" w:cs="Arial"/>
          <w:b/>
          <w:sz w:val="32"/>
          <w:szCs w:val="32"/>
          <w:highlight w:val="none"/>
        </w:rPr>
      </w:pPr>
    </w:p>
    <w:p w14:paraId="14B37490">
      <w:pPr>
        <w:spacing w:line="400" w:lineRule="exact"/>
        <w:jc w:val="center"/>
        <w:rPr>
          <w:rFonts w:hint="default" w:ascii="Arial" w:hAnsi="Arial" w:cs="Arial"/>
          <w:b/>
          <w:sz w:val="32"/>
          <w:szCs w:val="32"/>
          <w:highlight w:val="none"/>
        </w:rPr>
      </w:pPr>
    </w:p>
    <w:p w14:paraId="73851DE3">
      <w:pPr>
        <w:spacing w:line="400" w:lineRule="exact"/>
        <w:jc w:val="center"/>
        <w:rPr>
          <w:rFonts w:hint="default" w:ascii="Arial" w:hAnsi="Arial" w:cs="Arial"/>
          <w:b/>
          <w:sz w:val="32"/>
          <w:szCs w:val="32"/>
          <w:highlight w:val="none"/>
        </w:rPr>
      </w:pPr>
    </w:p>
    <w:p w14:paraId="1338FBF0">
      <w:pPr>
        <w:spacing w:line="400" w:lineRule="exact"/>
        <w:jc w:val="center"/>
        <w:rPr>
          <w:rFonts w:hint="default" w:ascii="Arial" w:hAnsi="Arial" w:cs="Arial"/>
          <w:b/>
          <w:sz w:val="32"/>
          <w:szCs w:val="32"/>
          <w:highlight w:val="none"/>
        </w:rPr>
      </w:pPr>
    </w:p>
    <w:p w14:paraId="0D00F85F">
      <w:pPr>
        <w:spacing w:line="400" w:lineRule="exact"/>
        <w:jc w:val="center"/>
        <w:rPr>
          <w:rFonts w:hint="default" w:ascii="Arial" w:hAnsi="Arial" w:cs="Arial"/>
          <w:b/>
          <w:sz w:val="32"/>
          <w:szCs w:val="32"/>
          <w:highlight w:val="none"/>
        </w:rPr>
      </w:pPr>
    </w:p>
    <w:p w14:paraId="11312C30">
      <w:pPr>
        <w:spacing w:line="400" w:lineRule="exact"/>
        <w:jc w:val="center"/>
        <w:rPr>
          <w:rFonts w:hint="default" w:ascii="Arial" w:hAnsi="Arial" w:cs="Arial"/>
          <w:b/>
          <w:sz w:val="32"/>
          <w:szCs w:val="32"/>
          <w:highlight w:val="none"/>
        </w:rPr>
      </w:pPr>
    </w:p>
    <w:p w14:paraId="185454ED">
      <w:pPr>
        <w:spacing w:line="400" w:lineRule="exact"/>
        <w:jc w:val="center"/>
        <w:rPr>
          <w:rFonts w:hint="default" w:ascii="Arial" w:hAnsi="Arial" w:cs="Arial"/>
          <w:b/>
          <w:sz w:val="32"/>
          <w:szCs w:val="32"/>
          <w:highlight w:val="none"/>
        </w:rPr>
      </w:pPr>
    </w:p>
    <w:p w14:paraId="5A46F009">
      <w:pPr>
        <w:spacing w:line="400" w:lineRule="exact"/>
        <w:jc w:val="center"/>
        <w:rPr>
          <w:rFonts w:hint="default" w:ascii="Arial" w:hAnsi="Arial" w:cs="Arial"/>
          <w:b/>
          <w:sz w:val="32"/>
          <w:szCs w:val="32"/>
          <w:highlight w:val="none"/>
        </w:rPr>
      </w:pPr>
    </w:p>
    <w:p w14:paraId="75AE5373">
      <w:pPr>
        <w:spacing w:line="400" w:lineRule="exact"/>
        <w:rPr>
          <w:rFonts w:hint="default" w:ascii="Arial" w:hAnsi="Arial" w:cs="Arial"/>
          <w:b/>
          <w:sz w:val="32"/>
          <w:szCs w:val="32"/>
          <w:highlight w:val="none"/>
        </w:rPr>
      </w:pPr>
    </w:p>
    <w:p w14:paraId="3B71D10B">
      <w:pPr>
        <w:spacing w:line="400" w:lineRule="exact"/>
        <w:rPr>
          <w:rFonts w:hint="default" w:ascii="Arial" w:hAnsi="Arial" w:cs="Arial"/>
          <w:b/>
          <w:sz w:val="32"/>
          <w:szCs w:val="32"/>
          <w:highlight w:val="none"/>
        </w:rPr>
      </w:pPr>
    </w:p>
    <w:p w14:paraId="347BF606">
      <w:pPr>
        <w:spacing w:line="400" w:lineRule="exact"/>
        <w:jc w:val="center"/>
        <w:rPr>
          <w:rFonts w:hint="default" w:ascii="Arial" w:hAnsi="Arial" w:cs="Arial"/>
          <w:b/>
          <w:sz w:val="32"/>
          <w:szCs w:val="32"/>
          <w:highlight w:val="none"/>
        </w:rPr>
      </w:pPr>
      <w:r>
        <w:rPr>
          <w:rFonts w:hint="default" w:ascii="Arial" w:hAnsi="Arial" w:cs="Arial"/>
          <w:b/>
          <w:sz w:val="32"/>
          <w:szCs w:val="32"/>
          <w:highlight w:val="none"/>
        </w:rPr>
        <w:t>（一）投标报价表</w:t>
      </w:r>
    </w:p>
    <w:p w14:paraId="0B6B5370">
      <w:pPr>
        <w:spacing w:line="440" w:lineRule="atLeast"/>
        <w:jc w:val="center"/>
        <w:rPr>
          <w:rFonts w:hint="default" w:ascii="Arial" w:hAnsi="Arial" w:cs="Arial"/>
          <w:b/>
          <w:sz w:val="32"/>
          <w:szCs w:val="32"/>
          <w:highlight w:val="none"/>
        </w:rPr>
      </w:pPr>
      <w:r>
        <w:rPr>
          <w:rFonts w:hint="default" w:ascii="Arial" w:hAnsi="Arial" w:cs="Arial"/>
          <w:b/>
          <w:sz w:val="32"/>
          <w:szCs w:val="32"/>
          <w:highlight w:val="none"/>
        </w:rPr>
        <w:t>投标报价表（格式）</w:t>
      </w:r>
    </w:p>
    <w:p w14:paraId="371BB2D6">
      <w:pPr>
        <w:spacing w:line="240" w:lineRule="exact"/>
        <w:jc w:val="center"/>
        <w:rPr>
          <w:rFonts w:hint="default" w:ascii="Arial" w:hAnsi="Arial" w:cs="Arial"/>
          <w:sz w:val="32"/>
          <w:highlight w:val="none"/>
        </w:rPr>
      </w:pPr>
    </w:p>
    <w:p w14:paraId="37184C0C">
      <w:pPr>
        <w:rPr>
          <w:rFonts w:hint="default" w:ascii="Arial" w:hAnsi="Arial" w:cs="Arial"/>
          <w:highlight w:val="none"/>
        </w:rPr>
      </w:pPr>
      <w:r>
        <w:rPr>
          <w:rFonts w:hint="default" w:ascii="Arial" w:hAnsi="Arial" w:cs="Arial"/>
          <w:szCs w:val="21"/>
          <w:highlight w:val="none"/>
        </w:rPr>
        <w:t>致：</w:t>
      </w:r>
      <w:r>
        <w:rPr>
          <w:rFonts w:hint="default" w:ascii="Arial" w:hAnsi="Arial" w:cs="Arial"/>
          <w:highlight w:val="none"/>
          <w:u w:val="single"/>
        </w:rPr>
        <w:t>广西机电设备招标有限公司</w:t>
      </w:r>
    </w:p>
    <w:p w14:paraId="187449B6">
      <w:pPr>
        <w:pStyle w:val="27"/>
        <w:ind w:firstLine="420"/>
        <w:rPr>
          <w:rFonts w:hint="default" w:ascii="Arial" w:hAnsi="Arial" w:cs="Arial"/>
          <w:highlight w:val="none"/>
        </w:rPr>
      </w:pPr>
      <w:r>
        <w:rPr>
          <w:rFonts w:hint="default" w:ascii="Arial" w:hAnsi="Arial" w:cs="Arial"/>
          <w:highlight w:val="none"/>
        </w:rPr>
        <w:t>根据贵方</w:t>
      </w:r>
      <w:r>
        <w:rPr>
          <w:rFonts w:hint="default" w:ascii="Arial" w:hAnsi="Arial" w:cs="Arial"/>
          <w:highlight w:val="none"/>
          <w:u w:val="single"/>
        </w:rPr>
        <w:t xml:space="preserve">          </w:t>
      </w:r>
      <w:r>
        <w:rPr>
          <w:rFonts w:hint="default" w:ascii="Arial" w:hAnsi="Arial" w:cs="Arial"/>
          <w:highlight w:val="none"/>
        </w:rPr>
        <w:t>项目招标文件，项目编号</w:t>
      </w:r>
      <w:r>
        <w:rPr>
          <w:rFonts w:hint="default" w:ascii="Arial" w:hAnsi="Arial" w:cs="Arial"/>
          <w:highlight w:val="none"/>
          <w:u w:val="single"/>
        </w:rPr>
        <w:t xml:space="preserve">           </w:t>
      </w:r>
      <w:r>
        <w:rPr>
          <w:rFonts w:hint="default" w:ascii="Arial" w:hAnsi="Arial" w:cs="Arial"/>
          <w:szCs w:val="21"/>
          <w:highlight w:val="none"/>
        </w:rPr>
        <w:t>，签字代表</w:t>
      </w:r>
      <w:r>
        <w:rPr>
          <w:rFonts w:hint="default" w:ascii="Arial" w:hAnsi="Arial" w:cs="Arial"/>
          <w:highlight w:val="none"/>
          <w:u w:val="single"/>
        </w:rPr>
        <w:t>（姓  名）</w:t>
      </w:r>
      <w:r>
        <w:rPr>
          <w:rFonts w:hint="default" w:ascii="Arial" w:hAnsi="Arial" w:cs="Arial"/>
          <w:highlight w:val="none"/>
        </w:rPr>
        <w:t xml:space="preserve">经正式授权并代表投标人 </w:t>
      </w:r>
      <w:r>
        <w:rPr>
          <w:rFonts w:hint="default" w:ascii="Arial" w:hAnsi="Arial" w:cs="Arial"/>
          <w:highlight w:val="none"/>
          <w:u w:val="single"/>
        </w:rPr>
        <w:t xml:space="preserve">    （投标单位名称）</w:t>
      </w:r>
      <w:r>
        <w:rPr>
          <w:rFonts w:hint="default" w:ascii="Arial" w:hAnsi="Arial" w:cs="Arial"/>
          <w:highlight w:val="none"/>
        </w:rPr>
        <w:t>，并做出如下报价：</w:t>
      </w:r>
    </w:p>
    <w:p w14:paraId="4A68D8CA">
      <w:pPr>
        <w:pStyle w:val="28"/>
        <w:ind w:left="0" w:leftChars="0" w:firstLine="0" w:firstLineChars="0"/>
        <w:rPr>
          <w:rFonts w:hint="default" w:eastAsia="宋体"/>
          <w:highlight w:val="none"/>
          <w:u w:val="single"/>
          <w:lang w:val="en-US" w:eastAsia="zh-CN"/>
        </w:rPr>
      </w:pPr>
      <w:r>
        <w:rPr>
          <w:rFonts w:hint="eastAsia"/>
          <w:highlight w:val="none"/>
          <w:u w:val="single"/>
          <w:lang w:val="en-US" w:eastAsia="zh-CN"/>
        </w:rPr>
        <w:t xml:space="preserve">     分标：</w:t>
      </w:r>
    </w:p>
    <w:tbl>
      <w:tblPr>
        <w:tblStyle w:val="49"/>
        <w:tblW w:w="9985"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61"/>
        <w:gridCol w:w="1197"/>
        <w:gridCol w:w="1155"/>
        <w:gridCol w:w="816"/>
        <w:gridCol w:w="901"/>
        <w:gridCol w:w="842"/>
        <w:gridCol w:w="841"/>
        <w:gridCol w:w="1404"/>
        <w:gridCol w:w="2268"/>
      </w:tblGrid>
      <w:tr w14:paraId="47FB35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cantSplit/>
          <w:trHeight w:val="270" w:hRule="atLeast"/>
        </w:trPr>
        <w:tc>
          <w:tcPr>
            <w:tcW w:w="561" w:type="dxa"/>
            <w:tcBorders>
              <w:top w:val="single" w:color="auto" w:sz="4" w:space="0"/>
              <w:left w:val="single" w:color="auto" w:sz="4" w:space="0"/>
              <w:bottom w:val="single" w:color="auto" w:sz="4" w:space="0"/>
              <w:right w:val="single" w:color="auto" w:sz="4" w:space="0"/>
            </w:tcBorders>
            <w:vAlign w:val="center"/>
          </w:tcPr>
          <w:p w14:paraId="5B62B9E3">
            <w:pPr>
              <w:jc w:val="center"/>
              <w:rPr>
                <w:rFonts w:hint="default" w:ascii="Arial" w:hAnsi="Arial" w:cs="Arial"/>
                <w:highlight w:val="none"/>
              </w:rPr>
            </w:pPr>
            <w:r>
              <w:rPr>
                <w:rFonts w:hint="default" w:ascii="Arial" w:hAnsi="Arial" w:cs="Arial"/>
                <w:highlight w:val="none"/>
              </w:rPr>
              <w:t>项号</w:t>
            </w:r>
          </w:p>
        </w:tc>
        <w:tc>
          <w:tcPr>
            <w:tcW w:w="1197" w:type="dxa"/>
            <w:tcBorders>
              <w:top w:val="single" w:color="auto" w:sz="4" w:space="0"/>
              <w:left w:val="single" w:color="auto" w:sz="4" w:space="0"/>
              <w:bottom w:val="single" w:color="auto" w:sz="4" w:space="0"/>
              <w:right w:val="single" w:color="auto" w:sz="4" w:space="0"/>
            </w:tcBorders>
            <w:vAlign w:val="center"/>
          </w:tcPr>
          <w:p w14:paraId="066790E9">
            <w:pPr>
              <w:jc w:val="center"/>
              <w:rPr>
                <w:rFonts w:hint="default" w:ascii="Arial" w:hAnsi="Arial" w:cs="Arial"/>
                <w:highlight w:val="none"/>
              </w:rPr>
            </w:pPr>
            <w:r>
              <w:rPr>
                <w:rFonts w:hint="eastAsia" w:ascii="Arial" w:hAnsi="Arial" w:cs="Arial"/>
                <w:highlight w:val="none"/>
                <w:lang w:val="en-US" w:eastAsia="zh-CN"/>
              </w:rPr>
              <w:t>标的</w:t>
            </w:r>
            <w:r>
              <w:rPr>
                <w:rFonts w:hint="default" w:ascii="Arial" w:hAnsi="Arial" w:cs="Arial"/>
                <w:highlight w:val="none"/>
              </w:rPr>
              <w:t>名称</w:t>
            </w:r>
          </w:p>
        </w:tc>
        <w:tc>
          <w:tcPr>
            <w:tcW w:w="1155" w:type="dxa"/>
            <w:tcBorders>
              <w:top w:val="single" w:color="auto" w:sz="4" w:space="0"/>
              <w:left w:val="single" w:color="auto" w:sz="4" w:space="0"/>
              <w:bottom w:val="single" w:color="auto" w:sz="4" w:space="0"/>
              <w:right w:val="single" w:color="auto" w:sz="4" w:space="0"/>
            </w:tcBorders>
            <w:vAlign w:val="center"/>
          </w:tcPr>
          <w:p w14:paraId="0ECF7048">
            <w:pPr>
              <w:jc w:val="center"/>
              <w:rPr>
                <w:rFonts w:hint="default" w:ascii="Arial" w:hAnsi="Arial" w:cs="Arial"/>
                <w:highlight w:val="none"/>
              </w:rPr>
            </w:pPr>
            <w:r>
              <w:rPr>
                <w:rFonts w:hint="default" w:ascii="Arial" w:hAnsi="Arial" w:cs="Arial"/>
                <w:highlight w:val="none"/>
              </w:rPr>
              <w:t>生产厂家</w:t>
            </w:r>
          </w:p>
        </w:tc>
        <w:tc>
          <w:tcPr>
            <w:tcW w:w="816" w:type="dxa"/>
            <w:tcBorders>
              <w:top w:val="single" w:color="auto" w:sz="4" w:space="0"/>
              <w:left w:val="single" w:color="auto" w:sz="4" w:space="0"/>
              <w:bottom w:val="single" w:color="auto" w:sz="4" w:space="0"/>
              <w:right w:val="single" w:color="auto" w:sz="4" w:space="0"/>
            </w:tcBorders>
            <w:vAlign w:val="center"/>
          </w:tcPr>
          <w:p w14:paraId="292BBBAE">
            <w:pPr>
              <w:jc w:val="center"/>
              <w:rPr>
                <w:rFonts w:hint="default" w:ascii="Arial" w:hAnsi="Arial" w:cs="Arial"/>
                <w:highlight w:val="none"/>
              </w:rPr>
            </w:pPr>
            <w:r>
              <w:rPr>
                <w:rFonts w:hint="default" w:ascii="Arial" w:hAnsi="Arial" w:cs="Arial"/>
                <w:highlight w:val="none"/>
              </w:rPr>
              <w:t>品牌</w:t>
            </w:r>
          </w:p>
        </w:tc>
        <w:tc>
          <w:tcPr>
            <w:tcW w:w="901" w:type="dxa"/>
            <w:tcBorders>
              <w:top w:val="single" w:color="auto" w:sz="4" w:space="0"/>
              <w:left w:val="single" w:color="auto" w:sz="4" w:space="0"/>
              <w:bottom w:val="single" w:color="auto" w:sz="4" w:space="0"/>
              <w:right w:val="single" w:color="auto" w:sz="4" w:space="0"/>
            </w:tcBorders>
            <w:vAlign w:val="center"/>
          </w:tcPr>
          <w:p w14:paraId="18836ABB">
            <w:pPr>
              <w:jc w:val="center"/>
              <w:rPr>
                <w:rFonts w:hint="default" w:ascii="Arial" w:hAnsi="Arial" w:cs="Arial"/>
                <w:highlight w:val="none"/>
              </w:rPr>
            </w:pPr>
            <w:r>
              <w:rPr>
                <w:rFonts w:hint="default" w:ascii="Arial" w:hAnsi="Arial" w:cs="Arial"/>
                <w:highlight w:val="none"/>
              </w:rPr>
              <w:t>规格型号</w:t>
            </w:r>
          </w:p>
        </w:tc>
        <w:tc>
          <w:tcPr>
            <w:tcW w:w="842" w:type="dxa"/>
            <w:tcBorders>
              <w:top w:val="single" w:color="auto" w:sz="4" w:space="0"/>
              <w:left w:val="single" w:color="auto" w:sz="4" w:space="0"/>
              <w:bottom w:val="single" w:color="auto" w:sz="4" w:space="0"/>
              <w:right w:val="single" w:color="auto" w:sz="4" w:space="0"/>
            </w:tcBorders>
            <w:vAlign w:val="center"/>
          </w:tcPr>
          <w:p w14:paraId="7B037D0E">
            <w:pPr>
              <w:jc w:val="center"/>
              <w:rPr>
                <w:rFonts w:hint="default" w:ascii="Arial" w:hAnsi="Arial" w:cs="Arial"/>
                <w:highlight w:val="none"/>
              </w:rPr>
            </w:pPr>
            <w:r>
              <w:rPr>
                <w:rFonts w:hint="default" w:ascii="Arial" w:hAnsi="Arial" w:cs="Arial"/>
                <w:highlight w:val="none"/>
              </w:rPr>
              <w:t>数量</w:t>
            </w:r>
          </w:p>
          <w:p w14:paraId="3026BB37">
            <w:pPr>
              <w:jc w:val="center"/>
              <w:rPr>
                <w:rFonts w:hint="default" w:ascii="Arial" w:hAnsi="Arial" w:cs="Arial"/>
                <w:highlight w:val="none"/>
              </w:rPr>
            </w:pPr>
            <w:r>
              <w:rPr>
                <w:rFonts w:hint="default" w:ascii="Arial" w:hAnsi="Arial" w:cs="Arial"/>
                <w:szCs w:val="21"/>
                <w:highlight w:val="none"/>
              </w:rPr>
              <w:t>①</w:t>
            </w:r>
          </w:p>
        </w:tc>
        <w:tc>
          <w:tcPr>
            <w:tcW w:w="841" w:type="dxa"/>
            <w:tcBorders>
              <w:top w:val="single" w:color="auto" w:sz="4" w:space="0"/>
              <w:left w:val="single" w:color="auto" w:sz="4" w:space="0"/>
              <w:bottom w:val="single" w:color="auto" w:sz="4" w:space="0"/>
              <w:right w:val="single" w:color="auto" w:sz="4" w:space="0"/>
            </w:tcBorders>
            <w:vAlign w:val="center"/>
          </w:tcPr>
          <w:p w14:paraId="4C9A4FD0">
            <w:pPr>
              <w:jc w:val="center"/>
              <w:rPr>
                <w:rFonts w:hint="default" w:ascii="Arial" w:hAnsi="Arial" w:cs="Arial"/>
                <w:highlight w:val="none"/>
              </w:rPr>
            </w:pPr>
            <w:r>
              <w:rPr>
                <w:rFonts w:hint="default" w:ascii="Arial" w:hAnsi="Arial" w:cs="Arial"/>
                <w:highlight w:val="none"/>
              </w:rPr>
              <w:t>单位</w:t>
            </w:r>
          </w:p>
        </w:tc>
        <w:tc>
          <w:tcPr>
            <w:tcW w:w="1404" w:type="dxa"/>
            <w:tcBorders>
              <w:top w:val="single" w:color="auto" w:sz="4" w:space="0"/>
              <w:left w:val="single" w:color="auto" w:sz="4" w:space="0"/>
              <w:bottom w:val="single" w:color="auto" w:sz="4" w:space="0"/>
              <w:right w:val="single" w:color="auto" w:sz="4" w:space="0"/>
            </w:tcBorders>
            <w:vAlign w:val="center"/>
          </w:tcPr>
          <w:p w14:paraId="3FF39725">
            <w:pPr>
              <w:jc w:val="center"/>
              <w:rPr>
                <w:rFonts w:hint="default" w:ascii="Arial" w:hAnsi="Arial" w:cs="Arial"/>
                <w:highlight w:val="none"/>
              </w:rPr>
            </w:pPr>
            <w:r>
              <w:rPr>
                <w:rFonts w:hint="default" w:ascii="Arial" w:hAnsi="Arial" w:cs="Arial"/>
                <w:highlight w:val="none"/>
              </w:rPr>
              <w:t>单价（元）</w:t>
            </w:r>
          </w:p>
          <w:p w14:paraId="76AB43A0">
            <w:pPr>
              <w:jc w:val="center"/>
              <w:rPr>
                <w:rFonts w:hint="default" w:ascii="Arial" w:hAnsi="Arial" w:cs="Arial"/>
                <w:highlight w:val="none"/>
              </w:rPr>
            </w:pPr>
            <w:r>
              <w:rPr>
                <w:rFonts w:hint="default" w:ascii="Arial" w:hAnsi="Arial" w:cs="Arial"/>
                <w:szCs w:val="21"/>
                <w:highlight w:val="none"/>
              </w:rPr>
              <w:t>②</w:t>
            </w:r>
          </w:p>
        </w:tc>
        <w:tc>
          <w:tcPr>
            <w:tcW w:w="2268" w:type="dxa"/>
            <w:tcBorders>
              <w:top w:val="single" w:color="auto" w:sz="4" w:space="0"/>
              <w:left w:val="single" w:color="auto" w:sz="4" w:space="0"/>
              <w:bottom w:val="single" w:color="auto" w:sz="4" w:space="0"/>
            </w:tcBorders>
            <w:vAlign w:val="center"/>
          </w:tcPr>
          <w:p w14:paraId="1044250A">
            <w:pPr>
              <w:jc w:val="center"/>
              <w:rPr>
                <w:rFonts w:hint="default" w:ascii="Arial" w:hAnsi="Arial" w:cs="Arial"/>
                <w:highlight w:val="none"/>
              </w:rPr>
            </w:pPr>
            <w:r>
              <w:rPr>
                <w:rFonts w:hint="default" w:ascii="Arial" w:hAnsi="Arial" w:cs="Arial"/>
                <w:highlight w:val="none"/>
              </w:rPr>
              <w:t>单项合计=数量×单价</w:t>
            </w:r>
          </w:p>
          <w:p w14:paraId="24BF0C44">
            <w:pPr>
              <w:jc w:val="center"/>
              <w:rPr>
                <w:rFonts w:hint="default" w:ascii="Arial" w:hAnsi="Arial" w:cs="Arial"/>
                <w:highlight w:val="none"/>
              </w:rPr>
            </w:pPr>
            <w:r>
              <w:rPr>
                <w:rFonts w:hint="default" w:ascii="Arial" w:hAnsi="Arial" w:cs="Arial"/>
                <w:szCs w:val="21"/>
                <w:highlight w:val="none"/>
              </w:rPr>
              <w:t>③＝①×②</w:t>
            </w:r>
          </w:p>
        </w:tc>
      </w:tr>
      <w:tr w14:paraId="42D183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00" w:hRule="atLeast"/>
        </w:trPr>
        <w:tc>
          <w:tcPr>
            <w:tcW w:w="561" w:type="dxa"/>
            <w:tcBorders>
              <w:top w:val="single" w:color="auto" w:sz="4" w:space="0"/>
              <w:left w:val="single" w:color="auto" w:sz="4" w:space="0"/>
              <w:bottom w:val="single" w:color="auto" w:sz="4" w:space="0"/>
              <w:right w:val="single" w:color="auto" w:sz="4" w:space="0"/>
            </w:tcBorders>
            <w:vAlign w:val="center"/>
          </w:tcPr>
          <w:p w14:paraId="605C9CBE">
            <w:pPr>
              <w:jc w:val="center"/>
              <w:rPr>
                <w:rFonts w:hint="default" w:ascii="Arial" w:hAnsi="Arial" w:cs="Arial"/>
                <w:szCs w:val="21"/>
                <w:highlight w:val="none"/>
              </w:rPr>
            </w:pPr>
            <w:r>
              <w:rPr>
                <w:rFonts w:hint="default" w:ascii="Arial" w:hAnsi="Arial" w:cs="Arial"/>
                <w:szCs w:val="21"/>
                <w:highlight w:val="none"/>
              </w:rPr>
              <w:t>1</w:t>
            </w:r>
          </w:p>
        </w:tc>
        <w:tc>
          <w:tcPr>
            <w:tcW w:w="1197" w:type="dxa"/>
            <w:tcBorders>
              <w:top w:val="single" w:color="auto" w:sz="4" w:space="0"/>
              <w:left w:val="single" w:color="auto" w:sz="4" w:space="0"/>
              <w:bottom w:val="single" w:color="auto" w:sz="4" w:space="0"/>
              <w:right w:val="single" w:color="auto" w:sz="4" w:space="0"/>
            </w:tcBorders>
            <w:vAlign w:val="center"/>
          </w:tcPr>
          <w:p w14:paraId="1B860420">
            <w:pPr>
              <w:jc w:val="center"/>
              <w:rPr>
                <w:rFonts w:hint="default" w:ascii="Arial" w:hAnsi="Arial" w:cs="Arial"/>
                <w:highlight w:val="none"/>
              </w:rPr>
            </w:pPr>
          </w:p>
        </w:tc>
        <w:tc>
          <w:tcPr>
            <w:tcW w:w="1155" w:type="dxa"/>
            <w:tcBorders>
              <w:top w:val="single" w:color="auto" w:sz="4" w:space="0"/>
              <w:left w:val="single" w:color="auto" w:sz="4" w:space="0"/>
              <w:bottom w:val="single" w:color="auto" w:sz="4" w:space="0"/>
              <w:right w:val="single" w:color="auto" w:sz="4" w:space="0"/>
            </w:tcBorders>
            <w:vAlign w:val="center"/>
          </w:tcPr>
          <w:p w14:paraId="7ECE954B">
            <w:pPr>
              <w:jc w:val="center"/>
              <w:rPr>
                <w:rFonts w:hint="default" w:ascii="Arial" w:hAnsi="Arial" w:cs="Arial"/>
                <w:highlight w:val="none"/>
              </w:rPr>
            </w:pPr>
          </w:p>
        </w:tc>
        <w:tc>
          <w:tcPr>
            <w:tcW w:w="816" w:type="dxa"/>
            <w:tcBorders>
              <w:top w:val="single" w:color="auto" w:sz="4" w:space="0"/>
              <w:left w:val="single" w:color="auto" w:sz="4" w:space="0"/>
              <w:bottom w:val="single" w:color="auto" w:sz="4" w:space="0"/>
              <w:right w:val="single" w:color="auto" w:sz="4" w:space="0"/>
            </w:tcBorders>
            <w:vAlign w:val="center"/>
          </w:tcPr>
          <w:p w14:paraId="1511B8C5">
            <w:pPr>
              <w:jc w:val="center"/>
              <w:rPr>
                <w:rFonts w:hint="default" w:ascii="Arial" w:hAnsi="Arial" w:cs="Arial"/>
                <w:highlight w:val="none"/>
              </w:rPr>
            </w:pPr>
          </w:p>
        </w:tc>
        <w:tc>
          <w:tcPr>
            <w:tcW w:w="901" w:type="dxa"/>
            <w:tcBorders>
              <w:top w:val="single" w:color="auto" w:sz="4" w:space="0"/>
              <w:left w:val="single" w:color="auto" w:sz="4" w:space="0"/>
              <w:bottom w:val="single" w:color="auto" w:sz="4" w:space="0"/>
              <w:right w:val="single" w:color="auto" w:sz="4" w:space="0"/>
            </w:tcBorders>
            <w:vAlign w:val="center"/>
          </w:tcPr>
          <w:p w14:paraId="5B879CF7">
            <w:pPr>
              <w:jc w:val="center"/>
              <w:rPr>
                <w:rFonts w:hint="default" w:ascii="Arial" w:hAnsi="Arial" w:cs="Arial"/>
                <w:highlight w:val="none"/>
              </w:rPr>
            </w:pPr>
          </w:p>
        </w:tc>
        <w:tc>
          <w:tcPr>
            <w:tcW w:w="842" w:type="dxa"/>
            <w:tcBorders>
              <w:top w:val="single" w:color="auto" w:sz="4" w:space="0"/>
              <w:left w:val="single" w:color="auto" w:sz="4" w:space="0"/>
              <w:bottom w:val="single" w:color="auto" w:sz="4" w:space="0"/>
              <w:right w:val="single" w:color="auto" w:sz="4" w:space="0"/>
            </w:tcBorders>
            <w:vAlign w:val="center"/>
          </w:tcPr>
          <w:p w14:paraId="007C9124">
            <w:pPr>
              <w:jc w:val="center"/>
              <w:rPr>
                <w:rFonts w:hint="default" w:ascii="Arial" w:hAnsi="Arial" w:cs="Arial"/>
                <w:szCs w:val="21"/>
                <w:highlight w:val="none"/>
              </w:rPr>
            </w:pPr>
          </w:p>
        </w:tc>
        <w:tc>
          <w:tcPr>
            <w:tcW w:w="841" w:type="dxa"/>
            <w:tcBorders>
              <w:top w:val="single" w:color="auto" w:sz="4" w:space="0"/>
              <w:left w:val="single" w:color="auto" w:sz="4" w:space="0"/>
              <w:bottom w:val="single" w:color="auto" w:sz="4" w:space="0"/>
              <w:right w:val="single" w:color="auto" w:sz="4" w:space="0"/>
            </w:tcBorders>
            <w:vAlign w:val="center"/>
          </w:tcPr>
          <w:p w14:paraId="58CF812A">
            <w:pPr>
              <w:jc w:val="center"/>
              <w:rPr>
                <w:rFonts w:hint="default" w:ascii="Arial" w:hAnsi="Arial" w:cs="Arial"/>
                <w:szCs w:val="21"/>
                <w:highlight w:val="none"/>
              </w:rPr>
            </w:pPr>
          </w:p>
        </w:tc>
        <w:tc>
          <w:tcPr>
            <w:tcW w:w="1404" w:type="dxa"/>
            <w:tcBorders>
              <w:top w:val="single" w:color="auto" w:sz="4" w:space="0"/>
              <w:left w:val="single" w:color="auto" w:sz="4" w:space="0"/>
              <w:bottom w:val="single" w:color="auto" w:sz="4" w:space="0"/>
              <w:right w:val="single" w:color="auto" w:sz="4" w:space="0"/>
            </w:tcBorders>
            <w:vAlign w:val="center"/>
          </w:tcPr>
          <w:p w14:paraId="748F6E37">
            <w:pPr>
              <w:jc w:val="center"/>
              <w:rPr>
                <w:rFonts w:hint="default" w:ascii="Arial" w:hAnsi="Arial" w:cs="Arial"/>
                <w:b/>
                <w:bCs/>
                <w:highlight w:val="none"/>
              </w:rPr>
            </w:pPr>
          </w:p>
        </w:tc>
        <w:tc>
          <w:tcPr>
            <w:tcW w:w="2268" w:type="dxa"/>
            <w:tcBorders>
              <w:top w:val="single" w:color="auto" w:sz="4" w:space="0"/>
              <w:left w:val="single" w:color="auto" w:sz="4" w:space="0"/>
              <w:bottom w:val="single" w:color="auto" w:sz="4" w:space="0"/>
            </w:tcBorders>
            <w:vAlign w:val="center"/>
          </w:tcPr>
          <w:p w14:paraId="54ECE40E">
            <w:pPr>
              <w:jc w:val="center"/>
              <w:rPr>
                <w:rFonts w:hint="default" w:ascii="Arial" w:hAnsi="Arial" w:cs="Arial"/>
                <w:b/>
                <w:bCs/>
                <w:highlight w:val="none"/>
              </w:rPr>
            </w:pPr>
          </w:p>
        </w:tc>
      </w:tr>
      <w:tr w14:paraId="5269F8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00" w:hRule="atLeast"/>
        </w:trPr>
        <w:tc>
          <w:tcPr>
            <w:tcW w:w="561" w:type="dxa"/>
            <w:tcBorders>
              <w:top w:val="single" w:color="auto" w:sz="4" w:space="0"/>
              <w:left w:val="single" w:color="auto" w:sz="4" w:space="0"/>
              <w:bottom w:val="single" w:color="auto" w:sz="4" w:space="0"/>
              <w:right w:val="single" w:color="auto" w:sz="4" w:space="0"/>
            </w:tcBorders>
            <w:vAlign w:val="center"/>
          </w:tcPr>
          <w:p w14:paraId="28B06EB3">
            <w:pPr>
              <w:jc w:val="center"/>
              <w:rPr>
                <w:rFonts w:hint="default" w:ascii="Arial" w:hAnsi="Arial" w:cs="Arial"/>
                <w:szCs w:val="21"/>
                <w:highlight w:val="none"/>
              </w:rPr>
            </w:pPr>
            <w:r>
              <w:rPr>
                <w:rFonts w:hint="default" w:ascii="Arial" w:hAnsi="Arial" w:cs="Arial"/>
                <w:szCs w:val="21"/>
                <w:highlight w:val="none"/>
              </w:rPr>
              <w:t>…</w:t>
            </w:r>
          </w:p>
        </w:tc>
        <w:tc>
          <w:tcPr>
            <w:tcW w:w="1197" w:type="dxa"/>
            <w:tcBorders>
              <w:top w:val="single" w:color="auto" w:sz="4" w:space="0"/>
              <w:left w:val="single" w:color="auto" w:sz="4" w:space="0"/>
              <w:bottom w:val="single" w:color="auto" w:sz="4" w:space="0"/>
              <w:right w:val="single" w:color="auto" w:sz="4" w:space="0"/>
            </w:tcBorders>
            <w:vAlign w:val="center"/>
          </w:tcPr>
          <w:p w14:paraId="16E12FB7">
            <w:pPr>
              <w:jc w:val="center"/>
              <w:rPr>
                <w:rFonts w:hint="default" w:ascii="Arial" w:hAnsi="Arial" w:cs="Arial"/>
                <w:highlight w:val="none"/>
              </w:rPr>
            </w:pPr>
          </w:p>
        </w:tc>
        <w:tc>
          <w:tcPr>
            <w:tcW w:w="1155" w:type="dxa"/>
            <w:tcBorders>
              <w:top w:val="single" w:color="auto" w:sz="4" w:space="0"/>
              <w:left w:val="single" w:color="auto" w:sz="4" w:space="0"/>
              <w:bottom w:val="single" w:color="auto" w:sz="4" w:space="0"/>
              <w:right w:val="single" w:color="auto" w:sz="4" w:space="0"/>
            </w:tcBorders>
            <w:vAlign w:val="center"/>
          </w:tcPr>
          <w:p w14:paraId="153855E3">
            <w:pPr>
              <w:jc w:val="center"/>
              <w:rPr>
                <w:rFonts w:hint="default" w:ascii="Arial" w:hAnsi="Arial" w:cs="Arial"/>
                <w:highlight w:val="none"/>
              </w:rPr>
            </w:pPr>
          </w:p>
        </w:tc>
        <w:tc>
          <w:tcPr>
            <w:tcW w:w="816" w:type="dxa"/>
            <w:tcBorders>
              <w:top w:val="single" w:color="auto" w:sz="4" w:space="0"/>
              <w:left w:val="single" w:color="auto" w:sz="4" w:space="0"/>
              <w:bottom w:val="single" w:color="auto" w:sz="4" w:space="0"/>
              <w:right w:val="single" w:color="auto" w:sz="4" w:space="0"/>
            </w:tcBorders>
            <w:vAlign w:val="center"/>
          </w:tcPr>
          <w:p w14:paraId="7493683A">
            <w:pPr>
              <w:jc w:val="center"/>
              <w:rPr>
                <w:rFonts w:hint="default" w:ascii="Arial" w:hAnsi="Arial" w:cs="Arial"/>
                <w:highlight w:val="none"/>
              </w:rPr>
            </w:pPr>
          </w:p>
        </w:tc>
        <w:tc>
          <w:tcPr>
            <w:tcW w:w="901" w:type="dxa"/>
            <w:tcBorders>
              <w:top w:val="single" w:color="auto" w:sz="4" w:space="0"/>
              <w:left w:val="single" w:color="auto" w:sz="4" w:space="0"/>
              <w:bottom w:val="single" w:color="auto" w:sz="4" w:space="0"/>
              <w:right w:val="single" w:color="auto" w:sz="4" w:space="0"/>
            </w:tcBorders>
            <w:vAlign w:val="center"/>
          </w:tcPr>
          <w:p w14:paraId="369A88F6">
            <w:pPr>
              <w:jc w:val="center"/>
              <w:rPr>
                <w:rFonts w:hint="default" w:ascii="Arial" w:hAnsi="Arial" w:cs="Arial"/>
                <w:highlight w:val="none"/>
              </w:rPr>
            </w:pPr>
          </w:p>
        </w:tc>
        <w:tc>
          <w:tcPr>
            <w:tcW w:w="842" w:type="dxa"/>
            <w:tcBorders>
              <w:top w:val="single" w:color="auto" w:sz="4" w:space="0"/>
              <w:left w:val="single" w:color="auto" w:sz="4" w:space="0"/>
              <w:bottom w:val="single" w:color="auto" w:sz="4" w:space="0"/>
              <w:right w:val="single" w:color="auto" w:sz="4" w:space="0"/>
            </w:tcBorders>
            <w:vAlign w:val="center"/>
          </w:tcPr>
          <w:p w14:paraId="03E3EE46">
            <w:pPr>
              <w:jc w:val="center"/>
              <w:rPr>
                <w:rFonts w:hint="default" w:ascii="Arial" w:hAnsi="Arial" w:cs="Arial"/>
                <w:szCs w:val="21"/>
                <w:highlight w:val="none"/>
              </w:rPr>
            </w:pPr>
          </w:p>
        </w:tc>
        <w:tc>
          <w:tcPr>
            <w:tcW w:w="841" w:type="dxa"/>
            <w:tcBorders>
              <w:top w:val="single" w:color="auto" w:sz="4" w:space="0"/>
              <w:left w:val="single" w:color="auto" w:sz="4" w:space="0"/>
              <w:bottom w:val="single" w:color="auto" w:sz="4" w:space="0"/>
              <w:right w:val="single" w:color="auto" w:sz="4" w:space="0"/>
            </w:tcBorders>
            <w:vAlign w:val="center"/>
          </w:tcPr>
          <w:p w14:paraId="753F3171">
            <w:pPr>
              <w:jc w:val="center"/>
              <w:rPr>
                <w:rFonts w:hint="default" w:ascii="Arial" w:hAnsi="Arial" w:cs="Arial"/>
                <w:szCs w:val="21"/>
                <w:highlight w:val="none"/>
              </w:rPr>
            </w:pPr>
          </w:p>
        </w:tc>
        <w:tc>
          <w:tcPr>
            <w:tcW w:w="1404" w:type="dxa"/>
            <w:tcBorders>
              <w:top w:val="single" w:color="auto" w:sz="4" w:space="0"/>
              <w:left w:val="single" w:color="auto" w:sz="4" w:space="0"/>
              <w:bottom w:val="single" w:color="auto" w:sz="4" w:space="0"/>
              <w:right w:val="single" w:color="auto" w:sz="4" w:space="0"/>
            </w:tcBorders>
            <w:vAlign w:val="center"/>
          </w:tcPr>
          <w:p w14:paraId="3BF94D6B">
            <w:pPr>
              <w:jc w:val="center"/>
              <w:rPr>
                <w:rFonts w:hint="default" w:ascii="Arial" w:hAnsi="Arial" w:cs="Arial"/>
                <w:b/>
                <w:bCs/>
                <w:highlight w:val="none"/>
              </w:rPr>
            </w:pPr>
          </w:p>
        </w:tc>
        <w:tc>
          <w:tcPr>
            <w:tcW w:w="2268" w:type="dxa"/>
            <w:tcBorders>
              <w:top w:val="single" w:color="auto" w:sz="4" w:space="0"/>
              <w:left w:val="single" w:color="auto" w:sz="4" w:space="0"/>
              <w:bottom w:val="single" w:color="auto" w:sz="4" w:space="0"/>
            </w:tcBorders>
            <w:vAlign w:val="center"/>
          </w:tcPr>
          <w:p w14:paraId="3EE80818">
            <w:pPr>
              <w:jc w:val="center"/>
              <w:rPr>
                <w:rFonts w:hint="default" w:ascii="Arial" w:hAnsi="Arial" w:cs="Arial"/>
                <w:b/>
                <w:bCs/>
                <w:highlight w:val="none"/>
              </w:rPr>
            </w:pPr>
          </w:p>
        </w:tc>
      </w:tr>
      <w:tr w14:paraId="2040C4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00" w:hRule="atLeast"/>
        </w:trPr>
        <w:tc>
          <w:tcPr>
            <w:tcW w:w="9985" w:type="dxa"/>
            <w:gridSpan w:val="9"/>
            <w:tcBorders>
              <w:top w:val="single" w:color="auto" w:sz="4" w:space="0"/>
              <w:left w:val="single" w:color="auto" w:sz="4" w:space="0"/>
              <w:bottom w:val="single" w:color="auto" w:sz="4" w:space="0"/>
            </w:tcBorders>
            <w:vAlign w:val="center"/>
          </w:tcPr>
          <w:p w14:paraId="2CDA67CB">
            <w:pPr>
              <w:rPr>
                <w:rFonts w:hint="default" w:ascii="Arial" w:hAnsi="Arial" w:cs="Arial"/>
                <w:b/>
                <w:bCs/>
                <w:highlight w:val="none"/>
              </w:rPr>
            </w:pPr>
            <w:r>
              <w:rPr>
                <w:rFonts w:hint="default" w:ascii="Arial" w:hAnsi="Arial" w:cs="Arial"/>
                <w:spacing w:val="-6"/>
                <w:highlight w:val="none"/>
              </w:rPr>
              <w:t>投标总报价（大写）：                                            元（￥                      ）人民币</w:t>
            </w:r>
          </w:p>
        </w:tc>
      </w:tr>
      <w:tr w14:paraId="15F268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00" w:hRule="atLeast"/>
        </w:trPr>
        <w:tc>
          <w:tcPr>
            <w:tcW w:w="9985" w:type="dxa"/>
            <w:gridSpan w:val="9"/>
            <w:tcBorders>
              <w:top w:val="single" w:color="auto" w:sz="4" w:space="0"/>
              <w:left w:val="single" w:color="auto" w:sz="4" w:space="0"/>
              <w:bottom w:val="single" w:color="auto" w:sz="4" w:space="0"/>
            </w:tcBorders>
            <w:vAlign w:val="center"/>
          </w:tcPr>
          <w:p w14:paraId="1495D6EC">
            <w:pPr>
              <w:rPr>
                <w:rFonts w:hint="default" w:ascii="Arial" w:hAnsi="Arial" w:cs="Arial"/>
                <w:spacing w:val="-6"/>
                <w:highlight w:val="none"/>
              </w:rPr>
            </w:pPr>
            <w:r>
              <w:rPr>
                <w:rFonts w:hint="default" w:ascii="Arial" w:hAnsi="Arial" w:cs="Arial"/>
                <w:spacing w:val="-6"/>
                <w:highlight w:val="none"/>
              </w:rPr>
              <w:t>本项目投标有效期为投标截止时间之日起90天。</w:t>
            </w:r>
          </w:p>
        </w:tc>
      </w:tr>
      <w:tr w14:paraId="7861F3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00" w:hRule="atLeast"/>
        </w:trPr>
        <w:tc>
          <w:tcPr>
            <w:tcW w:w="9985" w:type="dxa"/>
            <w:gridSpan w:val="9"/>
            <w:tcBorders>
              <w:top w:val="single" w:color="auto" w:sz="4" w:space="0"/>
              <w:left w:val="single" w:color="auto" w:sz="4" w:space="0"/>
              <w:bottom w:val="single" w:color="auto" w:sz="4" w:space="0"/>
            </w:tcBorders>
            <w:vAlign w:val="center"/>
          </w:tcPr>
          <w:p w14:paraId="78E2FEC5">
            <w:pPr>
              <w:rPr>
                <w:rFonts w:hint="default" w:ascii="Arial" w:hAnsi="Arial" w:cs="Arial"/>
                <w:spacing w:val="-6"/>
                <w:highlight w:val="none"/>
              </w:rPr>
            </w:pPr>
            <w:r>
              <w:rPr>
                <w:rFonts w:hint="default" w:ascii="Arial" w:hAnsi="Arial" w:cs="Arial"/>
                <w:spacing w:val="-6"/>
                <w:highlight w:val="none"/>
              </w:rPr>
              <w:t>保修期：</w:t>
            </w:r>
          </w:p>
        </w:tc>
      </w:tr>
      <w:tr w14:paraId="02AA40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00" w:hRule="atLeast"/>
        </w:trPr>
        <w:tc>
          <w:tcPr>
            <w:tcW w:w="9985" w:type="dxa"/>
            <w:gridSpan w:val="9"/>
            <w:tcBorders>
              <w:top w:val="single" w:color="auto" w:sz="4" w:space="0"/>
              <w:left w:val="single" w:color="auto" w:sz="4" w:space="0"/>
              <w:bottom w:val="single" w:color="auto" w:sz="4" w:space="0"/>
            </w:tcBorders>
            <w:vAlign w:val="center"/>
          </w:tcPr>
          <w:p w14:paraId="652251D1">
            <w:pPr>
              <w:rPr>
                <w:rFonts w:hint="default" w:ascii="Arial" w:hAnsi="Arial" w:cs="Arial"/>
                <w:highlight w:val="none"/>
              </w:rPr>
            </w:pPr>
            <w:r>
              <w:rPr>
                <w:rFonts w:hint="default" w:ascii="Arial" w:hAnsi="Arial" w:cs="Arial"/>
                <w:highlight w:val="none"/>
              </w:rPr>
              <w:t xml:space="preserve">其中：属于财政部《节能产品政府采购品目清单》内产品的总金额为人民币（大写）：      元 （￥    ）； </w:t>
            </w:r>
          </w:p>
          <w:p w14:paraId="1AF6519F">
            <w:pPr>
              <w:rPr>
                <w:rFonts w:hint="default" w:ascii="Arial" w:hAnsi="Arial" w:cs="Arial"/>
                <w:highlight w:val="none"/>
              </w:rPr>
            </w:pPr>
            <w:r>
              <w:rPr>
                <w:rFonts w:hint="default" w:ascii="Arial" w:hAnsi="Arial" w:cs="Arial"/>
                <w:highlight w:val="none"/>
              </w:rPr>
              <w:t>属于财政部《环境标志产品政府采购品目清单》内产品的总金额为人民币（大写）：     元 （￥    ）。</w:t>
            </w:r>
          </w:p>
          <w:p w14:paraId="7B919E8F">
            <w:pPr>
              <w:rPr>
                <w:rFonts w:hint="default" w:ascii="Arial" w:hAnsi="Arial" w:cs="Arial"/>
                <w:b/>
                <w:bCs/>
                <w:spacing w:val="-6"/>
                <w:highlight w:val="none"/>
              </w:rPr>
            </w:pPr>
            <w:r>
              <w:rPr>
                <w:rFonts w:hint="default" w:ascii="Arial" w:hAnsi="Arial" w:cs="Arial"/>
                <w:b/>
                <w:bCs/>
                <w:highlight w:val="none"/>
              </w:rPr>
              <w:t>备注：若不属于财政部《节能产品政府采购品目清单》及《环境标志产品政府采购品目清单》内产品的，则 该处填写“无”字样。</w:t>
            </w:r>
          </w:p>
        </w:tc>
      </w:tr>
    </w:tbl>
    <w:p w14:paraId="2AB3C7FF">
      <w:pPr>
        <w:pStyle w:val="27"/>
        <w:spacing w:line="216" w:lineRule="auto"/>
        <w:ind w:firstLine="420"/>
        <w:rPr>
          <w:rFonts w:hint="default" w:ascii="Arial" w:hAnsi="Arial" w:cs="Arial"/>
          <w:highlight w:val="none"/>
        </w:rPr>
      </w:pPr>
      <w:r>
        <w:rPr>
          <w:rFonts w:hint="default" w:ascii="Arial" w:hAnsi="Arial" w:cs="Arial"/>
          <w:highlight w:val="none"/>
        </w:rPr>
        <w:t>与本投标有关的正式通讯地址为：</w:t>
      </w:r>
    </w:p>
    <w:p w14:paraId="36A1C35E">
      <w:pPr>
        <w:pStyle w:val="27"/>
        <w:spacing w:line="216" w:lineRule="auto"/>
        <w:ind w:firstLine="420"/>
        <w:rPr>
          <w:rFonts w:hint="default" w:ascii="Arial" w:hAnsi="Arial" w:cs="Arial"/>
          <w:highlight w:val="none"/>
          <w:u w:val="single"/>
        </w:rPr>
      </w:pPr>
      <w:r>
        <w:rPr>
          <w:rFonts w:hint="default" w:ascii="Arial" w:hAnsi="Arial" w:cs="Arial"/>
          <w:highlight w:val="none"/>
        </w:rPr>
        <w:t>地址： 邮编：  电话、传真：</w:t>
      </w:r>
    </w:p>
    <w:p w14:paraId="7C1960B0">
      <w:pPr>
        <w:pStyle w:val="27"/>
        <w:spacing w:line="216" w:lineRule="auto"/>
        <w:ind w:firstLine="420"/>
        <w:rPr>
          <w:rFonts w:hint="default" w:ascii="Arial" w:hAnsi="Arial" w:cs="Arial"/>
          <w:highlight w:val="none"/>
        </w:rPr>
      </w:pPr>
      <w:r>
        <w:rPr>
          <w:rFonts w:hint="default" w:ascii="Arial" w:hAnsi="Arial" w:cs="Arial"/>
          <w:highlight w:val="none"/>
        </w:rPr>
        <w:t>开户名称：</w:t>
      </w:r>
    </w:p>
    <w:p w14:paraId="241A90AA">
      <w:pPr>
        <w:pStyle w:val="27"/>
        <w:spacing w:line="216" w:lineRule="auto"/>
        <w:ind w:firstLine="420"/>
        <w:rPr>
          <w:rFonts w:hint="default" w:ascii="Arial" w:hAnsi="Arial" w:cs="Arial"/>
          <w:highlight w:val="none"/>
        </w:rPr>
      </w:pPr>
      <w:r>
        <w:rPr>
          <w:rFonts w:hint="default" w:ascii="Arial" w:hAnsi="Arial" w:cs="Arial"/>
          <w:highlight w:val="none"/>
        </w:rPr>
        <w:t>开户银行：</w:t>
      </w:r>
      <w:r>
        <w:rPr>
          <w:rFonts w:hint="default" w:ascii="Arial" w:hAnsi="Arial" w:cs="Arial"/>
          <w:highlight w:val="none"/>
          <w:u w:val="single"/>
        </w:rPr>
        <w:t xml:space="preserve">                               　       </w:t>
      </w:r>
    </w:p>
    <w:p w14:paraId="400EE1FC">
      <w:pPr>
        <w:pStyle w:val="27"/>
        <w:spacing w:line="216" w:lineRule="auto"/>
        <w:ind w:firstLine="420"/>
        <w:rPr>
          <w:rFonts w:hint="default" w:ascii="Arial" w:hAnsi="Arial" w:cs="Arial"/>
          <w:highlight w:val="none"/>
        </w:rPr>
      </w:pPr>
      <w:r>
        <w:rPr>
          <w:rFonts w:hint="default" w:ascii="Arial" w:hAnsi="Arial" w:cs="Arial"/>
          <w:highlight w:val="none"/>
        </w:rPr>
        <w:t>账号：</w:t>
      </w:r>
      <w:r>
        <w:rPr>
          <w:rFonts w:hint="default" w:ascii="Arial" w:hAnsi="Arial" w:cs="Arial"/>
          <w:highlight w:val="none"/>
          <w:u w:val="single"/>
        </w:rPr>
        <w:t xml:space="preserve">                                   　　　   </w:t>
      </w:r>
    </w:p>
    <w:p w14:paraId="0D8E6CA0">
      <w:pPr>
        <w:pStyle w:val="27"/>
        <w:spacing w:line="216" w:lineRule="auto"/>
        <w:ind w:firstLine="420"/>
        <w:rPr>
          <w:rFonts w:hint="default" w:ascii="Arial" w:hAnsi="Arial" w:cs="Arial"/>
          <w:highlight w:val="none"/>
        </w:rPr>
      </w:pPr>
      <w:r>
        <w:rPr>
          <w:rFonts w:hint="default" w:ascii="Arial" w:hAnsi="Arial" w:cs="Arial"/>
          <w:highlight w:val="none"/>
        </w:rPr>
        <w:t>投标人（CA签章，自然人除外）：</w:t>
      </w:r>
    </w:p>
    <w:p w14:paraId="58A5718A">
      <w:pPr>
        <w:pStyle w:val="27"/>
        <w:spacing w:line="216" w:lineRule="auto"/>
        <w:ind w:firstLine="420"/>
        <w:rPr>
          <w:rFonts w:hint="default" w:ascii="Arial" w:hAnsi="Arial" w:cs="Arial"/>
          <w:highlight w:val="none"/>
          <w:u w:val="single"/>
        </w:rPr>
      </w:pPr>
      <w:r>
        <w:rPr>
          <w:rFonts w:hint="default" w:ascii="Arial" w:hAnsi="Arial" w:cs="Arial"/>
          <w:highlight w:val="none"/>
        </w:rPr>
        <w:t>法定代表人、负责人、自然人或相应的委托代理人签字或个人CA签章（属自然人的应在签名处加盖食指指印或个人CA签章）：</w:t>
      </w:r>
    </w:p>
    <w:p w14:paraId="4B2A661D">
      <w:pPr>
        <w:pStyle w:val="27"/>
        <w:spacing w:line="216" w:lineRule="auto"/>
        <w:ind w:firstLine="420"/>
        <w:rPr>
          <w:rFonts w:hint="default" w:ascii="Arial" w:hAnsi="Arial" w:cs="Arial"/>
          <w:highlight w:val="none"/>
        </w:rPr>
      </w:pPr>
      <w:r>
        <w:rPr>
          <w:rFonts w:hint="default" w:ascii="Arial" w:hAnsi="Arial" w:cs="Arial"/>
          <w:highlight w:val="none"/>
        </w:rPr>
        <w:t>投标日期：</w:t>
      </w:r>
    </w:p>
    <w:p w14:paraId="49F1087B">
      <w:pPr>
        <w:keepNext w:val="0"/>
        <w:keepLines w:val="0"/>
        <w:pageBreakBefore w:val="0"/>
        <w:widowControl w:val="0"/>
        <w:tabs>
          <w:tab w:val="left" w:pos="1305"/>
        </w:tabs>
        <w:kinsoku/>
        <w:wordWrap/>
        <w:overflowPunct/>
        <w:topLinePunct w:val="0"/>
        <w:autoSpaceDE/>
        <w:autoSpaceDN/>
        <w:bidi w:val="0"/>
        <w:adjustRightInd/>
        <w:snapToGrid/>
        <w:spacing w:line="216" w:lineRule="auto"/>
        <w:ind w:firstLine="420" w:firstLineChars="200"/>
        <w:jc w:val="left"/>
        <w:textAlignment w:val="auto"/>
        <w:rPr>
          <w:rFonts w:hint="default" w:ascii="Arial" w:hAnsi="Arial" w:cs="Arial"/>
          <w:b/>
          <w:szCs w:val="21"/>
          <w:highlight w:val="none"/>
        </w:rPr>
      </w:pPr>
      <w:r>
        <w:rPr>
          <w:rFonts w:hint="default" w:ascii="Arial" w:hAnsi="Arial" w:cs="Arial"/>
          <w:b/>
          <w:szCs w:val="21"/>
          <w:highlight w:val="none"/>
        </w:rPr>
        <w:t>注：1.各投标人必须就“货物采购需求”中所投的所有内容作完整唯一报价，否则，其投标将被拒绝。投标文件只允许有一个报价。</w:t>
      </w:r>
    </w:p>
    <w:p w14:paraId="77B44E67">
      <w:pPr>
        <w:keepNext w:val="0"/>
        <w:keepLines w:val="0"/>
        <w:pageBreakBefore w:val="0"/>
        <w:widowControl w:val="0"/>
        <w:kinsoku/>
        <w:wordWrap/>
        <w:overflowPunct/>
        <w:topLinePunct w:val="0"/>
        <w:autoSpaceDE/>
        <w:autoSpaceDN/>
        <w:bidi w:val="0"/>
        <w:adjustRightInd/>
        <w:snapToGrid/>
        <w:spacing w:line="216" w:lineRule="auto"/>
        <w:ind w:firstLine="420" w:firstLineChars="200"/>
        <w:jc w:val="left"/>
        <w:textAlignment w:val="auto"/>
        <w:rPr>
          <w:rFonts w:hint="default" w:ascii="Arial" w:hAnsi="Arial" w:cs="Arial"/>
          <w:b/>
          <w:highlight w:val="none"/>
        </w:rPr>
      </w:pPr>
      <w:r>
        <w:rPr>
          <w:rFonts w:hint="default" w:ascii="Arial" w:hAnsi="Arial" w:cs="Arial"/>
          <w:b/>
          <w:highlight w:val="none"/>
        </w:rPr>
        <w:t>2.投标人应根据所投货物如实填写投标报价表</w:t>
      </w:r>
      <w:r>
        <w:rPr>
          <w:rFonts w:hint="default" w:ascii="Arial" w:hAnsi="Arial" w:cs="Arial"/>
          <w:b/>
          <w:szCs w:val="21"/>
          <w:highlight w:val="none"/>
        </w:rPr>
        <w:t>的各项内容。</w:t>
      </w:r>
      <w:r>
        <w:rPr>
          <w:rFonts w:hint="eastAsia" w:ascii="Arial" w:hAnsi="Arial" w:cs="Arial"/>
          <w:b/>
          <w:szCs w:val="21"/>
          <w:highlight w:val="none"/>
          <w:lang w:val="en-US" w:eastAsia="zh-CN"/>
        </w:rPr>
        <w:t>如标的的品牌、规格型号为定制产品则填写“定制”；如标的属建筑业的则品牌、规格型号可填写“/”。</w:t>
      </w:r>
      <w:bookmarkStart w:id="44" w:name="_GoBack"/>
      <w:bookmarkEnd w:id="44"/>
    </w:p>
    <w:p w14:paraId="45F940E5">
      <w:pPr>
        <w:pStyle w:val="27"/>
        <w:keepNext w:val="0"/>
        <w:keepLines w:val="0"/>
        <w:pageBreakBefore w:val="0"/>
        <w:widowControl w:val="0"/>
        <w:kinsoku/>
        <w:wordWrap/>
        <w:overflowPunct/>
        <w:topLinePunct w:val="0"/>
        <w:autoSpaceDE/>
        <w:autoSpaceDN/>
        <w:bidi w:val="0"/>
        <w:adjustRightInd/>
        <w:snapToGrid/>
        <w:spacing w:line="216" w:lineRule="auto"/>
        <w:ind w:firstLine="420" w:firstLineChars="200"/>
        <w:jc w:val="left"/>
        <w:textAlignment w:val="auto"/>
        <w:rPr>
          <w:rFonts w:hint="default" w:ascii="Arial" w:hAnsi="Arial" w:cs="Arial"/>
          <w:b/>
          <w:szCs w:val="21"/>
          <w:highlight w:val="none"/>
        </w:rPr>
      </w:pPr>
      <w:r>
        <w:rPr>
          <w:rFonts w:hint="default" w:ascii="Arial" w:hAnsi="Arial" w:cs="Arial"/>
          <w:b/>
          <w:highlight w:val="none"/>
        </w:rPr>
        <w:t>3.投标报价表须由法定代表人负责人、自然人或相应的委托代理人签字或个人CA签章（属自然人的应在签名处加盖食指指印或个人CA签章）并加盖投标人CA签章（自然人除外）。当本表由多页构成时，需逐页加盖投标人公章（属自然人的须逐页签字或个人CA签章）。</w:t>
      </w:r>
    </w:p>
    <w:p w14:paraId="1473E77B">
      <w:pPr>
        <w:keepNext w:val="0"/>
        <w:keepLines w:val="0"/>
        <w:pageBreakBefore w:val="0"/>
        <w:widowControl w:val="0"/>
        <w:kinsoku/>
        <w:wordWrap/>
        <w:overflowPunct/>
        <w:topLinePunct w:val="0"/>
        <w:autoSpaceDE/>
        <w:autoSpaceDN/>
        <w:bidi w:val="0"/>
        <w:adjustRightInd/>
        <w:snapToGrid/>
        <w:spacing w:line="216" w:lineRule="auto"/>
        <w:ind w:firstLine="420" w:firstLineChars="200"/>
        <w:jc w:val="left"/>
        <w:textAlignment w:val="auto"/>
        <w:rPr>
          <w:rFonts w:hint="default" w:ascii="Arial" w:hAnsi="Arial" w:cs="Arial"/>
          <w:b/>
          <w:sz w:val="32"/>
          <w:szCs w:val="32"/>
          <w:highlight w:val="none"/>
        </w:rPr>
      </w:pPr>
      <w:r>
        <w:rPr>
          <w:rFonts w:hint="default" w:ascii="Arial" w:hAnsi="Arial" w:cs="Arial"/>
          <w:b/>
          <w:szCs w:val="21"/>
          <w:highlight w:val="none"/>
        </w:rPr>
        <w:t>4.如投标的全部或部分产品属于《节能产品政府采购清单》或《环境标志产品政府采购清单》目录范围的，投标人应在本表备注栏内写明各分项货物属于节能（或环境标志）产品政府采购清单第几类第几项序号的产品；属于节能产品或环境标志产品，但不在上述最新目录范围内的，请在本表备注栏内写明“详见证明材料”，并提供相关证明材料复印件（加盖投标人CA签章，</w:t>
      </w:r>
      <w:r>
        <w:rPr>
          <w:rFonts w:hint="default" w:ascii="Arial" w:hAnsi="Arial" w:cs="Arial"/>
          <w:b/>
          <w:highlight w:val="none"/>
        </w:rPr>
        <w:t>属自然人的应在签名处加盖食指指印或个人CA签章</w:t>
      </w:r>
      <w:r>
        <w:rPr>
          <w:rFonts w:hint="default" w:ascii="Arial" w:hAnsi="Arial" w:cs="Arial"/>
          <w:b/>
          <w:szCs w:val="21"/>
          <w:highlight w:val="none"/>
        </w:rPr>
        <w:t>），以便评标委员会作为优先采购或评分的依据。</w:t>
      </w:r>
      <w:r>
        <w:rPr>
          <w:rFonts w:hint="default" w:ascii="Arial" w:hAnsi="Arial" w:cs="Arial"/>
          <w:b/>
          <w:sz w:val="32"/>
          <w:szCs w:val="32"/>
          <w:highlight w:val="none"/>
        </w:rPr>
        <w:br w:type="page"/>
      </w:r>
    </w:p>
    <w:p w14:paraId="4B4BC878">
      <w:pPr>
        <w:tabs>
          <w:tab w:val="left" w:pos="1305"/>
        </w:tabs>
        <w:spacing w:line="320" w:lineRule="exact"/>
        <w:ind w:firstLine="560" w:firstLineChars="200"/>
        <w:jc w:val="center"/>
        <w:rPr>
          <w:rFonts w:hint="default" w:ascii="Arial" w:hAnsi="Arial" w:cs="Arial"/>
          <w:b/>
          <w:sz w:val="28"/>
          <w:szCs w:val="28"/>
          <w:highlight w:val="none"/>
        </w:rPr>
      </w:pPr>
      <w:r>
        <w:rPr>
          <w:rFonts w:hint="default" w:ascii="Arial" w:hAnsi="Arial" w:cs="Arial"/>
          <w:b/>
          <w:sz w:val="28"/>
          <w:szCs w:val="28"/>
          <w:highlight w:val="none"/>
        </w:rPr>
        <w:t>（二）资格性响应证明材料目录</w:t>
      </w:r>
    </w:p>
    <w:p w14:paraId="5C38166F">
      <w:pPr>
        <w:tabs>
          <w:tab w:val="left" w:pos="1305"/>
        </w:tabs>
        <w:spacing w:line="320" w:lineRule="exact"/>
        <w:ind w:firstLine="560" w:firstLineChars="200"/>
        <w:jc w:val="center"/>
        <w:rPr>
          <w:rFonts w:hint="default" w:ascii="Arial" w:hAnsi="Arial" w:cs="Arial"/>
          <w:b/>
          <w:sz w:val="28"/>
          <w:szCs w:val="28"/>
          <w:highlight w:val="none"/>
        </w:rPr>
      </w:pPr>
    </w:p>
    <w:p w14:paraId="0ECB4F18">
      <w:pPr>
        <w:tabs>
          <w:tab w:val="left" w:pos="1305"/>
        </w:tabs>
        <w:spacing w:line="384" w:lineRule="exact"/>
        <w:ind w:firstLine="420" w:firstLineChars="200"/>
        <w:rPr>
          <w:rFonts w:hint="default" w:ascii="Arial" w:hAnsi="Arial" w:cs="Arial"/>
          <w:szCs w:val="21"/>
          <w:highlight w:val="none"/>
        </w:rPr>
      </w:pPr>
      <w:r>
        <w:rPr>
          <w:rFonts w:hint="default" w:ascii="Arial" w:hAnsi="Arial" w:cs="Arial"/>
          <w:szCs w:val="21"/>
          <w:highlight w:val="none"/>
        </w:rPr>
        <w:t>（1）</w:t>
      </w:r>
      <w:r>
        <w:rPr>
          <w:rFonts w:hint="eastAsia" w:ascii="Arial" w:hAnsi="Arial" w:cs="Arial"/>
          <w:szCs w:val="21"/>
          <w:highlight w:val="none"/>
          <w:lang w:eastAsia="zh-CN"/>
        </w:rPr>
        <w:t>符合《政府采购法》的声明函</w:t>
      </w:r>
      <w:r>
        <w:rPr>
          <w:rFonts w:hint="default" w:ascii="Arial" w:hAnsi="Arial" w:cs="Arial"/>
          <w:b/>
          <w:bCs/>
          <w:szCs w:val="21"/>
          <w:highlight w:val="none"/>
        </w:rPr>
        <w:t>（必须提供）；</w:t>
      </w:r>
    </w:p>
    <w:p w14:paraId="4F6F1BA7">
      <w:pPr>
        <w:tabs>
          <w:tab w:val="left" w:pos="1305"/>
        </w:tabs>
        <w:spacing w:line="384" w:lineRule="exact"/>
        <w:ind w:firstLine="420" w:firstLineChars="200"/>
        <w:rPr>
          <w:rFonts w:hint="default" w:ascii="Arial" w:hAnsi="Arial" w:cs="Arial"/>
          <w:szCs w:val="21"/>
          <w:highlight w:val="none"/>
        </w:rPr>
      </w:pPr>
      <w:r>
        <w:rPr>
          <w:rFonts w:hint="default" w:ascii="Arial" w:hAnsi="Arial" w:cs="Arial"/>
          <w:szCs w:val="21"/>
          <w:highlight w:val="none"/>
        </w:rPr>
        <w:t>（2）投标人相应的法定代表人、负责人、自然人身份证正反面复印件</w:t>
      </w:r>
      <w:r>
        <w:rPr>
          <w:rFonts w:hint="default" w:ascii="Arial" w:hAnsi="Arial" w:cs="Arial"/>
          <w:b/>
          <w:bCs/>
          <w:szCs w:val="21"/>
          <w:highlight w:val="none"/>
        </w:rPr>
        <w:t>（必须提供）；</w:t>
      </w:r>
    </w:p>
    <w:p w14:paraId="1E0069CD">
      <w:pPr>
        <w:tabs>
          <w:tab w:val="left" w:pos="1305"/>
        </w:tabs>
        <w:spacing w:line="384" w:lineRule="exact"/>
        <w:ind w:firstLine="420" w:firstLineChars="200"/>
        <w:rPr>
          <w:rFonts w:hint="default" w:ascii="Arial" w:hAnsi="Arial" w:cs="Arial"/>
          <w:szCs w:val="21"/>
          <w:highlight w:val="none"/>
        </w:rPr>
      </w:pPr>
      <w:r>
        <w:rPr>
          <w:rFonts w:hint="default" w:ascii="Arial" w:hAnsi="Arial" w:cs="Arial"/>
          <w:szCs w:val="21"/>
          <w:highlight w:val="none"/>
        </w:rPr>
        <w:t>（3）投标人的法人授权委托书原件（格式见附件）、委托代理人有效的身份证正反两面复印件以及由县级以上（含县级）社会养老保险经办机构出具的投标人为委托代理人交纳的</w:t>
      </w:r>
      <w:r>
        <w:rPr>
          <w:rFonts w:hint="default" w:ascii="Arial" w:hAnsi="Arial" w:cs="Arial"/>
          <w:szCs w:val="21"/>
          <w:highlight w:val="none"/>
          <w:lang w:eastAsia="zh-CN"/>
        </w:rPr>
        <w:t>近6个月中任意一个月的社保证明复印件</w:t>
      </w:r>
      <w:r>
        <w:rPr>
          <w:rFonts w:hint="default" w:ascii="Arial" w:hAnsi="Arial" w:cs="Arial"/>
          <w:b/>
          <w:szCs w:val="21"/>
          <w:highlight w:val="none"/>
        </w:rPr>
        <w:t>（委托代理时必须提供）</w:t>
      </w:r>
      <w:r>
        <w:rPr>
          <w:rFonts w:hint="default" w:ascii="Arial" w:hAnsi="Arial" w:cs="Arial"/>
          <w:szCs w:val="21"/>
          <w:highlight w:val="none"/>
        </w:rPr>
        <w:t>；</w:t>
      </w:r>
      <w:r>
        <w:rPr>
          <w:rFonts w:hint="default" w:ascii="Arial" w:hAnsi="Arial" w:cs="Arial"/>
          <w:b/>
          <w:szCs w:val="21"/>
          <w:highlight w:val="none"/>
        </w:rPr>
        <w:t>注：投标人</w:t>
      </w:r>
      <w:r>
        <w:rPr>
          <w:rFonts w:hint="default" w:ascii="Arial" w:hAnsi="Arial" w:cs="Arial"/>
          <w:b/>
          <w:bCs/>
          <w:szCs w:val="21"/>
          <w:highlight w:val="none"/>
        </w:rPr>
        <w:t>成立不足1个月的，无须提供社保缴费证明加盖投标人公章</w:t>
      </w:r>
    </w:p>
    <w:p w14:paraId="5D956FD3">
      <w:pPr>
        <w:tabs>
          <w:tab w:val="left" w:pos="1305"/>
        </w:tabs>
        <w:spacing w:line="384" w:lineRule="exact"/>
        <w:ind w:firstLine="420" w:firstLineChars="200"/>
        <w:rPr>
          <w:rFonts w:hint="default" w:ascii="Arial" w:hAnsi="Arial" w:cs="Arial"/>
          <w:szCs w:val="21"/>
          <w:highlight w:val="none"/>
        </w:rPr>
      </w:pPr>
      <w:r>
        <w:rPr>
          <w:rFonts w:hint="default" w:ascii="Arial" w:hAnsi="Arial" w:cs="Arial"/>
          <w:szCs w:val="21"/>
          <w:highlight w:val="none"/>
        </w:rPr>
        <w:t>（4）投标人参加采购活动前三年内在经营活动中没有重大违法记录的书面声明</w:t>
      </w:r>
      <w:r>
        <w:rPr>
          <w:rFonts w:hint="default" w:ascii="Arial" w:hAnsi="Arial" w:cs="Arial"/>
          <w:b/>
          <w:szCs w:val="21"/>
          <w:highlight w:val="none"/>
        </w:rPr>
        <w:t>（必须提供）；</w:t>
      </w:r>
    </w:p>
    <w:p w14:paraId="0FECECE6">
      <w:pPr>
        <w:tabs>
          <w:tab w:val="left" w:pos="1305"/>
        </w:tabs>
        <w:spacing w:line="384" w:lineRule="exact"/>
        <w:ind w:firstLine="420" w:firstLineChars="200"/>
        <w:rPr>
          <w:rFonts w:hint="default" w:ascii="Arial" w:hAnsi="Arial" w:cs="Arial"/>
          <w:szCs w:val="21"/>
          <w:highlight w:val="none"/>
        </w:rPr>
      </w:pPr>
      <w:r>
        <w:rPr>
          <w:rFonts w:hint="default" w:ascii="Arial" w:hAnsi="Arial" w:cs="Arial"/>
          <w:b/>
          <w:bCs/>
          <w:highlight w:val="none"/>
        </w:rPr>
        <w:t>（5）</w:t>
      </w:r>
      <w:r>
        <w:rPr>
          <w:rFonts w:hint="default" w:ascii="Arial" w:hAnsi="Arial" w:cs="Arial"/>
          <w:szCs w:val="21"/>
          <w:highlight w:val="none"/>
        </w:rPr>
        <w:t>投标人的法人或者其他组织营业执照等证明文件复印件</w:t>
      </w:r>
      <w:r>
        <w:rPr>
          <w:rFonts w:hint="default" w:ascii="Arial" w:hAnsi="Arial" w:cs="Arial"/>
          <w:b/>
          <w:szCs w:val="21"/>
          <w:highlight w:val="none"/>
        </w:rPr>
        <w:t>（必须提供，自然人除外）</w:t>
      </w:r>
      <w:r>
        <w:rPr>
          <w:rFonts w:hint="default" w:ascii="Arial" w:hAnsi="Arial" w:cs="Arial"/>
          <w:szCs w:val="21"/>
          <w:highlight w:val="none"/>
        </w:rPr>
        <w:t>；</w:t>
      </w:r>
    </w:p>
    <w:p w14:paraId="7C56E8D1">
      <w:pPr>
        <w:tabs>
          <w:tab w:val="left" w:pos="1305"/>
        </w:tabs>
        <w:spacing w:line="384" w:lineRule="exact"/>
        <w:ind w:firstLine="420" w:firstLineChars="200"/>
        <w:rPr>
          <w:rFonts w:hint="default" w:ascii="Arial" w:hAnsi="Arial" w:cs="Arial"/>
          <w:szCs w:val="21"/>
          <w:highlight w:val="none"/>
          <w:lang w:val="en-US" w:eastAsia="zh-CN"/>
        </w:rPr>
      </w:pPr>
      <w:r>
        <w:rPr>
          <w:rFonts w:hint="eastAsia" w:ascii="Arial" w:hAnsi="Arial" w:cs="Arial"/>
          <w:szCs w:val="21"/>
          <w:highlight w:val="none"/>
          <w:lang w:val="en-US" w:eastAsia="zh-CN"/>
        </w:rPr>
        <w:t>（6）</w:t>
      </w:r>
      <w:r>
        <w:rPr>
          <w:rFonts w:hint="default" w:ascii="Arial" w:hAnsi="Arial" w:cs="Arial"/>
          <w:szCs w:val="21"/>
          <w:highlight w:val="none"/>
          <w:lang w:val="en-US" w:eastAsia="zh-CN"/>
        </w:rPr>
        <w:t>供应商有依法缴纳税收和社会保障金的良好记录</w:t>
      </w:r>
      <w:r>
        <w:rPr>
          <w:rFonts w:hint="default" w:ascii="Arial" w:hAnsi="Arial" w:cs="Arial"/>
          <w:b/>
          <w:bCs/>
          <w:szCs w:val="21"/>
          <w:highlight w:val="none"/>
          <w:lang w:val="en-US" w:eastAsia="zh-CN"/>
        </w:rPr>
        <w:t>（必须提供）</w:t>
      </w:r>
      <w:r>
        <w:rPr>
          <w:rFonts w:hint="eastAsia" w:ascii="Arial" w:hAnsi="Arial" w:cs="Arial"/>
          <w:b/>
          <w:bCs/>
          <w:szCs w:val="21"/>
          <w:highlight w:val="none"/>
          <w:lang w:val="en-US" w:eastAsia="zh-CN"/>
        </w:rPr>
        <w:t>；</w:t>
      </w:r>
    </w:p>
    <w:p w14:paraId="1195072D">
      <w:pPr>
        <w:tabs>
          <w:tab w:val="left" w:pos="1305"/>
        </w:tabs>
        <w:spacing w:line="384" w:lineRule="exact"/>
        <w:ind w:firstLine="420" w:firstLineChars="200"/>
        <w:rPr>
          <w:rFonts w:hint="default" w:ascii="Arial" w:hAnsi="Arial" w:cs="Arial"/>
          <w:szCs w:val="21"/>
          <w:highlight w:val="none"/>
        </w:rPr>
      </w:pPr>
      <w:r>
        <w:rPr>
          <w:rFonts w:hint="eastAsia" w:ascii="Arial" w:hAnsi="Arial" w:cs="Arial"/>
          <w:szCs w:val="21"/>
          <w:highlight w:val="none"/>
          <w:lang w:val="en-US" w:eastAsia="zh-CN"/>
        </w:rPr>
        <w:t>（7）</w:t>
      </w:r>
      <w:r>
        <w:rPr>
          <w:rFonts w:hint="default" w:ascii="Arial" w:hAnsi="Arial" w:cs="Arial"/>
          <w:szCs w:val="21"/>
          <w:highlight w:val="none"/>
          <w:lang w:val="en-US" w:eastAsia="zh-CN"/>
        </w:rPr>
        <w:t>符合特定资质证明材料</w:t>
      </w:r>
      <w:r>
        <w:rPr>
          <w:rFonts w:hint="default" w:ascii="Arial" w:hAnsi="Arial" w:cs="Arial"/>
          <w:b/>
          <w:bCs/>
          <w:szCs w:val="21"/>
          <w:highlight w:val="none"/>
          <w:lang w:val="en-US" w:eastAsia="zh-CN"/>
        </w:rPr>
        <w:t>（必须提供）</w:t>
      </w:r>
      <w:r>
        <w:rPr>
          <w:rFonts w:hint="eastAsia" w:ascii="Arial" w:hAnsi="Arial" w:cs="Arial"/>
          <w:b/>
          <w:bCs/>
          <w:szCs w:val="21"/>
          <w:highlight w:val="none"/>
          <w:lang w:val="en-US" w:eastAsia="zh-CN"/>
        </w:rPr>
        <w:t>。</w:t>
      </w:r>
    </w:p>
    <w:p w14:paraId="4174B487">
      <w:pPr>
        <w:tabs>
          <w:tab w:val="left" w:pos="1305"/>
        </w:tabs>
        <w:spacing w:line="440" w:lineRule="exact"/>
        <w:ind w:firstLine="420" w:firstLineChars="200"/>
        <w:rPr>
          <w:rFonts w:hint="default" w:ascii="Arial" w:hAnsi="Arial" w:cs="Arial"/>
          <w:b/>
          <w:szCs w:val="21"/>
          <w:highlight w:val="none"/>
        </w:rPr>
      </w:pPr>
    </w:p>
    <w:p w14:paraId="74C4EE9C">
      <w:pPr>
        <w:tabs>
          <w:tab w:val="left" w:pos="1305"/>
        </w:tabs>
        <w:spacing w:line="520" w:lineRule="exact"/>
        <w:jc w:val="center"/>
        <w:rPr>
          <w:rFonts w:hint="default" w:ascii="Arial" w:hAnsi="Arial" w:cs="Arial"/>
          <w:b/>
          <w:sz w:val="32"/>
          <w:szCs w:val="32"/>
          <w:highlight w:val="none"/>
        </w:rPr>
      </w:pPr>
    </w:p>
    <w:p w14:paraId="4616BCED">
      <w:pPr>
        <w:tabs>
          <w:tab w:val="left" w:pos="1305"/>
        </w:tabs>
        <w:spacing w:line="520" w:lineRule="exact"/>
        <w:jc w:val="center"/>
        <w:rPr>
          <w:rFonts w:hint="default" w:ascii="Arial" w:hAnsi="Arial" w:cs="Arial"/>
          <w:b/>
          <w:sz w:val="32"/>
          <w:szCs w:val="32"/>
          <w:highlight w:val="none"/>
        </w:rPr>
      </w:pPr>
    </w:p>
    <w:p w14:paraId="27533D2F">
      <w:pPr>
        <w:tabs>
          <w:tab w:val="left" w:pos="1305"/>
        </w:tabs>
        <w:spacing w:line="520" w:lineRule="exact"/>
        <w:jc w:val="center"/>
        <w:rPr>
          <w:rFonts w:hint="default" w:ascii="Arial" w:hAnsi="Arial" w:cs="Arial"/>
          <w:b/>
          <w:sz w:val="32"/>
          <w:szCs w:val="32"/>
          <w:highlight w:val="none"/>
        </w:rPr>
      </w:pPr>
    </w:p>
    <w:p w14:paraId="1A162A0A">
      <w:pPr>
        <w:tabs>
          <w:tab w:val="left" w:pos="1305"/>
        </w:tabs>
        <w:spacing w:line="520" w:lineRule="exact"/>
        <w:jc w:val="center"/>
        <w:rPr>
          <w:rFonts w:hint="default" w:ascii="Arial" w:hAnsi="Arial" w:cs="Arial"/>
          <w:b/>
          <w:sz w:val="32"/>
          <w:szCs w:val="32"/>
          <w:highlight w:val="none"/>
        </w:rPr>
      </w:pPr>
    </w:p>
    <w:p w14:paraId="1E36EEAF">
      <w:pPr>
        <w:tabs>
          <w:tab w:val="left" w:pos="1305"/>
        </w:tabs>
        <w:spacing w:line="520" w:lineRule="exact"/>
        <w:jc w:val="center"/>
        <w:rPr>
          <w:rFonts w:hint="default" w:ascii="Arial" w:hAnsi="Arial" w:cs="Arial"/>
          <w:b/>
          <w:sz w:val="32"/>
          <w:szCs w:val="32"/>
          <w:highlight w:val="none"/>
        </w:rPr>
      </w:pPr>
    </w:p>
    <w:p w14:paraId="2BB8CDBE">
      <w:pPr>
        <w:tabs>
          <w:tab w:val="left" w:pos="1305"/>
        </w:tabs>
        <w:spacing w:line="520" w:lineRule="exact"/>
        <w:jc w:val="center"/>
        <w:rPr>
          <w:rFonts w:hint="default" w:ascii="Arial" w:hAnsi="Arial" w:cs="Arial"/>
          <w:b/>
          <w:sz w:val="32"/>
          <w:szCs w:val="32"/>
          <w:highlight w:val="none"/>
        </w:rPr>
      </w:pPr>
    </w:p>
    <w:p w14:paraId="1D15C6E5">
      <w:pPr>
        <w:tabs>
          <w:tab w:val="left" w:pos="1305"/>
        </w:tabs>
        <w:spacing w:line="520" w:lineRule="exact"/>
        <w:jc w:val="center"/>
        <w:rPr>
          <w:rFonts w:hint="default" w:ascii="Arial" w:hAnsi="Arial" w:cs="Arial"/>
          <w:b/>
          <w:sz w:val="32"/>
          <w:szCs w:val="32"/>
          <w:highlight w:val="none"/>
        </w:rPr>
      </w:pPr>
    </w:p>
    <w:p w14:paraId="481F4FEB">
      <w:pPr>
        <w:tabs>
          <w:tab w:val="left" w:pos="1305"/>
        </w:tabs>
        <w:spacing w:line="520" w:lineRule="exact"/>
        <w:jc w:val="center"/>
        <w:rPr>
          <w:rFonts w:hint="default" w:ascii="Arial" w:hAnsi="Arial" w:cs="Arial"/>
          <w:b/>
          <w:sz w:val="32"/>
          <w:szCs w:val="32"/>
          <w:highlight w:val="none"/>
        </w:rPr>
      </w:pPr>
    </w:p>
    <w:p w14:paraId="0A3150ED">
      <w:pPr>
        <w:tabs>
          <w:tab w:val="left" w:pos="1305"/>
        </w:tabs>
        <w:spacing w:line="520" w:lineRule="exact"/>
        <w:jc w:val="center"/>
        <w:rPr>
          <w:rFonts w:hint="default" w:ascii="Arial" w:hAnsi="Arial" w:cs="Arial"/>
          <w:b/>
          <w:sz w:val="32"/>
          <w:szCs w:val="32"/>
          <w:highlight w:val="none"/>
        </w:rPr>
      </w:pPr>
    </w:p>
    <w:p w14:paraId="513CE9A7">
      <w:pPr>
        <w:tabs>
          <w:tab w:val="left" w:pos="1305"/>
        </w:tabs>
        <w:spacing w:line="520" w:lineRule="exact"/>
        <w:jc w:val="center"/>
        <w:rPr>
          <w:rFonts w:hint="default" w:ascii="Arial" w:hAnsi="Arial" w:cs="Arial"/>
          <w:b/>
          <w:sz w:val="32"/>
          <w:szCs w:val="32"/>
          <w:highlight w:val="none"/>
        </w:rPr>
      </w:pPr>
    </w:p>
    <w:p w14:paraId="67C92D4E">
      <w:pPr>
        <w:tabs>
          <w:tab w:val="left" w:pos="1305"/>
        </w:tabs>
        <w:spacing w:line="520" w:lineRule="exact"/>
        <w:jc w:val="center"/>
        <w:rPr>
          <w:rFonts w:hint="default" w:ascii="Arial" w:hAnsi="Arial" w:cs="Arial"/>
          <w:b/>
          <w:sz w:val="32"/>
          <w:szCs w:val="32"/>
          <w:highlight w:val="none"/>
        </w:rPr>
      </w:pPr>
    </w:p>
    <w:p w14:paraId="2EBBB8F3">
      <w:pPr>
        <w:tabs>
          <w:tab w:val="left" w:pos="1305"/>
        </w:tabs>
        <w:spacing w:line="520" w:lineRule="exact"/>
        <w:jc w:val="center"/>
        <w:rPr>
          <w:rFonts w:hint="default" w:ascii="Arial" w:hAnsi="Arial" w:cs="Arial"/>
          <w:b/>
          <w:sz w:val="32"/>
          <w:szCs w:val="32"/>
          <w:highlight w:val="none"/>
        </w:rPr>
      </w:pPr>
    </w:p>
    <w:p w14:paraId="065BE18B">
      <w:pPr>
        <w:tabs>
          <w:tab w:val="left" w:pos="1305"/>
        </w:tabs>
        <w:spacing w:line="520" w:lineRule="exact"/>
        <w:jc w:val="center"/>
        <w:rPr>
          <w:rFonts w:hint="default" w:ascii="Arial" w:hAnsi="Arial" w:cs="Arial"/>
          <w:b/>
          <w:sz w:val="32"/>
          <w:szCs w:val="32"/>
          <w:highlight w:val="none"/>
        </w:rPr>
      </w:pPr>
    </w:p>
    <w:p w14:paraId="7A5B6BDA">
      <w:pPr>
        <w:tabs>
          <w:tab w:val="left" w:pos="1305"/>
        </w:tabs>
        <w:spacing w:line="520" w:lineRule="exact"/>
        <w:jc w:val="center"/>
        <w:rPr>
          <w:rFonts w:hint="default" w:ascii="Arial" w:hAnsi="Arial" w:cs="Arial"/>
          <w:b/>
          <w:sz w:val="32"/>
          <w:szCs w:val="32"/>
          <w:highlight w:val="none"/>
        </w:rPr>
      </w:pPr>
    </w:p>
    <w:p w14:paraId="53A61B86">
      <w:pPr>
        <w:tabs>
          <w:tab w:val="left" w:pos="1305"/>
        </w:tabs>
        <w:spacing w:line="520" w:lineRule="exact"/>
        <w:jc w:val="center"/>
        <w:rPr>
          <w:rFonts w:hint="default" w:ascii="Arial" w:hAnsi="Arial" w:cs="Arial"/>
          <w:b/>
          <w:sz w:val="32"/>
          <w:szCs w:val="32"/>
          <w:highlight w:val="none"/>
        </w:rPr>
      </w:pPr>
    </w:p>
    <w:p w14:paraId="4FBFAB8E">
      <w:pPr>
        <w:pStyle w:val="27"/>
        <w:rPr>
          <w:rFonts w:hint="default" w:ascii="Arial" w:hAnsi="Arial" w:cs="Arial"/>
          <w:b/>
          <w:sz w:val="32"/>
          <w:szCs w:val="32"/>
          <w:highlight w:val="none"/>
        </w:rPr>
      </w:pPr>
      <w:r>
        <w:rPr>
          <w:rFonts w:hint="default" w:ascii="Arial" w:hAnsi="Arial" w:cs="Arial"/>
          <w:b/>
          <w:sz w:val="32"/>
          <w:szCs w:val="32"/>
          <w:highlight w:val="none"/>
        </w:rPr>
        <w:br w:type="page"/>
      </w:r>
      <w:r>
        <w:rPr>
          <w:rFonts w:hint="default" w:ascii="Arial" w:hAnsi="Arial" w:cs="Arial"/>
          <w:b/>
          <w:sz w:val="32"/>
          <w:szCs w:val="32"/>
          <w:highlight w:val="none"/>
        </w:rPr>
        <w:t>1、</w:t>
      </w:r>
      <w:r>
        <w:rPr>
          <w:rFonts w:hint="eastAsia" w:ascii="Arial" w:hAnsi="Arial" w:cs="Arial"/>
          <w:b/>
          <w:sz w:val="32"/>
          <w:szCs w:val="32"/>
          <w:highlight w:val="none"/>
          <w:lang w:eastAsia="zh-CN"/>
        </w:rPr>
        <w:t>符合《政府采购法》的声明函</w:t>
      </w:r>
      <w:r>
        <w:rPr>
          <w:rFonts w:hint="default" w:ascii="Arial" w:hAnsi="Arial" w:cs="Arial"/>
          <w:b/>
          <w:sz w:val="32"/>
          <w:szCs w:val="32"/>
          <w:highlight w:val="none"/>
        </w:rPr>
        <w:t>（必须提供）</w:t>
      </w:r>
    </w:p>
    <w:p w14:paraId="11A96112">
      <w:pPr>
        <w:snapToGrid w:val="0"/>
        <w:spacing w:before="165" w:beforeLines="50" w:after="50" w:line="360" w:lineRule="exact"/>
        <w:jc w:val="center"/>
        <w:rPr>
          <w:rFonts w:hint="eastAsia" w:ascii="Arial" w:hAnsi="Arial" w:eastAsia="宋体" w:cs="Arial"/>
          <w:b/>
          <w:szCs w:val="21"/>
          <w:highlight w:val="none"/>
          <w:lang w:eastAsia="zh-CN"/>
        </w:rPr>
      </w:pPr>
      <w:r>
        <w:rPr>
          <w:rFonts w:hint="eastAsia" w:ascii="Arial" w:hAnsi="Arial" w:cs="Arial"/>
          <w:b/>
          <w:szCs w:val="21"/>
          <w:highlight w:val="none"/>
          <w:lang w:eastAsia="zh-CN"/>
        </w:rPr>
        <w:t>符合《政府采购法》的声明函</w:t>
      </w:r>
    </w:p>
    <w:p w14:paraId="3C4DF385">
      <w:pPr>
        <w:snapToGrid w:val="0"/>
        <w:spacing w:before="165" w:beforeLines="50" w:after="50" w:line="360" w:lineRule="exact"/>
        <w:jc w:val="center"/>
        <w:rPr>
          <w:rFonts w:hint="default" w:ascii="Arial" w:hAnsi="Arial" w:cs="Arial"/>
          <w:szCs w:val="21"/>
          <w:highlight w:val="none"/>
        </w:rPr>
      </w:pPr>
    </w:p>
    <w:p w14:paraId="4F82D916">
      <w:pPr>
        <w:snapToGrid w:val="0"/>
        <w:spacing w:before="165" w:beforeLines="50" w:after="50" w:line="360" w:lineRule="exact"/>
        <w:rPr>
          <w:rFonts w:hint="default" w:ascii="Arial" w:hAnsi="Arial" w:cs="Arial"/>
          <w:szCs w:val="21"/>
          <w:highlight w:val="none"/>
        </w:rPr>
      </w:pPr>
      <w:bookmarkStart w:id="37" w:name="_Hlk19199166"/>
      <w:r>
        <w:rPr>
          <w:rFonts w:hint="default" w:ascii="Arial" w:hAnsi="Arial" w:cs="Arial"/>
          <w:szCs w:val="21"/>
          <w:highlight w:val="none"/>
        </w:rPr>
        <w:t>致：</w:t>
      </w:r>
      <w:r>
        <w:rPr>
          <w:rFonts w:hint="default" w:ascii="Arial" w:hAnsi="Arial" w:cs="Arial"/>
          <w:i/>
          <w:iCs/>
          <w:szCs w:val="21"/>
          <w:highlight w:val="none"/>
          <w:u w:val="single"/>
        </w:rPr>
        <w:t>（采购人名称）</w:t>
      </w:r>
      <w:r>
        <w:rPr>
          <w:rFonts w:hint="default" w:ascii="Arial" w:hAnsi="Arial" w:cs="Arial"/>
          <w:szCs w:val="21"/>
          <w:highlight w:val="none"/>
        </w:rPr>
        <w:t>：</w:t>
      </w:r>
    </w:p>
    <w:p w14:paraId="72474FA2">
      <w:pPr>
        <w:snapToGrid w:val="0"/>
        <w:spacing w:before="165" w:beforeLines="50" w:after="50" w:line="360" w:lineRule="exact"/>
        <w:ind w:firstLine="630" w:firstLineChars="300"/>
        <w:rPr>
          <w:rFonts w:hint="default" w:ascii="Arial" w:hAnsi="Arial" w:cs="Arial"/>
          <w:szCs w:val="21"/>
          <w:highlight w:val="none"/>
        </w:rPr>
      </w:pPr>
      <w:r>
        <w:rPr>
          <w:rFonts w:hint="default" w:ascii="Arial" w:hAnsi="Arial" w:cs="Arial"/>
          <w:i/>
          <w:iCs/>
          <w:szCs w:val="21"/>
          <w:highlight w:val="none"/>
          <w:u w:val="single"/>
        </w:rPr>
        <w:t>（供应商名称）</w:t>
      </w:r>
      <w:r>
        <w:rPr>
          <w:rFonts w:hint="default" w:ascii="Arial" w:hAnsi="Arial" w:cs="Arial"/>
          <w:szCs w:val="21"/>
          <w:highlight w:val="none"/>
        </w:rPr>
        <w:t>系中华人民共和国合法企业，</w:t>
      </w:r>
      <w:r>
        <w:rPr>
          <w:rFonts w:hint="default" w:ascii="Arial" w:hAnsi="Arial" w:cs="Arial"/>
          <w:szCs w:val="21"/>
          <w:highlight w:val="none"/>
          <w:u w:val="single"/>
        </w:rPr>
        <w:t xml:space="preserve"> </w:t>
      </w:r>
      <w:r>
        <w:rPr>
          <w:rFonts w:hint="default" w:ascii="Arial" w:hAnsi="Arial" w:cs="Arial"/>
          <w:i/>
          <w:iCs/>
          <w:szCs w:val="21"/>
          <w:highlight w:val="none"/>
          <w:u w:val="single"/>
        </w:rPr>
        <w:t xml:space="preserve"> （经营地址）  </w:t>
      </w:r>
      <w:r>
        <w:rPr>
          <w:rFonts w:hint="default" w:ascii="Arial" w:hAnsi="Arial" w:cs="Arial"/>
          <w:szCs w:val="21"/>
          <w:highlight w:val="none"/>
          <w:u w:val="single"/>
        </w:rPr>
        <w:t xml:space="preserve">  </w:t>
      </w:r>
      <w:r>
        <w:rPr>
          <w:rFonts w:hint="default" w:ascii="Arial" w:hAnsi="Arial" w:cs="Arial"/>
          <w:szCs w:val="21"/>
          <w:highlight w:val="none"/>
        </w:rPr>
        <w:t>。</w:t>
      </w:r>
    </w:p>
    <w:p w14:paraId="04F7731B">
      <w:pPr>
        <w:snapToGrid w:val="0"/>
        <w:spacing w:before="165" w:beforeLines="50" w:after="50" w:line="360" w:lineRule="exact"/>
        <w:ind w:firstLine="645"/>
        <w:rPr>
          <w:rFonts w:hint="default" w:ascii="Arial" w:hAnsi="Arial" w:cs="Arial"/>
          <w:szCs w:val="21"/>
          <w:highlight w:val="none"/>
        </w:rPr>
      </w:pPr>
      <w:r>
        <w:rPr>
          <w:rFonts w:hint="default" w:ascii="Arial" w:hAnsi="Arial" w:cs="Arial"/>
          <w:szCs w:val="21"/>
          <w:highlight w:val="none"/>
        </w:rPr>
        <w:t>我</w:t>
      </w:r>
      <w:r>
        <w:rPr>
          <w:rFonts w:hint="default" w:ascii="Arial" w:hAnsi="Arial" w:cs="Arial"/>
          <w:i/>
          <w:iCs/>
          <w:szCs w:val="21"/>
          <w:highlight w:val="none"/>
          <w:u w:val="single"/>
        </w:rPr>
        <w:t xml:space="preserve">（姓名） </w:t>
      </w:r>
      <w:r>
        <w:rPr>
          <w:rFonts w:hint="default" w:ascii="Arial" w:hAnsi="Arial" w:cs="Arial"/>
          <w:szCs w:val="21"/>
          <w:highlight w:val="none"/>
        </w:rPr>
        <w:t>系</w:t>
      </w:r>
      <w:r>
        <w:rPr>
          <w:rFonts w:hint="default" w:ascii="Arial" w:hAnsi="Arial" w:cs="Arial"/>
          <w:i/>
          <w:iCs/>
          <w:szCs w:val="21"/>
          <w:highlight w:val="none"/>
          <w:u w:val="single"/>
        </w:rPr>
        <w:t>（供应商名称）</w:t>
      </w:r>
      <w:r>
        <w:rPr>
          <w:rFonts w:hint="default" w:ascii="Arial" w:hAnsi="Arial" w:cs="Arial"/>
          <w:szCs w:val="21"/>
          <w:highlight w:val="none"/>
        </w:rPr>
        <w:t>的法定代表人，我方愿意参加贵方组织的</w:t>
      </w:r>
      <w:r>
        <w:rPr>
          <w:rFonts w:hint="default" w:ascii="Arial" w:hAnsi="Arial" w:cs="Arial"/>
          <w:i/>
          <w:iCs/>
          <w:szCs w:val="21"/>
          <w:highlight w:val="none"/>
          <w:u w:val="single"/>
        </w:rPr>
        <w:t>（项目名称）</w:t>
      </w:r>
      <w:r>
        <w:rPr>
          <w:rFonts w:hint="default" w:ascii="Arial" w:hAnsi="Arial" w:cs="Arial"/>
          <w:szCs w:val="21"/>
          <w:highlight w:val="none"/>
        </w:rPr>
        <w:t>项目的</w:t>
      </w:r>
      <w:r>
        <w:rPr>
          <w:rFonts w:hint="default" w:ascii="Arial" w:hAnsi="Arial" w:cs="Arial"/>
          <w:szCs w:val="21"/>
          <w:highlight w:val="none"/>
          <w:lang w:eastAsia="zh-CN"/>
        </w:rPr>
        <w:t>招标</w:t>
      </w:r>
      <w:r>
        <w:rPr>
          <w:rFonts w:hint="default" w:ascii="Arial" w:hAnsi="Arial" w:cs="Arial"/>
          <w:szCs w:val="21"/>
          <w:highlight w:val="none"/>
        </w:rPr>
        <w:t>，为便于贵方公正、择优地确定</w:t>
      </w:r>
      <w:r>
        <w:rPr>
          <w:rFonts w:hint="default" w:ascii="Arial" w:hAnsi="Arial" w:cs="Arial"/>
          <w:szCs w:val="21"/>
          <w:highlight w:val="none"/>
          <w:lang w:val="en-US" w:eastAsia="zh-CN"/>
        </w:rPr>
        <w:t>中标</w:t>
      </w:r>
      <w:r>
        <w:rPr>
          <w:rFonts w:hint="default" w:ascii="Arial" w:hAnsi="Arial" w:cs="Arial"/>
          <w:szCs w:val="21"/>
          <w:highlight w:val="none"/>
        </w:rPr>
        <w:t>供应商及其响应产品和服务，我方就本次</w:t>
      </w:r>
      <w:r>
        <w:rPr>
          <w:rFonts w:hint="default" w:ascii="Arial" w:hAnsi="Arial" w:cs="Arial"/>
          <w:szCs w:val="21"/>
          <w:highlight w:val="none"/>
          <w:lang w:eastAsia="zh-CN"/>
        </w:rPr>
        <w:t>招标</w:t>
      </w:r>
      <w:r>
        <w:rPr>
          <w:rFonts w:hint="default" w:ascii="Arial" w:hAnsi="Arial" w:cs="Arial"/>
          <w:szCs w:val="21"/>
          <w:highlight w:val="none"/>
        </w:rPr>
        <w:t>有关事项郑重声明如下：</w:t>
      </w:r>
    </w:p>
    <w:p w14:paraId="18C284E4">
      <w:pPr>
        <w:snapToGrid w:val="0"/>
        <w:spacing w:before="165" w:beforeLines="50" w:line="360" w:lineRule="exact"/>
        <w:ind w:firstLine="420" w:firstLineChars="200"/>
        <w:rPr>
          <w:rFonts w:hint="default" w:ascii="Arial" w:hAnsi="Arial" w:cs="Arial"/>
          <w:szCs w:val="21"/>
          <w:highlight w:val="none"/>
        </w:rPr>
      </w:pPr>
      <w:r>
        <w:rPr>
          <w:rFonts w:hint="default" w:ascii="Arial" w:hAnsi="Arial" w:cs="Arial"/>
          <w:szCs w:val="21"/>
          <w:highlight w:val="none"/>
        </w:rPr>
        <w:t>（1）我方向贵方提交的所有</w:t>
      </w:r>
      <w:r>
        <w:rPr>
          <w:rFonts w:hint="eastAsia" w:ascii="Arial" w:hAnsi="Arial" w:cs="Arial"/>
          <w:szCs w:val="21"/>
          <w:highlight w:val="none"/>
          <w:lang w:eastAsia="zh-CN"/>
        </w:rPr>
        <w:t>投标文件</w:t>
      </w:r>
      <w:r>
        <w:rPr>
          <w:rFonts w:hint="default" w:ascii="Arial" w:hAnsi="Arial" w:cs="Arial"/>
          <w:szCs w:val="21"/>
          <w:highlight w:val="none"/>
        </w:rPr>
        <w:t>、资料都是准确的和真实的。</w:t>
      </w:r>
    </w:p>
    <w:p w14:paraId="706EA836">
      <w:pPr>
        <w:snapToGrid w:val="0"/>
        <w:spacing w:before="165" w:beforeLines="50" w:line="360" w:lineRule="exact"/>
        <w:ind w:firstLine="420" w:firstLineChars="200"/>
        <w:rPr>
          <w:rFonts w:hint="default" w:ascii="Arial" w:hAnsi="Arial" w:cs="Arial"/>
          <w:szCs w:val="21"/>
          <w:highlight w:val="none"/>
        </w:rPr>
      </w:pPr>
      <w:r>
        <w:rPr>
          <w:rFonts w:hint="default" w:ascii="Arial" w:hAnsi="Arial" w:cs="Arial"/>
          <w:szCs w:val="21"/>
          <w:highlight w:val="none"/>
        </w:rPr>
        <w:t>（2）我方不是采购人的附属机构；也不是为本项目提供整体设计、规范编制或者项目管理、监理、检测等服务的供应商或其附属机构。</w:t>
      </w:r>
    </w:p>
    <w:p w14:paraId="20D3D752">
      <w:pPr>
        <w:snapToGrid w:val="0"/>
        <w:spacing w:before="165" w:beforeLines="50" w:line="360" w:lineRule="exact"/>
        <w:ind w:firstLine="420" w:firstLineChars="200"/>
        <w:rPr>
          <w:rFonts w:hint="default" w:ascii="Arial" w:hAnsi="Arial" w:cs="Arial"/>
          <w:szCs w:val="21"/>
          <w:highlight w:val="none"/>
        </w:rPr>
      </w:pPr>
      <w:r>
        <w:rPr>
          <w:rFonts w:hint="default" w:ascii="Arial" w:hAnsi="Arial" w:cs="Arial"/>
          <w:szCs w:val="21"/>
          <w:highlight w:val="none"/>
        </w:rPr>
        <w:t>（3） 我方承诺在参加本政府采购项目活动前，没有被纳入政府部门或银行认定的失信名单，我方具有良好的商业信誉。</w:t>
      </w:r>
    </w:p>
    <w:p w14:paraId="07FBA07C">
      <w:pPr>
        <w:snapToGrid w:val="0"/>
        <w:spacing w:before="165" w:beforeLines="50" w:line="360" w:lineRule="exact"/>
        <w:ind w:firstLine="420" w:firstLineChars="200"/>
        <w:rPr>
          <w:rFonts w:hint="default" w:ascii="Arial" w:hAnsi="Arial" w:cs="Arial"/>
          <w:szCs w:val="21"/>
          <w:highlight w:val="none"/>
        </w:rPr>
      </w:pPr>
      <w:r>
        <w:rPr>
          <w:rFonts w:hint="default" w:ascii="Arial" w:hAnsi="Arial" w:cs="Arial"/>
          <w:szCs w:val="21"/>
          <w:highlight w:val="none"/>
        </w:rPr>
        <w:t>（4）我方及本人承诺在参加本政府采购项目活动前三年内，在经营活动中没有重大违法记录及不良信用记录。重大违法记录是指供应商因违法经营受到刑事处罚或者责令停产停业、吊销许可证或者执照、较大数额罚款等行政处罚。如我方提供的声明不实，则自愿承担《政府采购法》有关提供虚假材料的规定给予的处罚。</w:t>
      </w:r>
    </w:p>
    <w:p w14:paraId="0AAC4A5C">
      <w:pPr>
        <w:snapToGrid w:val="0"/>
        <w:spacing w:before="165" w:beforeLines="50" w:line="360" w:lineRule="exact"/>
        <w:ind w:firstLine="420" w:firstLineChars="200"/>
        <w:rPr>
          <w:rFonts w:hint="default" w:ascii="Arial" w:hAnsi="Arial" w:cs="Arial"/>
          <w:szCs w:val="21"/>
          <w:highlight w:val="none"/>
          <w:lang w:val="zh-CN"/>
        </w:rPr>
      </w:pPr>
      <w:r>
        <w:rPr>
          <w:rFonts w:hint="default" w:ascii="Arial" w:hAnsi="Arial" w:cs="Arial"/>
          <w:szCs w:val="21"/>
          <w:highlight w:val="none"/>
        </w:rPr>
        <w:t>（5）</w:t>
      </w:r>
      <w:r>
        <w:rPr>
          <w:rFonts w:hint="default" w:ascii="Arial" w:hAnsi="Arial" w:cs="Arial"/>
          <w:szCs w:val="21"/>
          <w:highlight w:val="none"/>
          <w:lang w:val="zh-CN"/>
        </w:rPr>
        <w:t>我方</w:t>
      </w:r>
      <w:r>
        <w:rPr>
          <w:rFonts w:hint="default" w:ascii="Arial" w:hAnsi="Arial" w:cs="Arial"/>
          <w:szCs w:val="21"/>
          <w:highlight w:val="none"/>
        </w:rPr>
        <w:t>承诺</w:t>
      </w:r>
      <w:r>
        <w:rPr>
          <w:rFonts w:hint="default" w:ascii="Arial" w:hAnsi="Arial" w:cs="Arial"/>
          <w:szCs w:val="21"/>
          <w:highlight w:val="none"/>
          <w:lang w:val="zh-CN"/>
        </w:rPr>
        <w:t>具有履行本项目合同所必需的设备和专业技术能力。</w:t>
      </w:r>
    </w:p>
    <w:p w14:paraId="7AF5E41D">
      <w:pPr>
        <w:snapToGrid w:val="0"/>
        <w:spacing w:before="165" w:beforeLines="50" w:line="360" w:lineRule="exact"/>
        <w:ind w:firstLine="420" w:firstLineChars="200"/>
        <w:rPr>
          <w:rFonts w:hint="default" w:ascii="Arial" w:hAnsi="Arial" w:cs="Arial"/>
          <w:szCs w:val="21"/>
          <w:highlight w:val="none"/>
        </w:rPr>
      </w:pPr>
      <w:r>
        <w:rPr>
          <w:rFonts w:hint="default" w:ascii="Arial" w:hAnsi="Arial" w:cs="Arial"/>
          <w:szCs w:val="21"/>
          <w:highlight w:val="none"/>
        </w:rPr>
        <w:t>（6）我方承诺未被列入失信被执行人、重大税收违法失信主体、政府采购严重违法失信行为记录名单，如我方提供的声明不实，则接受本次响应作为响应无效的处理，并根据财库〔2016〕125号《财政部关于在政府采购活动中查询及使用信用记录有关问题的通知》规定接受失信联合惩戒。</w:t>
      </w:r>
    </w:p>
    <w:p w14:paraId="396F7155">
      <w:pPr>
        <w:pStyle w:val="18"/>
        <w:ind w:firstLine="420" w:firstLineChars="200"/>
        <w:rPr>
          <w:rFonts w:hint="default" w:ascii="Arial" w:hAnsi="Arial" w:cs="Arial"/>
          <w:highlight w:val="none"/>
        </w:rPr>
      </w:pPr>
    </w:p>
    <w:p w14:paraId="1EE381EC">
      <w:pPr>
        <w:snapToGrid w:val="0"/>
        <w:spacing w:before="165" w:beforeLines="50" w:line="360" w:lineRule="exact"/>
        <w:ind w:firstLine="420" w:firstLineChars="200"/>
        <w:rPr>
          <w:rFonts w:hint="default" w:ascii="Arial" w:hAnsi="Arial" w:cs="Arial"/>
          <w:szCs w:val="21"/>
          <w:highlight w:val="none"/>
        </w:rPr>
      </w:pPr>
      <w:r>
        <w:rPr>
          <w:rFonts w:hint="default" w:ascii="Arial" w:hAnsi="Arial" w:cs="Arial"/>
          <w:szCs w:val="21"/>
          <w:highlight w:val="none"/>
        </w:rPr>
        <w:t>我方对以上声明负全部法律责任。如有虚假或隐瞒，我方愿意承担一切后果，并不再寻求任何旨在减轻或免除法律责任的辩解。</w:t>
      </w:r>
    </w:p>
    <w:bookmarkEnd w:id="37"/>
    <w:p w14:paraId="4E170635">
      <w:pPr>
        <w:snapToGrid w:val="0"/>
        <w:spacing w:before="165" w:beforeLines="50" w:line="360" w:lineRule="exact"/>
        <w:ind w:firstLine="420" w:firstLineChars="200"/>
        <w:rPr>
          <w:rFonts w:hint="default" w:ascii="Arial" w:hAnsi="Arial" w:cs="Arial"/>
          <w:szCs w:val="21"/>
          <w:highlight w:val="none"/>
        </w:rPr>
      </w:pPr>
    </w:p>
    <w:p w14:paraId="56944634">
      <w:pPr>
        <w:snapToGrid w:val="0"/>
        <w:spacing w:line="400" w:lineRule="exact"/>
        <w:ind w:firstLine="420"/>
        <w:rPr>
          <w:rFonts w:hint="default" w:ascii="Arial" w:hAnsi="Arial" w:cs="Arial"/>
          <w:szCs w:val="21"/>
          <w:highlight w:val="none"/>
          <w:u w:val="single"/>
        </w:rPr>
      </w:pPr>
      <w:r>
        <w:rPr>
          <w:rFonts w:hint="default" w:ascii="Arial" w:hAnsi="Arial" w:cs="Arial"/>
          <w:szCs w:val="21"/>
          <w:highlight w:val="none"/>
        </w:rPr>
        <w:t>投标人[公章（CA签章）]：</w:t>
      </w:r>
    </w:p>
    <w:p w14:paraId="5CC821A8">
      <w:pPr>
        <w:snapToGrid w:val="0"/>
        <w:spacing w:line="400" w:lineRule="exact"/>
        <w:ind w:firstLine="420"/>
        <w:rPr>
          <w:rFonts w:hint="default" w:ascii="Arial" w:hAnsi="Arial" w:cs="Arial"/>
          <w:szCs w:val="21"/>
          <w:highlight w:val="none"/>
        </w:rPr>
      </w:pPr>
    </w:p>
    <w:p w14:paraId="79D68E81">
      <w:pPr>
        <w:snapToGrid w:val="0"/>
        <w:spacing w:line="400" w:lineRule="exact"/>
        <w:ind w:firstLine="420"/>
        <w:rPr>
          <w:rFonts w:hint="default" w:ascii="Arial" w:hAnsi="Arial" w:cs="Arial"/>
          <w:szCs w:val="21"/>
          <w:highlight w:val="none"/>
        </w:rPr>
      </w:pPr>
      <w:r>
        <w:rPr>
          <w:rFonts w:hint="default" w:ascii="Arial" w:hAnsi="Arial" w:cs="Arial"/>
          <w:szCs w:val="21"/>
          <w:highlight w:val="none"/>
        </w:rPr>
        <w:t>法定代表人（负责人）签字（或个人CA签章）：     　　 年   月   日</w:t>
      </w:r>
    </w:p>
    <w:p w14:paraId="4F351B4B">
      <w:pPr>
        <w:rPr>
          <w:rFonts w:hint="default" w:ascii="Arial" w:hAnsi="Arial" w:cs="Arial"/>
          <w:b/>
          <w:sz w:val="32"/>
          <w:szCs w:val="32"/>
          <w:highlight w:val="none"/>
        </w:rPr>
      </w:pPr>
      <w:r>
        <w:rPr>
          <w:rFonts w:hint="default" w:ascii="Arial" w:hAnsi="Arial" w:cs="Arial"/>
          <w:b/>
          <w:sz w:val="32"/>
          <w:szCs w:val="32"/>
          <w:highlight w:val="none"/>
        </w:rPr>
        <w:br w:type="page"/>
      </w:r>
    </w:p>
    <w:p w14:paraId="291A417F">
      <w:pPr>
        <w:pStyle w:val="27"/>
        <w:rPr>
          <w:rFonts w:hint="default" w:ascii="Arial" w:hAnsi="Arial" w:cs="Arial"/>
          <w:b/>
          <w:sz w:val="32"/>
          <w:highlight w:val="none"/>
        </w:rPr>
      </w:pPr>
      <w:r>
        <w:rPr>
          <w:rFonts w:hint="default" w:ascii="Arial" w:hAnsi="Arial" w:cs="Arial"/>
          <w:b/>
          <w:sz w:val="32"/>
          <w:highlight w:val="none"/>
        </w:rPr>
        <w:t>2、投标人相应的法定代表人、负责人、自然人身份证正反面复印件（必须提供）</w:t>
      </w:r>
    </w:p>
    <w:p w14:paraId="7B80D701">
      <w:pPr>
        <w:pStyle w:val="27"/>
        <w:jc w:val="left"/>
        <w:rPr>
          <w:rFonts w:hint="default" w:ascii="Arial" w:hAnsi="Arial" w:cs="Arial"/>
          <w:b/>
          <w:sz w:val="32"/>
          <w:highlight w:val="none"/>
        </w:rPr>
      </w:pPr>
    </w:p>
    <w:p w14:paraId="4FA093BA">
      <w:pPr>
        <w:pStyle w:val="27"/>
        <w:jc w:val="left"/>
        <w:rPr>
          <w:rFonts w:hint="default" w:ascii="Arial" w:hAnsi="Arial" w:cs="Arial"/>
          <w:b/>
          <w:sz w:val="32"/>
          <w:highlight w:val="none"/>
        </w:rPr>
      </w:pPr>
    </w:p>
    <w:p w14:paraId="65495ADB">
      <w:pPr>
        <w:pStyle w:val="27"/>
        <w:jc w:val="left"/>
        <w:rPr>
          <w:rFonts w:hint="default" w:ascii="Arial" w:hAnsi="Arial" w:cs="Arial"/>
          <w:b/>
          <w:sz w:val="32"/>
          <w:highlight w:val="none"/>
        </w:rPr>
      </w:pPr>
    </w:p>
    <w:p w14:paraId="50AFC37D">
      <w:pPr>
        <w:pStyle w:val="27"/>
        <w:spacing w:line="400" w:lineRule="exact"/>
        <w:jc w:val="left"/>
        <w:rPr>
          <w:rFonts w:hint="default" w:ascii="Arial" w:hAnsi="Arial" w:cs="Arial"/>
          <w:b/>
          <w:sz w:val="32"/>
          <w:highlight w:val="none"/>
        </w:rPr>
      </w:pPr>
      <w:r>
        <w:rPr>
          <w:rFonts w:hint="default" w:ascii="Arial" w:hAnsi="Arial" w:cs="Arial"/>
          <w:b/>
          <w:sz w:val="32"/>
          <w:highlight w:val="none"/>
        </w:rPr>
        <w:t>3、投标人的法人授权委托书原件（格式见附件）、委托代理人有效的身份证正反两面复印件以及由县级以上（含县级）社会养老保险经办机构出具的投标人为委托代理人交纳的</w:t>
      </w:r>
      <w:r>
        <w:rPr>
          <w:rFonts w:hint="default" w:ascii="Arial" w:hAnsi="Arial" w:cs="Arial"/>
          <w:b/>
          <w:sz w:val="32"/>
          <w:highlight w:val="none"/>
          <w:lang w:eastAsia="zh-CN"/>
        </w:rPr>
        <w:t>近6个月中任意一个月的社保证明复印件</w:t>
      </w:r>
      <w:r>
        <w:rPr>
          <w:rFonts w:hint="default" w:ascii="Arial" w:hAnsi="Arial" w:cs="Arial"/>
          <w:b/>
          <w:sz w:val="32"/>
          <w:highlight w:val="none"/>
        </w:rPr>
        <w:t>（委托代理时必须提供）；</w:t>
      </w:r>
    </w:p>
    <w:p w14:paraId="21F0D9FA">
      <w:pPr>
        <w:pStyle w:val="27"/>
        <w:spacing w:line="400" w:lineRule="exact"/>
        <w:jc w:val="left"/>
        <w:rPr>
          <w:rFonts w:hint="default" w:ascii="Arial" w:hAnsi="Arial" w:cs="Arial"/>
          <w:b/>
          <w:sz w:val="32"/>
          <w:highlight w:val="none"/>
        </w:rPr>
      </w:pPr>
      <w:r>
        <w:rPr>
          <w:rFonts w:hint="default" w:ascii="Arial" w:hAnsi="Arial" w:cs="Arial"/>
          <w:b/>
          <w:sz w:val="32"/>
          <w:highlight w:val="none"/>
        </w:rPr>
        <w:t>注：投标人成立不足1个月的，无须提供社保缴费证明加盖投标人公章</w:t>
      </w:r>
    </w:p>
    <w:p w14:paraId="45932882">
      <w:pPr>
        <w:pStyle w:val="27"/>
        <w:jc w:val="center"/>
        <w:rPr>
          <w:rFonts w:hint="default" w:ascii="Arial" w:hAnsi="Arial" w:cs="Arial"/>
          <w:b/>
          <w:sz w:val="32"/>
          <w:highlight w:val="none"/>
        </w:rPr>
      </w:pPr>
      <w:r>
        <w:rPr>
          <w:rFonts w:hint="default" w:ascii="Arial" w:hAnsi="Arial" w:cs="Arial"/>
          <w:b/>
          <w:sz w:val="32"/>
          <w:highlight w:val="none"/>
        </w:rPr>
        <w:t>法人授权委托书（格式一）</w:t>
      </w:r>
    </w:p>
    <w:p w14:paraId="4A90867C">
      <w:pPr>
        <w:snapToGrid w:val="0"/>
        <w:spacing w:line="400" w:lineRule="exact"/>
        <w:outlineLvl w:val="4"/>
        <w:rPr>
          <w:rFonts w:hint="default" w:ascii="Arial" w:hAnsi="Arial" w:cs="Arial"/>
          <w:highlight w:val="none"/>
        </w:rPr>
      </w:pPr>
      <w:r>
        <w:rPr>
          <w:rFonts w:hint="default" w:ascii="Arial" w:hAnsi="Arial" w:cs="Arial"/>
          <w:b/>
          <w:szCs w:val="21"/>
          <w:highlight w:val="none"/>
        </w:rPr>
        <w:t>致</w:t>
      </w:r>
      <w:r>
        <w:rPr>
          <w:rFonts w:hint="default" w:ascii="Arial" w:hAnsi="Arial" w:cs="Arial"/>
          <w:szCs w:val="21"/>
          <w:highlight w:val="none"/>
        </w:rPr>
        <w:t>：</w:t>
      </w:r>
      <w:r>
        <w:rPr>
          <w:rFonts w:hint="default" w:ascii="Arial" w:hAnsi="Arial" w:cs="Arial"/>
          <w:highlight w:val="none"/>
          <w:u w:val="single"/>
        </w:rPr>
        <w:t>广西机电设备招标有限公司</w:t>
      </w:r>
    </w:p>
    <w:p w14:paraId="7D432324">
      <w:pPr>
        <w:snapToGrid w:val="0"/>
        <w:spacing w:line="400" w:lineRule="exact"/>
        <w:outlineLvl w:val="4"/>
        <w:rPr>
          <w:rFonts w:hint="default" w:ascii="Arial" w:hAnsi="Arial" w:cs="Arial"/>
          <w:szCs w:val="21"/>
          <w:highlight w:val="none"/>
          <w:u w:val="single"/>
        </w:rPr>
      </w:pPr>
    </w:p>
    <w:p w14:paraId="0FFF1F0D">
      <w:pPr>
        <w:pStyle w:val="27"/>
        <w:spacing w:line="400" w:lineRule="exact"/>
        <w:ind w:firstLine="420" w:firstLineChars="200"/>
        <w:rPr>
          <w:rFonts w:hint="default" w:ascii="Arial" w:hAnsi="Arial" w:cs="Arial"/>
          <w:highlight w:val="none"/>
        </w:rPr>
      </w:pPr>
      <w:r>
        <w:rPr>
          <w:rFonts w:hint="default" w:ascii="Arial" w:hAnsi="Arial" w:cs="Arial"/>
          <w:kern w:val="0"/>
          <w:highlight w:val="none"/>
        </w:rPr>
        <w:t>我</w:t>
      </w:r>
      <w:r>
        <w:rPr>
          <w:rFonts w:hint="default" w:ascii="Arial" w:hAnsi="Arial" w:cs="Arial"/>
          <w:kern w:val="0"/>
          <w:highlight w:val="none"/>
          <w:u w:val="single"/>
        </w:rPr>
        <w:t>（姓名）</w:t>
      </w:r>
      <w:r>
        <w:rPr>
          <w:rFonts w:hint="default" w:ascii="Arial" w:hAnsi="Arial" w:cs="Arial"/>
          <w:kern w:val="0"/>
          <w:highlight w:val="none"/>
        </w:rPr>
        <w:t>系</w:t>
      </w:r>
      <w:r>
        <w:rPr>
          <w:rFonts w:hint="default" w:ascii="Arial" w:hAnsi="Arial" w:cs="Arial"/>
          <w:kern w:val="0"/>
          <w:highlight w:val="none"/>
          <w:u w:val="single"/>
        </w:rPr>
        <w:t>（投标人名称）</w:t>
      </w:r>
      <w:r>
        <w:rPr>
          <w:rFonts w:hint="default" w:ascii="Arial" w:hAnsi="Arial" w:cs="Arial"/>
          <w:kern w:val="0"/>
          <w:highlight w:val="none"/>
        </w:rPr>
        <w:t>的法定代表人，现授权委托本单位在职职工</w:t>
      </w:r>
      <w:r>
        <w:rPr>
          <w:rFonts w:hint="default" w:ascii="Arial" w:hAnsi="Arial" w:cs="Arial"/>
          <w:kern w:val="0"/>
          <w:highlight w:val="none"/>
          <w:u w:val="single"/>
        </w:rPr>
        <w:t>（姓 名）</w:t>
      </w:r>
      <w:r>
        <w:rPr>
          <w:rFonts w:hint="default" w:ascii="Arial" w:hAnsi="Arial" w:cs="Arial"/>
          <w:kern w:val="0"/>
          <w:highlight w:val="none"/>
        </w:rPr>
        <w:t>以我公司名义参加</w:t>
      </w:r>
      <w:r>
        <w:rPr>
          <w:rFonts w:hint="default" w:ascii="Arial" w:hAnsi="Arial" w:cs="Arial"/>
          <w:highlight w:val="none"/>
          <w:u w:val="single"/>
        </w:rPr>
        <w:t xml:space="preserve">（项目名称及项目编号）        </w:t>
      </w:r>
      <w:r>
        <w:rPr>
          <w:rFonts w:hint="default" w:ascii="Arial" w:hAnsi="Arial" w:cs="Arial"/>
          <w:highlight w:val="none"/>
        </w:rPr>
        <w:t>项目的投标活动，并代表我方全权办理针对上述项目的投标、开标、评标、签约等具体事务和签署相关文件。</w:t>
      </w:r>
    </w:p>
    <w:p w14:paraId="771B10DC">
      <w:pPr>
        <w:pStyle w:val="27"/>
        <w:spacing w:line="400" w:lineRule="exact"/>
        <w:ind w:firstLine="420" w:firstLineChars="200"/>
        <w:rPr>
          <w:rFonts w:hint="default" w:ascii="Arial" w:hAnsi="Arial" w:cs="Arial"/>
          <w:highlight w:val="none"/>
        </w:rPr>
      </w:pPr>
      <w:r>
        <w:rPr>
          <w:rFonts w:hint="default" w:ascii="Arial" w:hAnsi="Arial" w:cs="Arial"/>
          <w:highlight w:val="none"/>
        </w:rPr>
        <w:t>我方对被授权人的签名事项负全部责任。</w:t>
      </w:r>
    </w:p>
    <w:p w14:paraId="395E3F8C">
      <w:pPr>
        <w:pStyle w:val="27"/>
        <w:spacing w:line="400" w:lineRule="exact"/>
        <w:ind w:firstLine="420" w:firstLineChars="200"/>
        <w:rPr>
          <w:rFonts w:hint="default" w:ascii="Arial" w:hAnsi="Arial" w:cs="Arial"/>
          <w:highlight w:val="none"/>
          <w:u w:val="single"/>
        </w:rPr>
      </w:pPr>
      <w:r>
        <w:rPr>
          <w:rFonts w:hint="default" w:ascii="Arial" w:hAnsi="Arial" w:cs="Arial"/>
          <w:highlight w:val="none"/>
        </w:rPr>
        <w:t>授权委托代理期限：从    年   月  日至   年   月   日止。</w:t>
      </w:r>
    </w:p>
    <w:p w14:paraId="5E96290D">
      <w:pPr>
        <w:pStyle w:val="27"/>
        <w:spacing w:line="400" w:lineRule="exact"/>
        <w:rPr>
          <w:rFonts w:hint="default" w:ascii="Arial" w:hAnsi="Arial" w:cs="Arial"/>
          <w:highlight w:val="none"/>
          <w:u w:val="single"/>
        </w:rPr>
      </w:pPr>
    </w:p>
    <w:p w14:paraId="750DA5D8">
      <w:pPr>
        <w:spacing w:line="400" w:lineRule="exact"/>
        <w:ind w:firstLine="420" w:firstLineChars="200"/>
        <w:rPr>
          <w:rFonts w:hint="default" w:ascii="Arial" w:hAnsi="Arial" w:cs="Arial"/>
          <w:kern w:val="0"/>
          <w:highlight w:val="none"/>
        </w:rPr>
      </w:pPr>
      <w:r>
        <w:rPr>
          <w:rFonts w:hint="default" w:ascii="Arial" w:hAnsi="Arial" w:cs="Arial"/>
          <w:kern w:val="0"/>
          <w:highlight w:val="none"/>
        </w:rPr>
        <w:t>代理人无转委托权</w:t>
      </w:r>
      <w:r>
        <w:rPr>
          <w:rFonts w:hint="default" w:ascii="Arial" w:hAnsi="Arial" w:cs="Arial"/>
          <w:kern w:val="0"/>
          <w:highlight w:val="none"/>
          <w:lang w:eastAsia="zh-CN"/>
        </w:rPr>
        <w:t>，</w:t>
      </w:r>
      <w:r>
        <w:rPr>
          <w:rFonts w:hint="default" w:ascii="Arial" w:hAnsi="Arial" w:cs="Arial"/>
          <w:kern w:val="0"/>
          <w:highlight w:val="none"/>
        </w:rPr>
        <w:t xml:space="preserve">特此委托。 </w:t>
      </w:r>
    </w:p>
    <w:p w14:paraId="3E92A1BD">
      <w:pPr>
        <w:snapToGrid w:val="0"/>
        <w:spacing w:line="400" w:lineRule="exact"/>
        <w:ind w:firstLine="525"/>
        <w:outlineLvl w:val="4"/>
        <w:rPr>
          <w:rFonts w:hint="default" w:ascii="Arial" w:hAnsi="Arial" w:cs="Arial"/>
          <w:szCs w:val="21"/>
          <w:highlight w:val="none"/>
        </w:rPr>
      </w:pPr>
    </w:p>
    <w:p w14:paraId="5A0FD957">
      <w:pPr>
        <w:snapToGrid w:val="0"/>
        <w:spacing w:line="400" w:lineRule="exact"/>
        <w:ind w:firstLine="420"/>
        <w:outlineLvl w:val="4"/>
        <w:rPr>
          <w:rFonts w:hint="default" w:ascii="Arial" w:hAnsi="Arial" w:cs="Arial"/>
          <w:szCs w:val="21"/>
          <w:highlight w:val="none"/>
        </w:rPr>
      </w:pPr>
      <w:r>
        <w:rPr>
          <w:rFonts w:hint="default" w:ascii="Arial" w:hAnsi="Arial" w:cs="Arial"/>
          <w:szCs w:val="21"/>
          <w:highlight w:val="none"/>
        </w:rPr>
        <w:t>我已在下面签字，以资证明。</w:t>
      </w:r>
    </w:p>
    <w:p w14:paraId="789EF7D9">
      <w:pPr>
        <w:snapToGrid w:val="0"/>
        <w:spacing w:line="400" w:lineRule="exact"/>
        <w:ind w:firstLine="420"/>
        <w:outlineLvl w:val="4"/>
        <w:rPr>
          <w:rFonts w:hint="default" w:ascii="Arial" w:hAnsi="Arial" w:cs="Arial"/>
          <w:szCs w:val="21"/>
          <w:highlight w:val="none"/>
        </w:rPr>
      </w:pPr>
    </w:p>
    <w:p w14:paraId="7C08FF1D">
      <w:pPr>
        <w:snapToGrid w:val="0"/>
        <w:spacing w:line="400" w:lineRule="exact"/>
        <w:ind w:firstLine="420"/>
        <w:outlineLvl w:val="4"/>
        <w:rPr>
          <w:rFonts w:hint="default" w:ascii="Arial" w:hAnsi="Arial" w:cs="Arial"/>
          <w:szCs w:val="21"/>
          <w:highlight w:val="none"/>
        </w:rPr>
      </w:pPr>
    </w:p>
    <w:p w14:paraId="41FE1560">
      <w:pPr>
        <w:snapToGrid w:val="0"/>
        <w:spacing w:line="400" w:lineRule="exact"/>
        <w:ind w:firstLine="420"/>
        <w:rPr>
          <w:rFonts w:hint="default" w:ascii="Arial" w:hAnsi="Arial" w:cs="Arial"/>
          <w:szCs w:val="21"/>
          <w:highlight w:val="none"/>
          <w:u w:val="single"/>
        </w:rPr>
      </w:pPr>
      <w:r>
        <w:rPr>
          <w:rFonts w:hint="default" w:ascii="Arial" w:hAnsi="Arial" w:cs="Arial"/>
          <w:szCs w:val="21"/>
          <w:highlight w:val="none"/>
        </w:rPr>
        <w:t>投标人[公章（CA签章）]：</w:t>
      </w:r>
    </w:p>
    <w:p w14:paraId="27B331A1">
      <w:pPr>
        <w:snapToGrid w:val="0"/>
        <w:spacing w:line="400" w:lineRule="exact"/>
        <w:ind w:firstLine="420"/>
        <w:rPr>
          <w:rFonts w:hint="default" w:ascii="Arial" w:hAnsi="Arial" w:cs="Arial"/>
          <w:szCs w:val="21"/>
          <w:highlight w:val="none"/>
        </w:rPr>
      </w:pPr>
    </w:p>
    <w:p w14:paraId="16BB0043">
      <w:pPr>
        <w:snapToGrid w:val="0"/>
        <w:spacing w:line="400" w:lineRule="exact"/>
        <w:ind w:firstLine="420"/>
        <w:rPr>
          <w:rFonts w:hint="default" w:ascii="Arial" w:hAnsi="Arial" w:cs="Arial"/>
          <w:szCs w:val="21"/>
          <w:highlight w:val="none"/>
        </w:rPr>
      </w:pPr>
      <w:r>
        <w:rPr>
          <w:rFonts w:hint="default" w:ascii="Arial" w:hAnsi="Arial" w:cs="Arial"/>
          <w:szCs w:val="21"/>
          <w:highlight w:val="none"/>
        </w:rPr>
        <w:t>法定代表人（负责人）签字（或个人CA签章）：     　　 年   月   日</w:t>
      </w:r>
    </w:p>
    <w:p w14:paraId="616F07D4">
      <w:pPr>
        <w:pStyle w:val="27"/>
        <w:ind w:firstLine="600" w:firstLineChars="250"/>
        <w:jc w:val="left"/>
        <w:rPr>
          <w:rFonts w:hint="default" w:ascii="Arial" w:hAnsi="Arial" w:cs="Arial"/>
          <w:b/>
          <w:sz w:val="24"/>
          <w:szCs w:val="24"/>
          <w:highlight w:val="none"/>
        </w:rPr>
      </w:pPr>
      <w:r>
        <w:rPr>
          <w:rFonts w:hint="default" w:ascii="Arial" w:hAnsi="Arial" w:cs="Arial"/>
          <w:b/>
          <w:sz w:val="24"/>
          <w:szCs w:val="24"/>
          <w:highlight w:val="none"/>
        </w:rPr>
        <w:t>附：委托代理人有效的身份证正反两面复印件以及由县级以上（含县级）社会养老保险经办机构出具的投标人为委托代理人交纳的</w:t>
      </w:r>
      <w:r>
        <w:rPr>
          <w:rFonts w:hint="default" w:ascii="Arial" w:hAnsi="Arial" w:cs="Arial"/>
          <w:b/>
          <w:sz w:val="24"/>
          <w:szCs w:val="24"/>
          <w:highlight w:val="none"/>
          <w:lang w:eastAsia="zh-CN"/>
        </w:rPr>
        <w:t>近6个月中任意一个月的社保证明复印件</w:t>
      </w:r>
      <w:r>
        <w:rPr>
          <w:rFonts w:hint="default" w:ascii="Arial" w:hAnsi="Arial" w:cs="Arial"/>
          <w:b/>
          <w:sz w:val="24"/>
          <w:szCs w:val="24"/>
          <w:highlight w:val="none"/>
        </w:rPr>
        <w:t>（委托代理时必须提供）；注：投标人成立不足1个月的，无须提供社保缴费证明加盖投标人公章</w:t>
      </w:r>
    </w:p>
    <w:p w14:paraId="099B25EC">
      <w:pPr>
        <w:pStyle w:val="27"/>
        <w:jc w:val="center"/>
        <w:rPr>
          <w:rFonts w:hint="default" w:ascii="Arial" w:hAnsi="Arial" w:cs="Arial"/>
          <w:b/>
          <w:sz w:val="32"/>
          <w:highlight w:val="none"/>
        </w:rPr>
      </w:pPr>
      <w:r>
        <w:rPr>
          <w:rFonts w:hint="default" w:ascii="Arial" w:hAnsi="Arial" w:cs="Arial"/>
          <w:b/>
          <w:sz w:val="32"/>
          <w:highlight w:val="none"/>
        </w:rPr>
        <w:t>授权委托书（格式二）</w:t>
      </w:r>
    </w:p>
    <w:p w14:paraId="1A426158">
      <w:pPr>
        <w:snapToGrid w:val="0"/>
        <w:spacing w:line="400" w:lineRule="exact"/>
        <w:outlineLvl w:val="4"/>
        <w:rPr>
          <w:rFonts w:hint="default" w:ascii="Arial" w:hAnsi="Arial" w:cs="Arial"/>
          <w:highlight w:val="none"/>
        </w:rPr>
      </w:pPr>
      <w:r>
        <w:rPr>
          <w:rFonts w:hint="default" w:ascii="Arial" w:hAnsi="Arial" w:cs="Arial"/>
          <w:b/>
          <w:szCs w:val="21"/>
          <w:highlight w:val="none"/>
        </w:rPr>
        <w:t>致</w:t>
      </w:r>
      <w:r>
        <w:rPr>
          <w:rFonts w:hint="default" w:ascii="Arial" w:hAnsi="Arial" w:cs="Arial"/>
          <w:szCs w:val="21"/>
          <w:highlight w:val="none"/>
        </w:rPr>
        <w:t>：</w:t>
      </w:r>
      <w:r>
        <w:rPr>
          <w:rFonts w:hint="default" w:ascii="Arial" w:hAnsi="Arial" w:cs="Arial"/>
          <w:highlight w:val="none"/>
          <w:u w:val="single"/>
        </w:rPr>
        <w:t>广西机电设备招标有限公司</w:t>
      </w:r>
    </w:p>
    <w:p w14:paraId="47AFF790">
      <w:pPr>
        <w:snapToGrid w:val="0"/>
        <w:spacing w:line="400" w:lineRule="exact"/>
        <w:outlineLvl w:val="4"/>
        <w:rPr>
          <w:rFonts w:hint="default" w:ascii="Arial" w:hAnsi="Arial" w:cs="Arial"/>
          <w:szCs w:val="21"/>
          <w:highlight w:val="none"/>
          <w:u w:val="single"/>
        </w:rPr>
      </w:pPr>
    </w:p>
    <w:p w14:paraId="14FAC932">
      <w:pPr>
        <w:pStyle w:val="27"/>
        <w:spacing w:line="340" w:lineRule="exact"/>
        <w:ind w:firstLine="420" w:firstLineChars="200"/>
        <w:rPr>
          <w:rFonts w:hint="default" w:ascii="Arial" w:hAnsi="Arial" w:cs="Arial"/>
          <w:highlight w:val="none"/>
        </w:rPr>
      </w:pPr>
      <w:r>
        <w:rPr>
          <w:rFonts w:hint="default" w:ascii="Arial" w:hAnsi="Arial" w:cs="Arial"/>
          <w:kern w:val="0"/>
          <w:highlight w:val="none"/>
        </w:rPr>
        <w:t>我</w:t>
      </w:r>
      <w:r>
        <w:rPr>
          <w:rFonts w:hint="default" w:ascii="Arial" w:hAnsi="Arial" w:cs="Arial"/>
          <w:kern w:val="0"/>
          <w:highlight w:val="none"/>
          <w:u w:val="single"/>
        </w:rPr>
        <w:t>（姓名）</w:t>
      </w:r>
      <w:r>
        <w:rPr>
          <w:rFonts w:hint="default" w:ascii="Arial" w:hAnsi="Arial" w:cs="Arial"/>
          <w:kern w:val="0"/>
          <w:highlight w:val="none"/>
        </w:rPr>
        <w:t>系自然人，现授权委托</w:t>
      </w:r>
      <w:r>
        <w:rPr>
          <w:rFonts w:hint="default" w:ascii="Arial" w:hAnsi="Arial" w:cs="Arial"/>
          <w:kern w:val="0"/>
          <w:highlight w:val="none"/>
          <w:u w:val="single"/>
        </w:rPr>
        <w:t>（姓 名）</w:t>
      </w:r>
      <w:r>
        <w:rPr>
          <w:rFonts w:hint="default" w:ascii="Arial" w:hAnsi="Arial" w:cs="Arial"/>
          <w:kern w:val="0"/>
          <w:highlight w:val="none"/>
        </w:rPr>
        <w:t>以本人名义参加</w:t>
      </w:r>
      <w:r>
        <w:rPr>
          <w:rFonts w:hint="default" w:ascii="Arial" w:hAnsi="Arial" w:cs="Arial"/>
          <w:highlight w:val="none"/>
          <w:u w:val="single"/>
        </w:rPr>
        <w:t xml:space="preserve">（项目名称及项目编号）        </w:t>
      </w:r>
      <w:r>
        <w:rPr>
          <w:rFonts w:hint="default" w:ascii="Arial" w:hAnsi="Arial" w:cs="Arial"/>
          <w:highlight w:val="none"/>
        </w:rPr>
        <w:t>项目的投标活动，并代表本人全权办理针对上述项目的投标、开标、评标、签约等具体事务和签署相关文件。</w:t>
      </w:r>
    </w:p>
    <w:p w14:paraId="26442FD3">
      <w:pPr>
        <w:pStyle w:val="27"/>
        <w:spacing w:line="340" w:lineRule="exact"/>
        <w:ind w:firstLine="420" w:firstLineChars="200"/>
        <w:rPr>
          <w:rFonts w:hint="default" w:ascii="Arial" w:hAnsi="Arial" w:cs="Arial"/>
          <w:highlight w:val="none"/>
        </w:rPr>
      </w:pPr>
      <w:r>
        <w:rPr>
          <w:rFonts w:hint="default" w:ascii="Arial" w:hAnsi="Arial" w:cs="Arial"/>
          <w:highlight w:val="none"/>
        </w:rPr>
        <w:t>本人对被授权人的签字事项负全部责任。</w:t>
      </w:r>
    </w:p>
    <w:p w14:paraId="71292011">
      <w:pPr>
        <w:pStyle w:val="27"/>
        <w:spacing w:line="400" w:lineRule="exact"/>
        <w:ind w:firstLine="420" w:firstLineChars="200"/>
        <w:rPr>
          <w:rFonts w:hint="default" w:ascii="Arial" w:hAnsi="Arial" w:cs="Arial"/>
          <w:highlight w:val="none"/>
          <w:u w:val="single"/>
        </w:rPr>
      </w:pPr>
      <w:r>
        <w:rPr>
          <w:rFonts w:hint="default" w:ascii="Arial" w:hAnsi="Arial" w:cs="Arial"/>
          <w:highlight w:val="none"/>
        </w:rPr>
        <w:t>授权委托代理期限：自即日起至该项目政府采购活动结束。</w:t>
      </w:r>
    </w:p>
    <w:p w14:paraId="292A8868">
      <w:pPr>
        <w:pStyle w:val="27"/>
        <w:spacing w:line="340" w:lineRule="exact"/>
        <w:ind w:firstLine="420" w:firstLineChars="200"/>
        <w:rPr>
          <w:rFonts w:hint="default" w:ascii="Arial" w:hAnsi="Arial" w:cs="Arial"/>
          <w:highlight w:val="none"/>
          <w:u w:val="single"/>
        </w:rPr>
      </w:pPr>
    </w:p>
    <w:p w14:paraId="76065A5D">
      <w:pPr>
        <w:pStyle w:val="27"/>
        <w:spacing w:line="340" w:lineRule="exact"/>
        <w:rPr>
          <w:rFonts w:hint="default" w:ascii="Arial" w:hAnsi="Arial" w:cs="Arial"/>
          <w:highlight w:val="none"/>
          <w:u w:val="single"/>
        </w:rPr>
      </w:pPr>
    </w:p>
    <w:p w14:paraId="0DFA3309">
      <w:pPr>
        <w:spacing w:line="340" w:lineRule="exact"/>
        <w:ind w:firstLine="420" w:firstLineChars="200"/>
        <w:rPr>
          <w:rFonts w:hint="default" w:ascii="Arial" w:hAnsi="Arial" w:cs="Arial"/>
          <w:kern w:val="0"/>
          <w:highlight w:val="none"/>
        </w:rPr>
      </w:pPr>
      <w:r>
        <w:rPr>
          <w:rFonts w:hint="default" w:ascii="Arial" w:hAnsi="Arial" w:cs="Arial"/>
          <w:kern w:val="0"/>
          <w:highlight w:val="none"/>
        </w:rPr>
        <w:t xml:space="preserve">代理人无转委托权，特此委托。 </w:t>
      </w:r>
    </w:p>
    <w:p w14:paraId="6BAB5F82">
      <w:pPr>
        <w:snapToGrid w:val="0"/>
        <w:spacing w:line="340" w:lineRule="exact"/>
        <w:ind w:firstLine="525"/>
        <w:outlineLvl w:val="4"/>
        <w:rPr>
          <w:rFonts w:hint="default" w:ascii="Arial" w:hAnsi="Arial" w:cs="Arial"/>
          <w:szCs w:val="21"/>
          <w:highlight w:val="none"/>
        </w:rPr>
      </w:pPr>
    </w:p>
    <w:p w14:paraId="348403BE">
      <w:pPr>
        <w:snapToGrid w:val="0"/>
        <w:spacing w:line="340" w:lineRule="exact"/>
        <w:ind w:firstLine="420"/>
        <w:outlineLvl w:val="4"/>
        <w:rPr>
          <w:rFonts w:hint="default" w:ascii="Arial" w:hAnsi="Arial" w:cs="Arial"/>
          <w:szCs w:val="21"/>
          <w:highlight w:val="none"/>
        </w:rPr>
      </w:pPr>
      <w:r>
        <w:rPr>
          <w:rFonts w:hint="default" w:ascii="Arial" w:hAnsi="Arial" w:cs="Arial"/>
          <w:szCs w:val="21"/>
          <w:highlight w:val="none"/>
        </w:rPr>
        <w:t>我已在下面签字，以资证明。</w:t>
      </w:r>
    </w:p>
    <w:p w14:paraId="5886F226">
      <w:pPr>
        <w:snapToGrid w:val="0"/>
        <w:spacing w:line="340" w:lineRule="exact"/>
        <w:ind w:firstLine="420"/>
        <w:outlineLvl w:val="4"/>
        <w:rPr>
          <w:rFonts w:hint="default" w:ascii="Arial" w:hAnsi="Arial" w:cs="Arial"/>
          <w:szCs w:val="21"/>
          <w:highlight w:val="none"/>
        </w:rPr>
      </w:pPr>
    </w:p>
    <w:p w14:paraId="7BEB0D53">
      <w:pPr>
        <w:snapToGrid w:val="0"/>
        <w:spacing w:line="340" w:lineRule="exact"/>
        <w:ind w:firstLine="420"/>
        <w:rPr>
          <w:rFonts w:hint="default" w:ascii="Arial" w:hAnsi="Arial" w:cs="Arial"/>
          <w:szCs w:val="21"/>
          <w:highlight w:val="none"/>
        </w:rPr>
      </w:pPr>
      <w:r>
        <w:rPr>
          <w:rFonts w:hint="default" w:ascii="Arial" w:hAnsi="Arial" w:cs="Arial"/>
          <w:szCs w:val="21"/>
          <w:highlight w:val="none"/>
        </w:rPr>
        <w:t>自然人签字并在签名处加盖大拇指指印或个人CA签章：   年   月  日</w:t>
      </w:r>
    </w:p>
    <w:p w14:paraId="134E1027">
      <w:pPr>
        <w:pStyle w:val="27"/>
        <w:ind w:firstLine="700" w:firstLineChars="250"/>
        <w:jc w:val="left"/>
        <w:rPr>
          <w:rFonts w:hint="default" w:ascii="Arial" w:hAnsi="Arial" w:cs="Arial"/>
          <w:b/>
          <w:sz w:val="28"/>
          <w:szCs w:val="28"/>
          <w:highlight w:val="none"/>
        </w:rPr>
      </w:pPr>
    </w:p>
    <w:p w14:paraId="4EB5AF72">
      <w:pPr>
        <w:pStyle w:val="27"/>
        <w:spacing w:line="400" w:lineRule="exact"/>
        <w:ind w:left="420" w:leftChars="200" w:firstLine="156" w:firstLineChars="49"/>
        <w:rPr>
          <w:rFonts w:hint="default" w:ascii="Arial" w:hAnsi="Arial" w:cs="Arial"/>
          <w:b/>
          <w:sz w:val="32"/>
          <w:szCs w:val="32"/>
          <w:highlight w:val="none"/>
        </w:rPr>
      </w:pPr>
    </w:p>
    <w:p w14:paraId="6451A5A0">
      <w:pPr>
        <w:pStyle w:val="27"/>
        <w:spacing w:line="400" w:lineRule="exact"/>
        <w:rPr>
          <w:rFonts w:hint="default" w:ascii="Arial" w:hAnsi="Arial" w:cs="Arial"/>
          <w:b/>
          <w:sz w:val="32"/>
          <w:highlight w:val="none"/>
        </w:rPr>
      </w:pPr>
    </w:p>
    <w:p w14:paraId="738710AE">
      <w:pPr>
        <w:pStyle w:val="27"/>
        <w:spacing w:line="400" w:lineRule="exact"/>
        <w:rPr>
          <w:rFonts w:hint="default" w:ascii="Arial" w:hAnsi="Arial" w:cs="Arial"/>
          <w:b/>
          <w:sz w:val="32"/>
          <w:szCs w:val="32"/>
          <w:highlight w:val="none"/>
        </w:rPr>
      </w:pPr>
      <w:r>
        <w:rPr>
          <w:rFonts w:hint="default" w:ascii="Arial" w:hAnsi="Arial" w:cs="Arial"/>
          <w:b/>
          <w:sz w:val="32"/>
          <w:highlight w:val="none"/>
        </w:rPr>
        <w:t>4、投标人参加采购活动前三年内在经营活动中没有重大违法</w:t>
      </w:r>
      <w:r>
        <w:rPr>
          <w:rFonts w:hint="default" w:ascii="Arial" w:hAnsi="Arial" w:cs="Arial"/>
          <w:b/>
          <w:sz w:val="32"/>
          <w:szCs w:val="32"/>
          <w:highlight w:val="none"/>
        </w:rPr>
        <w:t>记录的书面声明（必须提供）</w:t>
      </w:r>
    </w:p>
    <w:p w14:paraId="75850D20">
      <w:pPr>
        <w:pStyle w:val="27"/>
        <w:spacing w:line="400" w:lineRule="exact"/>
        <w:ind w:left="420" w:leftChars="200" w:firstLine="156" w:firstLineChars="49"/>
        <w:rPr>
          <w:rFonts w:hint="default" w:ascii="Arial" w:hAnsi="Arial" w:cs="Arial"/>
          <w:b/>
          <w:sz w:val="32"/>
          <w:szCs w:val="32"/>
          <w:highlight w:val="none"/>
        </w:rPr>
      </w:pPr>
    </w:p>
    <w:p w14:paraId="07FCB242">
      <w:pPr>
        <w:pStyle w:val="27"/>
        <w:spacing w:line="400" w:lineRule="exact"/>
        <w:ind w:left="420" w:leftChars="200" w:firstLine="156" w:firstLineChars="49"/>
        <w:rPr>
          <w:rFonts w:hint="default" w:ascii="Arial" w:hAnsi="Arial" w:cs="Arial"/>
          <w:b/>
          <w:sz w:val="32"/>
          <w:szCs w:val="32"/>
          <w:highlight w:val="none"/>
        </w:rPr>
      </w:pPr>
    </w:p>
    <w:p w14:paraId="3BC1FCAA">
      <w:pPr>
        <w:pStyle w:val="27"/>
        <w:spacing w:line="400" w:lineRule="exact"/>
        <w:ind w:left="420" w:leftChars="200" w:firstLine="156" w:firstLineChars="49"/>
        <w:rPr>
          <w:rFonts w:hint="default" w:ascii="Arial" w:hAnsi="Arial" w:cs="Arial"/>
          <w:b/>
          <w:sz w:val="32"/>
          <w:szCs w:val="32"/>
          <w:highlight w:val="none"/>
        </w:rPr>
      </w:pPr>
      <w:r>
        <w:rPr>
          <w:rFonts w:hint="default" w:ascii="Arial" w:hAnsi="Arial" w:cs="Arial"/>
          <w:b/>
          <w:sz w:val="32"/>
          <w:szCs w:val="32"/>
          <w:highlight w:val="none"/>
        </w:rPr>
        <w:t>附件：声明</w:t>
      </w:r>
    </w:p>
    <w:p w14:paraId="561E8DB7">
      <w:pPr>
        <w:pStyle w:val="27"/>
        <w:spacing w:line="400" w:lineRule="exact"/>
        <w:jc w:val="center"/>
        <w:rPr>
          <w:rFonts w:hint="default" w:ascii="Arial" w:hAnsi="Arial" w:cs="Arial"/>
          <w:b/>
          <w:sz w:val="32"/>
          <w:szCs w:val="32"/>
          <w:highlight w:val="none"/>
        </w:rPr>
      </w:pPr>
      <w:r>
        <w:rPr>
          <w:rFonts w:hint="default" w:ascii="Arial" w:hAnsi="Arial" w:cs="Arial"/>
          <w:b/>
          <w:sz w:val="32"/>
          <w:szCs w:val="32"/>
          <w:highlight w:val="none"/>
        </w:rPr>
        <w:t>声   明</w:t>
      </w:r>
    </w:p>
    <w:p w14:paraId="07D9D722">
      <w:pPr>
        <w:snapToGrid w:val="0"/>
        <w:spacing w:line="400" w:lineRule="exact"/>
        <w:ind w:firstLine="630" w:firstLineChars="300"/>
        <w:outlineLvl w:val="4"/>
        <w:rPr>
          <w:rFonts w:hint="default" w:ascii="Arial" w:hAnsi="Arial" w:cs="Arial"/>
          <w:highlight w:val="none"/>
        </w:rPr>
      </w:pPr>
      <w:r>
        <w:rPr>
          <w:rFonts w:hint="default" w:ascii="Arial" w:hAnsi="Arial" w:cs="Arial"/>
          <w:b/>
          <w:szCs w:val="21"/>
          <w:highlight w:val="none"/>
        </w:rPr>
        <w:t>致</w:t>
      </w:r>
      <w:r>
        <w:rPr>
          <w:rFonts w:hint="default" w:ascii="Arial" w:hAnsi="Arial" w:cs="Arial"/>
          <w:szCs w:val="21"/>
          <w:highlight w:val="none"/>
        </w:rPr>
        <w:t>：</w:t>
      </w:r>
      <w:r>
        <w:rPr>
          <w:rFonts w:hint="default" w:ascii="Arial" w:hAnsi="Arial" w:cs="Arial"/>
          <w:bCs/>
          <w:highlight w:val="none"/>
          <w:u w:val="single"/>
        </w:rPr>
        <w:t>广西机电设备招标有限公司</w:t>
      </w:r>
    </w:p>
    <w:p w14:paraId="4D5ACAAC">
      <w:pPr>
        <w:snapToGrid w:val="0"/>
        <w:spacing w:line="400" w:lineRule="exact"/>
        <w:outlineLvl w:val="4"/>
        <w:rPr>
          <w:rFonts w:hint="default" w:ascii="Arial" w:hAnsi="Arial" w:cs="Arial"/>
          <w:szCs w:val="21"/>
          <w:highlight w:val="none"/>
          <w:u w:val="single"/>
        </w:rPr>
      </w:pPr>
    </w:p>
    <w:p w14:paraId="1E71E407">
      <w:pPr>
        <w:pStyle w:val="27"/>
        <w:spacing w:line="400" w:lineRule="exact"/>
        <w:ind w:firstLine="420" w:firstLineChars="200"/>
        <w:rPr>
          <w:rFonts w:hint="default" w:ascii="Arial" w:hAnsi="Arial" w:cs="Arial"/>
          <w:highlight w:val="none"/>
        </w:rPr>
      </w:pPr>
      <w:r>
        <w:rPr>
          <w:rFonts w:hint="default" w:ascii="Arial" w:hAnsi="Arial" w:cs="Arial"/>
          <w:highlight w:val="none"/>
        </w:rPr>
        <w:t>我公司郑重声明，在参加采购活动前三年内在经营活动中没有重大违法记录（重大违法记录是指供应商因违法经营受到刑事处罚或者责令停产停业、吊销许可证或者执照、较大数额罚款等行政处罚）。</w:t>
      </w:r>
    </w:p>
    <w:p w14:paraId="60C7AD5D">
      <w:pPr>
        <w:snapToGrid w:val="0"/>
        <w:spacing w:line="400" w:lineRule="exact"/>
        <w:outlineLvl w:val="4"/>
        <w:rPr>
          <w:rFonts w:hint="default" w:ascii="Arial" w:hAnsi="Arial" w:cs="Arial"/>
          <w:szCs w:val="21"/>
          <w:highlight w:val="none"/>
        </w:rPr>
      </w:pPr>
    </w:p>
    <w:p w14:paraId="3B7AA656">
      <w:pPr>
        <w:snapToGrid w:val="0"/>
        <w:spacing w:line="400" w:lineRule="exact"/>
        <w:ind w:firstLine="420"/>
        <w:outlineLvl w:val="4"/>
        <w:rPr>
          <w:rFonts w:hint="default" w:ascii="Arial" w:hAnsi="Arial" w:cs="Arial"/>
          <w:szCs w:val="21"/>
          <w:highlight w:val="none"/>
        </w:rPr>
      </w:pPr>
    </w:p>
    <w:p w14:paraId="6436C97D">
      <w:pPr>
        <w:snapToGrid w:val="0"/>
        <w:spacing w:line="400" w:lineRule="exact"/>
        <w:ind w:firstLine="420"/>
        <w:outlineLvl w:val="4"/>
        <w:rPr>
          <w:rFonts w:hint="default" w:ascii="Arial" w:hAnsi="Arial" w:cs="Arial"/>
          <w:szCs w:val="21"/>
          <w:highlight w:val="none"/>
        </w:rPr>
      </w:pPr>
    </w:p>
    <w:p w14:paraId="247E059A">
      <w:pPr>
        <w:snapToGrid w:val="0"/>
        <w:spacing w:line="400" w:lineRule="exact"/>
        <w:ind w:firstLine="420"/>
        <w:outlineLvl w:val="4"/>
        <w:rPr>
          <w:rFonts w:hint="default" w:ascii="Arial" w:hAnsi="Arial" w:cs="Arial"/>
          <w:szCs w:val="21"/>
          <w:highlight w:val="none"/>
        </w:rPr>
      </w:pPr>
    </w:p>
    <w:p w14:paraId="2595D9C1">
      <w:pPr>
        <w:snapToGrid w:val="0"/>
        <w:spacing w:line="400" w:lineRule="exact"/>
        <w:ind w:firstLine="1890" w:firstLineChars="900"/>
        <w:rPr>
          <w:rFonts w:hint="default" w:ascii="Arial" w:hAnsi="Arial" w:cs="Arial"/>
          <w:szCs w:val="21"/>
          <w:highlight w:val="none"/>
          <w:u w:val="single"/>
        </w:rPr>
      </w:pPr>
      <w:r>
        <w:rPr>
          <w:rFonts w:hint="default" w:ascii="Arial" w:hAnsi="Arial" w:cs="Arial"/>
          <w:szCs w:val="21"/>
          <w:highlight w:val="none"/>
        </w:rPr>
        <w:t>投标人[公章(CA签章)，自然人签字或个人CA签章]：</w:t>
      </w:r>
    </w:p>
    <w:p w14:paraId="360B7D21">
      <w:pPr>
        <w:snapToGrid w:val="0"/>
        <w:spacing w:line="400" w:lineRule="exact"/>
        <w:ind w:firstLine="1890" w:firstLineChars="900"/>
        <w:rPr>
          <w:rFonts w:hint="default" w:ascii="Arial" w:hAnsi="Arial" w:cs="Arial"/>
          <w:highlight w:val="none"/>
        </w:rPr>
      </w:pPr>
    </w:p>
    <w:p w14:paraId="00FA83BE">
      <w:pPr>
        <w:snapToGrid w:val="0"/>
        <w:spacing w:line="400" w:lineRule="exact"/>
        <w:ind w:firstLine="1890" w:firstLineChars="900"/>
        <w:rPr>
          <w:rFonts w:hint="default" w:ascii="Arial" w:hAnsi="Arial" w:cs="Arial"/>
          <w:highlight w:val="none"/>
          <w:u w:val="single"/>
        </w:rPr>
      </w:pPr>
      <w:r>
        <w:rPr>
          <w:rFonts w:hint="default" w:ascii="Arial" w:hAnsi="Arial" w:cs="Arial"/>
          <w:highlight w:val="none"/>
        </w:rPr>
        <w:t>日          期：</w:t>
      </w:r>
    </w:p>
    <w:p w14:paraId="61E9B1AE">
      <w:pPr>
        <w:pStyle w:val="27"/>
        <w:spacing w:line="400" w:lineRule="exact"/>
        <w:jc w:val="center"/>
        <w:rPr>
          <w:rFonts w:hint="default" w:ascii="Arial" w:hAnsi="Arial" w:cs="Arial"/>
          <w:b/>
          <w:sz w:val="32"/>
          <w:szCs w:val="32"/>
          <w:highlight w:val="none"/>
        </w:rPr>
      </w:pPr>
    </w:p>
    <w:p w14:paraId="3AC6B96B">
      <w:pPr>
        <w:pStyle w:val="27"/>
        <w:spacing w:line="400" w:lineRule="exact"/>
        <w:ind w:left="420" w:leftChars="200" w:firstLine="156" w:firstLineChars="49"/>
        <w:rPr>
          <w:rFonts w:hint="default" w:ascii="Arial" w:hAnsi="Arial" w:cs="Arial"/>
          <w:b/>
          <w:sz w:val="32"/>
          <w:szCs w:val="32"/>
          <w:highlight w:val="none"/>
        </w:rPr>
      </w:pPr>
    </w:p>
    <w:p w14:paraId="57DD4CDC">
      <w:pPr>
        <w:rPr>
          <w:rFonts w:hint="default" w:ascii="Arial" w:hAnsi="Arial" w:cs="Arial"/>
          <w:b/>
          <w:sz w:val="32"/>
          <w:szCs w:val="32"/>
          <w:highlight w:val="none"/>
        </w:rPr>
      </w:pPr>
      <w:r>
        <w:rPr>
          <w:rFonts w:hint="default" w:ascii="Arial" w:hAnsi="Arial" w:cs="Arial"/>
          <w:b/>
          <w:sz w:val="32"/>
          <w:szCs w:val="32"/>
          <w:highlight w:val="none"/>
        </w:rPr>
        <w:br w:type="page"/>
      </w:r>
    </w:p>
    <w:p w14:paraId="0F30C76A">
      <w:pPr>
        <w:pStyle w:val="27"/>
        <w:spacing w:line="400" w:lineRule="exact"/>
        <w:ind w:left="420" w:leftChars="200" w:firstLine="156" w:firstLineChars="49"/>
        <w:rPr>
          <w:rFonts w:hint="default" w:ascii="Arial" w:hAnsi="Arial" w:cs="Arial"/>
          <w:b/>
          <w:sz w:val="32"/>
          <w:szCs w:val="32"/>
          <w:highlight w:val="none"/>
        </w:rPr>
      </w:pPr>
      <w:r>
        <w:rPr>
          <w:rFonts w:hint="eastAsia" w:ascii="Arial" w:hAnsi="Arial" w:cs="Arial"/>
          <w:b/>
          <w:sz w:val="32"/>
          <w:szCs w:val="32"/>
          <w:highlight w:val="none"/>
          <w:lang w:val="en-US" w:eastAsia="zh-CN"/>
        </w:rPr>
        <w:t>5</w:t>
      </w:r>
      <w:r>
        <w:rPr>
          <w:rFonts w:hint="default" w:ascii="Arial" w:hAnsi="Arial" w:cs="Arial"/>
          <w:b/>
          <w:sz w:val="32"/>
          <w:szCs w:val="32"/>
          <w:highlight w:val="none"/>
        </w:rPr>
        <w:t>、投标人的法人或者其他组织营业执照等证明文件复印件（必须提供，自然人除外）；</w:t>
      </w:r>
    </w:p>
    <w:p w14:paraId="439BB5C3">
      <w:pPr>
        <w:tabs>
          <w:tab w:val="left" w:pos="1305"/>
        </w:tabs>
        <w:spacing w:line="400" w:lineRule="exact"/>
        <w:rPr>
          <w:rFonts w:hint="default" w:ascii="Arial" w:hAnsi="Arial" w:cs="Arial"/>
          <w:b/>
          <w:szCs w:val="21"/>
          <w:highlight w:val="none"/>
        </w:rPr>
      </w:pPr>
      <w:r>
        <w:rPr>
          <w:rFonts w:hint="default" w:ascii="Arial" w:hAnsi="Arial" w:cs="Arial"/>
          <w:b/>
          <w:szCs w:val="21"/>
          <w:highlight w:val="none"/>
        </w:rPr>
        <w:t>注：①法人包括企业法人、机关法人、事业单位法人和社会团体法人；其他组织主要包括合伙企业、非企业专业服务机构、个体工商户、农村承包经营户。②如供应商为企业（包括合伙企业），应提供工商部门注册的有效“企业法人营业执照”或“营业执照”；供应商为事业单位，应提供有效的“事业单位法人证书”；供应商为非企业专业服务机构的，应提供执业许可证等证明文件；供应商为个体工商户，应提供有效的“个体工商户营业执照”。</w:t>
      </w:r>
    </w:p>
    <w:p w14:paraId="486CCA08">
      <w:pPr>
        <w:tabs>
          <w:tab w:val="left" w:pos="1305"/>
        </w:tabs>
        <w:spacing w:line="400" w:lineRule="exact"/>
        <w:rPr>
          <w:rFonts w:hint="default" w:ascii="Arial" w:hAnsi="Arial" w:cs="Arial"/>
          <w:b/>
          <w:szCs w:val="21"/>
          <w:highlight w:val="none"/>
        </w:rPr>
      </w:pPr>
    </w:p>
    <w:p w14:paraId="499820D4">
      <w:pPr>
        <w:tabs>
          <w:tab w:val="left" w:pos="1305"/>
        </w:tabs>
        <w:spacing w:line="400" w:lineRule="exact"/>
        <w:rPr>
          <w:rFonts w:hint="default" w:ascii="Arial" w:hAnsi="Arial" w:cs="Arial"/>
          <w:b/>
          <w:szCs w:val="21"/>
          <w:highlight w:val="none"/>
        </w:rPr>
      </w:pPr>
    </w:p>
    <w:p w14:paraId="07579960">
      <w:pPr>
        <w:tabs>
          <w:tab w:val="left" w:pos="1305"/>
        </w:tabs>
        <w:spacing w:line="400" w:lineRule="exact"/>
        <w:rPr>
          <w:rFonts w:hint="default" w:ascii="Arial" w:hAnsi="Arial" w:eastAsia="宋体" w:cs="Arial"/>
          <w:b/>
          <w:color w:val="auto"/>
          <w:sz w:val="32"/>
          <w:szCs w:val="32"/>
          <w:highlight w:val="none"/>
        </w:rPr>
      </w:pPr>
      <w:r>
        <w:rPr>
          <w:rFonts w:hint="eastAsia" w:ascii="Arial" w:hAnsi="Arial" w:cs="Arial"/>
          <w:b/>
          <w:color w:val="auto"/>
          <w:sz w:val="32"/>
          <w:szCs w:val="32"/>
          <w:highlight w:val="none"/>
          <w:lang w:val="en-US" w:eastAsia="zh-CN"/>
        </w:rPr>
        <w:t>6</w:t>
      </w:r>
      <w:r>
        <w:rPr>
          <w:rFonts w:hint="default" w:ascii="Arial" w:hAnsi="Arial" w:eastAsia="宋体" w:cs="Arial"/>
          <w:b/>
          <w:color w:val="auto"/>
          <w:sz w:val="32"/>
          <w:szCs w:val="32"/>
          <w:highlight w:val="none"/>
          <w:lang w:val="en-US" w:eastAsia="zh-CN"/>
        </w:rPr>
        <w:t>.</w:t>
      </w:r>
      <w:r>
        <w:rPr>
          <w:rFonts w:hint="eastAsia" w:ascii="Arial" w:hAnsi="Arial" w:eastAsia="宋体" w:cs="Arial"/>
          <w:b/>
          <w:color w:val="auto"/>
          <w:sz w:val="32"/>
          <w:szCs w:val="32"/>
          <w:highlight w:val="none"/>
          <w:lang w:val="en-US" w:eastAsia="zh-CN"/>
        </w:rPr>
        <w:t>供应商有依法缴纳税收和社会保障金的良好记录（必须提供）</w:t>
      </w:r>
    </w:p>
    <w:p w14:paraId="185FE069">
      <w:pPr>
        <w:spacing w:line="400" w:lineRule="exact"/>
        <w:jc w:val="center"/>
        <w:rPr>
          <w:rFonts w:hint="default" w:ascii="Arial" w:hAnsi="Arial" w:cs="Arial"/>
          <w:b/>
          <w:color w:val="auto"/>
          <w:sz w:val="32"/>
          <w:szCs w:val="32"/>
          <w:highlight w:val="none"/>
        </w:rPr>
      </w:pPr>
    </w:p>
    <w:p w14:paraId="70E5AC76">
      <w:pPr>
        <w:pStyle w:val="27"/>
        <w:spacing w:line="400" w:lineRule="exact"/>
        <w:rPr>
          <w:rFonts w:hint="default" w:ascii="Arial" w:hAnsi="Arial" w:cs="Arial"/>
          <w:b/>
          <w:bCs w:val="0"/>
          <w:szCs w:val="21"/>
          <w:highlight w:val="none"/>
        </w:rPr>
      </w:pPr>
      <w:r>
        <w:rPr>
          <w:rFonts w:hint="default" w:ascii="Arial" w:hAnsi="Arial" w:cs="Arial"/>
          <w:b/>
          <w:szCs w:val="21"/>
          <w:highlight w:val="none"/>
        </w:rPr>
        <w:t>①</w:t>
      </w:r>
      <w:r>
        <w:rPr>
          <w:rFonts w:hint="default" w:ascii="Arial" w:hAnsi="Arial" w:cs="Arial"/>
          <w:b/>
          <w:szCs w:val="21"/>
          <w:highlight w:val="none"/>
          <w:lang w:eastAsia="zh-CN"/>
        </w:rPr>
        <w:t>审查响应截止时间前6个月内，供应商任意1个月依法缴纳税费证明复印件加盖供应商公章</w:t>
      </w:r>
      <w:r>
        <w:rPr>
          <w:rFonts w:hint="default" w:ascii="Arial" w:hAnsi="Arial" w:cs="Arial"/>
          <w:b/>
          <w:bCs w:val="0"/>
          <w:szCs w:val="21"/>
          <w:highlight w:val="none"/>
        </w:rPr>
        <w:t>。</w:t>
      </w:r>
    </w:p>
    <w:p w14:paraId="52DCFB67">
      <w:pPr>
        <w:pStyle w:val="27"/>
        <w:spacing w:line="400" w:lineRule="exact"/>
        <w:rPr>
          <w:rFonts w:hint="default" w:ascii="Arial" w:hAnsi="Arial" w:cs="Arial"/>
          <w:b/>
          <w:bCs w:val="0"/>
          <w:szCs w:val="21"/>
          <w:highlight w:val="none"/>
        </w:rPr>
      </w:pPr>
      <w:r>
        <w:rPr>
          <w:rFonts w:hint="default" w:ascii="Arial" w:hAnsi="Arial" w:cs="Arial"/>
          <w:b/>
          <w:bCs w:val="0"/>
          <w:szCs w:val="21"/>
          <w:highlight w:val="none"/>
        </w:rPr>
        <w:t>②</w:t>
      </w:r>
      <w:r>
        <w:rPr>
          <w:rFonts w:hint="default" w:ascii="Arial" w:hAnsi="Arial" w:cs="Arial"/>
          <w:b/>
          <w:bCs w:val="0"/>
          <w:szCs w:val="21"/>
          <w:highlight w:val="none"/>
          <w:lang w:eastAsia="zh-CN"/>
        </w:rPr>
        <w:t>审查响应截止时间前6个月内，供应商任意1个月的社保缴费证明记录复印件加盖供应商公章</w:t>
      </w:r>
      <w:r>
        <w:rPr>
          <w:rFonts w:hint="default" w:ascii="Arial" w:hAnsi="Arial" w:cs="Arial"/>
          <w:b/>
          <w:bCs w:val="0"/>
          <w:szCs w:val="21"/>
          <w:highlight w:val="none"/>
        </w:rPr>
        <w:t>。</w:t>
      </w:r>
    </w:p>
    <w:p w14:paraId="75AE80C7">
      <w:pPr>
        <w:pStyle w:val="27"/>
        <w:spacing w:line="400" w:lineRule="exact"/>
        <w:rPr>
          <w:rFonts w:hint="default" w:ascii="Arial" w:hAnsi="Arial" w:cs="Arial"/>
          <w:b/>
          <w:color w:val="auto"/>
          <w:szCs w:val="21"/>
          <w:highlight w:val="none"/>
        </w:rPr>
      </w:pPr>
      <w:r>
        <w:rPr>
          <w:rFonts w:hint="default" w:ascii="Arial" w:hAnsi="Arial" w:cs="Arial"/>
          <w:b/>
          <w:color w:val="auto"/>
          <w:szCs w:val="21"/>
          <w:highlight w:val="none"/>
        </w:rPr>
        <w:t>供应商成立不足1个月的，无须提供缴纳税费证明及社保缴费证明加盖供应商公章。</w:t>
      </w:r>
    </w:p>
    <w:p w14:paraId="0F32E86A">
      <w:pPr>
        <w:pStyle w:val="27"/>
        <w:spacing w:line="440" w:lineRule="exact"/>
        <w:ind w:firstLine="420"/>
        <w:rPr>
          <w:rFonts w:hint="default" w:ascii="Arial" w:hAnsi="Arial" w:cs="Arial"/>
          <w:b/>
          <w:szCs w:val="21"/>
          <w:highlight w:val="none"/>
        </w:rPr>
      </w:pPr>
      <w:r>
        <w:rPr>
          <w:rFonts w:hint="default" w:ascii="Arial" w:hAnsi="Arial" w:cs="Arial"/>
          <w:b/>
          <w:color w:val="auto"/>
          <w:szCs w:val="21"/>
          <w:highlight w:val="none"/>
        </w:rPr>
        <w:t>依法免税或不需要缴纳社会保障资金的供应商，须提供相应文件证明其依法免税或不需要缴纳社会保障资金。</w:t>
      </w:r>
    </w:p>
    <w:p w14:paraId="6AF1B3F3">
      <w:pPr>
        <w:rPr>
          <w:rFonts w:hint="default" w:ascii="Arial" w:hAnsi="Arial" w:cs="Arial"/>
          <w:b/>
          <w:szCs w:val="21"/>
          <w:highlight w:val="none"/>
        </w:rPr>
      </w:pPr>
      <w:r>
        <w:rPr>
          <w:rFonts w:hint="default" w:ascii="Arial" w:hAnsi="Arial" w:cs="Arial"/>
          <w:b/>
          <w:szCs w:val="21"/>
          <w:highlight w:val="none"/>
        </w:rPr>
        <w:br w:type="page"/>
      </w:r>
    </w:p>
    <w:p w14:paraId="17EF00FB">
      <w:pPr>
        <w:pStyle w:val="27"/>
        <w:numPr>
          <w:ilvl w:val="0"/>
          <w:numId w:val="0"/>
        </w:numPr>
        <w:spacing w:line="400" w:lineRule="exact"/>
        <w:rPr>
          <w:rFonts w:hint="eastAsia" w:ascii="Arial" w:hAnsi="Arial" w:eastAsia="宋体" w:cs="Arial"/>
          <w:b/>
          <w:color w:val="auto"/>
          <w:sz w:val="32"/>
          <w:szCs w:val="32"/>
          <w:highlight w:val="none"/>
          <w:lang w:val="en-US" w:eastAsia="zh-CN"/>
        </w:rPr>
      </w:pPr>
      <w:r>
        <w:rPr>
          <w:rFonts w:hint="eastAsia" w:ascii="Arial" w:hAnsi="Arial" w:eastAsia="宋体" w:cs="Arial"/>
          <w:b/>
          <w:color w:val="auto"/>
          <w:kern w:val="2"/>
          <w:sz w:val="32"/>
          <w:szCs w:val="32"/>
          <w:highlight w:val="none"/>
          <w:lang w:val="en-US" w:eastAsia="zh-CN" w:bidi="ar-SA"/>
        </w:rPr>
        <w:t>7.符合特定资质证明材料</w:t>
      </w:r>
      <w:r>
        <w:rPr>
          <w:rFonts w:hint="eastAsia" w:ascii="Arial" w:hAnsi="Arial" w:eastAsia="宋体" w:cs="Arial"/>
          <w:b/>
          <w:color w:val="auto"/>
          <w:sz w:val="32"/>
          <w:szCs w:val="32"/>
          <w:highlight w:val="none"/>
          <w:lang w:val="en-US" w:eastAsia="zh-CN"/>
        </w:rPr>
        <w:t>（必须提供）</w:t>
      </w:r>
    </w:p>
    <w:p w14:paraId="642C355E">
      <w:pPr>
        <w:pStyle w:val="345"/>
        <w:ind w:left="0" w:leftChars="0" w:firstLine="0" w:firstLineChars="0"/>
        <w:rPr>
          <w:rFonts w:hint="eastAsia"/>
          <w:highlight w:val="none"/>
          <w:lang w:val="en-US" w:eastAsia="zh-CN"/>
        </w:rPr>
      </w:pPr>
      <w:r>
        <w:rPr>
          <w:rFonts w:hint="eastAsia" w:ascii="黑体" w:hAnsi="黑体" w:eastAsia="黑体" w:cs="黑体"/>
          <w:sz w:val="21"/>
          <w:szCs w:val="21"/>
          <w:highlight w:val="none"/>
          <w:lang w:val="en-US" w:eastAsia="zh-CN"/>
        </w:rPr>
        <w:t>7.1供应商直接控股股东信息表</w:t>
      </w:r>
    </w:p>
    <w:tbl>
      <w:tblPr>
        <w:tblStyle w:val="49"/>
        <w:tblW w:w="0" w:type="auto"/>
        <w:tblInd w:w="125" w:type="dxa"/>
        <w:tblLayout w:type="fixed"/>
        <w:tblCellMar>
          <w:top w:w="0" w:type="dxa"/>
          <w:left w:w="0" w:type="dxa"/>
          <w:bottom w:w="0" w:type="dxa"/>
          <w:right w:w="0" w:type="dxa"/>
        </w:tblCellMar>
      </w:tblPr>
      <w:tblGrid>
        <w:gridCol w:w="828"/>
        <w:gridCol w:w="2269"/>
        <w:gridCol w:w="1239"/>
        <w:gridCol w:w="3722"/>
        <w:gridCol w:w="1418"/>
      </w:tblGrid>
      <w:tr w14:paraId="4457AEB6">
        <w:tblPrEx>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AABCCC8">
            <w:pPr>
              <w:spacing w:line="360" w:lineRule="auto"/>
              <w:jc w:val="center"/>
              <w:rPr>
                <w:rFonts w:hint="default" w:ascii="Arial" w:hAnsi="Arial" w:cs="Arial"/>
                <w:color w:val="auto"/>
                <w:szCs w:val="21"/>
                <w:highlight w:val="none"/>
              </w:rPr>
            </w:pPr>
            <w:r>
              <w:rPr>
                <w:rFonts w:hint="default" w:ascii="Arial" w:hAnsi="Arial" w:cs="Arial"/>
                <w:color w:val="auto"/>
                <w:szCs w:val="21"/>
                <w:highlight w:val="none"/>
              </w:rPr>
              <w:t>序号</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0BA0E29">
            <w:pPr>
              <w:spacing w:line="360" w:lineRule="auto"/>
              <w:jc w:val="center"/>
              <w:rPr>
                <w:rFonts w:hint="default" w:ascii="Arial" w:hAnsi="Arial" w:cs="Arial"/>
                <w:color w:val="auto"/>
                <w:szCs w:val="21"/>
                <w:highlight w:val="none"/>
              </w:rPr>
            </w:pPr>
            <w:r>
              <w:rPr>
                <w:rFonts w:hint="default" w:ascii="Arial" w:hAnsi="Arial" w:cs="Arial"/>
                <w:color w:val="auto"/>
                <w:szCs w:val="21"/>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0ADF2BB">
            <w:pPr>
              <w:spacing w:line="360" w:lineRule="auto"/>
              <w:jc w:val="center"/>
              <w:rPr>
                <w:rFonts w:hint="default" w:ascii="Arial" w:hAnsi="Arial" w:cs="Arial"/>
                <w:color w:val="auto"/>
                <w:szCs w:val="21"/>
                <w:highlight w:val="none"/>
              </w:rPr>
            </w:pPr>
            <w:r>
              <w:rPr>
                <w:rFonts w:hint="default" w:ascii="Arial" w:hAnsi="Arial" w:cs="Arial"/>
                <w:color w:val="auto"/>
                <w:szCs w:val="21"/>
                <w:highlight w:val="none"/>
              </w:rPr>
              <w:t>出资比例</w:t>
            </w: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8E917D9">
            <w:pPr>
              <w:spacing w:line="360" w:lineRule="auto"/>
              <w:jc w:val="center"/>
              <w:rPr>
                <w:rFonts w:hint="default" w:ascii="Arial" w:hAnsi="Arial" w:cs="Arial"/>
                <w:color w:val="auto"/>
                <w:szCs w:val="21"/>
                <w:highlight w:val="none"/>
              </w:rPr>
            </w:pPr>
            <w:r>
              <w:rPr>
                <w:rFonts w:hint="default" w:ascii="Arial" w:hAnsi="Arial" w:cs="Arial"/>
                <w:color w:val="auto"/>
                <w:szCs w:val="21"/>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3782BE07">
            <w:pPr>
              <w:spacing w:line="360" w:lineRule="auto"/>
              <w:jc w:val="center"/>
              <w:rPr>
                <w:rFonts w:hint="default" w:ascii="Arial" w:hAnsi="Arial" w:cs="Arial"/>
                <w:color w:val="auto"/>
                <w:szCs w:val="21"/>
                <w:highlight w:val="none"/>
              </w:rPr>
            </w:pPr>
            <w:r>
              <w:rPr>
                <w:rFonts w:hint="default" w:ascii="Arial" w:hAnsi="Arial" w:cs="Arial"/>
                <w:color w:val="auto"/>
                <w:szCs w:val="21"/>
                <w:highlight w:val="none"/>
              </w:rPr>
              <w:t>备注</w:t>
            </w:r>
          </w:p>
        </w:tc>
      </w:tr>
      <w:tr w14:paraId="46E63E92">
        <w:tblPrEx>
          <w:tblCellMar>
            <w:top w:w="0" w:type="dxa"/>
            <w:left w:w="0" w:type="dxa"/>
            <w:bottom w:w="0" w:type="dxa"/>
            <w:right w:w="0" w:type="dxa"/>
          </w:tblCellMar>
        </w:tblPrEx>
        <w:trPr>
          <w:trHeight w:val="454" w:hRule="exact"/>
        </w:trPr>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top"/>
          </w:tcPr>
          <w:p w14:paraId="1F7B7DE4">
            <w:pPr>
              <w:spacing w:line="360" w:lineRule="auto"/>
              <w:jc w:val="center"/>
              <w:rPr>
                <w:rFonts w:hint="default" w:ascii="Arial" w:hAnsi="Arial" w:cs="Arial"/>
                <w:color w:val="auto"/>
                <w:szCs w:val="21"/>
                <w:highlight w:val="none"/>
              </w:rPr>
            </w:pPr>
            <w:r>
              <w:rPr>
                <w:rFonts w:hint="default" w:ascii="Arial" w:hAnsi="Arial" w:cs="Arial"/>
                <w:color w:val="auto"/>
                <w:szCs w:val="21"/>
                <w:highlight w:val="none"/>
              </w:rPr>
              <w:t>1</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top"/>
          </w:tcPr>
          <w:p w14:paraId="1918313A">
            <w:pPr>
              <w:spacing w:line="360" w:lineRule="auto"/>
              <w:jc w:val="center"/>
              <w:rPr>
                <w:rFonts w:hint="default" w:ascii="Arial" w:hAnsi="Arial" w:cs="Arial"/>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top"/>
          </w:tcPr>
          <w:p w14:paraId="52BCE40C">
            <w:pPr>
              <w:spacing w:line="360" w:lineRule="auto"/>
              <w:jc w:val="center"/>
              <w:rPr>
                <w:rFonts w:hint="default" w:ascii="Arial" w:hAnsi="Arial" w:cs="Arial"/>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top"/>
          </w:tcPr>
          <w:p w14:paraId="2837BC15">
            <w:pPr>
              <w:spacing w:line="360" w:lineRule="auto"/>
              <w:jc w:val="center"/>
              <w:rPr>
                <w:rFonts w:hint="default" w:ascii="Arial" w:hAnsi="Arial" w:cs="Arial"/>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top"/>
          </w:tcPr>
          <w:p w14:paraId="47F50232">
            <w:pPr>
              <w:spacing w:line="360" w:lineRule="auto"/>
              <w:jc w:val="center"/>
              <w:rPr>
                <w:rFonts w:hint="default" w:ascii="Arial" w:hAnsi="Arial" w:cs="Arial"/>
                <w:color w:val="auto"/>
                <w:szCs w:val="21"/>
                <w:highlight w:val="none"/>
              </w:rPr>
            </w:pPr>
          </w:p>
        </w:tc>
      </w:tr>
      <w:tr w14:paraId="76164F90">
        <w:tblPrEx>
          <w:tblCellMar>
            <w:top w:w="0" w:type="dxa"/>
            <w:left w:w="0" w:type="dxa"/>
            <w:bottom w:w="0" w:type="dxa"/>
            <w:right w:w="0" w:type="dxa"/>
          </w:tblCellMar>
        </w:tblPrEx>
        <w:trPr>
          <w:trHeight w:val="454" w:hRule="exact"/>
        </w:trPr>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top"/>
          </w:tcPr>
          <w:p w14:paraId="74C003F7">
            <w:pPr>
              <w:spacing w:line="360" w:lineRule="auto"/>
              <w:jc w:val="center"/>
              <w:rPr>
                <w:rFonts w:hint="default" w:ascii="Arial" w:hAnsi="Arial" w:cs="Arial"/>
                <w:color w:val="auto"/>
                <w:szCs w:val="21"/>
                <w:highlight w:val="none"/>
              </w:rPr>
            </w:pPr>
            <w:r>
              <w:rPr>
                <w:rFonts w:hint="default" w:ascii="Arial" w:hAnsi="Arial" w:cs="Arial"/>
                <w:color w:val="auto"/>
                <w:szCs w:val="21"/>
                <w:highlight w:val="none"/>
              </w:rPr>
              <w:t>2</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top"/>
          </w:tcPr>
          <w:p w14:paraId="68E3271C">
            <w:pPr>
              <w:spacing w:line="360" w:lineRule="auto"/>
              <w:jc w:val="center"/>
              <w:rPr>
                <w:rFonts w:hint="default" w:ascii="Arial" w:hAnsi="Arial" w:cs="Arial"/>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top"/>
          </w:tcPr>
          <w:p w14:paraId="4544DC79">
            <w:pPr>
              <w:spacing w:line="360" w:lineRule="auto"/>
              <w:jc w:val="center"/>
              <w:rPr>
                <w:rFonts w:hint="default" w:ascii="Arial" w:hAnsi="Arial" w:cs="Arial"/>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top"/>
          </w:tcPr>
          <w:p w14:paraId="21303B08">
            <w:pPr>
              <w:spacing w:line="360" w:lineRule="auto"/>
              <w:jc w:val="center"/>
              <w:rPr>
                <w:rFonts w:hint="default" w:ascii="Arial" w:hAnsi="Arial" w:cs="Arial"/>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top"/>
          </w:tcPr>
          <w:p w14:paraId="737F0473">
            <w:pPr>
              <w:spacing w:line="360" w:lineRule="auto"/>
              <w:jc w:val="center"/>
              <w:rPr>
                <w:rFonts w:hint="default" w:ascii="Arial" w:hAnsi="Arial" w:cs="Arial"/>
                <w:color w:val="auto"/>
                <w:szCs w:val="21"/>
                <w:highlight w:val="none"/>
              </w:rPr>
            </w:pPr>
          </w:p>
        </w:tc>
      </w:tr>
      <w:tr w14:paraId="358968FF">
        <w:tblPrEx>
          <w:tblCellMar>
            <w:top w:w="0" w:type="dxa"/>
            <w:left w:w="0" w:type="dxa"/>
            <w:bottom w:w="0" w:type="dxa"/>
            <w:right w:w="0" w:type="dxa"/>
          </w:tblCellMar>
        </w:tblPrEx>
        <w:trPr>
          <w:trHeight w:val="454" w:hRule="exact"/>
        </w:trPr>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top"/>
          </w:tcPr>
          <w:p w14:paraId="183F0421">
            <w:pPr>
              <w:spacing w:line="360" w:lineRule="auto"/>
              <w:jc w:val="center"/>
              <w:rPr>
                <w:rFonts w:hint="default" w:ascii="Arial" w:hAnsi="Arial" w:cs="Arial"/>
                <w:color w:val="auto"/>
                <w:szCs w:val="21"/>
                <w:highlight w:val="none"/>
              </w:rPr>
            </w:pPr>
            <w:r>
              <w:rPr>
                <w:rFonts w:hint="default" w:ascii="Arial" w:hAnsi="Arial" w:cs="Arial"/>
                <w:color w:val="auto"/>
                <w:szCs w:val="21"/>
                <w:highlight w:val="none"/>
              </w:rPr>
              <w:t>3</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top"/>
          </w:tcPr>
          <w:p w14:paraId="6D8CE0EA">
            <w:pPr>
              <w:spacing w:line="360" w:lineRule="auto"/>
              <w:jc w:val="center"/>
              <w:rPr>
                <w:rFonts w:hint="default" w:ascii="Arial" w:hAnsi="Arial" w:cs="Arial"/>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top"/>
          </w:tcPr>
          <w:p w14:paraId="5A6B85C8">
            <w:pPr>
              <w:spacing w:line="360" w:lineRule="auto"/>
              <w:jc w:val="center"/>
              <w:rPr>
                <w:rFonts w:hint="default" w:ascii="Arial" w:hAnsi="Arial" w:cs="Arial"/>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top"/>
          </w:tcPr>
          <w:p w14:paraId="0898F2D8">
            <w:pPr>
              <w:spacing w:line="360" w:lineRule="auto"/>
              <w:jc w:val="center"/>
              <w:rPr>
                <w:rFonts w:hint="default" w:ascii="Arial" w:hAnsi="Arial" w:cs="Arial"/>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top"/>
          </w:tcPr>
          <w:p w14:paraId="57878AE0">
            <w:pPr>
              <w:spacing w:line="360" w:lineRule="auto"/>
              <w:jc w:val="center"/>
              <w:rPr>
                <w:rFonts w:hint="default" w:ascii="Arial" w:hAnsi="Arial" w:cs="Arial"/>
                <w:color w:val="auto"/>
                <w:szCs w:val="21"/>
                <w:highlight w:val="none"/>
              </w:rPr>
            </w:pPr>
          </w:p>
        </w:tc>
      </w:tr>
      <w:tr w14:paraId="615EBBE4">
        <w:tblPrEx>
          <w:tblCellMar>
            <w:top w:w="0" w:type="dxa"/>
            <w:left w:w="0" w:type="dxa"/>
            <w:bottom w:w="0" w:type="dxa"/>
            <w:right w:w="0" w:type="dxa"/>
          </w:tblCellMar>
        </w:tblPrEx>
        <w:trPr>
          <w:trHeight w:val="454" w:hRule="exact"/>
        </w:trPr>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top"/>
          </w:tcPr>
          <w:p w14:paraId="1A6B7322">
            <w:pPr>
              <w:spacing w:line="360" w:lineRule="auto"/>
              <w:jc w:val="center"/>
              <w:rPr>
                <w:rFonts w:hint="default" w:ascii="Arial" w:hAnsi="Arial" w:cs="Arial"/>
                <w:color w:val="auto"/>
                <w:szCs w:val="21"/>
                <w:highlight w:val="none"/>
              </w:rPr>
            </w:pPr>
            <w:r>
              <w:rPr>
                <w:rFonts w:hint="default" w:ascii="Arial" w:hAnsi="Arial" w:cs="Arial"/>
                <w:color w:val="auto"/>
                <w:szCs w:val="21"/>
                <w:highlight w:val="none"/>
              </w:rPr>
              <w:t>……</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top"/>
          </w:tcPr>
          <w:p w14:paraId="2154E765">
            <w:pPr>
              <w:spacing w:line="360" w:lineRule="auto"/>
              <w:jc w:val="center"/>
              <w:rPr>
                <w:rFonts w:hint="default" w:ascii="Arial" w:hAnsi="Arial" w:cs="Arial"/>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top"/>
          </w:tcPr>
          <w:p w14:paraId="3C646295">
            <w:pPr>
              <w:spacing w:line="360" w:lineRule="auto"/>
              <w:jc w:val="center"/>
              <w:rPr>
                <w:rFonts w:hint="default" w:ascii="Arial" w:hAnsi="Arial" w:cs="Arial"/>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top"/>
          </w:tcPr>
          <w:p w14:paraId="1BA052B7">
            <w:pPr>
              <w:spacing w:line="360" w:lineRule="auto"/>
              <w:jc w:val="center"/>
              <w:rPr>
                <w:rFonts w:hint="default" w:ascii="Arial" w:hAnsi="Arial" w:cs="Arial"/>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top"/>
          </w:tcPr>
          <w:p w14:paraId="0F8E29AA">
            <w:pPr>
              <w:spacing w:line="360" w:lineRule="auto"/>
              <w:jc w:val="center"/>
              <w:rPr>
                <w:rFonts w:hint="default" w:ascii="Arial" w:hAnsi="Arial" w:cs="Arial"/>
                <w:color w:val="auto"/>
                <w:szCs w:val="21"/>
                <w:highlight w:val="none"/>
              </w:rPr>
            </w:pPr>
          </w:p>
        </w:tc>
      </w:tr>
    </w:tbl>
    <w:p w14:paraId="4D6FEB83">
      <w:pPr>
        <w:snapToGrid w:val="0"/>
        <w:spacing w:line="360" w:lineRule="auto"/>
        <w:jc w:val="left"/>
        <w:rPr>
          <w:rFonts w:hint="default" w:ascii="Arial" w:hAnsi="Arial" w:cs="Arial"/>
          <w:color w:val="auto"/>
          <w:szCs w:val="21"/>
          <w:highlight w:val="none"/>
        </w:rPr>
      </w:pPr>
      <w:r>
        <w:rPr>
          <w:rFonts w:hint="default" w:ascii="Arial" w:hAnsi="Arial" w:cs="Arial"/>
          <w:color w:val="auto"/>
          <w:szCs w:val="21"/>
          <w:highlight w:val="none"/>
        </w:rPr>
        <w:t>注：</w:t>
      </w:r>
    </w:p>
    <w:p w14:paraId="61302C36">
      <w:pPr>
        <w:snapToGrid w:val="0"/>
        <w:spacing w:line="360" w:lineRule="auto"/>
        <w:jc w:val="left"/>
        <w:rPr>
          <w:rFonts w:hint="default" w:ascii="Arial" w:hAnsi="Arial" w:cs="Arial"/>
          <w:color w:val="auto"/>
          <w:szCs w:val="21"/>
          <w:highlight w:val="none"/>
        </w:rPr>
      </w:pPr>
      <w:r>
        <w:rPr>
          <w:rFonts w:hint="default" w:ascii="Arial" w:hAnsi="Arial" w:cs="Arial"/>
          <w:color w:val="auto"/>
          <w:szCs w:val="21"/>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25BEC66E">
      <w:pPr>
        <w:snapToGrid w:val="0"/>
        <w:spacing w:line="360" w:lineRule="auto"/>
        <w:jc w:val="left"/>
        <w:rPr>
          <w:rFonts w:hint="default" w:ascii="Arial" w:hAnsi="Arial" w:cs="Arial"/>
          <w:color w:val="auto"/>
          <w:szCs w:val="21"/>
          <w:highlight w:val="none"/>
        </w:rPr>
      </w:pPr>
      <w:r>
        <w:rPr>
          <w:rFonts w:hint="default" w:ascii="Arial" w:hAnsi="Arial" w:cs="Arial"/>
          <w:color w:val="auto"/>
          <w:szCs w:val="21"/>
          <w:highlight w:val="none"/>
        </w:rPr>
        <w:t>2.本表所指的控股关系仅限于直接控股关系，不包括间接的控股关系。公司实际控制人与公司之间的关系不属于本表所指的直接控股关系。</w:t>
      </w:r>
    </w:p>
    <w:p w14:paraId="7657222A">
      <w:pPr>
        <w:snapToGrid w:val="0"/>
        <w:spacing w:line="360" w:lineRule="auto"/>
        <w:jc w:val="left"/>
        <w:rPr>
          <w:rFonts w:hint="default" w:ascii="Arial" w:hAnsi="Arial" w:cs="Arial"/>
          <w:color w:val="auto"/>
          <w:szCs w:val="21"/>
          <w:highlight w:val="none"/>
        </w:rPr>
      </w:pPr>
      <w:r>
        <w:rPr>
          <w:rFonts w:hint="default" w:ascii="Arial" w:hAnsi="Arial" w:cs="Arial"/>
          <w:color w:val="auto"/>
          <w:szCs w:val="21"/>
          <w:highlight w:val="none"/>
        </w:rPr>
        <w:t>3.供应商不存在直接控股股东的，则填</w:t>
      </w:r>
      <w:r>
        <w:rPr>
          <w:rFonts w:hint="eastAsia" w:ascii="Arial" w:hAnsi="Arial" w:cs="Arial"/>
          <w:color w:val="auto"/>
          <w:szCs w:val="21"/>
          <w:highlight w:val="none"/>
          <w:lang w:eastAsia="zh-CN"/>
        </w:rPr>
        <w:t>“</w:t>
      </w:r>
      <w:r>
        <w:rPr>
          <w:rFonts w:hint="default" w:ascii="Arial" w:hAnsi="Arial" w:cs="Arial"/>
          <w:color w:val="auto"/>
          <w:szCs w:val="21"/>
          <w:highlight w:val="none"/>
        </w:rPr>
        <w:t>无</w:t>
      </w:r>
      <w:r>
        <w:rPr>
          <w:rFonts w:hint="eastAsia" w:ascii="Arial" w:hAnsi="Arial" w:cs="Arial"/>
          <w:color w:val="auto"/>
          <w:szCs w:val="21"/>
          <w:highlight w:val="none"/>
          <w:lang w:eastAsia="zh-CN"/>
        </w:rPr>
        <w:t>”</w:t>
      </w:r>
      <w:r>
        <w:rPr>
          <w:rFonts w:hint="default" w:ascii="Arial" w:hAnsi="Arial" w:cs="Arial"/>
          <w:color w:val="auto"/>
          <w:szCs w:val="21"/>
          <w:highlight w:val="none"/>
        </w:rPr>
        <w:t>。</w:t>
      </w:r>
    </w:p>
    <w:p w14:paraId="3ED97EB6">
      <w:pPr>
        <w:snapToGrid w:val="0"/>
        <w:spacing w:line="360" w:lineRule="auto"/>
        <w:jc w:val="left"/>
        <w:rPr>
          <w:rFonts w:hint="eastAsia" w:ascii="黑体" w:hAnsi="黑体" w:eastAsia="黑体" w:cs="黑体"/>
          <w:sz w:val="21"/>
          <w:szCs w:val="21"/>
          <w:highlight w:val="none"/>
          <w:lang w:val="en-US" w:eastAsia="zh-CN"/>
        </w:rPr>
      </w:pPr>
    </w:p>
    <w:p w14:paraId="496392E4">
      <w:pPr>
        <w:snapToGrid w:val="0"/>
        <w:spacing w:line="360" w:lineRule="auto"/>
        <w:jc w:val="left"/>
        <w:rPr>
          <w:rFonts w:hint="default" w:ascii="Arial" w:hAnsi="Arial" w:cs="Arial"/>
          <w:b/>
          <w:color w:val="auto"/>
          <w:sz w:val="32"/>
          <w:szCs w:val="32"/>
          <w:highlight w:val="none"/>
        </w:rPr>
      </w:pPr>
      <w:r>
        <w:rPr>
          <w:rFonts w:hint="eastAsia" w:ascii="黑体" w:hAnsi="黑体" w:eastAsia="黑体" w:cs="黑体"/>
          <w:sz w:val="21"/>
          <w:szCs w:val="21"/>
          <w:highlight w:val="none"/>
          <w:lang w:val="en-US" w:eastAsia="zh-CN"/>
        </w:rPr>
        <w:t>7.2供应商直接管理关系信息表</w:t>
      </w:r>
    </w:p>
    <w:tbl>
      <w:tblPr>
        <w:tblStyle w:val="49"/>
        <w:tblW w:w="0" w:type="auto"/>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14:paraId="64CFE9E4">
        <w:tblPrEx>
          <w:shd w:val="clear" w:color="auto" w:fill="FBFBFB"/>
          <w:tblCellMar>
            <w:top w:w="0" w:type="dxa"/>
            <w:left w:w="0" w:type="dxa"/>
            <w:bottom w:w="0" w:type="dxa"/>
            <w:right w:w="0" w:type="dxa"/>
          </w:tblCellMar>
        </w:tblPrEx>
        <w:trPr>
          <w:trHeight w:val="454" w:hRule="exact"/>
          <w:tblHeader/>
        </w:trPr>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9745AFD">
            <w:pPr>
              <w:spacing w:line="360" w:lineRule="auto"/>
              <w:jc w:val="center"/>
              <w:rPr>
                <w:rFonts w:hint="default" w:ascii="Arial" w:hAnsi="Arial" w:cs="Arial"/>
                <w:color w:val="auto"/>
                <w:szCs w:val="21"/>
                <w:highlight w:val="none"/>
              </w:rPr>
            </w:pPr>
            <w:r>
              <w:rPr>
                <w:rFonts w:hint="default" w:ascii="Arial" w:hAnsi="Arial" w:cs="Arial"/>
                <w:color w:val="auto"/>
                <w:szCs w:val="21"/>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587B74F">
            <w:pPr>
              <w:spacing w:line="360" w:lineRule="auto"/>
              <w:jc w:val="center"/>
              <w:rPr>
                <w:rFonts w:hint="default" w:ascii="Arial" w:hAnsi="Arial" w:cs="Arial"/>
                <w:color w:val="auto"/>
                <w:szCs w:val="21"/>
                <w:highlight w:val="none"/>
              </w:rPr>
            </w:pPr>
            <w:r>
              <w:rPr>
                <w:rFonts w:hint="default" w:ascii="Arial" w:hAnsi="Arial" w:cs="Arial"/>
                <w:color w:val="auto"/>
                <w:szCs w:val="21"/>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8C81B15">
            <w:pPr>
              <w:spacing w:line="360" w:lineRule="auto"/>
              <w:jc w:val="center"/>
              <w:rPr>
                <w:rFonts w:hint="default" w:ascii="Arial" w:hAnsi="Arial" w:cs="Arial"/>
                <w:color w:val="auto"/>
                <w:szCs w:val="21"/>
                <w:highlight w:val="none"/>
              </w:rPr>
            </w:pPr>
            <w:r>
              <w:rPr>
                <w:rFonts w:hint="default" w:ascii="Arial" w:hAnsi="Arial" w:cs="Arial"/>
                <w:color w:val="auto"/>
                <w:szCs w:val="21"/>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D17217D">
            <w:pPr>
              <w:spacing w:line="360" w:lineRule="auto"/>
              <w:jc w:val="center"/>
              <w:rPr>
                <w:rFonts w:hint="default" w:ascii="Arial" w:hAnsi="Arial" w:cs="Arial"/>
                <w:color w:val="auto"/>
                <w:szCs w:val="21"/>
                <w:highlight w:val="none"/>
              </w:rPr>
            </w:pPr>
            <w:r>
              <w:rPr>
                <w:rFonts w:hint="default" w:ascii="Arial" w:hAnsi="Arial" w:cs="Arial"/>
                <w:color w:val="auto"/>
                <w:szCs w:val="21"/>
                <w:highlight w:val="none"/>
              </w:rPr>
              <w:t>备注</w:t>
            </w:r>
          </w:p>
        </w:tc>
      </w:tr>
      <w:tr w14:paraId="2546A3F9">
        <w:tblPrEx>
          <w:shd w:val="clear" w:color="auto" w:fill="FBFBFB"/>
          <w:tblCellMar>
            <w:top w:w="0" w:type="dxa"/>
            <w:left w:w="0" w:type="dxa"/>
            <w:bottom w:w="0" w:type="dxa"/>
            <w:right w:w="0" w:type="dxa"/>
          </w:tblCellMar>
        </w:tblPrEx>
        <w:trPr>
          <w:trHeight w:val="454" w:hRule="exact"/>
        </w:trPr>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5B87E90">
            <w:pPr>
              <w:spacing w:line="360" w:lineRule="auto"/>
              <w:jc w:val="center"/>
              <w:rPr>
                <w:rFonts w:hint="default" w:ascii="Arial" w:hAnsi="Arial" w:cs="Arial"/>
                <w:color w:val="auto"/>
                <w:szCs w:val="21"/>
                <w:highlight w:val="none"/>
              </w:rPr>
            </w:pPr>
            <w:r>
              <w:rPr>
                <w:rFonts w:hint="default" w:ascii="Arial" w:hAnsi="Arial" w:cs="Arial"/>
                <w:color w:val="auto"/>
                <w:szCs w:val="21"/>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5E4258C">
            <w:pPr>
              <w:spacing w:line="360" w:lineRule="auto"/>
              <w:jc w:val="center"/>
              <w:rPr>
                <w:rFonts w:hint="default" w:ascii="Arial" w:hAnsi="Arial" w:cs="Arial"/>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523F9E9">
            <w:pPr>
              <w:spacing w:line="360" w:lineRule="auto"/>
              <w:jc w:val="center"/>
              <w:rPr>
                <w:rFonts w:hint="default" w:ascii="Arial" w:hAnsi="Arial" w:cs="Arial"/>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4BC391B">
            <w:pPr>
              <w:spacing w:line="360" w:lineRule="auto"/>
              <w:jc w:val="center"/>
              <w:rPr>
                <w:rFonts w:hint="default" w:ascii="Arial" w:hAnsi="Arial" w:cs="Arial"/>
                <w:color w:val="auto"/>
                <w:szCs w:val="21"/>
                <w:highlight w:val="none"/>
              </w:rPr>
            </w:pPr>
          </w:p>
        </w:tc>
      </w:tr>
      <w:tr w14:paraId="3FBEBF5F">
        <w:tblPrEx>
          <w:shd w:val="clear" w:color="auto" w:fill="FBFBFB"/>
          <w:tblCellMar>
            <w:top w:w="0" w:type="dxa"/>
            <w:left w:w="0" w:type="dxa"/>
            <w:bottom w:w="0" w:type="dxa"/>
            <w:right w:w="0" w:type="dxa"/>
          </w:tblCellMar>
        </w:tblPrEx>
        <w:trPr>
          <w:trHeight w:val="454" w:hRule="exact"/>
        </w:trPr>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3684838">
            <w:pPr>
              <w:spacing w:line="360" w:lineRule="auto"/>
              <w:jc w:val="center"/>
              <w:rPr>
                <w:rFonts w:hint="default" w:ascii="Arial" w:hAnsi="Arial" w:cs="Arial"/>
                <w:color w:val="auto"/>
                <w:szCs w:val="21"/>
                <w:highlight w:val="none"/>
              </w:rPr>
            </w:pPr>
            <w:r>
              <w:rPr>
                <w:rFonts w:hint="default" w:ascii="Arial" w:hAnsi="Arial" w:cs="Arial"/>
                <w:color w:val="auto"/>
                <w:szCs w:val="21"/>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20EC53D">
            <w:pPr>
              <w:spacing w:line="360" w:lineRule="auto"/>
              <w:jc w:val="center"/>
              <w:rPr>
                <w:rFonts w:hint="default" w:ascii="Arial" w:hAnsi="Arial" w:cs="Arial"/>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314F6AB">
            <w:pPr>
              <w:spacing w:line="360" w:lineRule="auto"/>
              <w:jc w:val="center"/>
              <w:rPr>
                <w:rFonts w:hint="default" w:ascii="Arial" w:hAnsi="Arial" w:cs="Arial"/>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DF71A12">
            <w:pPr>
              <w:spacing w:line="360" w:lineRule="auto"/>
              <w:jc w:val="center"/>
              <w:rPr>
                <w:rFonts w:hint="default" w:ascii="Arial" w:hAnsi="Arial" w:cs="Arial"/>
                <w:color w:val="auto"/>
                <w:szCs w:val="21"/>
                <w:highlight w:val="none"/>
              </w:rPr>
            </w:pPr>
          </w:p>
        </w:tc>
      </w:tr>
      <w:tr w14:paraId="77E71D0A">
        <w:tblPrEx>
          <w:shd w:val="clear" w:color="auto" w:fill="FBFBFB"/>
          <w:tblCellMar>
            <w:top w:w="0" w:type="dxa"/>
            <w:left w:w="0" w:type="dxa"/>
            <w:bottom w:w="0" w:type="dxa"/>
            <w:right w:w="0" w:type="dxa"/>
          </w:tblCellMar>
        </w:tblPrEx>
        <w:trPr>
          <w:trHeight w:val="454" w:hRule="exact"/>
        </w:trPr>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D249B6C">
            <w:pPr>
              <w:spacing w:line="360" w:lineRule="auto"/>
              <w:jc w:val="center"/>
              <w:rPr>
                <w:rFonts w:hint="default" w:ascii="Arial" w:hAnsi="Arial" w:cs="Arial"/>
                <w:color w:val="auto"/>
                <w:szCs w:val="21"/>
                <w:highlight w:val="none"/>
              </w:rPr>
            </w:pPr>
            <w:r>
              <w:rPr>
                <w:rFonts w:hint="default" w:ascii="Arial" w:hAnsi="Arial" w:cs="Arial"/>
                <w:color w:val="auto"/>
                <w:szCs w:val="21"/>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38E4A69">
            <w:pPr>
              <w:spacing w:line="360" w:lineRule="auto"/>
              <w:jc w:val="center"/>
              <w:rPr>
                <w:rFonts w:hint="default" w:ascii="Arial" w:hAnsi="Arial" w:cs="Arial"/>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B5E7C04">
            <w:pPr>
              <w:spacing w:line="360" w:lineRule="auto"/>
              <w:jc w:val="center"/>
              <w:rPr>
                <w:rFonts w:hint="default" w:ascii="Arial" w:hAnsi="Arial" w:cs="Arial"/>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B6F465E">
            <w:pPr>
              <w:spacing w:line="360" w:lineRule="auto"/>
              <w:jc w:val="center"/>
              <w:rPr>
                <w:rFonts w:hint="default" w:ascii="Arial" w:hAnsi="Arial" w:cs="Arial"/>
                <w:color w:val="auto"/>
                <w:szCs w:val="21"/>
                <w:highlight w:val="none"/>
              </w:rPr>
            </w:pPr>
          </w:p>
        </w:tc>
      </w:tr>
      <w:tr w14:paraId="44D104D1">
        <w:tblPrEx>
          <w:shd w:val="clear" w:color="auto" w:fill="FBFBFB"/>
          <w:tblCellMar>
            <w:top w:w="0" w:type="dxa"/>
            <w:left w:w="0" w:type="dxa"/>
            <w:bottom w:w="0" w:type="dxa"/>
            <w:right w:w="0" w:type="dxa"/>
          </w:tblCellMar>
        </w:tblPrEx>
        <w:trPr>
          <w:trHeight w:val="454" w:hRule="exact"/>
        </w:trPr>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9EA17AE">
            <w:pPr>
              <w:spacing w:line="360" w:lineRule="auto"/>
              <w:jc w:val="center"/>
              <w:rPr>
                <w:rFonts w:hint="default" w:ascii="Arial" w:hAnsi="Arial" w:cs="Arial"/>
                <w:color w:val="auto"/>
                <w:szCs w:val="21"/>
                <w:highlight w:val="none"/>
              </w:rPr>
            </w:pPr>
            <w:r>
              <w:rPr>
                <w:rFonts w:hint="default" w:ascii="Arial" w:hAnsi="Arial" w:cs="Arial"/>
                <w:color w:val="auto"/>
                <w:szCs w:val="21"/>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010CE52">
            <w:pPr>
              <w:spacing w:line="360" w:lineRule="auto"/>
              <w:jc w:val="center"/>
              <w:rPr>
                <w:rFonts w:hint="default" w:ascii="Arial" w:hAnsi="Arial" w:cs="Arial"/>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B61A822">
            <w:pPr>
              <w:spacing w:line="360" w:lineRule="auto"/>
              <w:jc w:val="center"/>
              <w:rPr>
                <w:rFonts w:hint="default" w:ascii="Arial" w:hAnsi="Arial" w:cs="Arial"/>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93E826C">
            <w:pPr>
              <w:spacing w:line="360" w:lineRule="auto"/>
              <w:jc w:val="center"/>
              <w:rPr>
                <w:rFonts w:hint="default" w:ascii="Arial" w:hAnsi="Arial" w:cs="Arial"/>
                <w:color w:val="auto"/>
                <w:szCs w:val="21"/>
                <w:highlight w:val="none"/>
              </w:rPr>
            </w:pPr>
          </w:p>
        </w:tc>
      </w:tr>
    </w:tbl>
    <w:p w14:paraId="7AE0892C">
      <w:pPr>
        <w:snapToGrid w:val="0"/>
        <w:spacing w:line="360" w:lineRule="auto"/>
        <w:jc w:val="left"/>
        <w:rPr>
          <w:rFonts w:hint="default" w:ascii="Arial" w:hAnsi="Arial" w:cs="Arial"/>
          <w:color w:val="auto"/>
          <w:szCs w:val="21"/>
          <w:highlight w:val="none"/>
        </w:rPr>
      </w:pPr>
      <w:r>
        <w:rPr>
          <w:rFonts w:hint="default" w:ascii="Arial" w:hAnsi="Arial" w:cs="Arial"/>
          <w:color w:val="auto"/>
          <w:szCs w:val="21"/>
          <w:highlight w:val="none"/>
        </w:rPr>
        <w:t>注：</w:t>
      </w:r>
    </w:p>
    <w:p w14:paraId="6F54A271">
      <w:pPr>
        <w:snapToGrid w:val="0"/>
        <w:spacing w:line="360" w:lineRule="auto"/>
        <w:ind w:firstLine="420" w:firstLineChars="200"/>
        <w:jc w:val="left"/>
        <w:rPr>
          <w:rFonts w:hint="default" w:ascii="Arial" w:hAnsi="Arial" w:cs="Arial"/>
          <w:color w:val="auto"/>
          <w:szCs w:val="21"/>
          <w:highlight w:val="none"/>
        </w:rPr>
      </w:pPr>
      <w:r>
        <w:rPr>
          <w:rFonts w:hint="default" w:ascii="Arial" w:hAnsi="Arial" w:cs="Arial"/>
          <w:color w:val="auto"/>
          <w:szCs w:val="21"/>
          <w:highlight w:val="none"/>
        </w:rPr>
        <w:t>1.管理关系：是指不具有出资持股关系的其他单位之间存在的管理与被管理关系，如一些上下级关系的事业单位和团体组织。</w:t>
      </w:r>
    </w:p>
    <w:p w14:paraId="4A476DC0">
      <w:pPr>
        <w:snapToGrid w:val="0"/>
        <w:spacing w:line="360" w:lineRule="auto"/>
        <w:ind w:firstLine="420" w:firstLineChars="200"/>
        <w:jc w:val="left"/>
        <w:rPr>
          <w:rFonts w:hint="default" w:ascii="Arial" w:hAnsi="Arial" w:cs="Arial"/>
          <w:color w:val="auto"/>
          <w:szCs w:val="21"/>
          <w:highlight w:val="none"/>
        </w:rPr>
      </w:pPr>
      <w:r>
        <w:rPr>
          <w:rFonts w:hint="default" w:ascii="Arial" w:hAnsi="Arial" w:cs="Arial"/>
          <w:color w:val="auto"/>
          <w:szCs w:val="21"/>
          <w:highlight w:val="none"/>
        </w:rPr>
        <w:t>2.本表所指的管理关系仅限于直接管理关系，不包括间接的管理关系。</w:t>
      </w:r>
    </w:p>
    <w:p w14:paraId="7DBAE540">
      <w:pPr>
        <w:snapToGrid w:val="0"/>
        <w:spacing w:line="360" w:lineRule="auto"/>
        <w:ind w:firstLine="420" w:firstLineChars="200"/>
        <w:jc w:val="left"/>
        <w:rPr>
          <w:rFonts w:hint="default" w:ascii="Arial" w:hAnsi="Arial" w:cs="Arial"/>
          <w:color w:val="auto"/>
          <w:szCs w:val="21"/>
          <w:highlight w:val="none"/>
        </w:rPr>
      </w:pPr>
      <w:r>
        <w:rPr>
          <w:rFonts w:hint="default" w:ascii="Arial" w:hAnsi="Arial" w:cs="Arial"/>
          <w:color w:val="auto"/>
          <w:szCs w:val="21"/>
          <w:highlight w:val="none"/>
        </w:rPr>
        <w:t>3.供应商不存在直接管理关系的，则填</w:t>
      </w:r>
      <w:r>
        <w:rPr>
          <w:rFonts w:hint="eastAsia" w:ascii="Arial" w:hAnsi="Arial" w:cs="Arial"/>
          <w:color w:val="auto"/>
          <w:szCs w:val="21"/>
          <w:highlight w:val="none"/>
          <w:lang w:eastAsia="zh-CN"/>
        </w:rPr>
        <w:t>“</w:t>
      </w:r>
      <w:r>
        <w:rPr>
          <w:rFonts w:hint="default" w:ascii="Arial" w:hAnsi="Arial" w:cs="Arial"/>
          <w:color w:val="auto"/>
          <w:szCs w:val="21"/>
          <w:highlight w:val="none"/>
        </w:rPr>
        <w:t>无</w:t>
      </w:r>
      <w:r>
        <w:rPr>
          <w:rFonts w:hint="eastAsia" w:ascii="Arial" w:hAnsi="Arial" w:cs="Arial"/>
          <w:color w:val="auto"/>
          <w:szCs w:val="21"/>
          <w:highlight w:val="none"/>
          <w:lang w:eastAsia="zh-CN"/>
        </w:rPr>
        <w:t>”</w:t>
      </w:r>
      <w:r>
        <w:rPr>
          <w:rFonts w:hint="default" w:ascii="Arial" w:hAnsi="Arial" w:cs="Arial"/>
          <w:color w:val="auto"/>
          <w:szCs w:val="21"/>
          <w:highlight w:val="none"/>
        </w:rPr>
        <w:t>。</w:t>
      </w:r>
    </w:p>
    <w:p w14:paraId="73B4E8F6">
      <w:pPr>
        <w:ind w:firstLine="2520" w:firstLineChars="1200"/>
        <w:rPr>
          <w:rFonts w:hint="default" w:ascii="Arial" w:hAnsi="Arial" w:cs="Arial"/>
          <w:color w:val="auto"/>
          <w:szCs w:val="21"/>
          <w:highlight w:val="none"/>
        </w:rPr>
      </w:pPr>
      <w:r>
        <w:rPr>
          <w:rFonts w:hint="eastAsia" w:ascii="Arial" w:hAnsi="Arial" w:cs="Arial"/>
          <w:color w:val="auto"/>
          <w:szCs w:val="21"/>
          <w:highlight w:val="none"/>
          <w:lang w:val="en-US" w:eastAsia="zh-CN"/>
        </w:rPr>
        <w:t>投标人</w:t>
      </w:r>
      <w:r>
        <w:rPr>
          <w:rFonts w:hint="default" w:ascii="Arial" w:hAnsi="Arial" w:cs="Arial"/>
          <w:color w:val="auto"/>
          <w:szCs w:val="21"/>
          <w:highlight w:val="none"/>
        </w:rPr>
        <w:t xml:space="preserve">[公章(CA签章)，自然人签字或个人CA签章]： </w:t>
      </w:r>
      <w:r>
        <w:rPr>
          <w:rFonts w:hint="default" w:ascii="Arial" w:hAnsi="Arial" w:cs="Arial"/>
          <w:color w:val="auto"/>
          <w:highlight w:val="none"/>
          <w:u w:val="single"/>
        </w:rPr>
        <w:t xml:space="preserve">                </w:t>
      </w:r>
    </w:p>
    <w:p w14:paraId="7B3264B9">
      <w:pPr>
        <w:rPr>
          <w:rFonts w:hint="default" w:ascii="Arial" w:hAnsi="Arial" w:cs="Arial"/>
          <w:color w:val="auto"/>
          <w:szCs w:val="21"/>
          <w:highlight w:val="none"/>
        </w:rPr>
      </w:pPr>
    </w:p>
    <w:p w14:paraId="59FFABE6">
      <w:pPr>
        <w:snapToGrid w:val="0"/>
        <w:spacing w:line="360" w:lineRule="auto"/>
        <w:ind w:firstLine="2940" w:firstLineChars="1400"/>
        <w:jc w:val="center"/>
        <w:rPr>
          <w:rFonts w:hint="default" w:ascii="Arial" w:hAnsi="Arial" w:cs="Arial"/>
          <w:color w:val="auto"/>
          <w:highlight w:val="none"/>
          <w:u w:val="single"/>
        </w:rPr>
      </w:pPr>
      <w:r>
        <w:rPr>
          <w:rFonts w:hint="default" w:ascii="Arial" w:hAnsi="Arial" w:cs="Arial"/>
          <w:color w:val="auto"/>
          <w:szCs w:val="21"/>
          <w:highlight w:val="none"/>
        </w:rPr>
        <w:t xml:space="preserve">日          期： </w:t>
      </w:r>
      <w:r>
        <w:rPr>
          <w:rFonts w:hint="default" w:ascii="Arial" w:hAnsi="Arial" w:cs="Arial"/>
          <w:color w:val="auto"/>
          <w:highlight w:val="none"/>
          <w:u w:val="single"/>
        </w:rPr>
        <w:t xml:space="preserve">                </w:t>
      </w:r>
    </w:p>
    <w:p w14:paraId="179E5D6E">
      <w:pPr>
        <w:rPr>
          <w:rFonts w:hint="default" w:ascii="Arial" w:hAnsi="Arial" w:cs="Arial"/>
          <w:b/>
          <w:szCs w:val="21"/>
          <w:highlight w:val="none"/>
        </w:rPr>
      </w:pPr>
      <w:r>
        <w:rPr>
          <w:rFonts w:hint="default" w:ascii="Arial" w:hAnsi="Arial" w:cs="Arial"/>
          <w:b/>
          <w:szCs w:val="21"/>
          <w:highlight w:val="none"/>
        </w:rPr>
        <w:br w:type="page"/>
      </w:r>
    </w:p>
    <w:p w14:paraId="001E0744">
      <w:pPr>
        <w:pStyle w:val="27"/>
        <w:spacing w:line="400" w:lineRule="exact"/>
        <w:jc w:val="center"/>
        <w:rPr>
          <w:rFonts w:hint="default" w:ascii="Arial" w:hAnsi="Arial" w:cs="Arial"/>
          <w:b/>
          <w:sz w:val="32"/>
          <w:szCs w:val="32"/>
          <w:highlight w:val="none"/>
        </w:rPr>
      </w:pPr>
      <w:r>
        <w:rPr>
          <w:rFonts w:hint="default" w:ascii="Arial" w:hAnsi="Arial" w:cs="Arial"/>
          <w:b/>
          <w:sz w:val="32"/>
          <w:szCs w:val="32"/>
          <w:highlight w:val="none"/>
        </w:rPr>
        <w:t>（三）商务、技术性响应及其他证明材料目录</w:t>
      </w:r>
    </w:p>
    <w:p w14:paraId="4D5A562D">
      <w:pPr>
        <w:pStyle w:val="27"/>
        <w:spacing w:line="400" w:lineRule="exact"/>
        <w:jc w:val="center"/>
        <w:rPr>
          <w:rFonts w:hint="default" w:ascii="Arial" w:hAnsi="Arial" w:cs="Arial"/>
          <w:b/>
          <w:sz w:val="32"/>
          <w:szCs w:val="32"/>
          <w:highlight w:val="none"/>
        </w:rPr>
      </w:pPr>
    </w:p>
    <w:p w14:paraId="7DFBF5BD">
      <w:pPr>
        <w:tabs>
          <w:tab w:val="left" w:pos="1305"/>
        </w:tabs>
        <w:spacing w:line="384" w:lineRule="exact"/>
        <w:ind w:firstLine="420" w:firstLineChars="200"/>
        <w:rPr>
          <w:rFonts w:hint="default" w:ascii="Arial" w:hAnsi="Arial" w:cs="Arial"/>
          <w:szCs w:val="21"/>
          <w:highlight w:val="none"/>
        </w:rPr>
      </w:pPr>
      <w:r>
        <w:rPr>
          <w:rFonts w:hint="default" w:ascii="Arial" w:hAnsi="Arial" w:cs="Arial"/>
          <w:szCs w:val="21"/>
          <w:highlight w:val="none"/>
        </w:rPr>
        <w:t>（1）技术规格、商务要求偏离表（格式见附件）</w:t>
      </w:r>
      <w:r>
        <w:rPr>
          <w:rFonts w:hint="default" w:ascii="Arial" w:hAnsi="Arial" w:cs="Arial"/>
          <w:b/>
          <w:szCs w:val="21"/>
          <w:highlight w:val="none"/>
        </w:rPr>
        <w:t>（必须提供）</w:t>
      </w:r>
      <w:r>
        <w:rPr>
          <w:rFonts w:hint="default" w:ascii="Arial" w:hAnsi="Arial" w:cs="Arial"/>
          <w:szCs w:val="21"/>
          <w:highlight w:val="none"/>
        </w:rPr>
        <w:t>；</w:t>
      </w:r>
    </w:p>
    <w:p w14:paraId="15ABD79A">
      <w:pPr>
        <w:tabs>
          <w:tab w:val="left" w:pos="1305"/>
        </w:tabs>
        <w:spacing w:line="384" w:lineRule="exact"/>
        <w:ind w:firstLine="420" w:firstLineChars="200"/>
        <w:rPr>
          <w:rFonts w:hint="default" w:ascii="Arial" w:hAnsi="Arial" w:cs="Arial"/>
          <w:szCs w:val="21"/>
          <w:highlight w:val="none"/>
        </w:rPr>
      </w:pPr>
      <w:r>
        <w:rPr>
          <w:rFonts w:hint="default" w:ascii="Arial" w:hAnsi="Arial" w:cs="Arial"/>
          <w:szCs w:val="21"/>
          <w:highlight w:val="none"/>
        </w:rPr>
        <w:t>（2）投标人的售后服务承诺书</w:t>
      </w:r>
      <w:r>
        <w:rPr>
          <w:rFonts w:hint="default" w:ascii="Arial" w:hAnsi="Arial" w:cs="Arial"/>
          <w:b/>
          <w:szCs w:val="21"/>
          <w:highlight w:val="none"/>
        </w:rPr>
        <w:t>（必须提供）；</w:t>
      </w:r>
    </w:p>
    <w:p w14:paraId="44867AA6">
      <w:pPr>
        <w:tabs>
          <w:tab w:val="left" w:pos="1305"/>
        </w:tabs>
        <w:spacing w:line="400" w:lineRule="exact"/>
        <w:ind w:firstLine="420" w:firstLineChars="200"/>
        <w:rPr>
          <w:rFonts w:hint="default" w:ascii="Arial" w:hAnsi="Arial" w:cs="Arial"/>
          <w:b/>
          <w:szCs w:val="21"/>
          <w:highlight w:val="none"/>
        </w:rPr>
      </w:pPr>
      <w:r>
        <w:rPr>
          <w:rFonts w:hint="default" w:ascii="Arial" w:hAnsi="Arial" w:cs="Arial"/>
          <w:szCs w:val="21"/>
          <w:highlight w:val="none"/>
        </w:rPr>
        <w:t>（3）</w:t>
      </w:r>
      <w:r>
        <w:rPr>
          <w:rFonts w:hint="eastAsia" w:ascii="Arial" w:hAnsi="Arial" w:cs="Arial"/>
          <w:szCs w:val="21"/>
          <w:highlight w:val="none"/>
          <w:lang w:eastAsia="zh-CN"/>
        </w:rPr>
        <w:t>无串通投标行为的承诺函</w:t>
      </w:r>
      <w:r>
        <w:rPr>
          <w:rFonts w:hint="default" w:ascii="Arial" w:hAnsi="Arial" w:cs="Arial"/>
          <w:b/>
          <w:szCs w:val="21"/>
          <w:highlight w:val="none"/>
        </w:rPr>
        <w:t>（必须提供）；</w:t>
      </w:r>
    </w:p>
    <w:p w14:paraId="55BFAB1D">
      <w:pPr>
        <w:spacing w:line="400" w:lineRule="exact"/>
        <w:ind w:firstLine="420" w:firstLineChars="200"/>
        <w:rPr>
          <w:rFonts w:hint="default" w:ascii="Arial" w:hAnsi="Arial" w:cs="Arial"/>
          <w:b/>
          <w:szCs w:val="21"/>
          <w:highlight w:val="none"/>
        </w:rPr>
      </w:pPr>
      <w:r>
        <w:rPr>
          <w:rFonts w:hint="default" w:ascii="Arial" w:hAnsi="Arial" w:cs="Arial"/>
          <w:szCs w:val="21"/>
          <w:highlight w:val="none"/>
        </w:rPr>
        <w:t>（4）投标人</w:t>
      </w:r>
      <w:r>
        <w:rPr>
          <w:rFonts w:hint="default" w:ascii="Arial" w:hAnsi="Arial" w:cs="Arial"/>
          <w:szCs w:val="21"/>
          <w:highlight w:val="none"/>
          <w:lang w:eastAsia="zh-CN"/>
        </w:rPr>
        <w:t>2025年度</w:t>
      </w:r>
      <w:r>
        <w:rPr>
          <w:rFonts w:hint="default" w:ascii="Arial" w:hAnsi="Arial" w:cs="Arial"/>
          <w:szCs w:val="21"/>
          <w:highlight w:val="none"/>
        </w:rPr>
        <w:t>通过中介审计的有效财务审计报告复印件（如有，请提供）；</w:t>
      </w:r>
    </w:p>
    <w:p w14:paraId="2A60632F">
      <w:pPr>
        <w:spacing w:line="400" w:lineRule="exact"/>
        <w:ind w:firstLine="420" w:firstLineChars="200"/>
        <w:rPr>
          <w:rFonts w:hint="default" w:ascii="Arial" w:hAnsi="Arial" w:cs="Arial"/>
          <w:b/>
          <w:szCs w:val="21"/>
          <w:highlight w:val="none"/>
        </w:rPr>
      </w:pPr>
      <w:r>
        <w:rPr>
          <w:rFonts w:hint="default" w:ascii="Arial" w:hAnsi="Arial" w:cs="Arial"/>
          <w:bCs/>
          <w:szCs w:val="21"/>
          <w:highlight w:val="none"/>
        </w:rPr>
        <w:t>（5）</w:t>
      </w:r>
      <w:r>
        <w:rPr>
          <w:rFonts w:hint="default" w:ascii="Arial" w:hAnsi="Arial" w:cs="Arial"/>
          <w:szCs w:val="21"/>
          <w:highlight w:val="none"/>
        </w:rPr>
        <w:t>投标人同类产品销售业绩的相关证明材料(无不良记录，以中标（成交）通知书及相应的销售合同或验收单为准</w:t>
      </w:r>
      <w:r>
        <w:rPr>
          <w:rFonts w:hint="default" w:ascii="Arial" w:hAnsi="Arial" w:cs="Arial"/>
          <w:szCs w:val="21"/>
          <w:highlight w:val="none"/>
          <w:lang w:eastAsia="zh-CN"/>
        </w:rPr>
        <w:t>，</w:t>
      </w:r>
      <w:r>
        <w:rPr>
          <w:rFonts w:hint="default" w:ascii="Arial" w:hAnsi="Arial" w:cs="Arial"/>
          <w:szCs w:val="21"/>
          <w:highlight w:val="none"/>
        </w:rPr>
        <w:t>能清晰反映该项目的项目名称、种类)（如有，请提供）；</w:t>
      </w:r>
    </w:p>
    <w:p w14:paraId="43A95ACA">
      <w:pPr>
        <w:spacing w:line="400" w:lineRule="exact"/>
        <w:ind w:firstLine="420" w:firstLineChars="200"/>
        <w:rPr>
          <w:rFonts w:hint="default" w:ascii="Arial" w:hAnsi="Arial" w:cs="Arial"/>
          <w:szCs w:val="21"/>
          <w:highlight w:val="none"/>
        </w:rPr>
      </w:pPr>
      <w:r>
        <w:rPr>
          <w:rFonts w:hint="default" w:ascii="Arial" w:hAnsi="Arial" w:cs="Arial"/>
          <w:szCs w:val="21"/>
          <w:highlight w:val="none"/>
        </w:rPr>
        <w:t>（6）节能方面的资质证书复印件（如有，请提供）；</w:t>
      </w:r>
    </w:p>
    <w:p w14:paraId="0C92BECD">
      <w:pPr>
        <w:spacing w:line="400" w:lineRule="exact"/>
        <w:ind w:firstLine="420" w:firstLineChars="200"/>
        <w:rPr>
          <w:rFonts w:hint="default" w:ascii="Arial" w:hAnsi="Arial" w:cs="Arial"/>
          <w:szCs w:val="21"/>
          <w:highlight w:val="none"/>
        </w:rPr>
      </w:pPr>
      <w:r>
        <w:rPr>
          <w:rFonts w:hint="default" w:ascii="Arial" w:hAnsi="Arial" w:cs="Arial"/>
          <w:szCs w:val="21"/>
          <w:highlight w:val="none"/>
        </w:rPr>
        <w:t>（7）环保方面的资质证书复印件（如有，请提供）；</w:t>
      </w:r>
    </w:p>
    <w:p w14:paraId="1FE29BB5">
      <w:pPr>
        <w:spacing w:line="400" w:lineRule="exact"/>
        <w:ind w:firstLine="420" w:firstLineChars="200"/>
        <w:rPr>
          <w:rFonts w:hint="default" w:ascii="Arial" w:hAnsi="Arial" w:cs="Arial"/>
          <w:szCs w:val="21"/>
          <w:highlight w:val="none"/>
        </w:rPr>
      </w:pPr>
      <w:r>
        <w:rPr>
          <w:rFonts w:hint="default" w:ascii="Arial" w:hAnsi="Arial" w:cs="Arial"/>
          <w:szCs w:val="21"/>
          <w:highlight w:val="none"/>
        </w:rPr>
        <w:t>（8）投标人相关获奖证书、认证证书等复印件；（如有，请提供）；</w:t>
      </w:r>
    </w:p>
    <w:p w14:paraId="70D4C684">
      <w:pPr>
        <w:spacing w:line="400" w:lineRule="exact"/>
        <w:ind w:left="420" w:leftChars="200"/>
        <w:rPr>
          <w:rFonts w:hint="default" w:ascii="Arial" w:hAnsi="Arial" w:cs="Arial"/>
          <w:szCs w:val="21"/>
          <w:highlight w:val="none"/>
        </w:rPr>
      </w:pPr>
      <w:r>
        <w:rPr>
          <w:rFonts w:hint="default" w:ascii="Arial" w:hAnsi="Arial" w:cs="Arial"/>
          <w:szCs w:val="21"/>
          <w:highlight w:val="none"/>
        </w:rPr>
        <w:t>（9）“货物采购需求”需提供的有效证明文件；</w:t>
      </w:r>
    </w:p>
    <w:p w14:paraId="4D1D781A">
      <w:pPr>
        <w:spacing w:line="400" w:lineRule="exact"/>
        <w:ind w:left="420" w:leftChars="200"/>
        <w:rPr>
          <w:rFonts w:hint="default" w:ascii="Arial" w:hAnsi="Arial" w:cs="Arial"/>
          <w:szCs w:val="21"/>
          <w:highlight w:val="none"/>
        </w:rPr>
      </w:pPr>
      <w:r>
        <w:rPr>
          <w:rFonts w:hint="default" w:ascii="Arial" w:hAnsi="Arial" w:cs="Arial"/>
          <w:szCs w:val="21"/>
          <w:highlight w:val="none"/>
        </w:rPr>
        <w:t>（10）</w:t>
      </w:r>
      <w:r>
        <w:rPr>
          <w:rFonts w:hint="default" w:ascii="Arial" w:hAnsi="Arial" w:cs="Arial"/>
          <w:highlight w:val="none"/>
        </w:rPr>
        <w:t>中小企业声明函（见附件）【如投标人所提供的产品为小、微型企业的产品，中标结果将同时公告企业《中小企业声明函》】（如有，请提供）；</w:t>
      </w:r>
    </w:p>
    <w:p w14:paraId="66977DB8">
      <w:pPr>
        <w:tabs>
          <w:tab w:val="left" w:pos="1305"/>
        </w:tabs>
        <w:spacing w:line="380" w:lineRule="exact"/>
        <w:ind w:firstLine="420" w:firstLineChars="200"/>
        <w:rPr>
          <w:rFonts w:hint="default" w:ascii="Arial" w:hAnsi="Arial" w:cs="Arial"/>
          <w:b w:val="0"/>
          <w:bCs/>
          <w:szCs w:val="21"/>
          <w:highlight w:val="none"/>
        </w:rPr>
      </w:pPr>
      <w:r>
        <w:rPr>
          <w:rFonts w:hint="default" w:ascii="Arial" w:hAnsi="Arial" w:cs="Arial"/>
          <w:szCs w:val="21"/>
          <w:highlight w:val="none"/>
        </w:rPr>
        <w:t>（11）</w:t>
      </w:r>
      <w:r>
        <w:rPr>
          <w:rFonts w:hint="default" w:ascii="Arial" w:hAnsi="Arial" w:cs="Arial"/>
          <w:bCs/>
          <w:highlight w:val="none"/>
        </w:rPr>
        <w:t>监狱企业由省级以上监狱管理局、戒毒管理局（含新疆生产建设兵团）出具的属于监狱企业的证明文件</w:t>
      </w:r>
      <w:r>
        <w:rPr>
          <w:rFonts w:hint="default" w:ascii="Arial" w:hAnsi="Arial" w:cs="Arial"/>
          <w:b w:val="0"/>
          <w:bCs/>
          <w:highlight w:val="none"/>
        </w:rPr>
        <w:t>（如有，请提供）；</w:t>
      </w:r>
    </w:p>
    <w:p w14:paraId="1D748A2B">
      <w:pPr>
        <w:tabs>
          <w:tab w:val="left" w:pos="1305"/>
        </w:tabs>
        <w:spacing w:line="440" w:lineRule="exact"/>
        <w:ind w:firstLine="420" w:firstLineChars="200"/>
        <w:rPr>
          <w:rFonts w:hint="default" w:ascii="Arial" w:hAnsi="Arial" w:cs="Arial"/>
          <w:b w:val="0"/>
          <w:bCs/>
          <w:szCs w:val="21"/>
          <w:highlight w:val="none"/>
        </w:rPr>
      </w:pPr>
      <w:r>
        <w:rPr>
          <w:rFonts w:hint="default" w:ascii="Arial" w:hAnsi="Arial" w:cs="Arial"/>
          <w:b w:val="0"/>
          <w:bCs/>
          <w:szCs w:val="21"/>
          <w:highlight w:val="none"/>
        </w:rPr>
        <w:t>（12）</w:t>
      </w:r>
      <w:r>
        <w:rPr>
          <w:rFonts w:hint="default" w:ascii="Arial" w:hAnsi="Arial" w:cs="Arial"/>
          <w:b w:val="0"/>
          <w:bCs/>
          <w:highlight w:val="none"/>
        </w:rPr>
        <w:t>符合条件的残疾人福利性单位在参加政府采购活动时，应当提供《残疾人福利性单位声明函》（见附件），并对声明的真实性负责。</w:t>
      </w:r>
    </w:p>
    <w:p w14:paraId="1EE90AF3">
      <w:pPr>
        <w:tabs>
          <w:tab w:val="left" w:pos="1305"/>
        </w:tabs>
        <w:spacing w:line="370" w:lineRule="exact"/>
        <w:ind w:firstLine="420" w:firstLineChars="200"/>
        <w:rPr>
          <w:rFonts w:hint="eastAsia" w:ascii="Arial" w:hAnsi="Arial" w:eastAsia="宋体" w:cs="Arial"/>
          <w:b w:val="0"/>
          <w:bCs/>
          <w:szCs w:val="21"/>
          <w:highlight w:val="none"/>
          <w:lang w:val="en-US" w:eastAsia="zh-CN"/>
        </w:rPr>
      </w:pPr>
      <w:r>
        <w:rPr>
          <w:rFonts w:hint="default" w:ascii="Arial" w:hAnsi="Arial" w:cs="Arial"/>
          <w:b w:val="0"/>
          <w:bCs/>
          <w:szCs w:val="21"/>
          <w:highlight w:val="none"/>
        </w:rPr>
        <w:t>（13）</w:t>
      </w:r>
      <w:r>
        <w:rPr>
          <w:rFonts w:hint="default" w:ascii="Arial" w:hAnsi="Arial" w:cs="Arial"/>
          <w:b w:val="0"/>
          <w:bCs/>
          <w:szCs w:val="21"/>
          <w:highlight w:val="none"/>
          <w:lang w:val="en-US" w:eastAsia="zh-CN"/>
        </w:rPr>
        <w:t>符合本国产品标准的声明函</w:t>
      </w:r>
      <w:r>
        <w:rPr>
          <w:rFonts w:hint="default" w:ascii="Arial" w:hAnsi="Arial" w:cs="Arial"/>
          <w:b w:val="0"/>
          <w:bCs/>
          <w:highlight w:val="none"/>
        </w:rPr>
        <w:t>（如有，请提供）；</w:t>
      </w:r>
    </w:p>
    <w:p w14:paraId="2847EC86">
      <w:pPr>
        <w:tabs>
          <w:tab w:val="left" w:pos="1305"/>
        </w:tabs>
        <w:spacing w:line="370" w:lineRule="exact"/>
        <w:ind w:firstLine="420" w:firstLineChars="200"/>
        <w:rPr>
          <w:rFonts w:hint="default" w:ascii="Arial" w:hAnsi="Arial" w:cs="Arial"/>
          <w:b/>
          <w:szCs w:val="21"/>
          <w:highlight w:val="none"/>
        </w:rPr>
        <w:sectPr>
          <w:headerReference r:id="rId5" w:type="first"/>
          <w:footerReference r:id="rId7" w:type="first"/>
          <w:footerReference r:id="rId6" w:type="default"/>
          <w:pgSz w:w="11906" w:h="16838"/>
          <w:pgMar w:top="1134" w:right="1134" w:bottom="1134" w:left="1134" w:header="720" w:footer="720" w:gutter="0"/>
          <w:pgNumType w:start="1"/>
          <w:cols w:space="720" w:num="1"/>
          <w:titlePg/>
          <w:docGrid w:type="linesAndChars" w:linePitch="331" w:charSpace="0"/>
        </w:sectPr>
      </w:pPr>
      <w:r>
        <w:rPr>
          <w:rFonts w:hint="eastAsia" w:ascii="Arial" w:hAnsi="Arial" w:cs="Arial"/>
          <w:szCs w:val="21"/>
          <w:highlight w:val="none"/>
          <w:lang w:eastAsia="zh-CN"/>
        </w:rPr>
        <w:t>（</w:t>
      </w:r>
      <w:r>
        <w:rPr>
          <w:rFonts w:hint="eastAsia" w:ascii="Arial" w:hAnsi="Arial" w:cs="Arial"/>
          <w:szCs w:val="21"/>
          <w:highlight w:val="none"/>
          <w:lang w:val="en-US" w:eastAsia="zh-CN"/>
        </w:rPr>
        <w:t>14</w:t>
      </w:r>
      <w:r>
        <w:rPr>
          <w:rFonts w:hint="eastAsia" w:ascii="Arial" w:hAnsi="Arial" w:cs="Arial"/>
          <w:szCs w:val="21"/>
          <w:highlight w:val="none"/>
          <w:lang w:eastAsia="zh-CN"/>
        </w:rPr>
        <w:t>）</w:t>
      </w:r>
      <w:r>
        <w:rPr>
          <w:rFonts w:hint="default" w:ascii="Arial" w:hAnsi="Arial" w:cs="Arial"/>
          <w:szCs w:val="21"/>
          <w:highlight w:val="none"/>
        </w:rPr>
        <w:t>投标人可结合本项目的评标办法视自身情况自行提交相关证明材料。</w:t>
      </w:r>
    </w:p>
    <w:p w14:paraId="0C9DAB94">
      <w:pPr>
        <w:pStyle w:val="27"/>
        <w:spacing w:line="400" w:lineRule="exact"/>
        <w:rPr>
          <w:rFonts w:hint="default" w:ascii="Arial" w:hAnsi="Arial" w:cs="Arial"/>
          <w:b/>
          <w:sz w:val="32"/>
          <w:szCs w:val="32"/>
          <w:highlight w:val="none"/>
        </w:rPr>
      </w:pPr>
      <w:r>
        <w:rPr>
          <w:rFonts w:hint="default" w:ascii="Arial" w:hAnsi="Arial" w:cs="Arial"/>
          <w:b/>
          <w:sz w:val="32"/>
          <w:szCs w:val="32"/>
          <w:highlight w:val="none"/>
        </w:rPr>
        <w:t>1、技术规格、商务要求偏离表（格式见附件）（必须提供）</w:t>
      </w:r>
    </w:p>
    <w:p w14:paraId="4E0CE1CD">
      <w:pPr>
        <w:pStyle w:val="27"/>
        <w:ind w:firstLine="472" w:firstLineChars="147"/>
        <w:rPr>
          <w:rFonts w:hint="default" w:ascii="Arial" w:hAnsi="Arial" w:cs="Arial"/>
          <w:b/>
          <w:sz w:val="24"/>
          <w:szCs w:val="24"/>
          <w:highlight w:val="none"/>
        </w:rPr>
      </w:pPr>
      <w:r>
        <w:rPr>
          <w:rFonts w:hint="default" w:ascii="Arial" w:hAnsi="Arial" w:cs="Arial"/>
          <w:b/>
          <w:bCs/>
          <w:sz w:val="32"/>
          <w:szCs w:val="32"/>
          <w:highlight w:val="none"/>
        </w:rPr>
        <w:t xml:space="preserve">附件： </w:t>
      </w:r>
    </w:p>
    <w:p w14:paraId="45D5F837">
      <w:pPr>
        <w:pStyle w:val="27"/>
        <w:ind w:firstLine="472" w:firstLineChars="147"/>
        <w:jc w:val="center"/>
        <w:rPr>
          <w:rFonts w:hint="default" w:ascii="Arial" w:hAnsi="Arial" w:cs="Arial"/>
          <w:b/>
          <w:bCs/>
          <w:sz w:val="32"/>
          <w:highlight w:val="none"/>
        </w:rPr>
      </w:pPr>
      <w:r>
        <w:rPr>
          <w:rFonts w:hint="default" w:ascii="Arial" w:hAnsi="Arial" w:cs="Arial"/>
          <w:b/>
          <w:bCs/>
          <w:sz w:val="32"/>
          <w:highlight w:val="none"/>
        </w:rPr>
        <w:t>技术规格、商务要求偏离表（格式）</w:t>
      </w:r>
    </w:p>
    <w:tbl>
      <w:tblPr>
        <w:tblStyle w:val="49"/>
        <w:tblW w:w="9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4"/>
        <w:gridCol w:w="1766"/>
        <w:gridCol w:w="3022"/>
        <w:gridCol w:w="2264"/>
        <w:gridCol w:w="1822"/>
      </w:tblGrid>
      <w:tr w14:paraId="4C333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654" w:type="dxa"/>
            <w:vAlign w:val="center"/>
          </w:tcPr>
          <w:p w14:paraId="7D5547BE">
            <w:pPr>
              <w:pStyle w:val="27"/>
              <w:spacing w:line="360" w:lineRule="exact"/>
              <w:jc w:val="center"/>
              <w:rPr>
                <w:rFonts w:hint="default" w:ascii="Arial" w:hAnsi="Arial" w:cs="Arial"/>
                <w:szCs w:val="24"/>
                <w:highlight w:val="none"/>
              </w:rPr>
            </w:pPr>
            <w:r>
              <w:rPr>
                <w:rFonts w:hint="default" w:ascii="Arial" w:hAnsi="Arial" w:cs="Arial"/>
                <w:szCs w:val="24"/>
                <w:highlight w:val="none"/>
              </w:rPr>
              <w:t>项号</w:t>
            </w:r>
          </w:p>
        </w:tc>
        <w:tc>
          <w:tcPr>
            <w:tcW w:w="1766" w:type="dxa"/>
            <w:vAlign w:val="center"/>
          </w:tcPr>
          <w:p w14:paraId="544DCC5B">
            <w:pPr>
              <w:pStyle w:val="27"/>
              <w:spacing w:line="360" w:lineRule="exact"/>
              <w:jc w:val="center"/>
              <w:rPr>
                <w:rFonts w:hint="default" w:ascii="Arial" w:hAnsi="Arial" w:eastAsia="宋体" w:cs="Arial"/>
                <w:szCs w:val="24"/>
                <w:highlight w:val="none"/>
                <w:lang w:val="en-US" w:eastAsia="zh-CN"/>
              </w:rPr>
            </w:pPr>
            <w:r>
              <w:rPr>
                <w:rFonts w:hint="eastAsia" w:ascii="Arial" w:hAnsi="Arial" w:cs="Arial"/>
                <w:szCs w:val="24"/>
                <w:highlight w:val="none"/>
                <w:lang w:val="en-US" w:eastAsia="zh-CN"/>
              </w:rPr>
              <w:t>标的名称</w:t>
            </w:r>
          </w:p>
        </w:tc>
        <w:tc>
          <w:tcPr>
            <w:tcW w:w="3022" w:type="dxa"/>
            <w:vAlign w:val="center"/>
          </w:tcPr>
          <w:p w14:paraId="0E82C269">
            <w:pPr>
              <w:pStyle w:val="27"/>
              <w:spacing w:line="360" w:lineRule="exact"/>
              <w:jc w:val="center"/>
              <w:rPr>
                <w:rFonts w:hint="default" w:ascii="Arial" w:hAnsi="Arial" w:cs="Arial"/>
                <w:szCs w:val="24"/>
                <w:highlight w:val="none"/>
              </w:rPr>
            </w:pPr>
            <w:bookmarkStart w:id="38" w:name="_Toc254970700"/>
            <w:bookmarkStart w:id="39" w:name="_Toc254970559"/>
            <w:r>
              <w:rPr>
                <w:rFonts w:hint="default" w:ascii="Arial" w:hAnsi="Arial" w:cs="Arial"/>
                <w:szCs w:val="24"/>
                <w:highlight w:val="none"/>
              </w:rPr>
              <w:t>招标采购需求</w:t>
            </w:r>
            <w:bookmarkEnd w:id="38"/>
            <w:bookmarkEnd w:id="39"/>
          </w:p>
        </w:tc>
        <w:tc>
          <w:tcPr>
            <w:tcW w:w="2264" w:type="dxa"/>
            <w:vAlign w:val="center"/>
          </w:tcPr>
          <w:p w14:paraId="7E6775D3">
            <w:pPr>
              <w:pStyle w:val="27"/>
              <w:spacing w:line="360" w:lineRule="exact"/>
              <w:jc w:val="center"/>
              <w:rPr>
                <w:rFonts w:hint="default" w:ascii="Arial" w:hAnsi="Arial" w:cs="Arial"/>
                <w:szCs w:val="24"/>
                <w:highlight w:val="none"/>
              </w:rPr>
            </w:pPr>
            <w:r>
              <w:rPr>
                <w:rFonts w:hint="default" w:ascii="Arial" w:hAnsi="Arial" w:cs="Arial"/>
                <w:szCs w:val="24"/>
                <w:highlight w:val="none"/>
              </w:rPr>
              <w:t>投标文件的响应情况</w:t>
            </w:r>
          </w:p>
        </w:tc>
        <w:tc>
          <w:tcPr>
            <w:tcW w:w="1822" w:type="dxa"/>
            <w:vAlign w:val="center"/>
          </w:tcPr>
          <w:p w14:paraId="0E6DD540">
            <w:pPr>
              <w:pStyle w:val="27"/>
              <w:spacing w:line="360" w:lineRule="exact"/>
              <w:jc w:val="center"/>
              <w:rPr>
                <w:rFonts w:hint="default" w:ascii="Arial" w:hAnsi="Arial" w:cs="Arial"/>
                <w:szCs w:val="24"/>
                <w:highlight w:val="none"/>
              </w:rPr>
            </w:pPr>
            <w:bookmarkStart w:id="40" w:name="_Toc254970560"/>
            <w:bookmarkStart w:id="41" w:name="_Toc254970701"/>
            <w:r>
              <w:rPr>
                <w:rFonts w:hint="default" w:ascii="Arial" w:hAnsi="Arial" w:cs="Arial"/>
                <w:szCs w:val="24"/>
                <w:highlight w:val="none"/>
              </w:rPr>
              <w:t>偏离情况</w:t>
            </w:r>
            <w:bookmarkEnd w:id="40"/>
            <w:bookmarkEnd w:id="41"/>
            <w:r>
              <w:rPr>
                <w:rFonts w:hint="default" w:ascii="Arial" w:hAnsi="Arial" w:cs="Arial"/>
                <w:szCs w:val="24"/>
                <w:highlight w:val="none"/>
              </w:rPr>
              <w:t>说明</w:t>
            </w:r>
          </w:p>
        </w:tc>
      </w:tr>
      <w:tr w14:paraId="3771C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9528" w:type="dxa"/>
            <w:gridSpan w:val="5"/>
            <w:vAlign w:val="center"/>
          </w:tcPr>
          <w:p w14:paraId="4EF32E07">
            <w:pPr>
              <w:pStyle w:val="27"/>
              <w:spacing w:line="360" w:lineRule="exact"/>
              <w:jc w:val="left"/>
              <w:rPr>
                <w:rFonts w:hint="default" w:ascii="Arial" w:hAnsi="Arial" w:cs="Arial"/>
                <w:szCs w:val="24"/>
                <w:highlight w:val="none"/>
              </w:rPr>
            </w:pPr>
            <w:r>
              <w:rPr>
                <w:rFonts w:hint="default" w:ascii="Arial" w:hAnsi="Arial" w:cs="Arial"/>
                <w:szCs w:val="24"/>
                <w:highlight w:val="none"/>
              </w:rPr>
              <w:t>技术规格响应情况：</w:t>
            </w:r>
          </w:p>
        </w:tc>
      </w:tr>
      <w:tr w14:paraId="41AA5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654" w:type="dxa"/>
            <w:vAlign w:val="center"/>
          </w:tcPr>
          <w:p w14:paraId="6A31CFF8">
            <w:pPr>
              <w:pStyle w:val="27"/>
              <w:spacing w:line="360" w:lineRule="exact"/>
              <w:jc w:val="center"/>
              <w:rPr>
                <w:rFonts w:hint="default" w:ascii="Arial" w:hAnsi="Arial" w:cs="Arial"/>
                <w:szCs w:val="24"/>
                <w:highlight w:val="none"/>
              </w:rPr>
            </w:pPr>
            <w:r>
              <w:rPr>
                <w:rFonts w:hint="default" w:ascii="Arial" w:hAnsi="Arial" w:cs="Arial"/>
                <w:szCs w:val="24"/>
                <w:highlight w:val="none"/>
              </w:rPr>
              <w:t>1</w:t>
            </w:r>
          </w:p>
        </w:tc>
        <w:tc>
          <w:tcPr>
            <w:tcW w:w="1766" w:type="dxa"/>
            <w:vAlign w:val="center"/>
          </w:tcPr>
          <w:p w14:paraId="3CFE00FE">
            <w:pPr>
              <w:pStyle w:val="27"/>
              <w:spacing w:line="360" w:lineRule="exact"/>
              <w:jc w:val="center"/>
              <w:rPr>
                <w:rFonts w:hint="default" w:ascii="Arial" w:hAnsi="Arial" w:cs="Arial"/>
                <w:szCs w:val="24"/>
                <w:highlight w:val="none"/>
              </w:rPr>
            </w:pPr>
          </w:p>
        </w:tc>
        <w:tc>
          <w:tcPr>
            <w:tcW w:w="3022" w:type="dxa"/>
            <w:vAlign w:val="center"/>
          </w:tcPr>
          <w:p w14:paraId="286EB02E">
            <w:pPr>
              <w:pStyle w:val="27"/>
              <w:spacing w:line="360" w:lineRule="exact"/>
              <w:jc w:val="center"/>
              <w:rPr>
                <w:rFonts w:hint="default" w:ascii="Arial" w:hAnsi="Arial" w:cs="Arial"/>
                <w:szCs w:val="24"/>
                <w:highlight w:val="none"/>
              </w:rPr>
            </w:pPr>
          </w:p>
        </w:tc>
        <w:tc>
          <w:tcPr>
            <w:tcW w:w="2264" w:type="dxa"/>
            <w:vAlign w:val="center"/>
          </w:tcPr>
          <w:p w14:paraId="081A18CB">
            <w:pPr>
              <w:pStyle w:val="27"/>
              <w:spacing w:line="360" w:lineRule="exact"/>
              <w:jc w:val="center"/>
              <w:rPr>
                <w:rFonts w:hint="default" w:ascii="Arial" w:hAnsi="Arial" w:cs="Arial"/>
                <w:szCs w:val="24"/>
                <w:highlight w:val="none"/>
              </w:rPr>
            </w:pPr>
          </w:p>
        </w:tc>
        <w:tc>
          <w:tcPr>
            <w:tcW w:w="1822" w:type="dxa"/>
            <w:vAlign w:val="center"/>
          </w:tcPr>
          <w:p w14:paraId="15B38043">
            <w:pPr>
              <w:pStyle w:val="27"/>
              <w:spacing w:line="360" w:lineRule="exact"/>
              <w:jc w:val="center"/>
              <w:rPr>
                <w:rFonts w:hint="default" w:ascii="Arial" w:hAnsi="Arial" w:cs="Arial"/>
                <w:szCs w:val="24"/>
                <w:highlight w:val="none"/>
              </w:rPr>
            </w:pPr>
          </w:p>
        </w:tc>
      </w:tr>
      <w:tr w14:paraId="37B17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654" w:type="dxa"/>
          </w:tcPr>
          <w:p w14:paraId="3927EA98">
            <w:pPr>
              <w:pStyle w:val="27"/>
              <w:spacing w:line="360" w:lineRule="exact"/>
              <w:jc w:val="center"/>
              <w:rPr>
                <w:rFonts w:hint="default" w:ascii="Arial" w:hAnsi="Arial" w:cs="Arial"/>
                <w:szCs w:val="24"/>
                <w:highlight w:val="none"/>
              </w:rPr>
            </w:pPr>
            <w:r>
              <w:rPr>
                <w:rFonts w:hint="default" w:ascii="Arial" w:hAnsi="Arial" w:cs="Arial"/>
                <w:szCs w:val="24"/>
                <w:highlight w:val="none"/>
              </w:rPr>
              <w:t>…</w:t>
            </w:r>
          </w:p>
        </w:tc>
        <w:tc>
          <w:tcPr>
            <w:tcW w:w="1766" w:type="dxa"/>
            <w:vAlign w:val="center"/>
          </w:tcPr>
          <w:p w14:paraId="173C2C27">
            <w:pPr>
              <w:pStyle w:val="27"/>
              <w:spacing w:line="360" w:lineRule="exact"/>
              <w:jc w:val="center"/>
              <w:rPr>
                <w:rFonts w:hint="default" w:ascii="Arial" w:hAnsi="Arial" w:cs="Arial"/>
                <w:szCs w:val="24"/>
                <w:highlight w:val="none"/>
              </w:rPr>
            </w:pPr>
          </w:p>
        </w:tc>
        <w:tc>
          <w:tcPr>
            <w:tcW w:w="3022" w:type="dxa"/>
            <w:vAlign w:val="center"/>
          </w:tcPr>
          <w:p w14:paraId="4B3631ED">
            <w:pPr>
              <w:pStyle w:val="27"/>
              <w:spacing w:line="360" w:lineRule="exact"/>
              <w:jc w:val="center"/>
              <w:rPr>
                <w:rFonts w:hint="default" w:ascii="Arial" w:hAnsi="Arial" w:cs="Arial"/>
                <w:szCs w:val="24"/>
                <w:highlight w:val="none"/>
              </w:rPr>
            </w:pPr>
          </w:p>
        </w:tc>
        <w:tc>
          <w:tcPr>
            <w:tcW w:w="2264" w:type="dxa"/>
            <w:vAlign w:val="center"/>
          </w:tcPr>
          <w:p w14:paraId="213DD0DA">
            <w:pPr>
              <w:pStyle w:val="27"/>
              <w:spacing w:line="360" w:lineRule="exact"/>
              <w:jc w:val="center"/>
              <w:rPr>
                <w:rFonts w:hint="default" w:ascii="Arial" w:hAnsi="Arial" w:cs="Arial"/>
                <w:szCs w:val="24"/>
                <w:highlight w:val="none"/>
              </w:rPr>
            </w:pPr>
          </w:p>
        </w:tc>
        <w:tc>
          <w:tcPr>
            <w:tcW w:w="1822" w:type="dxa"/>
            <w:vAlign w:val="center"/>
          </w:tcPr>
          <w:p w14:paraId="297A0794">
            <w:pPr>
              <w:pStyle w:val="27"/>
              <w:spacing w:line="360" w:lineRule="exact"/>
              <w:jc w:val="center"/>
              <w:rPr>
                <w:rFonts w:hint="default" w:ascii="Arial" w:hAnsi="Arial" w:cs="Arial"/>
                <w:szCs w:val="24"/>
                <w:highlight w:val="none"/>
              </w:rPr>
            </w:pPr>
          </w:p>
        </w:tc>
      </w:tr>
      <w:tr w14:paraId="416D4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9528" w:type="dxa"/>
            <w:gridSpan w:val="5"/>
          </w:tcPr>
          <w:p w14:paraId="1CDD5C35">
            <w:pPr>
              <w:pStyle w:val="27"/>
              <w:spacing w:line="360" w:lineRule="exact"/>
              <w:rPr>
                <w:rFonts w:hint="default" w:ascii="Arial" w:hAnsi="Arial" w:cs="Arial"/>
                <w:szCs w:val="24"/>
                <w:highlight w:val="none"/>
              </w:rPr>
            </w:pPr>
            <w:r>
              <w:rPr>
                <w:rFonts w:hint="default" w:ascii="Arial" w:hAnsi="Arial" w:cs="Arial"/>
                <w:szCs w:val="24"/>
                <w:highlight w:val="none"/>
              </w:rPr>
              <w:t>商务要求响应情况：</w:t>
            </w:r>
          </w:p>
        </w:tc>
      </w:tr>
      <w:tr w14:paraId="1EC26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2420" w:type="dxa"/>
            <w:gridSpan w:val="2"/>
            <w:vAlign w:val="center"/>
          </w:tcPr>
          <w:p w14:paraId="384F5D02">
            <w:pPr>
              <w:pStyle w:val="27"/>
              <w:spacing w:line="360" w:lineRule="exact"/>
              <w:jc w:val="center"/>
              <w:rPr>
                <w:rFonts w:hint="default" w:ascii="Arial" w:hAnsi="Arial" w:eastAsia="宋体" w:cs="Arial"/>
                <w:kern w:val="0"/>
                <w:szCs w:val="21"/>
                <w:highlight w:val="none"/>
                <w:lang w:val="en-US" w:eastAsia="zh-CN"/>
              </w:rPr>
            </w:pPr>
          </w:p>
        </w:tc>
        <w:tc>
          <w:tcPr>
            <w:tcW w:w="3022" w:type="dxa"/>
          </w:tcPr>
          <w:p w14:paraId="1D8371EB">
            <w:pPr>
              <w:pStyle w:val="27"/>
              <w:spacing w:line="360" w:lineRule="exact"/>
              <w:rPr>
                <w:rFonts w:hint="default" w:ascii="Arial" w:hAnsi="Arial" w:cs="Arial"/>
                <w:szCs w:val="24"/>
                <w:highlight w:val="none"/>
              </w:rPr>
            </w:pPr>
          </w:p>
        </w:tc>
        <w:tc>
          <w:tcPr>
            <w:tcW w:w="2264" w:type="dxa"/>
          </w:tcPr>
          <w:p w14:paraId="2F592DCB">
            <w:pPr>
              <w:pStyle w:val="27"/>
              <w:spacing w:line="360" w:lineRule="exact"/>
              <w:rPr>
                <w:rFonts w:hint="default" w:ascii="Arial" w:hAnsi="Arial" w:cs="Arial"/>
                <w:szCs w:val="24"/>
                <w:highlight w:val="none"/>
              </w:rPr>
            </w:pPr>
          </w:p>
        </w:tc>
        <w:tc>
          <w:tcPr>
            <w:tcW w:w="1822" w:type="dxa"/>
          </w:tcPr>
          <w:p w14:paraId="5381050C">
            <w:pPr>
              <w:pStyle w:val="27"/>
              <w:spacing w:line="360" w:lineRule="exact"/>
              <w:rPr>
                <w:rFonts w:hint="default" w:ascii="Arial" w:hAnsi="Arial" w:cs="Arial"/>
                <w:szCs w:val="24"/>
                <w:highlight w:val="none"/>
              </w:rPr>
            </w:pPr>
          </w:p>
        </w:tc>
      </w:tr>
      <w:tr w14:paraId="6C34C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2420" w:type="dxa"/>
            <w:gridSpan w:val="2"/>
            <w:shd w:val="clear" w:color="auto" w:fill="auto"/>
            <w:vAlign w:val="center"/>
          </w:tcPr>
          <w:p w14:paraId="63B49E66">
            <w:pPr>
              <w:pStyle w:val="27"/>
              <w:spacing w:line="360" w:lineRule="exact"/>
              <w:jc w:val="center"/>
              <w:rPr>
                <w:rFonts w:hint="default" w:ascii="Arial" w:hAnsi="Arial" w:eastAsia="宋体" w:cs="Arial"/>
                <w:kern w:val="0"/>
                <w:sz w:val="21"/>
                <w:szCs w:val="21"/>
                <w:highlight w:val="none"/>
                <w:lang w:val="en-US" w:eastAsia="zh-CN" w:bidi="ar-SA"/>
              </w:rPr>
            </w:pPr>
            <w:r>
              <w:rPr>
                <w:rFonts w:hint="default" w:ascii="Arial" w:hAnsi="Arial" w:cs="Arial"/>
                <w:szCs w:val="24"/>
                <w:highlight w:val="none"/>
              </w:rPr>
              <w:t>…</w:t>
            </w:r>
          </w:p>
        </w:tc>
        <w:tc>
          <w:tcPr>
            <w:tcW w:w="3022" w:type="dxa"/>
            <w:shd w:val="clear" w:color="auto" w:fill="auto"/>
            <w:vAlign w:val="top"/>
          </w:tcPr>
          <w:p w14:paraId="2394CC1B">
            <w:pPr>
              <w:pStyle w:val="27"/>
              <w:spacing w:line="360" w:lineRule="exact"/>
              <w:rPr>
                <w:rFonts w:hint="default" w:ascii="Arial" w:hAnsi="Arial" w:eastAsia="宋体" w:cs="Arial"/>
                <w:kern w:val="2"/>
                <w:sz w:val="21"/>
                <w:szCs w:val="24"/>
                <w:highlight w:val="none"/>
                <w:lang w:val="en-US" w:eastAsia="zh-CN" w:bidi="ar-SA"/>
              </w:rPr>
            </w:pPr>
          </w:p>
        </w:tc>
        <w:tc>
          <w:tcPr>
            <w:tcW w:w="2264" w:type="dxa"/>
          </w:tcPr>
          <w:p w14:paraId="6B356453">
            <w:pPr>
              <w:pStyle w:val="27"/>
              <w:spacing w:line="360" w:lineRule="exact"/>
              <w:rPr>
                <w:rFonts w:hint="default" w:ascii="Arial" w:hAnsi="Arial" w:cs="Arial"/>
                <w:szCs w:val="24"/>
                <w:highlight w:val="none"/>
              </w:rPr>
            </w:pPr>
          </w:p>
        </w:tc>
        <w:tc>
          <w:tcPr>
            <w:tcW w:w="1822" w:type="dxa"/>
          </w:tcPr>
          <w:p w14:paraId="6F85CA1A">
            <w:pPr>
              <w:pStyle w:val="27"/>
              <w:spacing w:line="360" w:lineRule="exact"/>
              <w:rPr>
                <w:rFonts w:hint="default" w:ascii="Arial" w:hAnsi="Arial" w:cs="Arial"/>
                <w:szCs w:val="24"/>
                <w:highlight w:val="none"/>
              </w:rPr>
            </w:pPr>
          </w:p>
        </w:tc>
      </w:tr>
    </w:tbl>
    <w:p w14:paraId="582F8550">
      <w:pPr>
        <w:pStyle w:val="27"/>
        <w:rPr>
          <w:rFonts w:hint="default" w:ascii="Arial" w:hAnsi="Arial" w:cs="Arial"/>
          <w:b/>
          <w:szCs w:val="21"/>
          <w:highlight w:val="none"/>
        </w:rPr>
      </w:pPr>
    </w:p>
    <w:p w14:paraId="638F0FC5">
      <w:pPr>
        <w:spacing w:line="440" w:lineRule="exact"/>
        <w:rPr>
          <w:rFonts w:hint="default" w:ascii="Arial" w:hAnsi="Arial" w:cs="Arial"/>
          <w:szCs w:val="21"/>
          <w:highlight w:val="none"/>
        </w:rPr>
      </w:pPr>
    </w:p>
    <w:p w14:paraId="7C07A214">
      <w:pPr>
        <w:spacing w:line="440" w:lineRule="exact"/>
        <w:rPr>
          <w:rFonts w:hint="default" w:ascii="Arial" w:hAnsi="Arial" w:cs="Arial"/>
          <w:szCs w:val="21"/>
          <w:highlight w:val="none"/>
        </w:rPr>
      </w:pPr>
    </w:p>
    <w:p w14:paraId="7A3224FB">
      <w:pPr>
        <w:snapToGrid w:val="0"/>
        <w:spacing w:line="400" w:lineRule="exact"/>
        <w:ind w:firstLine="1890" w:firstLineChars="900"/>
        <w:rPr>
          <w:rFonts w:hint="default" w:ascii="Arial" w:hAnsi="Arial" w:cs="Arial"/>
          <w:szCs w:val="21"/>
          <w:highlight w:val="none"/>
          <w:u w:val="single"/>
        </w:rPr>
      </w:pPr>
      <w:r>
        <w:rPr>
          <w:rFonts w:hint="default" w:ascii="Arial" w:hAnsi="Arial" w:cs="Arial"/>
          <w:szCs w:val="21"/>
          <w:highlight w:val="none"/>
        </w:rPr>
        <w:t>投标人[公章(CA签章)，自然人签字或个人CA签章]：</w:t>
      </w:r>
    </w:p>
    <w:p w14:paraId="2AC47395">
      <w:pPr>
        <w:snapToGrid w:val="0"/>
        <w:spacing w:line="400" w:lineRule="exact"/>
        <w:ind w:firstLine="1890" w:firstLineChars="900"/>
        <w:rPr>
          <w:rFonts w:hint="default" w:ascii="Arial" w:hAnsi="Arial" w:cs="Arial"/>
          <w:highlight w:val="none"/>
        </w:rPr>
      </w:pPr>
    </w:p>
    <w:p w14:paraId="426EF18B">
      <w:pPr>
        <w:snapToGrid w:val="0"/>
        <w:spacing w:line="400" w:lineRule="exact"/>
        <w:ind w:firstLine="1890" w:firstLineChars="900"/>
        <w:rPr>
          <w:rFonts w:hint="default" w:ascii="Arial" w:hAnsi="Arial" w:cs="Arial"/>
          <w:highlight w:val="none"/>
          <w:u w:val="single"/>
        </w:rPr>
      </w:pPr>
      <w:r>
        <w:rPr>
          <w:rFonts w:hint="default" w:ascii="Arial" w:hAnsi="Arial" w:cs="Arial"/>
          <w:highlight w:val="none"/>
        </w:rPr>
        <w:t>日          期：</w:t>
      </w:r>
    </w:p>
    <w:p w14:paraId="0417BBA3">
      <w:pPr>
        <w:tabs>
          <w:tab w:val="left" w:pos="1305"/>
        </w:tabs>
        <w:spacing w:line="364" w:lineRule="exact"/>
        <w:rPr>
          <w:rFonts w:hint="default" w:ascii="Arial" w:hAnsi="Arial" w:cs="Arial"/>
          <w:b/>
          <w:sz w:val="32"/>
          <w:szCs w:val="32"/>
          <w:highlight w:val="none"/>
        </w:rPr>
      </w:pPr>
    </w:p>
    <w:p w14:paraId="45E2B52D">
      <w:pPr>
        <w:tabs>
          <w:tab w:val="left" w:pos="1305"/>
        </w:tabs>
        <w:spacing w:line="364" w:lineRule="exact"/>
        <w:ind w:firstLine="205" w:firstLineChars="98"/>
        <w:rPr>
          <w:rFonts w:hint="default" w:ascii="Arial" w:hAnsi="Arial" w:cs="Arial"/>
          <w:bCs/>
          <w:szCs w:val="21"/>
          <w:highlight w:val="none"/>
        </w:rPr>
      </w:pPr>
    </w:p>
    <w:p w14:paraId="799AE8B3">
      <w:pPr>
        <w:tabs>
          <w:tab w:val="left" w:pos="1305"/>
        </w:tabs>
        <w:spacing w:line="364" w:lineRule="exact"/>
        <w:ind w:firstLine="207" w:firstLineChars="98"/>
        <w:rPr>
          <w:rFonts w:hint="default" w:ascii="Arial" w:hAnsi="Arial" w:cs="Arial"/>
          <w:b/>
          <w:szCs w:val="21"/>
          <w:highlight w:val="none"/>
        </w:rPr>
      </w:pPr>
      <w:r>
        <w:rPr>
          <w:rFonts w:hint="default" w:ascii="Arial" w:hAnsi="Arial" w:cs="Arial"/>
          <w:b/>
          <w:szCs w:val="21"/>
          <w:highlight w:val="none"/>
        </w:rPr>
        <w:t>注：1.投标人应根据投标货物的性能指标承诺（即：投标报价表）、对照“货物招标需求”详细注</w:t>
      </w:r>
    </w:p>
    <w:p w14:paraId="462F19F4">
      <w:pPr>
        <w:tabs>
          <w:tab w:val="left" w:pos="1305"/>
        </w:tabs>
        <w:spacing w:line="364" w:lineRule="exact"/>
        <w:ind w:firstLine="207" w:firstLineChars="98"/>
        <w:rPr>
          <w:rFonts w:hint="default" w:ascii="Arial" w:hAnsi="Arial" w:cs="Arial"/>
          <w:b/>
          <w:szCs w:val="21"/>
          <w:highlight w:val="none"/>
        </w:rPr>
      </w:pPr>
      <w:r>
        <w:rPr>
          <w:rFonts w:hint="default" w:ascii="Arial" w:hAnsi="Arial" w:cs="Arial"/>
          <w:b/>
          <w:szCs w:val="21"/>
          <w:highlight w:val="none"/>
        </w:rPr>
        <w:t>明响应情况按格式填写此表，当投标货物的性能指标承诺出现“正偏离”情况时应详细填写偏</w:t>
      </w:r>
    </w:p>
    <w:p w14:paraId="0D97311E">
      <w:pPr>
        <w:tabs>
          <w:tab w:val="left" w:pos="1305"/>
        </w:tabs>
        <w:spacing w:line="364" w:lineRule="exact"/>
        <w:ind w:firstLine="207" w:firstLineChars="98"/>
        <w:rPr>
          <w:rFonts w:hint="default" w:ascii="Arial" w:hAnsi="Arial" w:cs="Arial"/>
          <w:b/>
          <w:szCs w:val="21"/>
          <w:highlight w:val="none"/>
        </w:rPr>
      </w:pPr>
      <w:r>
        <w:rPr>
          <w:rFonts w:hint="default" w:ascii="Arial" w:hAnsi="Arial" w:cs="Arial"/>
          <w:b/>
          <w:szCs w:val="21"/>
          <w:highlight w:val="none"/>
        </w:rPr>
        <w:t>离情况说明及提供相应有效证明材料，否则，评标委员会有权不予认定“正偏离”情况。</w:t>
      </w:r>
    </w:p>
    <w:p w14:paraId="69E8015E">
      <w:pPr>
        <w:pStyle w:val="27"/>
        <w:spacing w:line="400" w:lineRule="exact"/>
        <w:ind w:firstLine="630" w:firstLineChars="300"/>
        <w:rPr>
          <w:rFonts w:hint="default" w:ascii="Arial" w:hAnsi="Arial" w:cs="Arial"/>
          <w:b/>
          <w:sz w:val="32"/>
          <w:szCs w:val="32"/>
          <w:highlight w:val="none"/>
        </w:rPr>
      </w:pPr>
      <w:r>
        <w:rPr>
          <w:rFonts w:hint="default" w:ascii="Arial" w:hAnsi="Arial" w:cs="Arial"/>
          <w:bCs/>
          <w:szCs w:val="21"/>
          <w:highlight w:val="none"/>
        </w:rPr>
        <w:t>2.当本表由多页构成时，需逐页加盖投标人公章（CA签章）（属自然人的须逐页签字或个人CA签章）。</w:t>
      </w:r>
      <w:r>
        <w:rPr>
          <w:rFonts w:hint="default" w:ascii="Arial" w:hAnsi="Arial" w:cs="Arial"/>
          <w:bCs/>
          <w:szCs w:val="21"/>
          <w:highlight w:val="none"/>
        </w:rPr>
        <w:br w:type="page"/>
      </w:r>
      <w:r>
        <w:rPr>
          <w:rFonts w:hint="default" w:ascii="Arial" w:hAnsi="Arial" w:cs="Arial"/>
          <w:b/>
          <w:bCs/>
          <w:sz w:val="32"/>
          <w:szCs w:val="32"/>
          <w:highlight w:val="none"/>
        </w:rPr>
        <w:t>2、</w:t>
      </w:r>
      <w:r>
        <w:rPr>
          <w:rFonts w:hint="default" w:ascii="Arial" w:hAnsi="Arial" w:cs="Arial"/>
          <w:b/>
          <w:sz w:val="32"/>
          <w:szCs w:val="32"/>
          <w:highlight w:val="none"/>
        </w:rPr>
        <w:t>投标人的售后服务承诺书（必须提供）</w:t>
      </w:r>
    </w:p>
    <w:p w14:paraId="562A7F60">
      <w:pPr>
        <w:pStyle w:val="27"/>
        <w:spacing w:line="400" w:lineRule="exact"/>
        <w:ind w:firstLine="643" w:firstLineChars="200"/>
        <w:rPr>
          <w:rFonts w:hint="default" w:ascii="Arial" w:hAnsi="Arial" w:cs="Arial"/>
          <w:b/>
          <w:sz w:val="32"/>
          <w:szCs w:val="32"/>
          <w:highlight w:val="none"/>
        </w:rPr>
      </w:pPr>
    </w:p>
    <w:p w14:paraId="04D1040F">
      <w:pPr>
        <w:pStyle w:val="27"/>
        <w:spacing w:line="340" w:lineRule="exact"/>
        <w:rPr>
          <w:rFonts w:hint="default" w:ascii="Arial" w:hAnsi="Arial" w:cs="Arial"/>
          <w:b/>
          <w:bCs/>
          <w:sz w:val="32"/>
          <w:szCs w:val="32"/>
          <w:highlight w:val="none"/>
        </w:rPr>
      </w:pPr>
      <w:r>
        <w:rPr>
          <w:rFonts w:hint="default" w:ascii="Arial" w:hAnsi="Arial" w:cs="Arial"/>
          <w:b/>
          <w:bCs/>
          <w:sz w:val="32"/>
          <w:szCs w:val="32"/>
          <w:highlight w:val="none"/>
        </w:rPr>
        <w:t>附件：</w:t>
      </w:r>
    </w:p>
    <w:p w14:paraId="6D6DFFE2">
      <w:pPr>
        <w:pStyle w:val="27"/>
        <w:ind w:firstLine="2731" w:firstLineChars="850"/>
        <w:rPr>
          <w:rFonts w:hint="default" w:ascii="Arial" w:hAnsi="Arial" w:cs="Arial"/>
          <w:highlight w:val="none"/>
        </w:rPr>
      </w:pPr>
      <w:r>
        <w:rPr>
          <w:rFonts w:hint="default" w:ascii="Arial" w:hAnsi="Arial" w:cs="Arial"/>
          <w:b/>
          <w:bCs/>
          <w:sz w:val="32"/>
          <w:szCs w:val="32"/>
          <w:highlight w:val="none"/>
        </w:rPr>
        <w:t>售后服务承诺书（格式）</w:t>
      </w:r>
    </w:p>
    <w:p w14:paraId="3BF7B44D">
      <w:pPr>
        <w:rPr>
          <w:rFonts w:hint="default" w:ascii="Arial" w:hAnsi="Arial" w:cs="Arial"/>
          <w:highlight w:val="none"/>
        </w:rPr>
      </w:pPr>
    </w:p>
    <w:p w14:paraId="23F58583">
      <w:pPr>
        <w:rPr>
          <w:rFonts w:hint="default" w:ascii="Arial" w:hAnsi="Arial" w:cs="Arial"/>
          <w:highlight w:val="none"/>
        </w:rPr>
      </w:pPr>
    </w:p>
    <w:p w14:paraId="02291A7E">
      <w:pPr>
        <w:rPr>
          <w:rFonts w:hint="default" w:ascii="Arial" w:hAnsi="Arial" w:cs="Arial"/>
          <w:highlight w:val="none"/>
        </w:rPr>
      </w:pPr>
    </w:p>
    <w:p w14:paraId="409F094A">
      <w:pPr>
        <w:rPr>
          <w:rFonts w:hint="default" w:ascii="Arial" w:hAnsi="Arial" w:cs="Arial"/>
          <w:highlight w:val="none"/>
        </w:rPr>
      </w:pPr>
    </w:p>
    <w:p w14:paraId="04835F54">
      <w:pPr>
        <w:rPr>
          <w:rFonts w:hint="default" w:ascii="Arial" w:hAnsi="Arial" w:cs="Arial"/>
          <w:highlight w:val="none"/>
        </w:rPr>
      </w:pPr>
    </w:p>
    <w:p w14:paraId="6EA27E8D">
      <w:pPr>
        <w:snapToGrid w:val="0"/>
        <w:spacing w:line="400" w:lineRule="exact"/>
        <w:ind w:firstLine="1890" w:firstLineChars="900"/>
        <w:rPr>
          <w:rFonts w:hint="default" w:ascii="Arial" w:hAnsi="Arial" w:cs="Arial"/>
          <w:szCs w:val="21"/>
          <w:highlight w:val="none"/>
          <w:u w:val="single"/>
        </w:rPr>
      </w:pPr>
      <w:r>
        <w:rPr>
          <w:rFonts w:hint="default" w:ascii="Arial" w:hAnsi="Arial" w:cs="Arial"/>
          <w:szCs w:val="21"/>
          <w:highlight w:val="none"/>
        </w:rPr>
        <w:t>投标人[公章(CA签章)，自然人签字或个人CA签章]：</w:t>
      </w:r>
    </w:p>
    <w:p w14:paraId="234B755E">
      <w:pPr>
        <w:spacing w:line="340" w:lineRule="exact"/>
        <w:rPr>
          <w:rFonts w:hint="default" w:ascii="Arial" w:hAnsi="Arial" w:cs="Arial"/>
          <w:highlight w:val="none"/>
        </w:rPr>
      </w:pPr>
    </w:p>
    <w:p w14:paraId="1A90D8F9">
      <w:pPr>
        <w:snapToGrid w:val="0"/>
        <w:spacing w:line="400" w:lineRule="exact"/>
        <w:ind w:firstLine="1680" w:firstLineChars="800"/>
        <w:rPr>
          <w:rFonts w:hint="default" w:ascii="Arial" w:hAnsi="Arial" w:cs="Arial"/>
          <w:highlight w:val="none"/>
        </w:rPr>
      </w:pPr>
    </w:p>
    <w:p w14:paraId="30C20100">
      <w:pPr>
        <w:snapToGrid w:val="0"/>
        <w:spacing w:line="400" w:lineRule="exact"/>
        <w:ind w:firstLine="1680" w:firstLineChars="800"/>
        <w:rPr>
          <w:rFonts w:hint="default" w:ascii="Arial" w:hAnsi="Arial" w:cs="Arial"/>
          <w:highlight w:val="none"/>
        </w:rPr>
      </w:pPr>
      <w:r>
        <w:rPr>
          <w:rFonts w:hint="default" w:ascii="Arial" w:hAnsi="Arial" w:cs="Arial"/>
          <w:highlight w:val="none"/>
        </w:rPr>
        <w:t xml:space="preserve"> 日          期：</w:t>
      </w:r>
    </w:p>
    <w:p w14:paraId="347A0FB0">
      <w:pPr>
        <w:ind w:firstLine="1890" w:firstLineChars="900"/>
        <w:rPr>
          <w:rFonts w:hint="default" w:ascii="Arial" w:hAnsi="Arial" w:cs="Arial"/>
          <w:highlight w:val="none"/>
          <w:u w:val="single"/>
        </w:rPr>
      </w:pPr>
    </w:p>
    <w:p w14:paraId="2CA10C9F">
      <w:pPr>
        <w:pStyle w:val="27"/>
        <w:spacing w:line="400" w:lineRule="exact"/>
        <w:rPr>
          <w:rFonts w:hint="default" w:ascii="Arial" w:hAnsi="Arial" w:cs="Arial"/>
          <w:b/>
          <w:bCs/>
          <w:sz w:val="32"/>
          <w:szCs w:val="32"/>
          <w:highlight w:val="none"/>
        </w:rPr>
      </w:pPr>
    </w:p>
    <w:p w14:paraId="6BF26C63">
      <w:pPr>
        <w:pStyle w:val="27"/>
        <w:spacing w:line="400" w:lineRule="exact"/>
        <w:rPr>
          <w:rFonts w:hint="default" w:ascii="Arial" w:hAnsi="Arial" w:cs="Arial"/>
          <w:b/>
          <w:bCs/>
          <w:sz w:val="32"/>
          <w:szCs w:val="32"/>
          <w:highlight w:val="none"/>
        </w:rPr>
      </w:pPr>
    </w:p>
    <w:p w14:paraId="0D5ECA81">
      <w:pPr>
        <w:pStyle w:val="27"/>
        <w:spacing w:line="400" w:lineRule="exact"/>
        <w:rPr>
          <w:rFonts w:hint="default" w:ascii="Arial" w:hAnsi="Arial" w:cs="Arial"/>
          <w:b/>
          <w:bCs/>
          <w:sz w:val="32"/>
          <w:szCs w:val="32"/>
          <w:highlight w:val="none"/>
        </w:rPr>
      </w:pPr>
    </w:p>
    <w:p w14:paraId="4EA88B40">
      <w:pPr>
        <w:rPr>
          <w:rFonts w:hint="default" w:ascii="Arial" w:hAnsi="Arial" w:cs="Arial"/>
          <w:b/>
          <w:bCs/>
          <w:sz w:val="32"/>
          <w:szCs w:val="32"/>
          <w:highlight w:val="none"/>
        </w:rPr>
      </w:pPr>
      <w:r>
        <w:rPr>
          <w:rFonts w:hint="default" w:ascii="Arial" w:hAnsi="Arial" w:cs="Arial"/>
          <w:b/>
          <w:bCs/>
          <w:sz w:val="32"/>
          <w:szCs w:val="32"/>
          <w:highlight w:val="none"/>
        </w:rPr>
        <w:br w:type="page"/>
      </w:r>
    </w:p>
    <w:p w14:paraId="7A01BA15">
      <w:pPr>
        <w:pStyle w:val="27"/>
        <w:spacing w:line="400" w:lineRule="exact"/>
        <w:rPr>
          <w:rFonts w:hint="eastAsia" w:ascii="Arial" w:hAnsi="Arial" w:eastAsia="宋体" w:cs="Arial"/>
          <w:b/>
          <w:sz w:val="32"/>
          <w:szCs w:val="32"/>
          <w:highlight w:val="none"/>
          <w:lang w:eastAsia="zh-CN"/>
        </w:rPr>
      </w:pPr>
      <w:r>
        <w:rPr>
          <w:rFonts w:hint="default" w:ascii="Arial" w:hAnsi="Arial" w:cs="Arial"/>
          <w:b/>
          <w:bCs/>
          <w:sz w:val="32"/>
          <w:szCs w:val="32"/>
          <w:highlight w:val="none"/>
        </w:rPr>
        <w:t>3、</w:t>
      </w:r>
      <w:r>
        <w:rPr>
          <w:rFonts w:hint="eastAsia" w:ascii="Arial" w:hAnsi="Arial" w:cs="Arial"/>
          <w:b/>
          <w:sz w:val="32"/>
          <w:szCs w:val="32"/>
          <w:highlight w:val="none"/>
          <w:lang w:eastAsia="zh-CN"/>
        </w:rPr>
        <w:t>无串通投标行为的承诺函</w:t>
      </w:r>
      <w:r>
        <w:rPr>
          <w:rFonts w:hint="default" w:ascii="Arial" w:hAnsi="Arial" w:cs="Arial"/>
          <w:b/>
          <w:sz w:val="32"/>
          <w:szCs w:val="32"/>
          <w:highlight w:val="none"/>
        </w:rPr>
        <w:t>（必须提供）</w:t>
      </w:r>
    </w:p>
    <w:p w14:paraId="3F2FE7AC">
      <w:pPr>
        <w:snapToGrid w:val="0"/>
        <w:spacing w:before="50" w:after="120" w:afterLines="50"/>
        <w:jc w:val="center"/>
        <w:rPr>
          <w:rFonts w:hint="default" w:ascii="Arial" w:hAnsi="Arial" w:cs="Arial"/>
          <w:color w:val="auto"/>
          <w:sz w:val="28"/>
          <w:szCs w:val="28"/>
          <w:highlight w:val="none"/>
        </w:rPr>
      </w:pPr>
      <w:r>
        <w:rPr>
          <w:rFonts w:hint="default" w:ascii="Arial" w:hAnsi="Arial" w:cs="Arial"/>
          <w:color w:val="auto"/>
          <w:sz w:val="28"/>
          <w:szCs w:val="28"/>
          <w:highlight w:val="none"/>
        </w:rPr>
        <w:t>供应商参加本项目无围标串标行为的承诺函</w:t>
      </w:r>
    </w:p>
    <w:p w14:paraId="3C64B870">
      <w:pPr>
        <w:snapToGrid w:val="0"/>
        <w:spacing w:before="50" w:after="120" w:afterLines="50"/>
        <w:jc w:val="left"/>
        <w:rPr>
          <w:rFonts w:hint="default" w:ascii="Arial" w:hAnsi="Arial" w:cs="Arial"/>
          <w:color w:val="auto"/>
          <w:szCs w:val="21"/>
          <w:highlight w:val="none"/>
        </w:rPr>
      </w:pPr>
    </w:p>
    <w:p w14:paraId="3E8C5F9B">
      <w:pPr>
        <w:snapToGrid w:val="0"/>
        <w:spacing w:before="50" w:after="120" w:afterLines="50"/>
        <w:jc w:val="left"/>
        <w:rPr>
          <w:rFonts w:hint="default" w:ascii="Arial" w:hAnsi="Arial" w:cs="Arial"/>
          <w:color w:val="auto"/>
          <w:szCs w:val="21"/>
          <w:highlight w:val="none"/>
        </w:rPr>
      </w:pPr>
      <w:r>
        <w:rPr>
          <w:rFonts w:hint="default" w:ascii="Arial" w:hAnsi="Arial" w:cs="Arial"/>
          <w:color w:val="auto"/>
          <w:szCs w:val="21"/>
          <w:highlight w:val="none"/>
        </w:rPr>
        <w:t>一、我方承诺无下列相互串通投标的情形：</w:t>
      </w:r>
    </w:p>
    <w:p w14:paraId="054CABA1">
      <w:pPr>
        <w:snapToGrid w:val="0"/>
        <w:spacing w:before="50" w:after="120" w:afterLines="50"/>
        <w:jc w:val="left"/>
        <w:rPr>
          <w:rFonts w:hint="default" w:ascii="Arial" w:hAnsi="Arial" w:cs="Arial"/>
          <w:color w:val="auto"/>
          <w:szCs w:val="21"/>
          <w:highlight w:val="none"/>
        </w:rPr>
      </w:pPr>
      <w:r>
        <w:rPr>
          <w:rFonts w:hint="default" w:ascii="Arial" w:hAnsi="Arial" w:cs="Arial"/>
          <w:color w:val="auto"/>
          <w:szCs w:val="21"/>
          <w:highlight w:val="none"/>
        </w:rPr>
        <w:t>1.不同供应商的响应文件由同一单位或者个人编制；或者不同供应商报名的IP地址一致的；</w:t>
      </w:r>
    </w:p>
    <w:p w14:paraId="398830B8">
      <w:pPr>
        <w:snapToGrid w:val="0"/>
        <w:spacing w:before="50" w:after="120" w:afterLines="50"/>
        <w:jc w:val="left"/>
        <w:rPr>
          <w:rFonts w:hint="default" w:ascii="Arial" w:hAnsi="Arial" w:cs="Arial"/>
          <w:color w:val="auto"/>
          <w:szCs w:val="21"/>
          <w:highlight w:val="none"/>
        </w:rPr>
      </w:pPr>
      <w:r>
        <w:rPr>
          <w:rFonts w:hint="default" w:ascii="Arial" w:hAnsi="Arial" w:cs="Arial"/>
          <w:color w:val="auto"/>
          <w:szCs w:val="21"/>
          <w:highlight w:val="none"/>
        </w:rPr>
        <w:t>2.不同供应商委托同一单位或者个人办理投标事宜；</w:t>
      </w:r>
    </w:p>
    <w:p w14:paraId="713F8890">
      <w:pPr>
        <w:snapToGrid w:val="0"/>
        <w:spacing w:before="50" w:after="120" w:afterLines="50"/>
        <w:jc w:val="left"/>
        <w:rPr>
          <w:rFonts w:hint="default" w:ascii="Arial" w:hAnsi="Arial" w:cs="Arial"/>
          <w:color w:val="auto"/>
          <w:szCs w:val="21"/>
          <w:highlight w:val="none"/>
        </w:rPr>
      </w:pPr>
      <w:r>
        <w:rPr>
          <w:rFonts w:hint="default" w:ascii="Arial" w:hAnsi="Arial" w:cs="Arial"/>
          <w:color w:val="auto"/>
          <w:szCs w:val="21"/>
          <w:highlight w:val="none"/>
        </w:rPr>
        <w:t>3.不同的供应商的响应文件载明的项目管理员为同一个人；</w:t>
      </w:r>
    </w:p>
    <w:p w14:paraId="1203F1B0">
      <w:pPr>
        <w:snapToGrid w:val="0"/>
        <w:spacing w:before="50" w:after="120" w:afterLines="50"/>
        <w:jc w:val="left"/>
        <w:rPr>
          <w:rFonts w:hint="default" w:ascii="Arial" w:hAnsi="Arial" w:cs="Arial"/>
          <w:color w:val="auto"/>
          <w:szCs w:val="21"/>
          <w:highlight w:val="none"/>
        </w:rPr>
      </w:pPr>
      <w:r>
        <w:rPr>
          <w:rFonts w:hint="default" w:ascii="Arial" w:hAnsi="Arial" w:cs="Arial"/>
          <w:color w:val="auto"/>
          <w:szCs w:val="21"/>
          <w:highlight w:val="none"/>
        </w:rPr>
        <w:t>4.不同供应商的响应文件异常一致或者投标报价呈规律性差异；</w:t>
      </w:r>
    </w:p>
    <w:p w14:paraId="573E327D">
      <w:pPr>
        <w:snapToGrid w:val="0"/>
        <w:spacing w:before="50" w:after="120" w:afterLines="50"/>
        <w:jc w:val="left"/>
        <w:rPr>
          <w:rFonts w:hint="default" w:ascii="Arial" w:hAnsi="Arial" w:cs="Arial"/>
          <w:color w:val="auto"/>
          <w:szCs w:val="21"/>
          <w:highlight w:val="none"/>
        </w:rPr>
      </w:pPr>
      <w:r>
        <w:rPr>
          <w:rFonts w:hint="default" w:ascii="Arial" w:hAnsi="Arial" w:cs="Arial"/>
          <w:color w:val="auto"/>
          <w:szCs w:val="21"/>
          <w:highlight w:val="none"/>
        </w:rPr>
        <w:t>5.不同供应商的响应文件相互混装；</w:t>
      </w:r>
    </w:p>
    <w:p w14:paraId="365D13FE">
      <w:pPr>
        <w:snapToGrid w:val="0"/>
        <w:spacing w:before="50" w:after="120" w:afterLines="50"/>
        <w:jc w:val="left"/>
        <w:rPr>
          <w:rFonts w:hint="default" w:ascii="Arial" w:hAnsi="Arial" w:cs="Arial"/>
          <w:color w:val="auto"/>
          <w:szCs w:val="21"/>
          <w:highlight w:val="none"/>
        </w:rPr>
      </w:pPr>
      <w:r>
        <w:rPr>
          <w:rFonts w:hint="default" w:ascii="Arial" w:hAnsi="Arial" w:cs="Arial"/>
          <w:color w:val="auto"/>
          <w:szCs w:val="21"/>
          <w:highlight w:val="none"/>
        </w:rPr>
        <w:t>6.不同供应商的</w:t>
      </w:r>
      <w:r>
        <w:rPr>
          <w:rFonts w:hint="eastAsia" w:ascii="Arial" w:hAnsi="Arial" w:cs="Arial"/>
          <w:color w:val="auto"/>
          <w:szCs w:val="21"/>
          <w:highlight w:val="none"/>
          <w:lang w:val="en-US" w:eastAsia="zh-CN"/>
        </w:rPr>
        <w:t>投标</w:t>
      </w:r>
      <w:r>
        <w:rPr>
          <w:rFonts w:hint="default" w:ascii="Arial" w:hAnsi="Arial" w:cs="Arial"/>
          <w:color w:val="auto"/>
          <w:szCs w:val="21"/>
          <w:highlight w:val="none"/>
        </w:rPr>
        <w:t>保证金从同一单位或者个人账户转出。</w:t>
      </w:r>
    </w:p>
    <w:p w14:paraId="41BE173E">
      <w:pPr>
        <w:snapToGrid w:val="0"/>
        <w:spacing w:before="50" w:after="120" w:afterLines="50"/>
        <w:jc w:val="left"/>
        <w:rPr>
          <w:rFonts w:hint="default" w:ascii="Arial" w:hAnsi="Arial" w:cs="Arial"/>
          <w:color w:val="auto"/>
          <w:szCs w:val="21"/>
          <w:highlight w:val="none"/>
        </w:rPr>
      </w:pPr>
      <w:r>
        <w:rPr>
          <w:rFonts w:hint="default" w:ascii="Arial" w:hAnsi="Arial" w:cs="Arial"/>
          <w:color w:val="auto"/>
          <w:szCs w:val="21"/>
          <w:highlight w:val="none"/>
        </w:rPr>
        <w:t>二、我方承诺无下列恶意串通的情形：</w:t>
      </w:r>
    </w:p>
    <w:p w14:paraId="5259631E">
      <w:pPr>
        <w:snapToGrid w:val="0"/>
        <w:spacing w:before="50" w:after="120" w:afterLines="50"/>
        <w:jc w:val="left"/>
        <w:rPr>
          <w:rFonts w:hint="default" w:ascii="Arial" w:hAnsi="Arial" w:cs="Arial"/>
          <w:color w:val="auto"/>
          <w:szCs w:val="21"/>
          <w:highlight w:val="none"/>
        </w:rPr>
      </w:pPr>
      <w:r>
        <w:rPr>
          <w:rFonts w:hint="default" w:ascii="Arial" w:hAnsi="Arial" w:cs="Arial"/>
          <w:color w:val="auto"/>
          <w:szCs w:val="21"/>
          <w:highlight w:val="none"/>
        </w:rPr>
        <w:t>1.供应商直接或者间接从采购人或者采购代理机构处获得其他供应商的相关信息并修改其响应文件或者响应文件；</w:t>
      </w:r>
    </w:p>
    <w:p w14:paraId="5E7775D1">
      <w:pPr>
        <w:snapToGrid w:val="0"/>
        <w:spacing w:before="50" w:after="120" w:afterLines="50"/>
        <w:jc w:val="left"/>
        <w:rPr>
          <w:rFonts w:hint="default" w:ascii="Arial" w:hAnsi="Arial" w:cs="Arial"/>
          <w:color w:val="auto"/>
          <w:szCs w:val="21"/>
          <w:highlight w:val="none"/>
        </w:rPr>
      </w:pPr>
      <w:r>
        <w:rPr>
          <w:rFonts w:hint="default" w:ascii="Arial" w:hAnsi="Arial" w:cs="Arial"/>
          <w:color w:val="auto"/>
          <w:szCs w:val="21"/>
          <w:highlight w:val="none"/>
        </w:rPr>
        <w:t>2.供应商按照采购人或者采购代理机构的授意撤换、修改响应文件或者响应文件；</w:t>
      </w:r>
    </w:p>
    <w:p w14:paraId="13E5BE3F">
      <w:pPr>
        <w:snapToGrid w:val="0"/>
        <w:spacing w:before="50" w:after="120" w:afterLines="50"/>
        <w:jc w:val="left"/>
        <w:rPr>
          <w:rFonts w:hint="default" w:ascii="Arial" w:hAnsi="Arial" w:cs="Arial"/>
          <w:color w:val="auto"/>
          <w:szCs w:val="21"/>
          <w:highlight w:val="none"/>
        </w:rPr>
      </w:pPr>
      <w:r>
        <w:rPr>
          <w:rFonts w:hint="default" w:ascii="Arial" w:hAnsi="Arial" w:cs="Arial"/>
          <w:color w:val="auto"/>
          <w:szCs w:val="21"/>
          <w:highlight w:val="none"/>
        </w:rPr>
        <w:t>3.供应商之间协商报价、技术方案等响应文件或者响应文件的实质性内容；</w:t>
      </w:r>
    </w:p>
    <w:p w14:paraId="3BD74668">
      <w:pPr>
        <w:snapToGrid w:val="0"/>
        <w:spacing w:before="50" w:after="120" w:afterLines="50"/>
        <w:jc w:val="left"/>
        <w:rPr>
          <w:rFonts w:hint="default" w:ascii="Arial" w:hAnsi="Arial" w:cs="Arial"/>
          <w:color w:val="auto"/>
          <w:szCs w:val="21"/>
          <w:highlight w:val="none"/>
        </w:rPr>
      </w:pPr>
      <w:r>
        <w:rPr>
          <w:rFonts w:hint="default" w:ascii="Arial" w:hAnsi="Arial" w:cs="Arial"/>
          <w:color w:val="auto"/>
          <w:szCs w:val="21"/>
          <w:highlight w:val="none"/>
        </w:rPr>
        <w:t>4.属于同一集团、协会、商会等组织成员的供应商按照该组织要求协同参加政府采购活动；</w:t>
      </w:r>
    </w:p>
    <w:p w14:paraId="359ECDE9">
      <w:pPr>
        <w:snapToGrid w:val="0"/>
        <w:spacing w:before="50" w:after="120" w:afterLines="50"/>
        <w:jc w:val="left"/>
        <w:rPr>
          <w:rFonts w:hint="default" w:ascii="Arial" w:hAnsi="Arial" w:cs="Arial"/>
          <w:color w:val="auto"/>
          <w:szCs w:val="21"/>
          <w:highlight w:val="none"/>
        </w:rPr>
      </w:pPr>
      <w:r>
        <w:rPr>
          <w:rFonts w:hint="default" w:ascii="Arial" w:hAnsi="Arial" w:cs="Arial"/>
          <w:color w:val="auto"/>
          <w:szCs w:val="21"/>
          <w:highlight w:val="none"/>
        </w:rPr>
        <w:t>5.供应商之间事先约定一致抬高或者压低投标报价，或者在招标项目中事先约定轮流以高价位或者低价位中标，或者事先约定由某一特定供应商中标，然后再参加投标；</w:t>
      </w:r>
    </w:p>
    <w:p w14:paraId="2A4D809D">
      <w:pPr>
        <w:snapToGrid w:val="0"/>
        <w:spacing w:before="50" w:after="120" w:afterLines="50"/>
        <w:jc w:val="left"/>
        <w:rPr>
          <w:rFonts w:hint="default" w:ascii="Arial" w:hAnsi="Arial" w:cs="Arial"/>
          <w:color w:val="auto"/>
          <w:szCs w:val="21"/>
          <w:highlight w:val="none"/>
        </w:rPr>
      </w:pPr>
      <w:r>
        <w:rPr>
          <w:rFonts w:hint="default" w:ascii="Arial" w:hAnsi="Arial" w:cs="Arial"/>
          <w:color w:val="auto"/>
          <w:szCs w:val="21"/>
          <w:highlight w:val="none"/>
        </w:rPr>
        <w:t>6.供应商之间商定部分供应商放弃参加政府采购活动或者放弃中标；</w:t>
      </w:r>
    </w:p>
    <w:p w14:paraId="01DD7B6D">
      <w:pPr>
        <w:snapToGrid w:val="0"/>
        <w:spacing w:before="50" w:after="120" w:afterLines="50"/>
        <w:jc w:val="left"/>
        <w:rPr>
          <w:rFonts w:hint="default" w:ascii="Arial" w:hAnsi="Arial" w:cs="Arial"/>
          <w:color w:val="auto"/>
          <w:szCs w:val="21"/>
          <w:highlight w:val="none"/>
        </w:rPr>
      </w:pPr>
      <w:r>
        <w:rPr>
          <w:rFonts w:hint="default" w:ascii="Arial" w:hAnsi="Arial" w:cs="Arial"/>
          <w:color w:val="auto"/>
          <w:szCs w:val="21"/>
          <w:highlight w:val="none"/>
        </w:rPr>
        <w:t>7.供应商与采购人或者采购代理机构之间、供应商相互之间，为谋求特定供应商中标或者排斥其他供应商的其他串通行为。</w:t>
      </w:r>
    </w:p>
    <w:p w14:paraId="78956AA6">
      <w:pPr>
        <w:spacing w:line="400" w:lineRule="exact"/>
        <w:rPr>
          <w:rFonts w:hint="eastAsia" w:ascii="Arial" w:hAnsi="Arial" w:cs="Arial"/>
          <w:b/>
          <w:color w:val="auto"/>
          <w:sz w:val="32"/>
          <w:szCs w:val="20"/>
          <w:highlight w:val="none"/>
          <w:lang w:val="en-US" w:eastAsia="zh-CN"/>
        </w:rPr>
      </w:pPr>
      <w:r>
        <w:rPr>
          <w:rFonts w:hint="default" w:ascii="Arial" w:hAnsi="Arial" w:cs="Arial"/>
          <w:color w:val="auto"/>
          <w:szCs w:val="21"/>
          <w:highlight w:val="none"/>
        </w:rPr>
        <w:t>以上情形一经核查属实，我方愿意承担一切后果，并不再寻求任何旨在减轻或者免除法律责任的辩解。</w:t>
      </w:r>
    </w:p>
    <w:p w14:paraId="2777C196">
      <w:pPr>
        <w:pStyle w:val="27"/>
        <w:spacing w:line="400" w:lineRule="exact"/>
        <w:rPr>
          <w:rFonts w:hint="default" w:ascii="Arial" w:hAnsi="Arial" w:cs="Arial"/>
          <w:b/>
          <w:sz w:val="32"/>
          <w:szCs w:val="32"/>
          <w:highlight w:val="none"/>
        </w:rPr>
      </w:pPr>
    </w:p>
    <w:p w14:paraId="1330FC51">
      <w:pPr>
        <w:snapToGrid w:val="0"/>
        <w:spacing w:line="400" w:lineRule="exact"/>
        <w:ind w:firstLine="2835" w:firstLineChars="1350"/>
        <w:outlineLvl w:val="4"/>
        <w:rPr>
          <w:rFonts w:hint="default" w:ascii="Arial" w:hAnsi="Arial" w:cs="Arial"/>
          <w:szCs w:val="21"/>
          <w:highlight w:val="none"/>
        </w:rPr>
      </w:pPr>
    </w:p>
    <w:p w14:paraId="0BFD4DBC">
      <w:pPr>
        <w:snapToGrid w:val="0"/>
        <w:spacing w:line="400" w:lineRule="exact"/>
        <w:ind w:firstLine="1890" w:firstLineChars="900"/>
        <w:rPr>
          <w:rFonts w:hint="default" w:ascii="Arial" w:hAnsi="Arial" w:cs="Arial"/>
          <w:szCs w:val="21"/>
          <w:highlight w:val="none"/>
          <w:u w:val="single"/>
        </w:rPr>
      </w:pPr>
      <w:r>
        <w:rPr>
          <w:rFonts w:hint="default" w:ascii="Arial" w:hAnsi="Arial" w:cs="Arial"/>
          <w:szCs w:val="21"/>
          <w:highlight w:val="none"/>
        </w:rPr>
        <w:t>投标人[公章(CA签章)，自然人签字或个人CA签章]：</w:t>
      </w:r>
    </w:p>
    <w:p w14:paraId="25A4CE7B">
      <w:pPr>
        <w:spacing w:line="340" w:lineRule="exact"/>
        <w:rPr>
          <w:rFonts w:hint="default" w:ascii="Arial" w:hAnsi="Arial" w:cs="Arial"/>
          <w:highlight w:val="none"/>
        </w:rPr>
      </w:pPr>
    </w:p>
    <w:p w14:paraId="09A48A46">
      <w:pPr>
        <w:snapToGrid w:val="0"/>
        <w:spacing w:line="400" w:lineRule="exact"/>
        <w:ind w:firstLine="1680" w:firstLineChars="800"/>
        <w:rPr>
          <w:rFonts w:hint="default" w:ascii="Arial" w:hAnsi="Arial" w:cs="Arial"/>
          <w:highlight w:val="none"/>
        </w:rPr>
      </w:pPr>
    </w:p>
    <w:p w14:paraId="30B42E2E">
      <w:pPr>
        <w:snapToGrid w:val="0"/>
        <w:spacing w:line="400" w:lineRule="exact"/>
        <w:ind w:firstLine="1680" w:firstLineChars="800"/>
        <w:rPr>
          <w:rFonts w:hint="default" w:ascii="Arial" w:hAnsi="Arial" w:cs="Arial"/>
          <w:highlight w:val="none"/>
        </w:rPr>
      </w:pPr>
      <w:r>
        <w:rPr>
          <w:rFonts w:hint="default" w:ascii="Arial" w:hAnsi="Arial" w:cs="Arial"/>
          <w:highlight w:val="none"/>
        </w:rPr>
        <w:t xml:space="preserve"> 日          期：</w:t>
      </w:r>
    </w:p>
    <w:p w14:paraId="4F2A533F">
      <w:pPr>
        <w:ind w:firstLine="1890" w:firstLineChars="900"/>
        <w:rPr>
          <w:rFonts w:hint="default" w:ascii="Arial" w:hAnsi="Arial" w:cs="Arial"/>
          <w:highlight w:val="none"/>
          <w:u w:val="single"/>
        </w:rPr>
      </w:pPr>
    </w:p>
    <w:p w14:paraId="16A05894">
      <w:pPr>
        <w:rPr>
          <w:rFonts w:hint="default" w:ascii="Arial" w:hAnsi="Arial" w:cs="Arial"/>
          <w:b/>
          <w:bCs/>
          <w:sz w:val="32"/>
          <w:szCs w:val="32"/>
          <w:highlight w:val="none"/>
        </w:rPr>
      </w:pPr>
      <w:r>
        <w:rPr>
          <w:rFonts w:hint="default" w:ascii="Arial" w:hAnsi="Arial" w:cs="Arial"/>
          <w:b/>
          <w:bCs/>
          <w:sz w:val="32"/>
          <w:szCs w:val="32"/>
          <w:highlight w:val="none"/>
        </w:rPr>
        <w:br w:type="page"/>
      </w:r>
    </w:p>
    <w:p w14:paraId="31832401">
      <w:pPr>
        <w:pStyle w:val="27"/>
        <w:spacing w:line="400" w:lineRule="exact"/>
        <w:rPr>
          <w:rFonts w:hint="default" w:ascii="Arial" w:hAnsi="Arial" w:cs="Arial"/>
          <w:b/>
          <w:bCs/>
          <w:sz w:val="32"/>
          <w:szCs w:val="32"/>
          <w:highlight w:val="none"/>
        </w:rPr>
      </w:pPr>
      <w:r>
        <w:rPr>
          <w:rFonts w:hint="default" w:ascii="Arial" w:hAnsi="Arial" w:cs="Arial"/>
          <w:b/>
          <w:bCs/>
          <w:sz w:val="32"/>
          <w:szCs w:val="32"/>
          <w:highlight w:val="none"/>
        </w:rPr>
        <w:t>4、投标人</w:t>
      </w:r>
      <w:r>
        <w:rPr>
          <w:rFonts w:hint="default" w:ascii="Arial" w:hAnsi="Arial" w:cs="Arial"/>
          <w:b/>
          <w:bCs/>
          <w:sz w:val="32"/>
          <w:szCs w:val="32"/>
          <w:highlight w:val="none"/>
          <w:lang w:eastAsia="zh-CN"/>
        </w:rPr>
        <w:t>2025年度</w:t>
      </w:r>
      <w:r>
        <w:rPr>
          <w:rFonts w:hint="default" w:ascii="Arial" w:hAnsi="Arial" w:cs="Arial"/>
          <w:b/>
          <w:bCs/>
          <w:sz w:val="32"/>
          <w:szCs w:val="32"/>
          <w:highlight w:val="none"/>
        </w:rPr>
        <w:t>通过中介审计的有效财务审计报告复印件；</w:t>
      </w:r>
    </w:p>
    <w:p w14:paraId="162FB427">
      <w:pPr>
        <w:pStyle w:val="27"/>
        <w:spacing w:line="390" w:lineRule="exact"/>
        <w:ind w:firstLine="422" w:firstLineChars="200"/>
        <w:rPr>
          <w:rFonts w:hint="default" w:ascii="Arial" w:hAnsi="Arial" w:cs="Arial"/>
          <w:highlight w:val="none"/>
        </w:rPr>
      </w:pPr>
      <w:r>
        <w:rPr>
          <w:rFonts w:hint="default" w:ascii="Arial" w:hAnsi="Arial" w:cs="Arial"/>
          <w:b/>
          <w:bCs/>
          <w:highlight w:val="none"/>
        </w:rPr>
        <w:t>注：对于从取得营业执照时间起到</w:t>
      </w:r>
      <w:r>
        <w:rPr>
          <w:rFonts w:hint="eastAsia" w:ascii="Arial" w:hAnsi="Arial" w:cs="Arial"/>
          <w:b/>
          <w:bCs/>
          <w:highlight w:val="none"/>
          <w:lang w:eastAsia="zh-CN"/>
        </w:rPr>
        <w:t>投标文件</w:t>
      </w:r>
      <w:r>
        <w:rPr>
          <w:rFonts w:hint="default" w:ascii="Arial" w:hAnsi="Arial" w:cs="Arial"/>
          <w:b/>
          <w:bCs/>
          <w:highlight w:val="none"/>
        </w:rPr>
        <w:t>递交截止时间为止不足1年的供应商，只需提交</w:t>
      </w:r>
      <w:r>
        <w:rPr>
          <w:rFonts w:hint="eastAsia" w:ascii="Arial" w:hAnsi="Arial" w:cs="Arial"/>
          <w:b/>
          <w:bCs/>
          <w:highlight w:val="none"/>
          <w:lang w:eastAsia="zh-CN"/>
        </w:rPr>
        <w:t>投标文件</w:t>
      </w:r>
      <w:r>
        <w:rPr>
          <w:rFonts w:hint="default" w:ascii="Arial" w:hAnsi="Arial" w:cs="Arial"/>
          <w:b/>
          <w:bCs/>
          <w:highlight w:val="none"/>
        </w:rPr>
        <w:t>递交截止时间前一个月的财务状况报告（表）复印件。</w:t>
      </w:r>
    </w:p>
    <w:p w14:paraId="6F05C369">
      <w:pPr>
        <w:spacing w:line="500" w:lineRule="exact"/>
        <w:rPr>
          <w:rFonts w:hint="default" w:ascii="Arial" w:hAnsi="Arial" w:cs="Arial"/>
          <w:b/>
          <w:bCs/>
          <w:sz w:val="32"/>
          <w:szCs w:val="32"/>
          <w:highlight w:val="none"/>
        </w:rPr>
      </w:pPr>
    </w:p>
    <w:p w14:paraId="2E138C1E">
      <w:pPr>
        <w:pStyle w:val="47"/>
        <w:rPr>
          <w:rFonts w:hint="default" w:ascii="Arial" w:hAnsi="Arial" w:cs="Arial"/>
          <w:highlight w:val="none"/>
        </w:rPr>
      </w:pPr>
    </w:p>
    <w:p w14:paraId="3D938978">
      <w:pPr>
        <w:spacing w:line="500" w:lineRule="exact"/>
        <w:rPr>
          <w:rFonts w:hint="default" w:ascii="Arial" w:hAnsi="Arial" w:cs="Arial"/>
          <w:b/>
          <w:bCs/>
          <w:sz w:val="32"/>
          <w:szCs w:val="32"/>
          <w:highlight w:val="none"/>
        </w:rPr>
      </w:pPr>
    </w:p>
    <w:p w14:paraId="55700A1E">
      <w:pPr>
        <w:spacing w:line="500" w:lineRule="exact"/>
        <w:rPr>
          <w:rFonts w:hint="default" w:ascii="Arial" w:hAnsi="Arial" w:cs="Arial"/>
          <w:b/>
          <w:bCs/>
          <w:sz w:val="32"/>
          <w:szCs w:val="32"/>
          <w:highlight w:val="none"/>
        </w:rPr>
      </w:pPr>
      <w:r>
        <w:rPr>
          <w:rFonts w:hint="default" w:ascii="Arial" w:hAnsi="Arial" w:cs="Arial"/>
          <w:b/>
          <w:bCs/>
          <w:sz w:val="32"/>
          <w:szCs w:val="32"/>
          <w:highlight w:val="none"/>
        </w:rPr>
        <w:t>5、投标人同类产品销售业绩的相关证明材料(无不良记录，以中标（成交）通知书及相应的销售合同或验收单为准</w:t>
      </w:r>
      <w:r>
        <w:rPr>
          <w:rFonts w:hint="default" w:ascii="Arial" w:hAnsi="Arial" w:cs="Arial"/>
          <w:b/>
          <w:bCs/>
          <w:sz w:val="32"/>
          <w:szCs w:val="32"/>
          <w:highlight w:val="none"/>
          <w:lang w:eastAsia="zh-CN"/>
        </w:rPr>
        <w:t>，</w:t>
      </w:r>
      <w:r>
        <w:rPr>
          <w:rFonts w:hint="default" w:ascii="Arial" w:hAnsi="Arial" w:cs="Arial"/>
          <w:b/>
          <w:bCs/>
          <w:sz w:val="32"/>
          <w:szCs w:val="32"/>
          <w:highlight w:val="none"/>
        </w:rPr>
        <w:t>能清晰反映该项目的项目名称、种类)（如有，请提供）；</w:t>
      </w:r>
    </w:p>
    <w:p w14:paraId="6EF2D2FC">
      <w:pPr>
        <w:spacing w:line="500" w:lineRule="exact"/>
        <w:rPr>
          <w:rFonts w:hint="default" w:ascii="Arial" w:hAnsi="Arial" w:cs="Arial"/>
          <w:b/>
          <w:bCs/>
          <w:sz w:val="32"/>
          <w:szCs w:val="32"/>
          <w:highlight w:val="none"/>
        </w:rPr>
      </w:pPr>
    </w:p>
    <w:p w14:paraId="508E8E0F">
      <w:pPr>
        <w:spacing w:line="500" w:lineRule="exact"/>
        <w:rPr>
          <w:rFonts w:hint="default" w:ascii="Arial" w:hAnsi="Arial" w:cs="Arial"/>
          <w:b/>
          <w:bCs/>
          <w:sz w:val="32"/>
          <w:szCs w:val="32"/>
          <w:highlight w:val="none"/>
        </w:rPr>
      </w:pPr>
    </w:p>
    <w:p w14:paraId="0DE3BDBF">
      <w:pPr>
        <w:pStyle w:val="47"/>
        <w:rPr>
          <w:rFonts w:hint="default" w:ascii="Arial" w:hAnsi="Arial" w:cs="Arial"/>
          <w:highlight w:val="none"/>
        </w:rPr>
      </w:pPr>
    </w:p>
    <w:p w14:paraId="4A83ABD6">
      <w:pPr>
        <w:spacing w:line="500" w:lineRule="exact"/>
        <w:rPr>
          <w:rFonts w:hint="default" w:ascii="Arial" w:hAnsi="Arial" w:cs="Arial"/>
          <w:b/>
          <w:bCs/>
          <w:sz w:val="32"/>
          <w:szCs w:val="32"/>
          <w:highlight w:val="none"/>
        </w:rPr>
      </w:pPr>
      <w:r>
        <w:rPr>
          <w:rFonts w:hint="default" w:ascii="Arial" w:hAnsi="Arial" w:cs="Arial"/>
          <w:b/>
          <w:bCs/>
          <w:sz w:val="32"/>
          <w:szCs w:val="32"/>
          <w:highlight w:val="none"/>
        </w:rPr>
        <w:t>6、节能方面的资质证书复印件（如有，请提供）；</w:t>
      </w:r>
    </w:p>
    <w:p w14:paraId="1BC98A25">
      <w:pPr>
        <w:spacing w:line="500" w:lineRule="exact"/>
        <w:rPr>
          <w:rFonts w:hint="default" w:ascii="Arial" w:hAnsi="Arial" w:cs="Arial"/>
          <w:b/>
          <w:bCs/>
          <w:sz w:val="32"/>
          <w:szCs w:val="32"/>
          <w:highlight w:val="none"/>
        </w:rPr>
      </w:pPr>
    </w:p>
    <w:p w14:paraId="7001F3B3">
      <w:pPr>
        <w:pStyle w:val="47"/>
        <w:rPr>
          <w:rFonts w:hint="default" w:ascii="Arial" w:hAnsi="Arial" w:cs="Arial"/>
          <w:highlight w:val="none"/>
        </w:rPr>
      </w:pPr>
    </w:p>
    <w:p w14:paraId="305FB225">
      <w:pPr>
        <w:spacing w:line="500" w:lineRule="exact"/>
        <w:rPr>
          <w:rFonts w:hint="default" w:ascii="Arial" w:hAnsi="Arial" w:cs="Arial"/>
          <w:b/>
          <w:bCs/>
          <w:sz w:val="32"/>
          <w:szCs w:val="32"/>
          <w:highlight w:val="none"/>
        </w:rPr>
      </w:pPr>
    </w:p>
    <w:p w14:paraId="69718D88">
      <w:pPr>
        <w:spacing w:line="500" w:lineRule="exact"/>
        <w:rPr>
          <w:rFonts w:hint="default" w:ascii="Arial" w:hAnsi="Arial" w:cs="Arial"/>
          <w:b/>
          <w:bCs/>
          <w:sz w:val="32"/>
          <w:szCs w:val="32"/>
          <w:highlight w:val="none"/>
        </w:rPr>
      </w:pPr>
      <w:r>
        <w:rPr>
          <w:rFonts w:hint="default" w:ascii="Arial" w:hAnsi="Arial" w:cs="Arial"/>
          <w:b/>
          <w:bCs/>
          <w:sz w:val="32"/>
          <w:szCs w:val="32"/>
          <w:highlight w:val="none"/>
        </w:rPr>
        <w:t>7、环保方面的资质证书复印件（如有，请提供） ；</w:t>
      </w:r>
    </w:p>
    <w:p w14:paraId="7686A684">
      <w:pPr>
        <w:spacing w:line="500" w:lineRule="exact"/>
        <w:rPr>
          <w:rFonts w:hint="default" w:ascii="Arial" w:hAnsi="Arial" w:cs="Arial"/>
          <w:b/>
          <w:bCs/>
          <w:sz w:val="32"/>
          <w:szCs w:val="32"/>
          <w:highlight w:val="none"/>
        </w:rPr>
      </w:pPr>
    </w:p>
    <w:p w14:paraId="68683B89">
      <w:pPr>
        <w:spacing w:line="500" w:lineRule="exact"/>
        <w:rPr>
          <w:rFonts w:hint="default" w:ascii="Arial" w:hAnsi="Arial" w:cs="Arial"/>
          <w:b/>
          <w:bCs/>
          <w:sz w:val="32"/>
          <w:szCs w:val="32"/>
          <w:highlight w:val="none"/>
        </w:rPr>
      </w:pPr>
    </w:p>
    <w:p w14:paraId="2C765926">
      <w:pPr>
        <w:pStyle w:val="47"/>
        <w:rPr>
          <w:rFonts w:hint="default" w:ascii="Arial" w:hAnsi="Arial" w:cs="Arial"/>
          <w:highlight w:val="none"/>
        </w:rPr>
      </w:pPr>
    </w:p>
    <w:p w14:paraId="2DCE58A5">
      <w:pPr>
        <w:rPr>
          <w:rFonts w:hint="default" w:ascii="Arial" w:hAnsi="Arial" w:cs="Arial"/>
          <w:b/>
          <w:bCs/>
          <w:sz w:val="32"/>
          <w:szCs w:val="32"/>
          <w:highlight w:val="none"/>
        </w:rPr>
      </w:pPr>
      <w:r>
        <w:rPr>
          <w:rFonts w:hint="default" w:ascii="Arial" w:hAnsi="Arial" w:cs="Arial"/>
          <w:b/>
          <w:sz w:val="32"/>
          <w:szCs w:val="32"/>
          <w:highlight w:val="none"/>
        </w:rPr>
        <w:t>8、</w:t>
      </w:r>
      <w:r>
        <w:rPr>
          <w:rFonts w:hint="default" w:ascii="Arial" w:hAnsi="Arial" w:cs="Arial"/>
          <w:b/>
          <w:bCs/>
          <w:sz w:val="32"/>
          <w:szCs w:val="32"/>
          <w:highlight w:val="none"/>
        </w:rPr>
        <w:t>投标人相关获奖证书、认证证书等复印件；（如有，请提供）；</w:t>
      </w:r>
    </w:p>
    <w:p w14:paraId="66DAEA17">
      <w:pPr>
        <w:spacing w:line="500" w:lineRule="exact"/>
        <w:rPr>
          <w:rFonts w:hint="default" w:ascii="Arial" w:hAnsi="Arial" w:cs="Arial"/>
          <w:b/>
          <w:bCs/>
          <w:sz w:val="32"/>
          <w:szCs w:val="32"/>
          <w:highlight w:val="none"/>
        </w:rPr>
      </w:pPr>
    </w:p>
    <w:p w14:paraId="03F5585A">
      <w:pPr>
        <w:pStyle w:val="47"/>
        <w:rPr>
          <w:rFonts w:hint="default" w:ascii="Arial" w:hAnsi="Arial" w:cs="Arial"/>
          <w:highlight w:val="none"/>
        </w:rPr>
      </w:pPr>
    </w:p>
    <w:p w14:paraId="656D692D">
      <w:pPr>
        <w:spacing w:line="500" w:lineRule="exact"/>
        <w:rPr>
          <w:rFonts w:hint="default" w:ascii="Arial" w:hAnsi="Arial" w:cs="Arial"/>
          <w:b/>
          <w:bCs/>
          <w:sz w:val="32"/>
          <w:szCs w:val="32"/>
          <w:highlight w:val="none"/>
        </w:rPr>
      </w:pPr>
    </w:p>
    <w:p w14:paraId="5205FF96">
      <w:pPr>
        <w:spacing w:line="500" w:lineRule="exact"/>
        <w:rPr>
          <w:rFonts w:hint="default" w:ascii="Arial" w:hAnsi="Arial" w:cs="Arial"/>
          <w:b/>
          <w:bCs/>
          <w:sz w:val="32"/>
          <w:szCs w:val="32"/>
          <w:highlight w:val="none"/>
        </w:rPr>
      </w:pPr>
      <w:r>
        <w:rPr>
          <w:rFonts w:hint="default" w:ascii="Arial" w:hAnsi="Arial" w:cs="Arial"/>
          <w:b/>
          <w:bCs/>
          <w:sz w:val="32"/>
          <w:szCs w:val="32"/>
          <w:highlight w:val="none"/>
        </w:rPr>
        <w:t>9、“货物采购需求”需提供的有效证明文件</w:t>
      </w:r>
    </w:p>
    <w:p w14:paraId="0C123923">
      <w:pPr>
        <w:spacing w:line="500" w:lineRule="exact"/>
        <w:rPr>
          <w:rFonts w:hint="default" w:ascii="Arial" w:hAnsi="Arial" w:cs="Arial"/>
          <w:b/>
          <w:bCs/>
          <w:sz w:val="32"/>
          <w:szCs w:val="32"/>
          <w:highlight w:val="none"/>
        </w:rPr>
      </w:pPr>
    </w:p>
    <w:p w14:paraId="4199EBFD">
      <w:pPr>
        <w:spacing w:line="500" w:lineRule="exact"/>
        <w:rPr>
          <w:rFonts w:hint="default" w:ascii="Arial" w:hAnsi="Arial" w:cs="Arial"/>
          <w:b/>
          <w:bCs/>
          <w:sz w:val="32"/>
          <w:szCs w:val="32"/>
          <w:highlight w:val="none"/>
        </w:rPr>
      </w:pPr>
    </w:p>
    <w:p w14:paraId="29C911BC">
      <w:pPr>
        <w:spacing w:line="500" w:lineRule="exact"/>
        <w:rPr>
          <w:rFonts w:hint="default" w:ascii="Arial" w:hAnsi="Arial" w:cs="Arial"/>
          <w:b/>
          <w:bCs/>
          <w:sz w:val="32"/>
          <w:szCs w:val="32"/>
          <w:highlight w:val="none"/>
        </w:rPr>
      </w:pPr>
    </w:p>
    <w:p w14:paraId="286B73F9">
      <w:pPr>
        <w:spacing w:line="500" w:lineRule="exact"/>
        <w:rPr>
          <w:rFonts w:hint="default" w:ascii="Arial" w:hAnsi="Arial" w:cs="Arial"/>
          <w:b/>
          <w:bCs/>
          <w:sz w:val="32"/>
          <w:szCs w:val="32"/>
          <w:highlight w:val="none"/>
        </w:rPr>
      </w:pPr>
    </w:p>
    <w:p w14:paraId="53A30C4C">
      <w:pPr>
        <w:spacing w:line="500" w:lineRule="exact"/>
        <w:rPr>
          <w:rFonts w:hint="default" w:ascii="Arial" w:hAnsi="Arial" w:cs="Arial"/>
          <w:b/>
          <w:bCs/>
          <w:sz w:val="32"/>
          <w:szCs w:val="32"/>
          <w:highlight w:val="none"/>
        </w:rPr>
      </w:pPr>
    </w:p>
    <w:p w14:paraId="0B803050">
      <w:pPr>
        <w:spacing w:line="500" w:lineRule="exact"/>
        <w:rPr>
          <w:rFonts w:hint="default" w:ascii="Arial" w:hAnsi="Arial" w:cs="Arial"/>
          <w:b/>
          <w:bCs/>
          <w:sz w:val="32"/>
          <w:szCs w:val="32"/>
          <w:highlight w:val="none"/>
        </w:rPr>
      </w:pPr>
    </w:p>
    <w:p w14:paraId="5553588E">
      <w:pPr>
        <w:spacing w:line="500" w:lineRule="exact"/>
        <w:rPr>
          <w:rFonts w:hint="default" w:ascii="Arial" w:hAnsi="Arial" w:cs="Arial"/>
          <w:b/>
          <w:bCs/>
          <w:sz w:val="32"/>
          <w:szCs w:val="32"/>
          <w:highlight w:val="none"/>
        </w:rPr>
      </w:pPr>
      <w:r>
        <w:rPr>
          <w:rFonts w:hint="default" w:ascii="Arial" w:hAnsi="Arial" w:cs="Arial"/>
          <w:b/>
          <w:bCs/>
          <w:sz w:val="32"/>
          <w:szCs w:val="32"/>
          <w:highlight w:val="none"/>
        </w:rPr>
        <w:t>10、中小企业声明函（见附件）【如投标人所提供的产品为小、微型企业的产品，中标结果将同时公告企业《中小企业声明函》】（如有，请提供）；</w:t>
      </w:r>
    </w:p>
    <w:p w14:paraId="5692E4FD">
      <w:pPr>
        <w:shd w:val="clear" w:color="auto" w:fill="FFFFFF"/>
        <w:spacing w:after="240" w:line="360" w:lineRule="atLeast"/>
        <w:ind w:firstLine="480"/>
        <w:jc w:val="center"/>
        <w:rPr>
          <w:rFonts w:hint="default" w:ascii="Arial" w:hAnsi="Arial" w:cs="Arial"/>
          <w:b/>
          <w:kern w:val="0"/>
          <w:sz w:val="32"/>
          <w:szCs w:val="32"/>
          <w:highlight w:val="none"/>
        </w:rPr>
      </w:pPr>
      <w:r>
        <w:rPr>
          <w:rFonts w:hint="default" w:ascii="Arial" w:hAnsi="Arial" w:cs="Arial"/>
          <w:b/>
          <w:kern w:val="0"/>
          <w:sz w:val="32"/>
          <w:szCs w:val="32"/>
          <w:highlight w:val="none"/>
        </w:rPr>
        <w:t>中小企业声明函 （格式）</w:t>
      </w:r>
    </w:p>
    <w:p w14:paraId="7298E44A">
      <w:pPr>
        <w:spacing w:line="400" w:lineRule="exact"/>
        <w:ind w:firstLine="480" w:firstLineChars="200"/>
        <w:rPr>
          <w:rFonts w:hint="default" w:ascii="Arial" w:hAnsi="Arial" w:cs="Arial"/>
          <w:kern w:val="0"/>
          <w:sz w:val="24"/>
          <w:highlight w:val="none"/>
        </w:rPr>
      </w:pPr>
      <w:r>
        <w:rPr>
          <w:rFonts w:hint="default" w:ascii="Arial" w:hAnsi="Arial" w:cs="Arial"/>
          <w:kern w:val="0"/>
          <w:sz w:val="24"/>
          <w:highlight w:val="none"/>
        </w:rPr>
        <w:t>本公司郑重声明，根据《政府采购促进中小企业发展管理办法》（财库﹝2020﹞46 号）的规定，本公司参加</w:t>
      </w:r>
      <w:r>
        <w:rPr>
          <w:rFonts w:hint="default" w:ascii="Arial" w:hAnsi="Arial" w:cs="Arial"/>
          <w:kern w:val="0"/>
          <w:sz w:val="24"/>
          <w:highlight w:val="none"/>
          <w:u w:val="single"/>
        </w:rPr>
        <w:t>（单位名称）</w:t>
      </w:r>
      <w:r>
        <w:rPr>
          <w:rFonts w:hint="default" w:ascii="Arial" w:hAnsi="Arial" w:cs="Arial"/>
          <w:kern w:val="0"/>
          <w:sz w:val="24"/>
          <w:highlight w:val="none"/>
        </w:rPr>
        <w:t>的</w:t>
      </w:r>
      <w:r>
        <w:rPr>
          <w:rFonts w:hint="default" w:ascii="Arial" w:hAnsi="Arial" w:cs="Arial"/>
          <w:kern w:val="0"/>
          <w:sz w:val="24"/>
          <w:highlight w:val="none"/>
          <w:u w:val="single"/>
        </w:rPr>
        <w:t>（项目名称）</w:t>
      </w:r>
      <w:r>
        <w:rPr>
          <w:rFonts w:hint="default" w:ascii="Arial" w:hAnsi="Arial" w:cs="Arial"/>
          <w:kern w:val="0"/>
          <w:sz w:val="24"/>
          <w:highlight w:val="none"/>
        </w:rPr>
        <w:t>采购活动，提供的货物全部由符合政策要求的中小企业制造。相关企业（含联合体中的中小企业、签订分包意向协议的中小企业）的具体情况如下：</w:t>
      </w:r>
    </w:p>
    <w:p w14:paraId="34426CFA">
      <w:pPr>
        <w:spacing w:line="400" w:lineRule="exact"/>
        <w:ind w:firstLine="480" w:firstLineChars="200"/>
        <w:rPr>
          <w:rFonts w:hint="default" w:ascii="Arial" w:hAnsi="Arial" w:cs="Arial"/>
          <w:kern w:val="0"/>
          <w:sz w:val="24"/>
          <w:highlight w:val="none"/>
          <w:u w:val="single"/>
        </w:rPr>
      </w:pPr>
      <w:r>
        <w:rPr>
          <w:rFonts w:hint="default" w:ascii="Arial" w:hAnsi="Arial" w:cs="Arial"/>
          <w:kern w:val="0"/>
          <w:sz w:val="24"/>
          <w:highlight w:val="none"/>
        </w:rPr>
        <w:t>1.</w:t>
      </w:r>
      <w:r>
        <w:rPr>
          <w:rFonts w:hint="default" w:ascii="Arial" w:hAnsi="Arial" w:cs="Arial"/>
          <w:kern w:val="0"/>
          <w:sz w:val="24"/>
          <w:highlight w:val="none"/>
          <w:u w:val="single"/>
        </w:rPr>
        <w:t>（标的名称）</w:t>
      </w:r>
      <w:r>
        <w:rPr>
          <w:rFonts w:hint="default" w:ascii="Arial" w:hAnsi="Arial" w:cs="Arial"/>
          <w:kern w:val="0"/>
          <w:sz w:val="24"/>
          <w:highlight w:val="none"/>
        </w:rPr>
        <w:t xml:space="preserve"> ，属于</w:t>
      </w:r>
      <w:r>
        <w:rPr>
          <w:rFonts w:hint="default" w:ascii="Arial" w:hAnsi="Arial" w:cs="Arial"/>
          <w:kern w:val="0"/>
          <w:sz w:val="24"/>
          <w:highlight w:val="none"/>
          <w:u w:val="single"/>
        </w:rPr>
        <w:t>（采购文件中明确的所属行业）</w:t>
      </w:r>
      <w:r>
        <w:rPr>
          <w:rFonts w:hint="default" w:ascii="Arial" w:hAnsi="Arial" w:cs="Arial"/>
          <w:kern w:val="0"/>
          <w:sz w:val="24"/>
          <w:highlight w:val="none"/>
        </w:rPr>
        <w:t xml:space="preserve">行业 ；制造商为 </w:t>
      </w:r>
      <w:r>
        <w:rPr>
          <w:rFonts w:hint="default" w:ascii="Arial" w:hAnsi="Arial" w:cs="Arial"/>
          <w:kern w:val="0"/>
          <w:sz w:val="24"/>
          <w:highlight w:val="none"/>
          <w:u w:val="single"/>
        </w:rPr>
        <w:t>（企业名称） ，</w:t>
      </w:r>
      <w:r>
        <w:rPr>
          <w:rFonts w:hint="default" w:ascii="Arial" w:hAnsi="Arial" w:cs="Arial"/>
          <w:kern w:val="0"/>
          <w:sz w:val="24"/>
          <w:highlight w:val="none"/>
        </w:rPr>
        <w:t>从业人员</w:t>
      </w:r>
      <w:r>
        <w:rPr>
          <w:rFonts w:hint="default" w:ascii="Arial" w:hAnsi="Arial" w:cs="Arial"/>
          <w:kern w:val="0"/>
          <w:sz w:val="24"/>
          <w:highlight w:val="none"/>
          <w:u w:val="single"/>
        </w:rPr>
        <w:t>人，</w:t>
      </w:r>
      <w:r>
        <w:rPr>
          <w:rFonts w:hint="default" w:ascii="Arial" w:hAnsi="Arial" w:cs="Arial"/>
          <w:kern w:val="0"/>
          <w:sz w:val="24"/>
          <w:highlight w:val="none"/>
        </w:rPr>
        <w:t>营业收入为</w:t>
      </w:r>
      <w:r>
        <w:rPr>
          <w:rFonts w:hint="default" w:ascii="Arial" w:hAnsi="Arial" w:cs="Arial"/>
          <w:kern w:val="0"/>
          <w:sz w:val="24"/>
          <w:highlight w:val="none"/>
          <w:u w:val="single"/>
        </w:rPr>
        <w:t>万元，</w:t>
      </w:r>
      <w:r>
        <w:rPr>
          <w:rFonts w:hint="default" w:ascii="Arial" w:hAnsi="Arial" w:cs="Arial"/>
          <w:kern w:val="0"/>
          <w:sz w:val="24"/>
          <w:highlight w:val="none"/>
        </w:rPr>
        <w:t>资产总额为万元，属于</w:t>
      </w:r>
      <w:r>
        <w:rPr>
          <w:rFonts w:hint="default" w:ascii="Arial" w:hAnsi="Arial" w:cs="Arial"/>
          <w:kern w:val="0"/>
          <w:sz w:val="24"/>
          <w:highlight w:val="none"/>
          <w:u w:val="single"/>
        </w:rPr>
        <w:t>（中型企业、小型企业、微型企业）；</w:t>
      </w:r>
    </w:p>
    <w:p w14:paraId="7E770C55">
      <w:pPr>
        <w:spacing w:line="400" w:lineRule="exact"/>
        <w:ind w:firstLine="480" w:firstLineChars="200"/>
        <w:rPr>
          <w:rFonts w:hint="default" w:ascii="Arial" w:hAnsi="Arial" w:cs="Arial"/>
          <w:kern w:val="0"/>
          <w:sz w:val="24"/>
          <w:highlight w:val="none"/>
          <w:u w:val="single"/>
        </w:rPr>
      </w:pPr>
      <w:r>
        <w:rPr>
          <w:rFonts w:hint="default" w:ascii="Arial" w:hAnsi="Arial" w:cs="Arial"/>
          <w:kern w:val="0"/>
          <w:sz w:val="24"/>
          <w:highlight w:val="none"/>
        </w:rPr>
        <w:t>2.</w:t>
      </w:r>
      <w:r>
        <w:rPr>
          <w:rFonts w:hint="default" w:ascii="Arial" w:hAnsi="Arial" w:cs="Arial"/>
          <w:kern w:val="0"/>
          <w:sz w:val="24"/>
          <w:highlight w:val="none"/>
          <w:u w:val="single"/>
        </w:rPr>
        <w:t>（标的名称），</w:t>
      </w:r>
      <w:r>
        <w:rPr>
          <w:rFonts w:hint="default" w:ascii="Arial" w:hAnsi="Arial" w:cs="Arial"/>
          <w:kern w:val="0"/>
          <w:sz w:val="24"/>
          <w:highlight w:val="none"/>
        </w:rPr>
        <w:t>属于</w:t>
      </w:r>
      <w:r>
        <w:rPr>
          <w:rFonts w:hint="default" w:ascii="Arial" w:hAnsi="Arial" w:cs="Arial"/>
          <w:kern w:val="0"/>
          <w:sz w:val="24"/>
          <w:highlight w:val="none"/>
          <w:u w:val="single"/>
        </w:rPr>
        <w:t>（采购文件中明确的所属行业）</w:t>
      </w:r>
      <w:r>
        <w:rPr>
          <w:rFonts w:hint="default" w:ascii="Arial" w:hAnsi="Arial" w:cs="Arial"/>
          <w:kern w:val="0"/>
          <w:sz w:val="24"/>
          <w:highlight w:val="none"/>
        </w:rPr>
        <w:t xml:space="preserve">行业；制造商为 </w:t>
      </w:r>
      <w:r>
        <w:rPr>
          <w:rFonts w:hint="default" w:ascii="Arial" w:hAnsi="Arial" w:cs="Arial"/>
          <w:kern w:val="0"/>
          <w:sz w:val="24"/>
          <w:highlight w:val="none"/>
          <w:u w:val="single"/>
        </w:rPr>
        <w:t>（企业名称） ，</w:t>
      </w:r>
      <w:r>
        <w:rPr>
          <w:rFonts w:hint="default" w:ascii="Arial" w:hAnsi="Arial" w:cs="Arial"/>
          <w:kern w:val="0"/>
          <w:sz w:val="24"/>
          <w:highlight w:val="none"/>
        </w:rPr>
        <w:t>从业人员人，营业收入为万元，资产总额为万元，属于</w:t>
      </w:r>
      <w:r>
        <w:rPr>
          <w:rFonts w:hint="default" w:ascii="Arial" w:hAnsi="Arial" w:cs="Arial"/>
          <w:kern w:val="0"/>
          <w:sz w:val="24"/>
          <w:highlight w:val="none"/>
          <w:u w:val="single"/>
        </w:rPr>
        <w:t>（中型企业、小型企业、微型企业）</w:t>
      </w:r>
    </w:p>
    <w:p w14:paraId="294BE9EF">
      <w:pPr>
        <w:spacing w:line="400" w:lineRule="exact"/>
        <w:ind w:firstLine="480" w:firstLineChars="200"/>
        <w:rPr>
          <w:rFonts w:hint="default" w:ascii="Arial" w:hAnsi="Arial" w:cs="Arial"/>
          <w:kern w:val="0"/>
          <w:sz w:val="24"/>
          <w:highlight w:val="none"/>
        </w:rPr>
      </w:pPr>
      <w:r>
        <w:rPr>
          <w:rFonts w:hint="default" w:ascii="Arial" w:hAnsi="Arial" w:cs="Arial"/>
          <w:kern w:val="0"/>
          <w:sz w:val="24"/>
          <w:highlight w:val="none"/>
        </w:rPr>
        <w:t>以上企业，不属于大企业的分支机构，不存在控股股东为大企业的情形，也不存在与大企业的负责人为同一人的情形。</w:t>
      </w:r>
    </w:p>
    <w:p w14:paraId="71DC8CF6">
      <w:pPr>
        <w:spacing w:line="400" w:lineRule="exact"/>
        <w:ind w:firstLine="480" w:firstLineChars="200"/>
        <w:rPr>
          <w:rFonts w:hint="default" w:ascii="Arial" w:hAnsi="Arial" w:cs="Arial"/>
          <w:kern w:val="0"/>
          <w:sz w:val="24"/>
          <w:highlight w:val="none"/>
        </w:rPr>
      </w:pPr>
      <w:r>
        <w:rPr>
          <w:rFonts w:hint="default" w:ascii="Arial" w:hAnsi="Arial" w:cs="Arial"/>
          <w:kern w:val="0"/>
          <w:sz w:val="24"/>
          <w:highlight w:val="none"/>
        </w:rPr>
        <w:t>本企业对上述声明内容的真实性负责。如有虚假，将依法承担相应责任。</w:t>
      </w:r>
    </w:p>
    <w:p w14:paraId="2BD20AE0">
      <w:pPr>
        <w:tabs>
          <w:tab w:val="left" w:pos="4860"/>
        </w:tabs>
        <w:spacing w:line="588" w:lineRule="exact"/>
        <w:ind w:right="1560" w:firstLine="480" w:firstLineChars="200"/>
        <w:jc w:val="center"/>
        <w:rPr>
          <w:rFonts w:hint="default" w:ascii="Arial" w:hAnsi="Arial" w:cs="Arial"/>
          <w:kern w:val="0"/>
          <w:sz w:val="24"/>
          <w:highlight w:val="none"/>
        </w:rPr>
      </w:pPr>
    </w:p>
    <w:p w14:paraId="0196B787">
      <w:pPr>
        <w:pStyle w:val="283"/>
        <w:spacing w:line="400" w:lineRule="exact"/>
        <w:ind w:firstLine="640"/>
        <w:jc w:val="both"/>
        <w:rPr>
          <w:rFonts w:hint="default" w:ascii="Arial" w:hAnsi="Arial" w:cs="Arial"/>
          <w:sz w:val="24"/>
          <w:szCs w:val="24"/>
          <w:highlight w:val="none"/>
        </w:rPr>
      </w:pPr>
      <w:r>
        <w:rPr>
          <w:rFonts w:hint="default" w:ascii="Arial" w:hAnsi="Arial" w:cs="Arial"/>
          <w:sz w:val="24"/>
          <w:highlight w:val="none"/>
        </w:rPr>
        <w:t>企业名称[盖公章（CA签章）]：</w:t>
      </w:r>
    </w:p>
    <w:p w14:paraId="4B3F9AC1">
      <w:pPr>
        <w:tabs>
          <w:tab w:val="left" w:pos="4860"/>
        </w:tabs>
        <w:spacing w:line="588" w:lineRule="exact"/>
        <w:ind w:right="1560" w:firstLine="480" w:firstLineChars="200"/>
        <w:jc w:val="center"/>
        <w:rPr>
          <w:rFonts w:hint="default" w:ascii="Arial" w:hAnsi="Arial" w:cs="Arial"/>
          <w:kern w:val="0"/>
          <w:sz w:val="24"/>
          <w:highlight w:val="none"/>
        </w:rPr>
      </w:pPr>
      <w:r>
        <w:rPr>
          <w:rFonts w:hint="default" w:ascii="Arial" w:hAnsi="Arial" w:cs="Arial"/>
          <w:sz w:val="24"/>
          <w:highlight w:val="none"/>
        </w:rPr>
        <w:t xml:space="preserve">                   日期：</w:t>
      </w:r>
    </w:p>
    <w:p w14:paraId="5069B555">
      <w:pPr>
        <w:spacing w:line="500" w:lineRule="exact"/>
        <w:ind w:firstLine="482" w:firstLineChars="200"/>
        <w:rPr>
          <w:rFonts w:hint="default" w:ascii="Arial" w:hAnsi="Arial" w:eastAsia="仿宋" w:cs="Arial"/>
          <w:b/>
          <w:kern w:val="0"/>
          <w:sz w:val="24"/>
          <w:highlight w:val="none"/>
        </w:rPr>
      </w:pPr>
    </w:p>
    <w:p w14:paraId="5A6D2ECC">
      <w:pPr>
        <w:spacing w:line="400" w:lineRule="exact"/>
        <w:ind w:firstLine="480" w:firstLineChars="200"/>
        <w:rPr>
          <w:rFonts w:hint="default" w:ascii="Arial" w:hAnsi="Arial" w:cs="Arial"/>
          <w:kern w:val="0"/>
          <w:sz w:val="24"/>
          <w:highlight w:val="none"/>
        </w:rPr>
      </w:pPr>
      <w:r>
        <w:rPr>
          <w:rFonts w:hint="default" w:ascii="Arial" w:hAnsi="Arial" w:cs="Arial"/>
          <w:kern w:val="0"/>
          <w:sz w:val="24"/>
          <w:highlight w:val="none"/>
        </w:rPr>
        <w:t>注：1.从业人员、营业收入、资产总额填报上一年度数据，无上一年度数据的新成立企业可不填报。</w:t>
      </w:r>
    </w:p>
    <w:p w14:paraId="602F13C0">
      <w:pPr>
        <w:spacing w:line="400" w:lineRule="exact"/>
        <w:ind w:firstLine="480" w:firstLineChars="200"/>
        <w:rPr>
          <w:rFonts w:hint="default" w:ascii="Arial" w:hAnsi="Arial" w:cs="Arial"/>
          <w:kern w:val="0"/>
          <w:sz w:val="24"/>
          <w:highlight w:val="none"/>
        </w:rPr>
      </w:pPr>
      <w:r>
        <w:rPr>
          <w:rFonts w:hint="default" w:ascii="Arial" w:hAnsi="Arial" w:cs="Arial"/>
          <w:kern w:val="0"/>
          <w:sz w:val="24"/>
          <w:highlight w:val="none"/>
        </w:rPr>
        <w:t>2.中小企业在政府采购活动过程中，请根据自己的真实情况出具本声明函。依法享受中小企业优惠政策的，采购人或采购代理机构在公告成交结果时，同时公告其《中小企业声明函》，接受社会监督。</w:t>
      </w:r>
    </w:p>
    <w:p w14:paraId="7F8ABD01">
      <w:pPr>
        <w:spacing w:line="500" w:lineRule="exact"/>
        <w:rPr>
          <w:rFonts w:hint="default" w:ascii="Arial" w:hAnsi="Arial" w:cs="Arial"/>
          <w:b/>
          <w:bCs/>
          <w:sz w:val="32"/>
          <w:szCs w:val="32"/>
          <w:highlight w:val="none"/>
        </w:rPr>
      </w:pPr>
    </w:p>
    <w:p w14:paraId="3F827945">
      <w:pPr>
        <w:spacing w:line="500" w:lineRule="exact"/>
        <w:rPr>
          <w:rFonts w:hint="default" w:ascii="Arial" w:hAnsi="Arial" w:cs="Arial"/>
          <w:b/>
          <w:bCs/>
          <w:sz w:val="32"/>
          <w:szCs w:val="32"/>
          <w:highlight w:val="none"/>
        </w:rPr>
      </w:pPr>
    </w:p>
    <w:p w14:paraId="2348DB46">
      <w:pPr>
        <w:spacing w:line="500" w:lineRule="exact"/>
        <w:rPr>
          <w:rFonts w:hint="default" w:ascii="Arial" w:hAnsi="Arial" w:cs="Arial"/>
          <w:b/>
          <w:bCs/>
          <w:sz w:val="32"/>
          <w:szCs w:val="32"/>
          <w:highlight w:val="none"/>
        </w:rPr>
      </w:pPr>
      <w:r>
        <w:rPr>
          <w:rFonts w:hint="default" w:ascii="Arial" w:hAnsi="Arial" w:cs="Arial"/>
          <w:b/>
          <w:bCs/>
          <w:sz w:val="32"/>
          <w:szCs w:val="32"/>
          <w:highlight w:val="none"/>
        </w:rPr>
        <w:t>11、监狱企业由省级以上监狱管理局、戒毒管理局（含新疆生产建设兵团）出具的属于监狱企业的证明文件（如有，请提供）；</w:t>
      </w:r>
    </w:p>
    <w:p w14:paraId="79E1ABA2">
      <w:pPr>
        <w:spacing w:line="500" w:lineRule="exact"/>
        <w:rPr>
          <w:rFonts w:hint="default" w:ascii="Arial" w:hAnsi="Arial" w:cs="Arial"/>
          <w:highlight w:val="none"/>
        </w:rPr>
      </w:pPr>
    </w:p>
    <w:p w14:paraId="443A58BD">
      <w:pPr>
        <w:spacing w:line="500" w:lineRule="exact"/>
        <w:rPr>
          <w:rFonts w:hint="default" w:ascii="Arial" w:hAnsi="Arial" w:cs="Arial"/>
          <w:b/>
          <w:bCs/>
          <w:sz w:val="32"/>
          <w:szCs w:val="32"/>
          <w:highlight w:val="none"/>
        </w:rPr>
      </w:pPr>
      <w:r>
        <w:rPr>
          <w:rFonts w:hint="default" w:ascii="Arial" w:hAnsi="Arial" w:cs="Arial"/>
          <w:b/>
          <w:bCs/>
          <w:sz w:val="32"/>
          <w:szCs w:val="32"/>
          <w:highlight w:val="none"/>
        </w:rPr>
        <w:t>12、符合条件的残疾人福利性单位在参加政府采购活动时，应当提供《残疾人福利性单位声明函》（见附件），并对声明的真实性负责。</w:t>
      </w:r>
    </w:p>
    <w:p w14:paraId="6115D22A">
      <w:pPr>
        <w:spacing w:line="588" w:lineRule="exact"/>
        <w:jc w:val="center"/>
        <w:rPr>
          <w:rFonts w:hint="default" w:ascii="Arial" w:hAnsi="Arial" w:cs="Arial"/>
          <w:b/>
          <w:spacing w:val="6"/>
          <w:sz w:val="32"/>
          <w:szCs w:val="32"/>
          <w:highlight w:val="none"/>
        </w:rPr>
      </w:pPr>
      <w:bookmarkStart w:id="42" w:name="OLE_LINK13"/>
      <w:bookmarkStart w:id="43" w:name="OLE_LINK14"/>
      <w:r>
        <w:rPr>
          <w:rFonts w:hint="default" w:ascii="Arial" w:hAnsi="Arial" w:cs="Arial"/>
          <w:b/>
          <w:spacing w:val="6"/>
          <w:sz w:val="32"/>
          <w:szCs w:val="32"/>
          <w:highlight w:val="none"/>
        </w:rPr>
        <w:t>残疾人福利性单位声明函</w:t>
      </w:r>
    </w:p>
    <w:bookmarkEnd w:id="42"/>
    <w:bookmarkEnd w:id="43"/>
    <w:p w14:paraId="56BBF2E2">
      <w:pPr>
        <w:spacing w:line="588" w:lineRule="exact"/>
        <w:rPr>
          <w:rFonts w:hint="default" w:ascii="Arial" w:hAnsi="Arial" w:cs="Arial"/>
          <w:b/>
          <w:spacing w:val="6"/>
          <w:sz w:val="30"/>
          <w:szCs w:val="30"/>
          <w:highlight w:val="none"/>
        </w:rPr>
      </w:pPr>
    </w:p>
    <w:p w14:paraId="7403EAA4">
      <w:pPr>
        <w:spacing w:line="588" w:lineRule="exact"/>
        <w:ind w:firstLine="624" w:firstLineChars="200"/>
        <w:rPr>
          <w:rFonts w:hint="default" w:ascii="Arial" w:hAnsi="Arial" w:cs="Arial"/>
          <w:spacing w:val="6"/>
          <w:sz w:val="30"/>
          <w:szCs w:val="30"/>
          <w:highlight w:val="none"/>
        </w:rPr>
      </w:pPr>
      <w:r>
        <w:rPr>
          <w:rFonts w:hint="default" w:ascii="Arial" w:hAnsi="Arial" w:cs="Arial"/>
          <w:spacing w:val="6"/>
          <w:sz w:val="30"/>
          <w:szCs w:val="30"/>
          <w:highlight w:val="none"/>
        </w:rPr>
        <w:t>本单位郑重声明，根据《财政部 民政部 中国残疾人联合会关于促进残疾人就业政府采购政策的通知》（财库</w:t>
      </w:r>
      <w:r>
        <w:rPr>
          <w:rFonts w:hint="default" w:ascii="Arial" w:hAnsi="Arial" w:cs="Arial"/>
          <w:sz w:val="32"/>
          <w:szCs w:val="32"/>
          <w:highlight w:val="none"/>
        </w:rPr>
        <w:t>〔2017〕 141</w:t>
      </w:r>
      <w:r>
        <w:rPr>
          <w:rFonts w:hint="default" w:ascii="Arial" w:hAnsi="Arial" w:cs="Arial"/>
          <w:spacing w:val="6"/>
          <w:sz w:val="30"/>
          <w:szCs w:val="30"/>
          <w:highlight w:val="none"/>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740048B0">
      <w:pPr>
        <w:spacing w:line="588" w:lineRule="exact"/>
        <w:ind w:firstLine="624" w:firstLineChars="200"/>
        <w:rPr>
          <w:rFonts w:hint="default" w:ascii="Arial" w:hAnsi="Arial" w:cs="Arial"/>
          <w:spacing w:val="6"/>
          <w:sz w:val="30"/>
          <w:szCs w:val="30"/>
          <w:highlight w:val="none"/>
        </w:rPr>
      </w:pPr>
      <w:r>
        <w:rPr>
          <w:rFonts w:hint="default" w:ascii="Arial" w:hAnsi="Arial" w:cs="Arial"/>
          <w:spacing w:val="6"/>
          <w:sz w:val="30"/>
          <w:szCs w:val="30"/>
          <w:highlight w:val="none"/>
        </w:rPr>
        <w:t>本单位对上述声明的真实性负责。如有虚假，将依法承担相应责任。</w:t>
      </w:r>
    </w:p>
    <w:p w14:paraId="4583D450">
      <w:pPr>
        <w:spacing w:line="588" w:lineRule="exact"/>
        <w:ind w:firstLine="624" w:firstLineChars="200"/>
        <w:rPr>
          <w:rFonts w:hint="default" w:ascii="Arial" w:hAnsi="Arial" w:cs="Arial"/>
          <w:spacing w:val="6"/>
          <w:sz w:val="30"/>
          <w:szCs w:val="30"/>
          <w:highlight w:val="none"/>
        </w:rPr>
      </w:pPr>
    </w:p>
    <w:p w14:paraId="07522632">
      <w:pPr>
        <w:spacing w:line="588" w:lineRule="exact"/>
        <w:ind w:firstLine="624" w:firstLineChars="200"/>
        <w:rPr>
          <w:rFonts w:hint="default" w:ascii="Arial" w:hAnsi="Arial" w:cs="Arial"/>
          <w:spacing w:val="6"/>
          <w:sz w:val="30"/>
          <w:szCs w:val="30"/>
          <w:highlight w:val="none"/>
        </w:rPr>
      </w:pPr>
    </w:p>
    <w:p w14:paraId="3540840A">
      <w:pPr>
        <w:spacing w:line="500" w:lineRule="exact"/>
        <w:ind w:firstLine="5304" w:firstLineChars="1700"/>
        <w:rPr>
          <w:rFonts w:hint="default" w:ascii="Arial" w:hAnsi="Arial" w:cs="Arial"/>
          <w:spacing w:val="6"/>
          <w:sz w:val="30"/>
          <w:szCs w:val="30"/>
          <w:highlight w:val="none"/>
        </w:rPr>
      </w:pPr>
      <w:r>
        <w:rPr>
          <w:rFonts w:hint="default" w:ascii="Arial" w:hAnsi="Arial" w:cs="Arial"/>
          <w:spacing w:val="6"/>
          <w:sz w:val="30"/>
          <w:szCs w:val="30"/>
          <w:highlight w:val="none"/>
        </w:rPr>
        <w:t>企业名称[盖公章（CA签章）]：</w:t>
      </w:r>
    </w:p>
    <w:p w14:paraId="22E1322B">
      <w:pPr>
        <w:spacing w:line="500" w:lineRule="exact"/>
        <w:ind w:firstLine="5616" w:firstLineChars="1800"/>
        <w:rPr>
          <w:rFonts w:hint="default" w:ascii="Arial" w:hAnsi="Arial" w:cs="Arial"/>
          <w:b/>
          <w:bCs/>
          <w:sz w:val="32"/>
          <w:szCs w:val="32"/>
          <w:highlight w:val="none"/>
        </w:rPr>
      </w:pPr>
      <w:r>
        <w:rPr>
          <w:rFonts w:hint="default" w:ascii="Arial" w:hAnsi="Arial" w:cs="Arial"/>
          <w:spacing w:val="6"/>
          <w:sz w:val="30"/>
          <w:szCs w:val="30"/>
          <w:highlight w:val="none"/>
        </w:rPr>
        <w:t>日期：</w:t>
      </w:r>
    </w:p>
    <w:p w14:paraId="39595E81">
      <w:pPr>
        <w:spacing w:line="500" w:lineRule="exact"/>
        <w:rPr>
          <w:rFonts w:hint="default" w:ascii="Arial" w:hAnsi="Arial" w:cs="Arial"/>
          <w:b/>
          <w:bCs/>
          <w:sz w:val="32"/>
          <w:szCs w:val="32"/>
          <w:highlight w:val="none"/>
        </w:rPr>
      </w:pPr>
    </w:p>
    <w:p w14:paraId="6471B6D0">
      <w:pPr>
        <w:spacing w:line="500" w:lineRule="exact"/>
        <w:rPr>
          <w:rFonts w:hint="default" w:ascii="Arial" w:hAnsi="Arial" w:cs="Arial"/>
          <w:b/>
          <w:bCs/>
          <w:sz w:val="32"/>
          <w:szCs w:val="32"/>
          <w:highlight w:val="none"/>
        </w:rPr>
      </w:pPr>
    </w:p>
    <w:p w14:paraId="365505AF">
      <w:pPr>
        <w:rPr>
          <w:rFonts w:hint="default" w:ascii="Arial" w:hAnsi="Arial" w:cs="Arial"/>
          <w:b/>
          <w:bCs/>
          <w:sz w:val="32"/>
          <w:szCs w:val="32"/>
          <w:highlight w:val="none"/>
        </w:rPr>
      </w:pPr>
      <w:r>
        <w:rPr>
          <w:rFonts w:hint="default" w:ascii="Arial" w:hAnsi="Arial" w:cs="Arial"/>
          <w:b/>
          <w:bCs/>
          <w:sz w:val="32"/>
          <w:szCs w:val="32"/>
          <w:highlight w:val="none"/>
        </w:rPr>
        <w:br w:type="page"/>
      </w:r>
    </w:p>
    <w:p w14:paraId="08FDF2D7">
      <w:pPr>
        <w:spacing w:line="500" w:lineRule="exact"/>
        <w:rPr>
          <w:rFonts w:hint="eastAsia" w:ascii="Arial" w:hAnsi="Arial" w:cs="Arial"/>
          <w:b/>
          <w:bCs/>
          <w:sz w:val="32"/>
          <w:szCs w:val="32"/>
          <w:highlight w:val="none"/>
          <w:lang w:val="en-US" w:eastAsia="zh-CN"/>
        </w:rPr>
      </w:pPr>
      <w:r>
        <w:rPr>
          <w:rFonts w:hint="default" w:ascii="Arial" w:hAnsi="Arial" w:cs="Arial"/>
          <w:b/>
          <w:bCs/>
          <w:sz w:val="32"/>
          <w:szCs w:val="32"/>
          <w:highlight w:val="none"/>
        </w:rPr>
        <w:t>13、</w:t>
      </w:r>
      <w:r>
        <w:rPr>
          <w:rFonts w:hint="default" w:ascii="Arial" w:hAnsi="Arial" w:cs="Arial"/>
          <w:b/>
          <w:bCs/>
          <w:sz w:val="32"/>
          <w:szCs w:val="32"/>
          <w:highlight w:val="none"/>
          <w:lang w:val="en-US" w:eastAsia="zh-CN"/>
        </w:rPr>
        <w:t>符合本国产品标准的声明函</w:t>
      </w:r>
      <w:r>
        <w:rPr>
          <w:rFonts w:hint="eastAsia" w:ascii="Arial" w:hAnsi="Arial" w:cs="Arial"/>
          <w:b/>
          <w:bCs/>
          <w:sz w:val="32"/>
          <w:szCs w:val="32"/>
          <w:highlight w:val="none"/>
          <w:lang w:val="en-US" w:eastAsia="zh-CN"/>
        </w:rPr>
        <w:t>（如有，请提供）</w:t>
      </w:r>
    </w:p>
    <w:p w14:paraId="73B1D74F">
      <w:pPr>
        <w:spacing w:line="360" w:lineRule="auto"/>
        <w:rPr>
          <w:rFonts w:hint="default" w:ascii="Arial" w:hAnsi="Arial" w:eastAsia="宋体" w:cs="Arial"/>
          <w:b/>
          <w:color w:val="auto"/>
          <w:sz w:val="24"/>
          <w:szCs w:val="24"/>
          <w:highlight w:val="none"/>
          <w:lang w:val="en-US" w:eastAsia="zh-CN"/>
        </w:rPr>
      </w:pPr>
      <w:r>
        <w:rPr>
          <w:rFonts w:hint="eastAsia" w:ascii="Arial" w:hAnsi="Arial" w:eastAsia="宋体" w:cs="Arial"/>
          <w:color w:val="auto"/>
          <w:sz w:val="24"/>
          <w:szCs w:val="24"/>
          <w:highlight w:val="none"/>
          <w:lang w:val="en-US" w:eastAsia="zh-CN"/>
        </w:rPr>
        <w:t>13.1</w:t>
      </w:r>
      <w:r>
        <w:rPr>
          <w:rFonts w:hint="default" w:ascii="Arial" w:hAnsi="Arial" w:eastAsia="宋体" w:cs="Arial"/>
          <w:color w:val="auto"/>
          <w:sz w:val="24"/>
          <w:szCs w:val="24"/>
          <w:highlight w:val="none"/>
          <w:lang w:val="en-US" w:eastAsia="zh-CN"/>
        </w:rPr>
        <w:t>如供应商提供的产品属于本国产品</w:t>
      </w:r>
      <w:r>
        <w:rPr>
          <w:rFonts w:hint="default" w:ascii="Arial" w:hAnsi="Arial" w:eastAsia="宋体" w:cs="Arial"/>
          <w:color w:val="auto"/>
          <w:sz w:val="24"/>
          <w:szCs w:val="24"/>
          <w:highlight w:val="none"/>
        </w:rPr>
        <w:t>，按以下格式提供</w:t>
      </w:r>
      <w:r>
        <w:rPr>
          <w:rFonts w:hint="default" w:ascii="Arial" w:hAnsi="Arial" w:eastAsia="宋体" w:cs="Arial"/>
          <w:color w:val="auto"/>
          <w:sz w:val="24"/>
          <w:szCs w:val="24"/>
          <w:highlight w:val="none"/>
          <w:lang w:val="en-US" w:eastAsia="zh-CN"/>
        </w:rPr>
        <w:t>关于符合本国产品标准的声明函</w:t>
      </w:r>
      <w:r>
        <w:rPr>
          <w:rFonts w:hint="default" w:ascii="Arial" w:hAnsi="Arial" w:eastAsia="宋体" w:cs="Arial"/>
          <w:color w:val="auto"/>
          <w:sz w:val="24"/>
          <w:szCs w:val="24"/>
          <w:highlight w:val="none"/>
        </w:rPr>
        <w:t>。</w:t>
      </w:r>
    </w:p>
    <w:p w14:paraId="594A8CD8">
      <w:pPr>
        <w:spacing w:line="360" w:lineRule="auto"/>
        <w:ind w:firstLine="3584" w:firstLineChars="1700"/>
        <w:rPr>
          <w:rFonts w:hint="default" w:ascii="Arial" w:hAnsi="Arial" w:eastAsia="宋体" w:cs="Arial"/>
          <w:b/>
          <w:color w:val="auto"/>
          <w:szCs w:val="21"/>
          <w:highlight w:val="none"/>
          <w:lang w:val="en-US" w:eastAsia="zh-CN"/>
        </w:rPr>
      </w:pPr>
      <w:r>
        <w:rPr>
          <w:rFonts w:hint="default" w:ascii="Arial" w:hAnsi="Arial" w:eastAsia="宋体" w:cs="Arial"/>
          <w:b/>
          <w:color w:val="auto"/>
          <w:szCs w:val="21"/>
          <w:highlight w:val="none"/>
          <w:lang w:val="en-US" w:eastAsia="zh-CN"/>
        </w:rPr>
        <w:t>关于符合本国产品标准的声明函</w:t>
      </w:r>
    </w:p>
    <w:p w14:paraId="5F0BFF7F">
      <w:pPr>
        <w:spacing w:line="360" w:lineRule="auto"/>
        <w:ind w:firstLine="3584" w:firstLineChars="1700"/>
        <w:rPr>
          <w:rFonts w:hint="default" w:ascii="Arial" w:hAnsi="Arial" w:eastAsia="宋体" w:cs="Arial"/>
          <w:b/>
          <w:color w:val="auto"/>
          <w:szCs w:val="21"/>
          <w:highlight w:val="none"/>
          <w:lang w:val="en-US" w:eastAsia="zh-CN"/>
        </w:rPr>
      </w:pPr>
    </w:p>
    <w:p w14:paraId="3037E81F">
      <w:pPr>
        <w:spacing w:line="360" w:lineRule="auto"/>
        <w:ind w:firstLine="420" w:firstLineChars="200"/>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kern w:val="2"/>
          <w:sz w:val="21"/>
          <w:szCs w:val="21"/>
          <w:highlight w:val="none"/>
          <w:lang w:val="en-US" w:eastAsia="zh-CN" w:bidi="ar-SA"/>
        </w:rPr>
        <w:t>本公司（单位）郑重声明，根据《国务院办公厅关于在政府采购中实施本国产品标准及相关政策的通知》（国办发〔2025〕34号）的规定，本公司（单位）提供的以下产品属于本国产品。具体情况如下：</w:t>
      </w:r>
    </w:p>
    <w:p w14:paraId="0F629E88">
      <w:pPr>
        <w:spacing w:line="360" w:lineRule="auto"/>
        <w:ind w:firstLine="420" w:firstLineChars="200"/>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kern w:val="2"/>
          <w:sz w:val="21"/>
          <w:szCs w:val="21"/>
          <w:highlight w:val="none"/>
          <w:lang w:val="en-US" w:eastAsia="zh-CN" w:bidi="ar-SA"/>
        </w:rPr>
        <w:t>1.（产品名称1）1，生产厂为（厂名）2，厂址为（生产厂址）。（产品名称1）的中国境内生产的组件成本占比≥（规定比例）3。（产品名称1）的（关键组件）4在中国境内生产。（产品名称1）的（关键工序）5在中国境内完成。</w:t>
      </w:r>
    </w:p>
    <w:p w14:paraId="3BB489E6">
      <w:pPr>
        <w:spacing w:line="360" w:lineRule="auto"/>
        <w:ind w:firstLine="420" w:firstLineChars="200"/>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kern w:val="2"/>
          <w:sz w:val="21"/>
          <w:szCs w:val="21"/>
          <w:highlight w:val="none"/>
          <w:lang w:val="en-US" w:eastAsia="zh-CN" w:bidi="ar-SA"/>
        </w:rPr>
        <w:t>2.（产品名称2），生产厂为（厂名），厂址为（生产厂址）。（产品名称2）的中国境内生产的组件成本占比≥（规定比例）。（产品名称2）的（关键组件）在中国境内生产。（产品名称2）的（关键工序）在中国境内完成。</w:t>
      </w:r>
    </w:p>
    <w:p w14:paraId="5FC29288">
      <w:pPr>
        <w:spacing w:line="360" w:lineRule="auto"/>
        <w:ind w:firstLine="420" w:firstLineChars="200"/>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kern w:val="2"/>
          <w:sz w:val="21"/>
          <w:szCs w:val="21"/>
          <w:highlight w:val="none"/>
          <w:lang w:val="en-US" w:eastAsia="zh-CN" w:bidi="ar-SA"/>
        </w:rPr>
        <w:t>……</w:t>
      </w:r>
    </w:p>
    <w:p w14:paraId="42B07A80">
      <w:pPr>
        <w:spacing w:line="360" w:lineRule="auto"/>
        <w:ind w:firstLine="420" w:firstLineChars="200"/>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kern w:val="2"/>
          <w:sz w:val="21"/>
          <w:szCs w:val="21"/>
          <w:highlight w:val="none"/>
          <w:lang w:val="en-US" w:eastAsia="zh-CN" w:bidi="ar-SA"/>
        </w:rPr>
        <w:t>本公司（单位）对上述声明内容的真实性负责。如有虚假，愿承担相应法律责任。</w:t>
      </w:r>
    </w:p>
    <w:p w14:paraId="35C49BAE">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560" w:lineRule="atLeast"/>
        <w:ind w:left="0" w:right="0" w:firstLine="0"/>
        <w:jc w:val="left"/>
        <w:textAlignment w:val="baseline"/>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kern w:val="2"/>
          <w:sz w:val="21"/>
          <w:szCs w:val="21"/>
          <w:highlight w:val="none"/>
          <w:lang w:val="en-US" w:eastAsia="zh-CN" w:bidi="ar-SA"/>
        </w:rPr>
        <w:t> </w:t>
      </w:r>
    </w:p>
    <w:p w14:paraId="3123647C">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560" w:lineRule="atLeast"/>
        <w:ind w:left="0" w:right="0" w:firstLine="0"/>
        <w:jc w:val="right"/>
        <w:textAlignment w:val="baseline"/>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kern w:val="2"/>
          <w:sz w:val="21"/>
          <w:szCs w:val="21"/>
          <w:highlight w:val="none"/>
          <w:lang w:val="en-US" w:eastAsia="zh-CN" w:bidi="ar-SA"/>
        </w:rPr>
        <w:t>供应商名称（盖章）：　        </w:t>
      </w:r>
    </w:p>
    <w:p w14:paraId="50B234DB">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560" w:lineRule="atLeast"/>
        <w:ind w:left="0" w:right="0" w:firstLine="0"/>
        <w:jc w:val="right"/>
        <w:textAlignment w:val="baseline"/>
        <w:rPr>
          <w:rFonts w:hint="default" w:ascii="Arial" w:hAnsi="Arial" w:eastAsia="宋体" w:cs="Arial"/>
          <w:color w:val="auto"/>
          <w:kern w:val="0"/>
          <w:sz w:val="28"/>
          <w:szCs w:val="28"/>
          <w:highlight w:val="none"/>
          <w:lang w:val="en-US" w:eastAsia="zh-CN" w:bidi="ar"/>
        </w:rPr>
      </w:pPr>
      <w:r>
        <w:rPr>
          <w:rFonts w:hint="default" w:ascii="Arial" w:hAnsi="Arial" w:eastAsia="宋体" w:cs="Arial"/>
          <w:color w:val="auto"/>
          <w:kern w:val="2"/>
          <w:sz w:val="21"/>
          <w:szCs w:val="21"/>
          <w:highlight w:val="none"/>
          <w:lang w:val="en-US" w:eastAsia="zh-CN" w:bidi="ar-SA"/>
        </w:rPr>
        <w:t>日期：　     年　  月　  日  </w:t>
      </w:r>
      <w:r>
        <w:rPr>
          <w:rFonts w:hint="default" w:ascii="Arial" w:hAnsi="Arial" w:eastAsia="宋体" w:cs="Arial"/>
          <w:i w:val="0"/>
          <w:iCs w:val="0"/>
          <w:caps w:val="0"/>
          <w:color w:val="auto"/>
          <w:spacing w:val="0"/>
          <w:kern w:val="0"/>
          <w:sz w:val="28"/>
          <w:szCs w:val="28"/>
          <w:highlight w:val="none"/>
          <w:u w:val="none"/>
          <w:shd w:val="clear" w:fill="FFFFFF"/>
          <w:vertAlign w:val="baseline"/>
          <w:lang w:val="en-US" w:eastAsia="zh-CN" w:bidi="ar"/>
        </w:rPr>
        <w:t>       </w:t>
      </w:r>
    </w:p>
    <w:p w14:paraId="5B638928">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560" w:lineRule="atLeast"/>
        <w:ind w:left="0" w:right="0" w:firstLine="0"/>
        <w:jc w:val="left"/>
        <w:textAlignment w:val="baseline"/>
        <w:rPr>
          <w:rFonts w:hint="default" w:ascii="Arial" w:hAnsi="Arial" w:eastAsia="宋体" w:cs="Arial"/>
          <w:color w:val="auto"/>
          <w:kern w:val="0"/>
          <w:sz w:val="28"/>
          <w:szCs w:val="28"/>
          <w:highlight w:val="none"/>
          <w:lang w:val="en-US" w:eastAsia="zh-CN" w:bidi="ar"/>
        </w:rPr>
      </w:pPr>
      <w:r>
        <w:rPr>
          <w:rFonts w:hint="default" w:ascii="Arial" w:hAnsi="Arial" w:eastAsia="宋体" w:cs="Arial"/>
          <w:i w:val="0"/>
          <w:iCs w:val="0"/>
          <w:caps w:val="0"/>
          <w:color w:val="auto"/>
          <w:spacing w:val="0"/>
          <w:kern w:val="0"/>
          <w:sz w:val="28"/>
          <w:szCs w:val="28"/>
          <w:highlight w:val="none"/>
          <w:u w:val="none"/>
          <w:shd w:val="clear" w:fill="FFFFFF"/>
          <w:vertAlign w:val="baseline"/>
          <w:lang w:val="en-US" w:eastAsia="zh-CN" w:bidi="ar"/>
        </w:rPr>
        <w:t>__________________</w:t>
      </w:r>
    </w:p>
    <w:p w14:paraId="40052B96">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560" w:lineRule="atLeast"/>
        <w:ind w:left="0" w:right="0" w:firstLine="420"/>
        <w:jc w:val="left"/>
        <w:textAlignment w:val="baseline"/>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kern w:val="2"/>
          <w:sz w:val="21"/>
          <w:szCs w:val="21"/>
          <w:highlight w:val="none"/>
          <w:lang w:val="en-US" w:eastAsia="zh-CN" w:bidi="ar-SA"/>
        </w:rPr>
        <w:t>1.产品如有型号，请在“产品名称”栏一并填写。</w:t>
      </w:r>
    </w:p>
    <w:p w14:paraId="4D2C0694">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560" w:lineRule="atLeast"/>
        <w:ind w:left="0" w:right="0" w:firstLine="420"/>
        <w:jc w:val="left"/>
        <w:textAlignment w:val="baseline"/>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kern w:val="2"/>
          <w:sz w:val="21"/>
          <w:szCs w:val="21"/>
          <w:highlight w:val="none"/>
          <w:lang w:val="en-US" w:eastAsia="zh-CN" w:bidi="ar-SA"/>
        </w:rPr>
        <w:t>2.生产厂名与厂址应与生产厂营业执照载明的相关信息保持一致。</w:t>
      </w:r>
    </w:p>
    <w:p w14:paraId="57F58A09">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560" w:lineRule="atLeast"/>
        <w:ind w:left="0" w:right="0" w:firstLine="420"/>
        <w:jc w:val="left"/>
        <w:textAlignment w:val="baseline"/>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kern w:val="2"/>
          <w:sz w:val="21"/>
          <w:szCs w:val="21"/>
          <w:highlight w:val="none"/>
          <w:lang w:val="en-US" w:eastAsia="zh-CN" w:bidi="ar-SA"/>
        </w:rPr>
        <w:t>3.该产品的中国境内生产的组件成本占比相关要求实施前，“规定比例”栏可不填，下同。</w:t>
      </w:r>
    </w:p>
    <w:p w14:paraId="5AEB85C0">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560" w:lineRule="atLeast"/>
        <w:ind w:left="0" w:right="0" w:firstLine="420"/>
        <w:jc w:val="left"/>
        <w:textAlignment w:val="baseline"/>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kern w:val="2"/>
          <w:sz w:val="21"/>
          <w:szCs w:val="21"/>
          <w:highlight w:val="none"/>
          <w:lang w:val="en-US" w:eastAsia="zh-CN" w:bidi="ar-SA"/>
        </w:rPr>
        <w:t>4.该产品的关键组件要求实施前，“关键组件”栏可不填，下同。</w:t>
      </w:r>
    </w:p>
    <w:p w14:paraId="1DBC61FE">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560" w:lineRule="atLeast"/>
        <w:ind w:left="0" w:right="0" w:firstLine="420"/>
        <w:jc w:val="left"/>
        <w:textAlignment w:val="baseline"/>
        <w:rPr>
          <w:rFonts w:hint="default" w:ascii="Arial" w:hAnsi="Arial" w:eastAsia="宋体" w:cs="Arial"/>
          <w:color w:val="auto"/>
          <w:kern w:val="0"/>
          <w:sz w:val="21"/>
          <w:szCs w:val="21"/>
          <w:highlight w:val="none"/>
          <w:lang w:val="en-US" w:eastAsia="zh-CN" w:bidi="ar"/>
        </w:rPr>
      </w:pPr>
      <w:r>
        <w:rPr>
          <w:rFonts w:hint="default" w:ascii="Arial" w:hAnsi="Arial" w:eastAsia="宋体" w:cs="Arial"/>
          <w:color w:val="auto"/>
          <w:kern w:val="2"/>
          <w:sz w:val="21"/>
          <w:szCs w:val="21"/>
          <w:highlight w:val="none"/>
          <w:lang w:val="en-US" w:eastAsia="zh-CN" w:bidi="ar-SA"/>
        </w:rPr>
        <w:t>5.该产品的关键工序要求实施前，“关键工序”栏可不填，下同</w:t>
      </w:r>
      <w:r>
        <w:rPr>
          <w:rFonts w:hint="default" w:ascii="Arial" w:hAnsi="Arial" w:eastAsia="宋体" w:cs="Arial"/>
          <w:i w:val="0"/>
          <w:iCs w:val="0"/>
          <w:caps w:val="0"/>
          <w:color w:val="auto"/>
          <w:spacing w:val="0"/>
          <w:kern w:val="0"/>
          <w:sz w:val="21"/>
          <w:szCs w:val="21"/>
          <w:highlight w:val="none"/>
          <w:u w:val="none"/>
          <w:shd w:val="clear" w:fill="FFFFFF"/>
          <w:vertAlign w:val="baseline"/>
          <w:lang w:val="en-US" w:eastAsia="zh-CN" w:bidi="ar"/>
        </w:rPr>
        <w:t>。</w:t>
      </w:r>
    </w:p>
    <w:p w14:paraId="1D25D736">
      <w:pPr>
        <w:rPr>
          <w:rFonts w:hint="default"/>
        </w:rPr>
      </w:pPr>
      <w:r>
        <w:rPr>
          <w:rFonts w:hint="default"/>
        </w:rPr>
        <w:br w:type="page"/>
      </w:r>
    </w:p>
    <w:p w14:paraId="1AE57464">
      <w:pPr>
        <w:spacing w:line="360" w:lineRule="auto"/>
        <w:rPr>
          <w:rFonts w:hint="eastAsia" w:ascii="Arial" w:hAnsi="Arial" w:eastAsia="宋体" w:cs="Arial"/>
          <w:color w:val="auto"/>
          <w:sz w:val="24"/>
          <w:szCs w:val="24"/>
          <w:highlight w:val="none"/>
          <w:lang w:val="en-US" w:eastAsia="zh-CN"/>
        </w:rPr>
      </w:pPr>
      <w:r>
        <w:rPr>
          <w:rFonts w:hint="eastAsia" w:ascii="Arial" w:hAnsi="Arial" w:eastAsia="宋体" w:cs="Arial"/>
          <w:color w:val="auto"/>
          <w:sz w:val="24"/>
          <w:szCs w:val="24"/>
          <w:highlight w:val="none"/>
          <w:lang w:val="en-US" w:eastAsia="zh-CN"/>
        </w:rPr>
        <w:t>13.2关于符合本国产品标准的成本占比承诺函（单一产品采购不填写此函，多产品采购项目或采购包如供应商所有产品均为本国产品且填写《关于符合本国产品标准的声明函》可不填写此函。格式内容仅供参考）</w:t>
      </w:r>
    </w:p>
    <w:p w14:paraId="1BF86DF3">
      <w:pPr>
        <w:pStyle w:val="20"/>
        <w:jc w:val="center"/>
        <w:rPr>
          <w:rFonts w:hint="default" w:ascii="Arial" w:hAnsi="Arial" w:eastAsia="宋体" w:cs="Arial"/>
          <w:b/>
          <w:color w:val="auto"/>
          <w:kern w:val="2"/>
          <w:sz w:val="21"/>
          <w:szCs w:val="21"/>
          <w:highlight w:val="none"/>
          <w:lang w:val="en-US" w:eastAsia="zh-CN" w:bidi="ar-SA"/>
        </w:rPr>
      </w:pPr>
      <w:r>
        <w:rPr>
          <w:rFonts w:hint="default" w:ascii="Arial" w:hAnsi="Arial" w:eastAsia="宋体" w:cs="Arial"/>
          <w:b/>
          <w:color w:val="auto"/>
          <w:kern w:val="2"/>
          <w:sz w:val="21"/>
          <w:szCs w:val="21"/>
          <w:highlight w:val="none"/>
          <w:lang w:val="en-US" w:eastAsia="zh-CN" w:bidi="ar-SA"/>
        </w:rPr>
        <w:t>关于符合本国产品标准的成本占比承诺函</w:t>
      </w:r>
    </w:p>
    <w:p w14:paraId="2F9583F3">
      <w:pPr>
        <w:pStyle w:val="20"/>
        <w:rPr>
          <w:rFonts w:hint="default" w:ascii="Arial" w:hAnsi="Arial" w:eastAsia="宋体" w:cs="Arial"/>
          <w:color w:val="auto"/>
          <w:highlight w:val="none"/>
          <w:lang w:val="en-US" w:eastAsia="zh-CN"/>
        </w:rPr>
      </w:pPr>
    </w:p>
    <w:p w14:paraId="1B02CA98">
      <w:pPr>
        <w:pStyle w:val="20"/>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kern w:val="2"/>
          <w:sz w:val="21"/>
          <w:szCs w:val="21"/>
          <w:highlight w:val="none"/>
          <w:lang w:val="en-US" w:eastAsia="zh-CN" w:bidi="ar-SA"/>
        </w:rPr>
        <w:t>致：[采购人/采购代理机构名称]</w:t>
      </w:r>
    </w:p>
    <w:p w14:paraId="57CC7D7D">
      <w:pPr>
        <w:pStyle w:val="20"/>
        <w:rPr>
          <w:rFonts w:hint="default" w:ascii="Arial" w:hAnsi="Arial" w:eastAsia="宋体" w:cs="Arial"/>
          <w:color w:val="auto"/>
          <w:kern w:val="2"/>
          <w:sz w:val="21"/>
          <w:szCs w:val="21"/>
          <w:highlight w:val="none"/>
          <w:lang w:val="en-US" w:eastAsia="zh-CN" w:bidi="ar-SA"/>
        </w:rPr>
      </w:pPr>
    </w:p>
    <w:p w14:paraId="586402C1">
      <w:pPr>
        <w:pStyle w:val="20"/>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kern w:val="2"/>
          <w:sz w:val="21"/>
          <w:szCs w:val="21"/>
          <w:highlight w:val="none"/>
          <w:lang w:val="en-US" w:eastAsia="zh-CN" w:bidi="ar-SA"/>
        </w:rPr>
        <w:t>本单位就参与[项目名称、编号]项目，郑重承诺如下：</w:t>
      </w:r>
    </w:p>
    <w:p w14:paraId="4318DAA5">
      <w:pPr>
        <w:pStyle w:val="20"/>
        <w:rPr>
          <w:rFonts w:hint="default" w:ascii="Arial" w:hAnsi="Arial" w:eastAsia="宋体" w:cs="Arial"/>
          <w:color w:val="auto"/>
          <w:kern w:val="2"/>
          <w:sz w:val="21"/>
          <w:szCs w:val="21"/>
          <w:highlight w:val="none"/>
          <w:lang w:val="en-US" w:eastAsia="zh-CN" w:bidi="ar-SA"/>
        </w:rPr>
      </w:pPr>
    </w:p>
    <w:p w14:paraId="039F8D0B">
      <w:pPr>
        <w:pStyle w:val="20"/>
        <w:ind w:firstLine="420" w:firstLineChars="200"/>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kern w:val="2"/>
          <w:sz w:val="21"/>
          <w:szCs w:val="21"/>
          <w:highlight w:val="none"/>
          <w:lang w:val="en-US" w:eastAsia="zh-CN" w:bidi="ar-SA"/>
        </w:rPr>
        <w:t>本单位为该项目（或采购包）提供的符合本国产品标准的产品成本之和，占所提供全部产品成本之和的比例达到80%以上。本公司（单位）对上述承诺内容的真实性负责。如有虚假，愿承担相应法律责任。</w:t>
      </w:r>
    </w:p>
    <w:p w14:paraId="3B704340">
      <w:pPr>
        <w:pStyle w:val="20"/>
        <w:rPr>
          <w:rFonts w:hint="default" w:ascii="Arial" w:hAnsi="Arial" w:eastAsia="宋体" w:cs="Arial"/>
          <w:color w:val="auto"/>
          <w:kern w:val="2"/>
          <w:sz w:val="21"/>
          <w:szCs w:val="21"/>
          <w:highlight w:val="none"/>
          <w:lang w:val="en-US" w:eastAsia="zh-CN" w:bidi="ar-SA"/>
        </w:rPr>
      </w:pPr>
    </w:p>
    <w:p w14:paraId="58DC5B11">
      <w:pPr>
        <w:pStyle w:val="20"/>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kern w:val="2"/>
          <w:sz w:val="21"/>
          <w:szCs w:val="21"/>
          <w:highlight w:val="none"/>
          <w:lang w:val="en-US" w:eastAsia="zh-CN" w:bidi="ar-SA"/>
        </w:rPr>
        <w:t xml:space="preserve"> </w:t>
      </w:r>
    </w:p>
    <w:p w14:paraId="1D09A427">
      <w:pPr>
        <w:pStyle w:val="20"/>
        <w:rPr>
          <w:rFonts w:hint="default" w:ascii="Arial" w:hAnsi="Arial" w:eastAsia="宋体" w:cs="Arial"/>
          <w:color w:val="auto"/>
          <w:kern w:val="2"/>
          <w:sz w:val="21"/>
          <w:szCs w:val="21"/>
          <w:highlight w:val="none"/>
          <w:lang w:val="en-US" w:eastAsia="zh-CN" w:bidi="ar-SA"/>
        </w:rPr>
      </w:pPr>
    </w:p>
    <w:p w14:paraId="61925803">
      <w:pPr>
        <w:pStyle w:val="20"/>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kern w:val="2"/>
          <w:sz w:val="21"/>
          <w:szCs w:val="21"/>
          <w:highlight w:val="none"/>
          <w:lang w:val="en-US" w:eastAsia="zh-CN" w:bidi="ar-SA"/>
        </w:rPr>
        <w:t xml:space="preserve"> </w:t>
      </w:r>
    </w:p>
    <w:p w14:paraId="67B92C14">
      <w:pPr>
        <w:pStyle w:val="20"/>
        <w:rPr>
          <w:rFonts w:hint="default" w:ascii="Arial" w:hAnsi="Arial" w:eastAsia="宋体" w:cs="Arial"/>
          <w:color w:val="auto"/>
          <w:kern w:val="2"/>
          <w:sz w:val="21"/>
          <w:szCs w:val="21"/>
          <w:highlight w:val="none"/>
          <w:lang w:val="en-US" w:eastAsia="zh-CN" w:bidi="ar-SA"/>
        </w:rPr>
      </w:pPr>
    </w:p>
    <w:p w14:paraId="770AA358">
      <w:pPr>
        <w:pStyle w:val="20"/>
        <w:jc w:val="right"/>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kern w:val="2"/>
          <w:sz w:val="21"/>
          <w:szCs w:val="21"/>
          <w:highlight w:val="none"/>
          <w:lang w:val="en-US" w:eastAsia="zh-CN" w:bidi="ar-SA"/>
        </w:rPr>
        <w:t>供应商名称（盖章）：　        </w:t>
      </w:r>
    </w:p>
    <w:p w14:paraId="7F04756D">
      <w:pPr>
        <w:pStyle w:val="20"/>
        <w:jc w:val="right"/>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kern w:val="2"/>
          <w:sz w:val="21"/>
          <w:szCs w:val="21"/>
          <w:highlight w:val="none"/>
          <w:lang w:val="en-US" w:eastAsia="zh-CN" w:bidi="ar-SA"/>
        </w:rPr>
        <w:t>日期：　     年　  月　  日 </w:t>
      </w:r>
    </w:p>
    <w:p w14:paraId="05CE5EE1">
      <w:pPr>
        <w:pStyle w:val="20"/>
        <w:rPr>
          <w:rFonts w:hint="default" w:ascii="Arial" w:hAnsi="Arial" w:eastAsia="宋体" w:cs="Arial"/>
          <w:color w:val="auto"/>
          <w:highlight w:val="none"/>
          <w:lang w:val="en-US" w:eastAsia="zh-CN"/>
        </w:rPr>
      </w:pPr>
    </w:p>
    <w:p w14:paraId="78D430AC">
      <w:pPr>
        <w:pStyle w:val="2"/>
        <w:rPr>
          <w:rFonts w:hint="default"/>
          <w:lang w:val="en-US" w:eastAsia="zh-CN"/>
        </w:rPr>
      </w:pPr>
    </w:p>
    <w:p w14:paraId="771E4267">
      <w:pPr>
        <w:rPr>
          <w:rFonts w:hint="default"/>
        </w:rPr>
      </w:pPr>
    </w:p>
    <w:p w14:paraId="46493055">
      <w:pPr>
        <w:spacing w:line="500" w:lineRule="exact"/>
        <w:rPr>
          <w:rFonts w:hint="eastAsia" w:ascii="Arial" w:hAnsi="Arial" w:cs="Arial"/>
          <w:b/>
          <w:bCs/>
          <w:sz w:val="32"/>
          <w:szCs w:val="32"/>
          <w:highlight w:val="none"/>
          <w:lang w:val="en-US" w:eastAsia="zh-CN"/>
        </w:rPr>
      </w:pPr>
    </w:p>
    <w:p w14:paraId="3221F25C">
      <w:pPr>
        <w:rPr>
          <w:rFonts w:hint="eastAsia" w:ascii="Arial" w:hAnsi="Arial" w:cs="Arial"/>
          <w:b/>
          <w:bCs/>
          <w:sz w:val="32"/>
          <w:szCs w:val="32"/>
          <w:highlight w:val="none"/>
          <w:lang w:val="en-US" w:eastAsia="zh-CN"/>
        </w:rPr>
      </w:pPr>
      <w:r>
        <w:rPr>
          <w:rFonts w:hint="eastAsia" w:ascii="Arial" w:hAnsi="Arial" w:cs="Arial"/>
          <w:b/>
          <w:bCs/>
          <w:sz w:val="32"/>
          <w:szCs w:val="32"/>
          <w:highlight w:val="none"/>
          <w:lang w:val="en-US" w:eastAsia="zh-CN"/>
        </w:rPr>
        <w:br w:type="page"/>
      </w:r>
    </w:p>
    <w:p w14:paraId="74BF9750">
      <w:pPr>
        <w:spacing w:line="500" w:lineRule="exact"/>
        <w:rPr>
          <w:rFonts w:hint="default" w:ascii="Arial" w:hAnsi="Arial" w:cs="Arial"/>
          <w:b/>
          <w:bCs/>
          <w:sz w:val="32"/>
          <w:szCs w:val="32"/>
          <w:highlight w:val="none"/>
        </w:rPr>
      </w:pPr>
      <w:r>
        <w:rPr>
          <w:rFonts w:hint="eastAsia" w:ascii="Arial" w:hAnsi="Arial" w:cs="Arial"/>
          <w:b/>
          <w:bCs/>
          <w:sz w:val="32"/>
          <w:szCs w:val="32"/>
          <w:highlight w:val="none"/>
          <w:lang w:val="en-US" w:eastAsia="zh-CN"/>
        </w:rPr>
        <w:t>14、</w:t>
      </w:r>
      <w:r>
        <w:rPr>
          <w:rFonts w:hint="default" w:ascii="Arial" w:hAnsi="Arial" w:cs="Arial"/>
          <w:b/>
          <w:bCs/>
          <w:sz w:val="32"/>
          <w:szCs w:val="32"/>
          <w:highlight w:val="none"/>
        </w:rPr>
        <w:t>投标人可结合本项目的评标办法视自身情况自行提交相关证明材料。</w:t>
      </w:r>
    </w:p>
    <w:sectPr>
      <w:footerReference r:id="rId9" w:type="first"/>
      <w:footerReference r:id="rId8" w:type="default"/>
      <w:pgSz w:w="11906" w:h="16838"/>
      <w:pgMar w:top="1134" w:right="1134" w:bottom="1134" w:left="1134" w:header="720" w:footer="720" w:gutter="0"/>
      <w:cols w:space="720" w:num="1"/>
      <w:titlePg/>
      <w:docGrid w:type="lines" w:linePitch="33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创艺繁楷体">
    <w:altName w:val="黑体"/>
    <w:panose1 w:val="00000000000000000000"/>
    <w:charset w:val="86"/>
    <w:family w:val="auto"/>
    <w:pitch w:val="default"/>
    <w:sig w:usb0="00000000" w:usb1="00000000" w:usb2="00000010" w:usb3="00000000" w:csb0="00040000" w:csb1="00000000"/>
  </w:font>
  <w:font w:name="等线 Light">
    <w:panose1 w:val="02010600030101010101"/>
    <w:charset w:val="86"/>
    <w:family w:val="auto"/>
    <w:pitch w:val="default"/>
    <w:sig w:usb0="A00002BF" w:usb1="38CF7CFA" w:usb2="00000016" w:usb3="00000000" w:csb0="0004000F" w:csb1="00000000"/>
  </w:font>
  <w:font w:name="幼圆">
    <w:panose1 w:val="0201050906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icrosoft YaHei UI">
    <w:panose1 w:val="020B0503020204020204"/>
    <w:charset w:val="86"/>
    <w:family w:val="swiss"/>
    <w:pitch w:val="default"/>
    <w:sig w:usb0="80000287" w:usb1="2ACF3C50" w:usb2="00000016" w:usb3="00000000" w:csb0="0004001F" w:csb1="00000000"/>
  </w:font>
  <w:font w:name="Ђˎ̥">
    <w:altName w:val="Times New Roman"/>
    <w:panose1 w:val="00000000000000000000"/>
    <w:charset w:val="00"/>
    <w:family w:val="auto"/>
    <w:pitch w:val="default"/>
    <w:sig w:usb0="00000000" w:usb1="00000000" w:usb2="00000000" w:usb3="00000000" w:csb0="00040001" w:csb1="00000000"/>
  </w:font>
  <w:font w:name="Arial Narrow">
    <w:panose1 w:val="020B0606020202030204"/>
    <w:charset w:val="00"/>
    <w:family w:val="swiss"/>
    <w:pitch w:val="default"/>
    <w:sig w:usb0="00000287" w:usb1="00000800" w:usb2="00000000" w:usb3="00000000" w:csb0="2000009F" w:csb1="DFD70000"/>
  </w:font>
  <w:font w:name="Helvetica">
    <w:altName w:val="Arial"/>
    <w:panose1 w:val="020B0604020202020204"/>
    <w:charset w:val="00"/>
    <w:family w:val="swiss"/>
    <w:pitch w:val="default"/>
    <w:sig w:usb0="00000000" w:usb1="00000000" w:usb2="00000000" w:usb3="00000000" w:csb0="00000000" w:csb1="00000000"/>
  </w:font>
  <w:font w:name="_x000B__x000C_">
    <w:altName w:val="Times New Roman"/>
    <w:panose1 w:val="00000000000000000000"/>
    <w:charset w:val="00"/>
    <w:family w:val="roman"/>
    <w:pitch w:val="default"/>
    <w:sig w:usb0="00000000" w:usb1="00000000" w:usb2="00000000" w:usb3="00000000" w:csb0="00040001"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modern"/>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19B41B">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63493E">
    <w:pPr>
      <w:pStyle w:val="31"/>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01A0899">
                          <w:pPr>
                            <w:pStyle w:val="31"/>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O3lPQyAgAAYwQAAA4AAABkcnMvZTJvRG9jLnhtbK1UzY7TMBC+I/EO&#10;lu80aRGrbt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7eU9DICAABjBAAADgAAAAAAAAABACAAAAAfAQAAZHJzL2Uyb0RvYy54bWxQSwUG&#10;AAAAAAYABgBZAQAAwwUAAAAA&#10;">
              <v:fill on="f" focussize="0,0"/>
              <v:stroke on="f" weight="0.5pt"/>
              <v:imagedata o:title=""/>
              <o:lock v:ext="edit" aspectratio="f"/>
              <v:textbox inset="0mm,0mm,0mm,0mm" style="mso-fit-shape-to-text:t;">
                <w:txbxContent>
                  <w:p w14:paraId="501A0899">
                    <w:pPr>
                      <w:pStyle w:val="31"/>
                    </w:pPr>
                    <w:r>
                      <w:fldChar w:fldCharType="begin"/>
                    </w:r>
                    <w:r>
                      <w:instrText xml:space="preserve"> PAGE  \* MERGEFORMAT </w:instrText>
                    </w:r>
                    <w:r>
                      <w:fldChar w:fldCharType="separate"/>
                    </w:r>
                    <w:r>
                      <w:t>0</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375D52">
    <w:pPr>
      <w:pStyle w:val="31"/>
      <w:rPr>
        <w:rStyle w:val="53"/>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0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BAF5835">
                          <w:pPr>
                            <w:pStyle w:val="31"/>
                          </w:pPr>
                          <w:r>
                            <w:fldChar w:fldCharType="begin"/>
                          </w:r>
                          <w:r>
                            <w:instrText xml:space="preserve"> PAGE  \* MERGEFORMAT </w:instrText>
                          </w:r>
                          <w:r>
                            <w:fldChar w:fldCharType="separate"/>
                          </w:r>
                          <w:r>
                            <w:t>3</w:t>
                          </w:r>
                          <w:r>
                            <w:fldChar w:fldCharType="end"/>
                          </w:r>
                        </w:p>
                      </w:txbxContent>
                    </wps:txbx>
                    <wps:bodyPr wrap="none" lIns="0" tIns="0" rIns="0" bIns="0">
                      <a:spAutoFit/>
                    </wps:bodyPr>
                  </wps:wsp>
                </a:graphicData>
              </a:graphic>
            </wp:anchor>
          </w:drawing>
        </mc:Choice>
        <mc:Fallback>
          <w:pict>
            <v:shape id="文本框 1034"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qXm5zwAAAAUBAAAPAAAAAAAAAAEAIAAAACIAAABkcnMvZG93bnJldi54bWxQSwEC&#10;FAAUAAAACACHTuJANOslhcQBAACQAwAADgAAAAAAAAABACAAAAAeAQAAZHJzL2Uyb0RvYy54bWxQ&#10;SwUGAAAAAAYABgBZAQAAVAUAAAAA&#10;">
              <v:fill on="f" focussize="0,0"/>
              <v:stroke on="f"/>
              <v:imagedata o:title=""/>
              <o:lock v:ext="edit" aspectratio="f"/>
              <v:textbox inset="0mm,0mm,0mm,0mm" style="mso-fit-shape-to-text:t;">
                <w:txbxContent>
                  <w:p w14:paraId="2BAF5835">
                    <w:pPr>
                      <w:pStyle w:val="31"/>
                    </w:pPr>
                    <w:r>
                      <w:fldChar w:fldCharType="begin"/>
                    </w:r>
                    <w:r>
                      <w:instrText xml:space="preserve"> PAGE  \* MERGEFORMAT </w:instrText>
                    </w:r>
                    <w:r>
                      <w:fldChar w:fldCharType="separate"/>
                    </w:r>
                    <w:r>
                      <w:t>3</w:t>
                    </w:r>
                    <w:r>
                      <w:fldChar w:fldCharType="end"/>
                    </w:r>
                  </w:p>
                </w:txbxContent>
              </v:textbox>
            </v:shape>
          </w:pict>
        </mc:Fallback>
      </mc:AlternateContent>
    </w:r>
  </w:p>
  <w:p w14:paraId="618072B7">
    <w:pPr>
      <w:pStyle w:val="31"/>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CD7132">
    <w:pPr>
      <w:pStyle w:val="31"/>
      <w:jc w:val="cente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0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EFA6B0A">
                          <w:pPr>
                            <w:pStyle w:val="31"/>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 id="文本框 1035"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qXm5zwAAAAUBAAAPAAAAAAAAAAEAIAAAACIAAABkcnMvZG93bnJldi54bWxQSwEC&#10;FAAUAAAACACHTuJAAlJUecQBAACQAwAADgAAAAAAAAABACAAAAAeAQAAZHJzL2Uyb0RvYy54bWxQ&#10;SwUGAAAAAAYABgBZAQAAVAUAAAAA&#10;">
              <v:fill on="f" focussize="0,0"/>
              <v:stroke on="f"/>
              <v:imagedata o:title=""/>
              <o:lock v:ext="edit" aspectratio="f"/>
              <v:textbox inset="0mm,0mm,0mm,0mm" style="mso-fit-shape-to-text:t;">
                <w:txbxContent>
                  <w:p w14:paraId="7EFA6B0A">
                    <w:pPr>
                      <w:pStyle w:val="31"/>
                    </w:pPr>
                    <w:r>
                      <w:fldChar w:fldCharType="begin"/>
                    </w:r>
                    <w:r>
                      <w:instrText xml:space="preserve"> PAGE  \* MERGEFORMAT </w:instrText>
                    </w:r>
                    <w:r>
                      <w:fldChar w:fldCharType="separate"/>
                    </w:r>
                    <w:r>
                      <w:t>1</w:t>
                    </w:r>
                    <w:r>
                      <w:fldChar w:fldCharType="end"/>
                    </w:r>
                  </w:p>
                </w:txbxContent>
              </v:textbox>
            </v:shape>
          </w:pict>
        </mc:Fallback>
      </mc:AlternateContent>
    </w:r>
    <w:r>
      <mc:AlternateContent>
        <mc:Choice Requires="wps">
          <w:drawing>
            <wp:anchor distT="0" distB="0" distL="114300" distR="114300" simplePos="0" relativeHeight="251661312" behindDoc="1" locked="0" layoutInCell="1" allowOverlap="1">
              <wp:simplePos x="0" y="0"/>
              <wp:positionH relativeFrom="margin">
                <wp:posOffset>2803525</wp:posOffset>
              </wp:positionH>
              <wp:positionV relativeFrom="paragraph">
                <wp:posOffset>0</wp:posOffset>
              </wp:positionV>
              <wp:extent cx="499110" cy="16256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499110" cy="162560"/>
                      </a:xfrm>
                      <a:prstGeom prst="rect">
                        <a:avLst/>
                      </a:prstGeom>
                      <a:noFill/>
                      <a:ln w="6350">
                        <a:noFill/>
                      </a:ln>
                      <a:effectLst/>
                    </wps:spPr>
                    <wps:txbx>
                      <w:txbxContent>
                        <w:p w14:paraId="707244D4"/>
                        <w:p w14:paraId="4C2AF25C">
                          <w:pPr>
                            <w:pStyle w:val="20"/>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220.75pt;margin-top:0pt;height:12.8pt;width:39.3pt;mso-position-horizontal-relative:margin;z-index:-251655168;mso-width-relative:page;mso-height-relative:page;" filled="f" stroked="f" coordsize="21600,21600" o:gfxdata="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HWda3TWAAAABwEAAA8AAAAAAAAAAQAgAAAAIgAAAGRycy9kb3ducmV2&#10;LnhtbFBLAQIUABQAAAAIAIdO4kADss1nNwIAAGUEAAAOAAAAAAAAAAEAIAAAACUBAABkcnMvZTJv&#10;RG9jLnhtbFBLBQYAAAAABgAGAFkBAADOBQAAAAA=&#10;">
              <v:fill on="f" focussize="0,0"/>
              <v:stroke on="f" weight="0.5pt"/>
              <v:imagedata o:title=""/>
              <o:lock v:ext="edit" aspectratio="f"/>
              <v:textbox inset="0mm,0mm,0mm,0mm">
                <w:txbxContent>
                  <w:p w14:paraId="707244D4"/>
                  <w:p w14:paraId="4C2AF25C">
                    <w:pPr>
                      <w:pStyle w:val="20"/>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753E1C">
    <w:pPr>
      <w:pStyle w:val="31"/>
      <w:rPr>
        <w:rFonts w:ascii="宋体" w:hAnsi="宋体"/>
      </w:rP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0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0D34D0E">
                          <w:pPr>
                            <w:pStyle w:val="31"/>
                          </w:pPr>
                          <w:r>
                            <w:fldChar w:fldCharType="begin"/>
                          </w:r>
                          <w:r>
                            <w:instrText xml:space="preserve"> PAGE  \* MERGEFORMAT </w:instrText>
                          </w:r>
                          <w:r>
                            <w:fldChar w:fldCharType="separate"/>
                          </w:r>
                          <w:r>
                            <w:t>72</w:t>
                          </w:r>
                          <w:r>
                            <w:fldChar w:fldCharType="end"/>
                          </w:r>
                        </w:p>
                      </w:txbxContent>
                    </wps:txbx>
                    <wps:bodyPr wrap="none" lIns="0" tIns="0" rIns="0" bIns="0">
                      <a:spAutoFit/>
                    </wps:bodyPr>
                  </wps:wsp>
                </a:graphicData>
              </a:graphic>
            </wp:anchor>
          </w:drawing>
        </mc:Choice>
        <mc:Fallback>
          <w:pict>
            <v:shape id="文本框 103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qXm5zwAAAAUBAAAPAAAAAAAAAAEAIAAAACIAAABkcnMvZG93bnJldi54bWxQSwEC&#10;FAAUAAAACACHTuJAGZ+3psQBAACQAwAADgAAAAAAAAABACAAAAAeAQAAZHJzL2Uyb0RvYy54bWxQ&#10;SwUGAAAAAAYABgBZAQAAVAUAAAAA&#10;">
              <v:fill on="f" focussize="0,0"/>
              <v:stroke on="f"/>
              <v:imagedata o:title=""/>
              <o:lock v:ext="edit" aspectratio="f"/>
              <v:textbox inset="0mm,0mm,0mm,0mm" style="mso-fit-shape-to-text:t;">
                <w:txbxContent>
                  <w:p w14:paraId="60D34D0E">
                    <w:pPr>
                      <w:pStyle w:val="31"/>
                    </w:pPr>
                    <w:r>
                      <w:fldChar w:fldCharType="begin"/>
                    </w:r>
                    <w:r>
                      <w:instrText xml:space="preserve"> PAGE  \* MERGEFORMAT </w:instrText>
                    </w:r>
                    <w:r>
                      <w:fldChar w:fldCharType="separate"/>
                    </w:r>
                    <w:r>
                      <w:t>72</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335274">
    <w:pPr>
      <w:pStyle w:val="31"/>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0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767E2C">
                          <w:pPr>
                            <w:pStyle w:val="31"/>
                          </w:pPr>
                          <w:r>
                            <w:fldChar w:fldCharType="begin"/>
                          </w:r>
                          <w:r>
                            <w:instrText xml:space="preserve"> PAGE  \* MERGEFORMAT </w:instrText>
                          </w:r>
                          <w:r>
                            <w:fldChar w:fldCharType="separate"/>
                          </w:r>
                          <w:r>
                            <w:t>71</w:t>
                          </w:r>
                          <w:r>
                            <w:fldChar w:fldCharType="end"/>
                          </w:r>
                        </w:p>
                      </w:txbxContent>
                    </wps:txbx>
                    <wps:bodyPr wrap="none" lIns="0" tIns="0" rIns="0" bIns="0">
                      <a:spAutoFit/>
                    </wps:bodyPr>
                  </wps:wsp>
                </a:graphicData>
              </a:graphic>
            </wp:anchor>
          </w:drawing>
        </mc:Choice>
        <mc:Fallback>
          <w:pict>
            <v:shape id="文本框 1037"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qXm5zwAAAAUBAAAPAAAAAAAAAAEAIAAAACIAAABkcnMvZG93bnJldi54bWxQSwEC&#10;FAAUAAAACACHTuJALybGWsQBAACQAwAADgAAAAAAAAABACAAAAAeAQAAZHJzL2Uyb0RvYy54bWxQ&#10;SwUGAAAAAAYABgBZAQAAVAUAAAAA&#10;">
              <v:fill on="f" focussize="0,0"/>
              <v:stroke on="f"/>
              <v:imagedata o:title=""/>
              <o:lock v:ext="edit" aspectratio="f"/>
              <v:textbox inset="0mm,0mm,0mm,0mm" style="mso-fit-shape-to-text:t;">
                <w:txbxContent>
                  <w:p w14:paraId="68767E2C">
                    <w:pPr>
                      <w:pStyle w:val="31"/>
                    </w:pPr>
                    <w:r>
                      <w:fldChar w:fldCharType="begin"/>
                    </w:r>
                    <w:r>
                      <w:instrText xml:space="preserve"> PAGE  \* MERGEFORMAT </w:instrText>
                    </w:r>
                    <w:r>
                      <w:fldChar w:fldCharType="separate"/>
                    </w:r>
                    <w:r>
                      <w:t>71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A3AA18">
    <w:pPr>
      <w:pStyle w:val="32"/>
      <w:pBdr>
        <w:bottom w:val="none" w:color="auto" w:sz="0" w:space="1"/>
      </w:pBdr>
      <w:tabs>
        <w:tab w:val="center" w:pos="0"/>
        <w:tab w:val="left" w:pos="830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9A90FC"/>
    <w:multiLevelType w:val="singleLevel"/>
    <w:tmpl w:val="8A9A90FC"/>
    <w:lvl w:ilvl="0" w:tentative="0">
      <w:start w:val="1"/>
      <w:numFmt w:val="chineseCounting"/>
      <w:suff w:val="nothing"/>
      <w:lvlText w:val="%1、"/>
      <w:lvlJc w:val="left"/>
      <w:rPr>
        <w:rFonts w:hint="eastAsia"/>
      </w:rPr>
    </w:lvl>
  </w:abstractNum>
  <w:abstractNum w:abstractNumId="1">
    <w:nsid w:val="D22377A5"/>
    <w:multiLevelType w:val="singleLevel"/>
    <w:tmpl w:val="D22377A5"/>
    <w:lvl w:ilvl="0" w:tentative="0">
      <w:start w:val="1"/>
      <w:numFmt w:val="decimal"/>
      <w:suff w:val="nothing"/>
      <w:lvlText w:val="%1、"/>
      <w:lvlJc w:val="left"/>
    </w:lvl>
  </w:abstractNum>
  <w:abstractNum w:abstractNumId="2">
    <w:nsid w:val="D940C9FF"/>
    <w:multiLevelType w:val="singleLevel"/>
    <w:tmpl w:val="D940C9FF"/>
    <w:lvl w:ilvl="0" w:tentative="0">
      <w:start w:val="1"/>
      <w:numFmt w:val="chineseCounting"/>
      <w:suff w:val="nothing"/>
      <w:lvlText w:val="%1、"/>
      <w:lvlJc w:val="left"/>
      <w:rPr>
        <w:rFonts w:hint="eastAsia"/>
      </w:rPr>
    </w:lvl>
  </w:abstractNum>
  <w:abstractNum w:abstractNumId="3">
    <w:nsid w:val="F8D3EB60"/>
    <w:multiLevelType w:val="singleLevel"/>
    <w:tmpl w:val="F8D3EB60"/>
    <w:lvl w:ilvl="0" w:tentative="0">
      <w:start w:val="6"/>
      <w:numFmt w:val="decimal"/>
      <w:pStyle w:val="229"/>
      <w:suff w:val="space"/>
      <w:lvlText w:val="%1、"/>
      <w:lvlJc w:val="left"/>
    </w:lvl>
  </w:abstractNum>
  <w:abstractNum w:abstractNumId="4">
    <w:nsid w:val="00000012"/>
    <w:multiLevelType w:val="multilevel"/>
    <w:tmpl w:val="00000012"/>
    <w:lvl w:ilvl="0" w:tentative="0">
      <w:start w:val="1"/>
      <w:numFmt w:val="bullet"/>
      <w:pStyle w:val="262"/>
      <w:lvlText w:val=""/>
      <w:lvlJc w:val="left"/>
      <w:pPr>
        <w:tabs>
          <w:tab w:val="left" w:pos="284"/>
        </w:tabs>
        <w:ind w:left="284" w:hanging="284"/>
      </w:pPr>
      <w:rPr>
        <w:rFonts w:hint="default" w:ascii="Wingdings" w:hAnsi="Wingdings" w:cs="Wingdings"/>
        <w:color w:val="auto"/>
        <w:sz w:val="13"/>
        <w:szCs w:val="13"/>
        <w:u w:val="none"/>
      </w:rPr>
    </w:lvl>
    <w:lvl w:ilvl="1" w:tentative="0">
      <w:start w:val="1"/>
      <w:numFmt w:val="bullet"/>
      <w:lvlText w:val=""/>
      <w:lvlJc w:val="left"/>
      <w:pPr>
        <w:tabs>
          <w:tab w:val="left" w:pos="840"/>
        </w:tabs>
        <w:ind w:left="840" w:hanging="420"/>
      </w:pPr>
      <w:rPr>
        <w:rFonts w:hint="default" w:ascii="Wingdings" w:hAnsi="Wingdings" w:cs="Wingdings"/>
      </w:rPr>
    </w:lvl>
    <w:lvl w:ilvl="2" w:tentative="0">
      <w:start w:val="1"/>
      <w:numFmt w:val="bullet"/>
      <w:lvlText w:val=""/>
      <w:lvlJc w:val="left"/>
      <w:pPr>
        <w:tabs>
          <w:tab w:val="left" w:pos="1260"/>
        </w:tabs>
        <w:ind w:left="1260" w:hanging="420"/>
      </w:pPr>
      <w:rPr>
        <w:rFonts w:hint="default" w:ascii="Wingdings" w:hAnsi="Wingdings" w:cs="Wingdings"/>
      </w:rPr>
    </w:lvl>
    <w:lvl w:ilvl="3" w:tentative="0">
      <w:start w:val="1"/>
      <w:numFmt w:val="bullet"/>
      <w:lvlText w:val=""/>
      <w:lvlJc w:val="left"/>
      <w:pPr>
        <w:tabs>
          <w:tab w:val="left" w:pos="1680"/>
        </w:tabs>
        <w:ind w:left="1680" w:hanging="420"/>
      </w:pPr>
      <w:rPr>
        <w:rFonts w:hint="default" w:ascii="Wingdings" w:hAnsi="Wingdings" w:cs="Wingdings"/>
      </w:rPr>
    </w:lvl>
    <w:lvl w:ilvl="4" w:tentative="0">
      <w:start w:val="1"/>
      <w:numFmt w:val="bullet"/>
      <w:lvlText w:val=""/>
      <w:lvlJc w:val="left"/>
      <w:pPr>
        <w:tabs>
          <w:tab w:val="left" w:pos="2100"/>
        </w:tabs>
        <w:ind w:left="2100" w:hanging="420"/>
      </w:pPr>
      <w:rPr>
        <w:rFonts w:hint="default" w:ascii="Wingdings" w:hAnsi="Wingdings" w:cs="Wingdings"/>
      </w:rPr>
    </w:lvl>
    <w:lvl w:ilvl="5" w:tentative="0">
      <w:start w:val="1"/>
      <w:numFmt w:val="bullet"/>
      <w:lvlText w:val=""/>
      <w:lvlJc w:val="left"/>
      <w:pPr>
        <w:tabs>
          <w:tab w:val="left" w:pos="2520"/>
        </w:tabs>
        <w:ind w:left="2520" w:hanging="420"/>
      </w:pPr>
      <w:rPr>
        <w:rFonts w:hint="default" w:ascii="Wingdings" w:hAnsi="Wingdings" w:cs="Wingdings"/>
      </w:rPr>
    </w:lvl>
    <w:lvl w:ilvl="6" w:tentative="0">
      <w:start w:val="1"/>
      <w:numFmt w:val="bullet"/>
      <w:lvlText w:val=""/>
      <w:lvlJc w:val="left"/>
      <w:pPr>
        <w:tabs>
          <w:tab w:val="left" w:pos="2940"/>
        </w:tabs>
        <w:ind w:left="2940" w:hanging="420"/>
      </w:pPr>
      <w:rPr>
        <w:rFonts w:hint="default" w:ascii="Wingdings" w:hAnsi="Wingdings" w:cs="Wingdings"/>
      </w:rPr>
    </w:lvl>
    <w:lvl w:ilvl="7" w:tentative="0">
      <w:start w:val="1"/>
      <w:numFmt w:val="bullet"/>
      <w:lvlText w:val=""/>
      <w:lvlJc w:val="left"/>
      <w:pPr>
        <w:tabs>
          <w:tab w:val="left" w:pos="3360"/>
        </w:tabs>
        <w:ind w:left="3360" w:hanging="420"/>
      </w:pPr>
      <w:rPr>
        <w:rFonts w:hint="default" w:ascii="Wingdings" w:hAnsi="Wingdings" w:cs="Wingdings"/>
      </w:rPr>
    </w:lvl>
    <w:lvl w:ilvl="8" w:tentative="0">
      <w:start w:val="1"/>
      <w:numFmt w:val="bullet"/>
      <w:lvlText w:val=""/>
      <w:lvlJc w:val="left"/>
      <w:pPr>
        <w:tabs>
          <w:tab w:val="left" w:pos="3780"/>
        </w:tabs>
        <w:ind w:left="3780" w:hanging="420"/>
      </w:pPr>
      <w:rPr>
        <w:rFonts w:hint="default" w:ascii="Wingdings" w:hAnsi="Wingdings" w:cs="Wingdings"/>
      </w:rPr>
    </w:lvl>
  </w:abstractNum>
  <w:abstractNum w:abstractNumId="5">
    <w:nsid w:val="3C7339B6"/>
    <w:multiLevelType w:val="multilevel"/>
    <w:tmpl w:val="3C7339B6"/>
    <w:lvl w:ilvl="0" w:tentative="0">
      <w:start w:val="1"/>
      <w:numFmt w:val="japaneseCounting"/>
      <w:lvlText w:val="第%1条"/>
      <w:lvlJc w:val="left"/>
      <w:pPr>
        <w:tabs>
          <w:tab w:val="left" w:pos="1253"/>
        </w:tabs>
        <w:ind w:left="1253" w:hanging="840"/>
      </w:pPr>
      <w:rPr>
        <w:rFonts w:hint="default"/>
      </w:rPr>
    </w:lvl>
    <w:lvl w:ilvl="1" w:tentative="0">
      <w:start w:val="1"/>
      <w:numFmt w:val="lowerLetter"/>
      <w:lvlText w:val="%2)"/>
      <w:lvlJc w:val="left"/>
      <w:pPr>
        <w:tabs>
          <w:tab w:val="left" w:pos="1253"/>
        </w:tabs>
        <w:ind w:left="1253" w:hanging="420"/>
      </w:pPr>
    </w:lvl>
    <w:lvl w:ilvl="2" w:tentative="0">
      <w:start w:val="1"/>
      <w:numFmt w:val="lowerRoman"/>
      <w:lvlText w:val="%3."/>
      <w:lvlJc w:val="right"/>
      <w:pPr>
        <w:tabs>
          <w:tab w:val="left" w:pos="1673"/>
        </w:tabs>
        <w:ind w:left="1673" w:hanging="420"/>
      </w:pPr>
    </w:lvl>
    <w:lvl w:ilvl="3" w:tentative="0">
      <w:start w:val="1"/>
      <w:numFmt w:val="decimal"/>
      <w:lvlText w:val="%4."/>
      <w:lvlJc w:val="left"/>
      <w:pPr>
        <w:tabs>
          <w:tab w:val="left" w:pos="2093"/>
        </w:tabs>
        <w:ind w:left="2093" w:hanging="420"/>
      </w:pPr>
    </w:lvl>
    <w:lvl w:ilvl="4" w:tentative="0">
      <w:start w:val="1"/>
      <w:numFmt w:val="lowerLetter"/>
      <w:lvlText w:val="%5)"/>
      <w:lvlJc w:val="left"/>
      <w:pPr>
        <w:tabs>
          <w:tab w:val="left" w:pos="2513"/>
        </w:tabs>
        <w:ind w:left="2513" w:hanging="420"/>
      </w:pPr>
    </w:lvl>
    <w:lvl w:ilvl="5" w:tentative="0">
      <w:start w:val="1"/>
      <w:numFmt w:val="lowerRoman"/>
      <w:lvlText w:val="%6."/>
      <w:lvlJc w:val="right"/>
      <w:pPr>
        <w:tabs>
          <w:tab w:val="left" w:pos="2933"/>
        </w:tabs>
        <w:ind w:left="2933" w:hanging="420"/>
      </w:pPr>
    </w:lvl>
    <w:lvl w:ilvl="6" w:tentative="0">
      <w:start w:val="1"/>
      <w:numFmt w:val="decimal"/>
      <w:lvlText w:val="%7."/>
      <w:lvlJc w:val="left"/>
      <w:pPr>
        <w:tabs>
          <w:tab w:val="left" w:pos="3353"/>
        </w:tabs>
        <w:ind w:left="3353" w:hanging="420"/>
      </w:pPr>
    </w:lvl>
    <w:lvl w:ilvl="7" w:tentative="0">
      <w:start w:val="1"/>
      <w:numFmt w:val="lowerLetter"/>
      <w:lvlText w:val="%8)"/>
      <w:lvlJc w:val="left"/>
      <w:pPr>
        <w:tabs>
          <w:tab w:val="left" w:pos="3773"/>
        </w:tabs>
        <w:ind w:left="3773" w:hanging="420"/>
      </w:pPr>
    </w:lvl>
    <w:lvl w:ilvl="8" w:tentative="0">
      <w:start w:val="1"/>
      <w:numFmt w:val="lowerRoman"/>
      <w:lvlText w:val="%9."/>
      <w:lvlJc w:val="right"/>
      <w:pPr>
        <w:tabs>
          <w:tab w:val="left" w:pos="4193"/>
        </w:tabs>
        <w:ind w:left="4193" w:hanging="420"/>
      </w:pPr>
    </w:lvl>
  </w:abstractNum>
  <w:abstractNum w:abstractNumId="6">
    <w:nsid w:val="405AC2EF"/>
    <w:multiLevelType w:val="singleLevel"/>
    <w:tmpl w:val="405AC2EF"/>
    <w:lvl w:ilvl="0" w:tentative="0">
      <w:start w:val="1"/>
      <w:numFmt w:val="decimal"/>
      <w:suff w:val="nothing"/>
      <w:lvlText w:val="%1、"/>
      <w:lvlJc w:val="left"/>
    </w:lvl>
  </w:abstractNum>
  <w:num w:numId="1">
    <w:abstractNumId w:val="3"/>
  </w:num>
  <w:num w:numId="2">
    <w:abstractNumId w:val="4"/>
  </w:num>
  <w:num w:numId="3">
    <w:abstractNumId w:val="0"/>
  </w:num>
  <w:num w:numId="4">
    <w:abstractNumId w:val="6"/>
  </w:num>
  <w:num w:numId="5">
    <w:abstractNumId w:val="1"/>
  </w:num>
  <w:num w:numId="6">
    <w:abstractNumId w:val="2"/>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hideSpellingErrors/>
  <w:attachedTemplate r:id="rId1"/>
  <w:documentProtection w:enforcement="0"/>
  <w:defaultTabStop w:val="420"/>
  <w:drawingGridHorizontalSpacing w:val="105"/>
  <w:drawingGridVerticalSpacing w:val="16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E2MDYwYThiZmQ4MDEzMjBmMjI2ODE2OTdjZDVhYzMifQ=="/>
  </w:docVars>
  <w:rsids>
    <w:rsidRoot w:val="0018029F"/>
    <w:rsid w:val="0000012A"/>
    <w:rsid w:val="000004C3"/>
    <w:rsid w:val="000006A1"/>
    <w:rsid w:val="000007B3"/>
    <w:rsid w:val="00000B65"/>
    <w:rsid w:val="00000D4B"/>
    <w:rsid w:val="00000E16"/>
    <w:rsid w:val="000013C5"/>
    <w:rsid w:val="000015A9"/>
    <w:rsid w:val="0000245C"/>
    <w:rsid w:val="00002511"/>
    <w:rsid w:val="00002604"/>
    <w:rsid w:val="00002682"/>
    <w:rsid w:val="000026D2"/>
    <w:rsid w:val="00002789"/>
    <w:rsid w:val="00003406"/>
    <w:rsid w:val="0000401E"/>
    <w:rsid w:val="00004D43"/>
    <w:rsid w:val="00004D70"/>
    <w:rsid w:val="00005ACF"/>
    <w:rsid w:val="00006148"/>
    <w:rsid w:val="0000614D"/>
    <w:rsid w:val="000064D3"/>
    <w:rsid w:val="00006620"/>
    <w:rsid w:val="000066AE"/>
    <w:rsid w:val="000067AD"/>
    <w:rsid w:val="0000687A"/>
    <w:rsid w:val="00006E28"/>
    <w:rsid w:val="0000703D"/>
    <w:rsid w:val="00007562"/>
    <w:rsid w:val="00007A12"/>
    <w:rsid w:val="00007D50"/>
    <w:rsid w:val="00007F96"/>
    <w:rsid w:val="00010630"/>
    <w:rsid w:val="0001073E"/>
    <w:rsid w:val="00010794"/>
    <w:rsid w:val="00010881"/>
    <w:rsid w:val="00010A38"/>
    <w:rsid w:val="00010BBE"/>
    <w:rsid w:val="00010CBD"/>
    <w:rsid w:val="00010EAD"/>
    <w:rsid w:val="00011006"/>
    <w:rsid w:val="00011292"/>
    <w:rsid w:val="00011968"/>
    <w:rsid w:val="00011FE5"/>
    <w:rsid w:val="000129F9"/>
    <w:rsid w:val="00012CDC"/>
    <w:rsid w:val="0001300C"/>
    <w:rsid w:val="0001389F"/>
    <w:rsid w:val="000139C8"/>
    <w:rsid w:val="000139E0"/>
    <w:rsid w:val="00013C53"/>
    <w:rsid w:val="00014897"/>
    <w:rsid w:val="000154C2"/>
    <w:rsid w:val="00015616"/>
    <w:rsid w:val="000161E6"/>
    <w:rsid w:val="000168D8"/>
    <w:rsid w:val="00016CCE"/>
    <w:rsid w:val="00016E25"/>
    <w:rsid w:val="00016EAE"/>
    <w:rsid w:val="00016F9A"/>
    <w:rsid w:val="00017DAA"/>
    <w:rsid w:val="00020282"/>
    <w:rsid w:val="000202D2"/>
    <w:rsid w:val="000204F7"/>
    <w:rsid w:val="00020654"/>
    <w:rsid w:val="000206E4"/>
    <w:rsid w:val="00020A3D"/>
    <w:rsid w:val="00020C2E"/>
    <w:rsid w:val="00021DAE"/>
    <w:rsid w:val="00021F5A"/>
    <w:rsid w:val="000226EF"/>
    <w:rsid w:val="00022963"/>
    <w:rsid w:val="00022A04"/>
    <w:rsid w:val="00022A91"/>
    <w:rsid w:val="00022F6B"/>
    <w:rsid w:val="0002300B"/>
    <w:rsid w:val="00023496"/>
    <w:rsid w:val="0002367F"/>
    <w:rsid w:val="000238DE"/>
    <w:rsid w:val="00023CCC"/>
    <w:rsid w:val="00023DD3"/>
    <w:rsid w:val="00024D1C"/>
    <w:rsid w:val="00024F38"/>
    <w:rsid w:val="000250DF"/>
    <w:rsid w:val="00025140"/>
    <w:rsid w:val="000253B5"/>
    <w:rsid w:val="000255CC"/>
    <w:rsid w:val="00025C4D"/>
    <w:rsid w:val="00025E35"/>
    <w:rsid w:val="0002600E"/>
    <w:rsid w:val="00026487"/>
    <w:rsid w:val="00026761"/>
    <w:rsid w:val="00026A9C"/>
    <w:rsid w:val="00026BD0"/>
    <w:rsid w:val="00026E89"/>
    <w:rsid w:val="00027622"/>
    <w:rsid w:val="00027726"/>
    <w:rsid w:val="00027751"/>
    <w:rsid w:val="00027D0D"/>
    <w:rsid w:val="00027F50"/>
    <w:rsid w:val="00030259"/>
    <w:rsid w:val="0003076B"/>
    <w:rsid w:val="000316C6"/>
    <w:rsid w:val="00031B0B"/>
    <w:rsid w:val="00031D23"/>
    <w:rsid w:val="000320DB"/>
    <w:rsid w:val="00032174"/>
    <w:rsid w:val="00032419"/>
    <w:rsid w:val="0003258D"/>
    <w:rsid w:val="00033233"/>
    <w:rsid w:val="000332A4"/>
    <w:rsid w:val="00033375"/>
    <w:rsid w:val="00033A28"/>
    <w:rsid w:val="00033C62"/>
    <w:rsid w:val="00033EC0"/>
    <w:rsid w:val="00033F0A"/>
    <w:rsid w:val="00034267"/>
    <w:rsid w:val="00034581"/>
    <w:rsid w:val="000349A6"/>
    <w:rsid w:val="00034AA8"/>
    <w:rsid w:val="00034B0E"/>
    <w:rsid w:val="00034CB2"/>
    <w:rsid w:val="00034D30"/>
    <w:rsid w:val="00034E5F"/>
    <w:rsid w:val="00035115"/>
    <w:rsid w:val="000353B8"/>
    <w:rsid w:val="0003540C"/>
    <w:rsid w:val="000357BE"/>
    <w:rsid w:val="00035820"/>
    <w:rsid w:val="00035C6F"/>
    <w:rsid w:val="0003625B"/>
    <w:rsid w:val="00036348"/>
    <w:rsid w:val="00036425"/>
    <w:rsid w:val="0003648C"/>
    <w:rsid w:val="00036594"/>
    <w:rsid w:val="00036645"/>
    <w:rsid w:val="0003700C"/>
    <w:rsid w:val="0003701E"/>
    <w:rsid w:val="00037242"/>
    <w:rsid w:val="000373A3"/>
    <w:rsid w:val="00037991"/>
    <w:rsid w:val="000400C0"/>
    <w:rsid w:val="00040265"/>
    <w:rsid w:val="00040678"/>
    <w:rsid w:val="00041762"/>
    <w:rsid w:val="0004176F"/>
    <w:rsid w:val="00041B7D"/>
    <w:rsid w:val="00042135"/>
    <w:rsid w:val="00042363"/>
    <w:rsid w:val="000424CE"/>
    <w:rsid w:val="000425C4"/>
    <w:rsid w:val="00042AE1"/>
    <w:rsid w:val="00042BC6"/>
    <w:rsid w:val="00042DAA"/>
    <w:rsid w:val="00042F69"/>
    <w:rsid w:val="00043386"/>
    <w:rsid w:val="000433E9"/>
    <w:rsid w:val="00043442"/>
    <w:rsid w:val="00043480"/>
    <w:rsid w:val="00043717"/>
    <w:rsid w:val="000437F8"/>
    <w:rsid w:val="00043A83"/>
    <w:rsid w:val="00043BC9"/>
    <w:rsid w:val="00043FFC"/>
    <w:rsid w:val="00044162"/>
    <w:rsid w:val="00044210"/>
    <w:rsid w:val="0004422A"/>
    <w:rsid w:val="00044409"/>
    <w:rsid w:val="000447E7"/>
    <w:rsid w:val="00044C3F"/>
    <w:rsid w:val="00044E5F"/>
    <w:rsid w:val="00045341"/>
    <w:rsid w:val="000453CC"/>
    <w:rsid w:val="000454F4"/>
    <w:rsid w:val="000457ED"/>
    <w:rsid w:val="00045A4C"/>
    <w:rsid w:val="00045ABE"/>
    <w:rsid w:val="00045B3D"/>
    <w:rsid w:val="00045FA3"/>
    <w:rsid w:val="00045FD7"/>
    <w:rsid w:val="00046112"/>
    <w:rsid w:val="000468B0"/>
    <w:rsid w:val="00046A78"/>
    <w:rsid w:val="00047190"/>
    <w:rsid w:val="000473C1"/>
    <w:rsid w:val="00047877"/>
    <w:rsid w:val="000479BB"/>
    <w:rsid w:val="000479E2"/>
    <w:rsid w:val="000479F5"/>
    <w:rsid w:val="00047ED9"/>
    <w:rsid w:val="000500EE"/>
    <w:rsid w:val="00050126"/>
    <w:rsid w:val="00050402"/>
    <w:rsid w:val="0005043F"/>
    <w:rsid w:val="000517CE"/>
    <w:rsid w:val="0005184A"/>
    <w:rsid w:val="00051867"/>
    <w:rsid w:val="0005197B"/>
    <w:rsid w:val="00052295"/>
    <w:rsid w:val="00052409"/>
    <w:rsid w:val="00053E02"/>
    <w:rsid w:val="0005424F"/>
    <w:rsid w:val="000544AB"/>
    <w:rsid w:val="00054CFF"/>
    <w:rsid w:val="00055B00"/>
    <w:rsid w:val="000561BD"/>
    <w:rsid w:val="00056276"/>
    <w:rsid w:val="0005641F"/>
    <w:rsid w:val="0005796B"/>
    <w:rsid w:val="00057D96"/>
    <w:rsid w:val="000603BC"/>
    <w:rsid w:val="000606D6"/>
    <w:rsid w:val="00060B75"/>
    <w:rsid w:val="00061342"/>
    <w:rsid w:val="000617D3"/>
    <w:rsid w:val="000618AB"/>
    <w:rsid w:val="00061F14"/>
    <w:rsid w:val="0006246B"/>
    <w:rsid w:val="0006269C"/>
    <w:rsid w:val="00062724"/>
    <w:rsid w:val="00062834"/>
    <w:rsid w:val="000629C0"/>
    <w:rsid w:val="00062E08"/>
    <w:rsid w:val="00062EB9"/>
    <w:rsid w:val="00062F2B"/>
    <w:rsid w:val="0006344A"/>
    <w:rsid w:val="00063580"/>
    <w:rsid w:val="00063621"/>
    <w:rsid w:val="000636A3"/>
    <w:rsid w:val="00063726"/>
    <w:rsid w:val="00063738"/>
    <w:rsid w:val="0006377B"/>
    <w:rsid w:val="00063C67"/>
    <w:rsid w:val="0006408B"/>
    <w:rsid w:val="00064127"/>
    <w:rsid w:val="000645BF"/>
    <w:rsid w:val="00064792"/>
    <w:rsid w:val="00064C4A"/>
    <w:rsid w:val="00064E88"/>
    <w:rsid w:val="00064E8B"/>
    <w:rsid w:val="00064FB1"/>
    <w:rsid w:val="00065005"/>
    <w:rsid w:val="00065821"/>
    <w:rsid w:val="0006602F"/>
    <w:rsid w:val="00066254"/>
    <w:rsid w:val="0006630F"/>
    <w:rsid w:val="000663F2"/>
    <w:rsid w:val="00066927"/>
    <w:rsid w:val="00066F2F"/>
    <w:rsid w:val="000672F0"/>
    <w:rsid w:val="000675B5"/>
    <w:rsid w:val="00067724"/>
    <w:rsid w:val="00070648"/>
    <w:rsid w:val="0007072F"/>
    <w:rsid w:val="00070772"/>
    <w:rsid w:val="000707BA"/>
    <w:rsid w:val="00070B84"/>
    <w:rsid w:val="00070FF6"/>
    <w:rsid w:val="000711F4"/>
    <w:rsid w:val="000712BA"/>
    <w:rsid w:val="00071826"/>
    <w:rsid w:val="00072073"/>
    <w:rsid w:val="00072AEC"/>
    <w:rsid w:val="00072AF3"/>
    <w:rsid w:val="00072D9B"/>
    <w:rsid w:val="00072D9F"/>
    <w:rsid w:val="00072FDE"/>
    <w:rsid w:val="00072FFA"/>
    <w:rsid w:val="000731E0"/>
    <w:rsid w:val="0007321D"/>
    <w:rsid w:val="00073C31"/>
    <w:rsid w:val="00073C64"/>
    <w:rsid w:val="00073EB9"/>
    <w:rsid w:val="00074060"/>
    <w:rsid w:val="000740EE"/>
    <w:rsid w:val="00074441"/>
    <w:rsid w:val="000746D3"/>
    <w:rsid w:val="000749B8"/>
    <w:rsid w:val="00074AAC"/>
    <w:rsid w:val="00075405"/>
    <w:rsid w:val="000759B4"/>
    <w:rsid w:val="00075AC6"/>
    <w:rsid w:val="00075D5A"/>
    <w:rsid w:val="000763B8"/>
    <w:rsid w:val="00076B31"/>
    <w:rsid w:val="00076E15"/>
    <w:rsid w:val="00076E2B"/>
    <w:rsid w:val="00076EB0"/>
    <w:rsid w:val="000770CA"/>
    <w:rsid w:val="00077752"/>
    <w:rsid w:val="00077D13"/>
    <w:rsid w:val="00080006"/>
    <w:rsid w:val="00080266"/>
    <w:rsid w:val="00080275"/>
    <w:rsid w:val="00080A97"/>
    <w:rsid w:val="00080FD4"/>
    <w:rsid w:val="00081197"/>
    <w:rsid w:val="000814F4"/>
    <w:rsid w:val="000815D9"/>
    <w:rsid w:val="0008204A"/>
    <w:rsid w:val="0008283C"/>
    <w:rsid w:val="0008293E"/>
    <w:rsid w:val="00082B1E"/>
    <w:rsid w:val="00082B33"/>
    <w:rsid w:val="00082F26"/>
    <w:rsid w:val="00082F5E"/>
    <w:rsid w:val="0008337B"/>
    <w:rsid w:val="000834F1"/>
    <w:rsid w:val="000834F3"/>
    <w:rsid w:val="000837D7"/>
    <w:rsid w:val="000837F6"/>
    <w:rsid w:val="00083AFC"/>
    <w:rsid w:val="00083FD6"/>
    <w:rsid w:val="00084064"/>
    <w:rsid w:val="0008435F"/>
    <w:rsid w:val="000844B3"/>
    <w:rsid w:val="000844D5"/>
    <w:rsid w:val="00085194"/>
    <w:rsid w:val="00085993"/>
    <w:rsid w:val="00085EE0"/>
    <w:rsid w:val="00086436"/>
    <w:rsid w:val="0008648A"/>
    <w:rsid w:val="00086806"/>
    <w:rsid w:val="000870A4"/>
    <w:rsid w:val="00087492"/>
    <w:rsid w:val="00087856"/>
    <w:rsid w:val="00087C2E"/>
    <w:rsid w:val="00087C30"/>
    <w:rsid w:val="00087CA9"/>
    <w:rsid w:val="00087D46"/>
    <w:rsid w:val="000900BE"/>
    <w:rsid w:val="0009027F"/>
    <w:rsid w:val="00090354"/>
    <w:rsid w:val="000907F9"/>
    <w:rsid w:val="00090D0B"/>
    <w:rsid w:val="00090E1D"/>
    <w:rsid w:val="0009120F"/>
    <w:rsid w:val="00091782"/>
    <w:rsid w:val="0009192D"/>
    <w:rsid w:val="00091ADC"/>
    <w:rsid w:val="000921D6"/>
    <w:rsid w:val="00092BFA"/>
    <w:rsid w:val="00093279"/>
    <w:rsid w:val="00093502"/>
    <w:rsid w:val="0009376D"/>
    <w:rsid w:val="0009387F"/>
    <w:rsid w:val="0009423E"/>
    <w:rsid w:val="0009450E"/>
    <w:rsid w:val="00094868"/>
    <w:rsid w:val="000948B7"/>
    <w:rsid w:val="0009499A"/>
    <w:rsid w:val="0009500F"/>
    <w:rsid w:val="0009583E"/>
    <w:rsid w:val="000959AF"/>
    <w:rsid w:val="00095D3B"/>
    <w:rsid w:val="0009609B"/>
    <w:rsid w:val="00096254"/>
    <w:rsid w:val="0009629E"/>
    <w:rsid w:val="0009657E"/>
    <w:rsid w:val="00096B3D"/>
    <w:rsid w:val="0009733E"/>
    <w:rsid w:val="000973FB"/>
    <w:rsid w:val="000976BA"/>
    <w:rsid w:val="00097B00"/>
    <w:rsid w:val="000A09F9"/>
    <w:rsid w:val="000A0AA7"/>
    <w:rsid w:val="000A0C84"/>
    <w:rsid w:val="000A1985"/>
    <w:rsid w:val="000A1BFC"/>
    <w:rsid w:val="000A1C5C"/>
    <w:rsid w:val="000A1DCF"/>
    <w:rsid w:val="000A22E4"/>
    <w:rsid w:val="000A2348"/>
    <w:rsid w:val="000A2B84"/>
    <w:rsid w:val="000A46D3"/>
    <w:rsid w:val="000A482E"/>
    <w:rsid w:val="000A608F"/>
    <w:rsid w:val="000A611F"/>
    <w:rsid w:val="000A641D"/>
    <w:rsid w:val="000A6775"/>
    <w:rsid w:val="000A6ADE"/>
    <w:rsid w:val="000A6BCA"/>
    <w:rsid w:val="000A6BDC"/>
    <w:rsid w:val="000A6C13"/>
    <w:rsid w:val="000A6E55"/>
    <w:rsid w:val="000A7020"/>
    <w:rsid w:val="000A715A"/>
    <w:rsid w:val="000B005F"/>
    <w:rsid w:val="000B0082"/>
    <w:rsid w:val="000B05FC"/>
    <w:rsid w:val="000B0948"/>
    <w:rsid w:val="000B147E"/>
    <w:rsid w:val="000B14E2"/>
    <w:rsid w:val="000B15DC"/>
    <w:rsid w:val="000B1865"/>
    <w:rsid w:val="000B1E08"/>
    <w:rsid w:val="000B27B0"/>
    <w:rsid w:val="000B2D0F"/>
    <w:rsid w:val="000B2E07"/>
    <w:rsid w:val="000B31A5"/>
    <w:rsid w:val="000B3350"/>
    <w:rsid w:val="000B3403"/>
    <w:rsid w:val="000B3D49"/>
    <w:rsid w:val="000B3E02"/>
    <w:rsid w:val="000B414E"/>
    <w:rsid w:val="000B420E"/>
    <w:rsid w:val="000B48EC"/>
    <w:rsid w:val="000B4F53"/>
    <w:rsid w:val="000B4FB8"/>
    <w:rsid w:val="000B517B"/>
    <w:rsid w:val="000B5482"/>
    <w:rsid w:val="000B599B"/>
    <w:rsid w:val="000B5E60"/>
    <w:rsid w:val="000B60B8"/>
    <w:rsid w:val="000B6149"/>
    <w:rsid w:val="000B6464"/>
    <w:rsid w:val="000B64C2"/>
    <w:rsid w:val="000B6616"/>
    <w:rsid w:val="000B67FF"/>
    <w:rsid w:val="000B6D4B"/>
    <w:rsid w:val="000B714A"/>
    <w:rsid w:val="000B7280"/>
    <w:rsid w:val="000B7A46"/>
    <w:rsid w:val="000B7B41"/>
    <w:rsid w:val="000B7B6B"/>
    <w:rsid w:val="000B7F54"/>
    <w:rsid w:val="000B7FAD"/>
    <w:rsid w:val="000C0179"/>
    <w:rsid w:val="000C03F3"/>
    <w:rsid w:val="000C042D"/>
    <w:rsid w:val="000C06FF"/>
    <w:rsid w:val="000C0BB1"/>
    <w:rsid w:val="000C0EC8"/>
    <w:rsid w:val="000C16C7"/>
    <w:rsid w:val="000C17B3"/>
    <w:rsid w:val="000C18B9"/>
    <w:rsid w:val="000C1BD4"/>
    <w:rsid w:val="000C1C14"/>
    <w:rsid w:val="000C1C47"/>
    <w:rsid w:val="000C1D34"/>
    <w:rsid w:val="000C1E87"/>
    <w:rsid w:val="000C1FFE"/>
    <w:rsid w:val="000C2649"/>
    <w:rsid w:val="000C27B4"/>
    <w:rsid w:val="000C3182"/>
    <w:rsid w:val="000C3627"/>
    <w:rsid w:val="000C3952"/>
    <w:rsid w:val="000C3D7C"/>
    <w:rsid w:val="000C3EBF"/>
    <w:rsid w:val="000C3EF9"/>
    <w:rsid w:val="000C4076"/>
    <w:rsid w:val="000C4226"/>
    <w:rsid w:val="000C46A7"/>
    <w:rsid w:val="000C4B4A"/>
    <w:rsid w:val="000C5511"/>
    <w:rsid w:val="000C577C"/>
    <w:rsid w:val="000C5EBC"/>
    <w:rsid w:val="000C5FD2"/>
    <w:rsid w:val="000C6007"/>
    <w:rsid w:val="000C63C1"/>
    <w:rsid w:val="000C6487"/>
    <w:rsid w:val="000C6699"/>
    <w:rsid w:val="000C66D5"/>
    <w:rsid w:val="000C6905"/>
    <w:rsid w:val="000C6B51"/>
    <w:rsid w:val="000C726B"/>
    <w:rsid w:val="000C7503"/>
    <w:rsid w:val="000C7DC0"/>
    <w:rsid w:val="000C7E03"/>
    <w:rsid w:val="000D04B5"/>
    <w:rsid w:val="000D05E6"/>
    <w:rsid w:val="000D07D7"/>
    <w:rsid w:val="000D0A2A"/>
    <w:rsid w:val="000D126F"/>
    <w:rsid w:val="000D197F"/>
    <w:rsid w:val="000D1AFE"/>
    <w:rsid w:val="000D1B22"/>
    <w:rsid w:val="000D1F8E"/>
    <w:rsid w:val="000D2C99"/>
    <w:rsid w:val="000D2F3F"/>
    <w:rsid w:val="000D3131"/>
    <w:rsid w:val="000D317E"/>
    <w:rsid w:val="000D3499"/>
    <w:rsid w:val="000D36E1"/>
    <w:rsid w:val="000D3ADD"/>
    <w:rsid w:val="000D416D"/>
    <w:rsid w:val="000D4271"/>
    <w:rsid w:val="000D5135"/>
    <w:rsid w:val="000D517B"/>
    <w:rsid w:val="000D565B"/>
    <w:rsid w:val="000D5A69"/>
    <w:rsid w:val="000D5D54"/>
    <w:rsid w:val="000D6183"/>
    <w:rsid w:val="000D6249"/>
    <w:rsid w:val="000D646A"/>
    <w:rsid w:val="000D6A86"/>
    <w:rsid w:val="000D6E52"/>
    <w:rsid w:val="000D6F87"/>
    <w:rsid w:val="000D7001"/>
    <w:rsid w:val="000D713C"/>
    <w:rsid w:val="000D7241"/>
    <w:rsid w:val="000D72DD"/>
    <w:rsid w:val="000D7491"/>
    <w:rsid w:val="000D761D"/>
    <w:rsid w:val="000D7811"/>
    <w:rsid w:val="000D7A57"/>
    <w:rsid w:val="000E026F"/>
    <w:rsid w:val="000E069C"/>
    <w:rsid w:val="000E07EE"/>
    <w:rsid w:val="000E1051"/>
    <w:rsid w:val="000E108D"/>
    <w:rsid w:val="000E125D"/>
    <w:rsid w:val="000E1421"/>
    <w:rsid w:val="000E1437"/>
    <w:rsid w:val="000E17A5"/>
    <w:rsid w:val="000E1819"/>
    <w:rsid w:val="000E1CA0"/>
    <w:rsid w:val="000E1EA9"/>
    <w:rsid w:val="000E20CC"/>
    <w:rsid w:val="000E221C"/>
    <w:rsid w:val="000E22CD"/>
    <w:rsid w:val="000E2C59"/>
    <w:rsid w:val="000E2D2A"/>
    <w:rsid w:val="000E2D3C"/>
    <w:rsid w:val="000E303C"/>
    <w:rsid w:val="000E3086"/>
    <w:rsid w:val="000E38D1"/>
    <w:rsid w:val="000E3A00"/>
    <w:rsid w:val="000E3CA8"/>
    <w:rsid w:val="000E3F9E"/>
    <w:rsid w:val="000E4714"/>
    <w:rsid w:val="000E477C"/>
    <w:rsid w:val="000E4A2E"/>
    <w:rsid w:val="000E4AA0"/>
    <w:rsid w:val="000E4FB0"/>
    <w:rsid w:val="000E5032"/>
    <w:rsid w:val="000E54B3"/>
    <w:rsid w:val="000E551D"/>
    <w:rsid w:val="000E559C"/>
    <w:rsid w:val="000E5A21"/>
    <w:rsid w:val="000E5F12"/>
    <w:rsid w:val="000E649A"/>
    <w:rsid w:val="000E657F"/>
    <w:rsid w:val="000E68E8"/>
    <w:rsid w:val="000E6BBF"/>
    <w:rsid w:val="000E6F2A"/>
    <w:rsid w:val="000E706C"/>
    <w:rsid w:val="000E7077"/>
    <w:rsid w:val="000E7078"/>
    <w:rsid w:val="000E7335"/>
    <w:rsid w:val="000E7358"/>
    <w:rsid w:val="000E75B1"/>
    <w:rsid w:val="000E7775"/>
    <w:rsid w:val="000F014D"/>
    <w:rsid w:val="000F0266"/>
    <w:rsid w:val="000F07E0"/>
    <w:rsid w:val="000F0927"/>
    <w:rsid w:val="000F09EA"/>
    <w:rsid w:val="000F0AEC"/>
    <w:rsid w:val="000F0DBF"/>
    <w:rsid w:val="000F0DF2"/>
    <w:rsid w:val="000F11A9"/>
    <w:rsid w:val="000F191D"/>
    <w:rsid w:val="000F1BF2"/>
    <w:rsid w:val="000F1C7B"/>
    <w:rsid w:val="000F1CC5"/>
    <w:rsid w:val="000F2286"/>
    <w:rsid w:val="000F23E7"/>
    <w:rsid w:val="000F2448"/>
    <w:rsid w:val="000F2502"/>
    <w:rsid w:val="000F25B0"/>
    <w:rsid w:val="000F2B3A"/>
    <w:rsid w:val="000F3291"/>
    <w:rsid w:val="000F33D3"/>
    <w:rsid w:val="000F3AA3"/>
    <w:rsid w:val="000F3DD7"/>
    <w:rsid w:val="000F3E81"/>
    <w:rsid w:val="000F441F"/>
    <w:rsid w:val="000F4691"/>
    <w:rsid w:val="000F4938"/>
    <w:rsid w:val="000F4D92"/>
    <w:rsid w:val="000F53D2"/>
    <w:rsid w:val="000F54DB"/>
    <w:rsid w:val="000F5A14"/>
    <w:rsid w:val="000F5BDD"/>
    <w:rsid w:val="000F6137"/>
    <w:rsid w:val="000F6477"/>
    <w:rsid w:val="000F660D"/>
    <w:rsid w:val="000F70A6"/>
    <w:rsid w:val="000F72C5"/>
    <w:rsid w:val="000F7404"/>
    <w:rsid w:val="000F7C5D"/>
    <w:rsid w:val="000F7D5B"/>
    <w:rsid w:val="001002A5"/>
    <w:rsid w:val="001008BE"/>
    <w:rsid w:val="0010113E"/>
    <w:rsid w:val="00101997"/>
    <w:rsid w:val="00101C2F"/>
    <w:rsid w:val="00101D45"/>
    <w:rsid w:val="001023DA"/>
    <w:rsid w:val="001024D8"/>
    <w:rsid w:val="001024DB"/>
    <w:rsid w:val="00102A2B"/>
    <w:rsid w:val="0010302E"/>
    <w:rsid w:val="0010328A"/>
    <w:rsid w:val="001033B5"/>
    <w:rsid w:val="0010354C"/>
    <w:rsid w:val="001038EB"/>
    <w:rsid w:val="00103B1E"/>
    <w:rsid w:val="00103D34"/>
    <w:rsid w:val="00104242"/>
    <w:rsid w:val="001043E8"/>
    <w:rsid w:val="00104738"/>
    <w:rsid w:val="00104B30"/>
    <w:rsid w:val="00104C25"/>
    <w:rsid w:val="00104FDF"/>
    <w:rsid w:val="001051FB"/>
    <w:rsid w:val="0010559B"/>
    <w:rsid w:val="00105E7C"/>
    <w:rsid w:val="0010632C"/>
    <w:rsid w:val="00106635"/>
    <w:rsid w:val="0010670C"/>
    <w:rsid w:val="001067C6"/>
    <w:rsid w:val="001067ED"/>
    <w:rsid w:val="00106E66"/>
    <w:rsid w:val="00107086"/>
    <w:rsid w:val="00107573"/>
    <w:rsid w:val="00107A97"/>
    <w:rsid w:val="00107AAB"/>
    <w:rsid w:val="00107DBE"/>
    <w:rsid w:val="00110045"/>
    <w:rsid w:val="001100AC"/>
    <w:rsid w:val="00110369"/>
    <w:rsid w:val="001108D0"/>
    <w:rsid w:val="00110BD9"/>
    <w:rsid w:val="00110C38"/>
    <w:rsid w:val="0011171E"/>
    <w:rsid w:val="001117CF"/>
    <w:rsid w:val="00111A1E"/>
    <w:rsid w:val="00111A2D"/>
    <w:rsid w:val="00111CA9"/>
    <w:rsid w:val="00111F0D"/>
    <w:rsid w:val="001121B3"/>
    <w:rsid w:val="001122AB"/>
    <w:rsid w:val="00112548"/>
    <w:rsid w:val="001125E9"/>
    <w:rsid w:val="00112720"/>
    <w:rsid w:val="00112739"/>
    <w:rsid w:val="001129FD"/>
    <w:rsid w:val="00112F5B"/>
    <w:rsid w:val="00113564"/>
    <w:rsid w:val="001136C8"/>
    <w:rsid w:val="00113996"/>
    <w:rsid w:val="00113A0E"/>
    <w:rsid w:val="00113A99"/>
    <w:rsid w:val="00113AF4"/>
    <w:rsid w:val="00113D84"/>
    <w:rsid w:val="0011408E"/>
    <w:rsid w:val="00114267"/>
    <w:rsid w:val="00114B86"/>
    <w:rsid w:val="00114FA5"/>
    <w:rsid w:val="001150E7"/>
    <w:rsid w:val="00115442"/>
    <w:rsid w:val="001156AD"/>
    <w:rsid w:val="00115FBC"/>
    <w:rsid w:val="001165E5"/>
    <w:rsid w:val="00116AF5"/>
    <w:rsid w:val="00116CBB"/>
    <w:rsid w:val="00117479"/>
    <w:rsid w:val="0011747F"/>
    <w:rsid w:val="001174AE"/>
    <w:rsid w:val="00117D20"/>
    <w:rsid w:val="00117E74"/>
    <w:rsid w:val="00120547"/>
    <w:rsid w:val="00120802"/>
    <w:rsid w:val="00120A1A"/>
    <w:rsid w:val="00120C48"/>
    <w:rsid w:val="0012191A"/>
    <w:rsid w:val="00121C75"/>
    <w:rsid w:val="00122027"/>
    <w:rsid w:val="0012219E"/>
    <w:rsid w:val="0012244F"/>
    <w:rsid w:val="001227B6"/>
    <w:rsid w:val="001234BD"/>
    <w:rsid w:val="001235F0"/>
    <w:rsid w:val="001236EF"/>
    <w:rsid w:val="00123920"/>
    <w:rsid w:val="001239B2"/>
    <w:rsid w:val="00123B65"/>
    <w:rsid w:val="00123B86"/>
    <w:rsid w:val="00123DC6"/>
    <w:rsid w:val="00123F81"/>
    <w:rsid w:val="001240C4"/>
    <w:rsid w:val="00124323"/>
    <w:rsid w:val="00124488"/>
    <w:rsid w:val="00124ACB"/>
    <w:rsid w:val="001255C6"/>
    <w:rsid w:val="00125C0B"/>
    <w:rsid w:val="0012638B"/>
    <w:rsid w:val="0012662D"/>
    <w:rsid w:val="00130193"/>
    <w:rsid w:val="00130246"/>
    <w:rsid w:val="0013024C"/>
    <w:rsid w:val="001303EA"/>
    <w:rsid w:val="0013041D"/>
    <w:rsid w:val="00130436"/>
    <w:rsid w:val="001307D0"/>
    <w:rsid w:val="00130ED1"/>
    <w:rsid w:val="00130EFA"/>
    <w:rsid w:val="0013113B"/>
    <w:rsid w:val="00131BB7"/>
    <w:rsid w:val="00131C08"/>
    <w:rsid w:val="00131D21"/>
    <w:rsid w:val="00131D24"/>
    <w:rsid w:val="0013248D"/>
    <w:rsid w:val="00132853"/>
    <w:rsid w:val="00132F97"/>
    <w:rsid w:val="00133180"/>
    <w:rsid w:val="001333DB"/>
    <w:rsid w:val="00133450"/>
    <w:rsid w:val="001335B1"/>
    <w:rsid w:val="001338BB"/>
    <w:rsid w:val="00133F22"/>
    <w:rsid w:val="001344C7"/>
    <w:rsid w:val="001346D2"/>
    <w:rsid w:val="00134BD1"/>
    <w:rsid w:val="00134CC7"/>
    <w:rsid w:val="001352A9"/>
    <w:rsid w:val="001358DD"/>
    <w:rsid w:val="00135AF7"/>
    <w:rsid w:val="0013648B"/>
    <w:rsid w:val="00136517"/>
    <w:rsid w:val="00136A87"/>
    <w:rsid w:val="00137749"/>
    <w:rsid w:val="00137DAB"/>
    <w:rsid w:val="0014115B"/>
    <w:rsid w:val="0014142F"/>
    <w:rsid w:val="001414E7"/>
    <w:rsid w:val="00141AE7"/>
    <w:rsid w:val="00141E3C"/>
    <w:rsid w:val="00142770"/>
    <w:rsid w:val="00142F10"/>
    <w:rsid w:val="00143102"/>
    <w:rsid w:val="0014329A"/>
    <w:rsid w:val="00143861"/>
    <w:rsid w:val="00143B0B"/>
    <w:rsid w:val="001440A4"/>
    <w:rsid w:val="00144815"/>
    <w:rsid w:val="00144F89"/>
    <w:rsid w:val="0014511C"/>
    <w:rsid w:val="00145537"/>
    <w:rsid w:val="00145D04"/>
    <w:rsid w:val="00145D1C"/>
    <w:rsid w:val="00146925"/>
    <w:rsid w:val="00146A57"/>
    <w:rsid w:val="00147BA6"/>
    <w:rsid w:val="00147DCD"/>
    <w:rsid w:val="00150049"/>
    <w:rsid w:val="00150055"/>
    <w:rsid w:val="00150239"/>
    <w:rsid w:val="001502A2"/>
    <w:rsid w:val="00150AE6"/>
    <w:rsid w:val="00150C40"/>
    <w:rsid w:val="00150D03"/>
    <w:rsid w:val="0015122B"/>
    <w:rsid w:val="001515E7"/>
    <w:rsid w:val="00151F67"/>
    <w:rsid w:val="001524E7"/>
    <w:rsid w:val="0015285A"/>
    <w:rsid w:val="0015299C"/>
    <w:rsid w:val="00152AED"/>
    <w:rsid w:val="0015313E"/>
    <w:rsid w:val="00153144"/>
    <w:rsid w:val="001531B4"/>
    <w:rsid w:val="001533BA"/>
    <w:rsid w:val="00153787"/>
    <w:rsid w:val="00153BBF"/>
    <w:rsid w:val="0015411D"/>
    <w:rsid w:val="00154382"/>
    <w:rsid w:val="001543DB"/>
    <w:rsid w:val="0015440E"/>
    <w:rsid w:val="00154C89"/>
    <w:rsid w:val="001552FB"/>
    <w:rsid w:val="001553AA"/>
    <w:rsid w:val="001555C9"/>
    <w:rsid w:val="00155976"/>
    <w:rsid w:val="00155B83"/>
    <w:rsid w:val="00155E4D"/>
    <w:rsid w:val="00156262"/>
    <w:rsid w:val="001563CA"/>
    <w:rsid w:val="00156979"/>
    <w:rsid w:val="00157320"/>
    <w:rsid w:val="00157B59"/>
    <w:rsid w:val="00157C06"/>
    <w:rsid w:val="00157CF4"/>
    <w:rsid w:val="001600D7"/>
    <w:rsid w:val="001608AE"/>
    <w:rsid w:val="00160D3E"/>
    <w:rsid w:val="00161375"/>
    <w:rsid w:val="0016138B"/>
    <w:rsid w:val="001613B7"/>
    <w:rsid w:val="001618F6"/>
    <w:rsid w:val="00161A39"/>
    <w:rsid w:val="00162D4C"/>
    <w:rsid w:val="00163584"/>
    <w:rsid w:val="001635A4"/>
    <w:rsid w:val="001638A6"/>
    <w:rsid w:val="001638BE"/>
    <w:rsid w:val="00163AF5"/>
    <w:rsid w:val="00163D46"/>
    <w:rsid w:val="00163F05"/>
    <w:rsid w:val="00163FCD"/>
    <w:rsid w:val="00164249"/>
    <w:rsid w:val="00164902"/>
    <w:rsid w:val="00164B7B"/>
    <w:rsid w:val="00165039"/>
    <w:rsid w:val="00165240"/>
    <w:rsid w:val="00165735"/>
    <w:rsid w:val="00166390"/>
    <w:rsid w:val="001666A4"/>
    <w:rsid w:val="001668E0"/>
    <w:rsid w:val="00166B91"/>
    <w:rsid w:val="00166CED"/>
    <w:rsid w:val="00166D70"/>
    <w:rsid w:val="00166F2B"/>
    <w:rsid w:val="001676DB"/>
    <w:rsid w:val="00167DAE"/>
    <w:rsid w:val="00167F1C"/>
    <w:rsid w:val="00170706"/>
    <w:rsid w:val="0017077B"/>
    <w:rsid w:val="00170B25"/>
    <w:rsid w:val="00170BD1"/>
    <w:rsid w:val="001711A4"/>
    <w:rsid w:val="00171203"/>
    <w:rsid w:val="001718C5"/>
    <w:rsid w:val="00171A3B"/>
    <w:rsid w:val="00171CE9"/>
    <w:rsid w:val="00171F84"/>
    <w:rsid w:val="0017246C"/>
    <w:rsid w:val="00172708"/>
    <w:rsid w:val="00172764"/>
    <w:rsid w:val="00172773"/>
    <w:rsid w:val="00172A4E"/>
    <w:rsid w:val="00172C26"/>
    <w:rsid w:val="00172C70"/>
    <w:rsid w:val="0017302D"/>
    <w:rsid w:val="00173282"/>
    <w:rsid w:val="001734B9"/>
    <w:rsid w:val="0017384F"/>
    <w:rsid w:val="00173F97"/>
    <w:rsid w:val="00173FCF"/>
    <w:rsid w:val="00174053"/>
    <w:rsid w:val="00174754"/>
    <w:rsid w:val="0017481F"/>
    <w:rsid w:val="00174DAF"/>
    <w:rsid w:val="00174E31"/>
    <w:rsid w:val="00175540"/>
    <w:rsid w:val="00175739"/>
    <w:rsid w:val="001759B9"/>
    <w:rsid w:val="00175FAB"/>
    <w:rsid w:val="001760DA"/>
    <w:rsid w:val="0017628A"/>
    <w:rsid w:val="001769B1"/>
    <w:rsid w:val="001769F8"/>
    <w:rsid w:val="00176B9C"/>
    <w:rsid w:val="00177096"/>
    <w:rsid w:val="001771F7"/>
    <w:rsid w:val="00177FE8"/>
    <w:rsid w:val="00177FF3"/>
    <w:rsid w:val="001801FC"/>
    <w:rsid w:val="0018029F"/>
    <w:rsid w:val="0018070A"/>
    <w:rsid w:val="00180926"/>
    <w:rsid w:val="001809E2"/>
    <w:rsid w:val="00180D74"/>
    <w:rsid w:val="0018107F"/>
    <w:rsid w:val="00181CCB"/>
    <w:rsid w:val="00181D44"/>
    <w:rsid w:val="00181DE6"/>
    <w:rsid w:val="00181E99"/>
    <w:rsid w:val="00181FE6"/>
    <w:rsid w:val="001820CF"/>
    <w:rsid w:val="001821F4"/>
    <w:rsid w:val="00182806"/>
    <w:rsid w:val="001834F8"/>
    <w:rsid w:val="00183D19"/>
    <w:rsid w:val="00183DF4"/>
    <w:rsid w:val="00183E19"/>
    <w:rsid w:val="00183F65"/>
    <w:rsid w:val="001841FA"/>
    <w:rsid w:val="0018477C"/>
    <w:rsid w:val="00185480"/>
    <w:rsid w:val="001857E0"/>
    <w:rsid w:val="00185904"/>
    <w:rsid w:val="00185E9E"/>
    <w:rsid w:val="0018632C"/>
    <w:rsid w:val="00186343"/>
    <w:rsid w:val="001863AB"/>
    <w:rsid w:val="001866AB"/>
    <w:rsid w:val="001866EC"/>
    <w:rsid w:val="001869D7"/>
    <w:rsid w:val="00186A0B"/>
    <w:rsid w:val="00186B2C"/>
    <w:rsid w:val="00186DB1"/>
    <w:rsid w:val="001872B9"/>
    <w:rsid w:val="0018738A"/>
    <w:rsid w:val="00187BD2"/>
    <w:rsid w:val="00187CB1"/>
    <w:rsid w:val="00187CDD"/>
    <w:rsid w:val="00187EDB"/>
    <w:rsid w:val="0019001C"/>
    <w:rsid w:val="00190215"/>
    <w:rsid w:val="001902E5"/>
    <w:rsid w:val="00190428"/>
    <w:rsid w:val="00190482"/>
    <w:rsid w:val="001904B0"/>
    <w:rsid w:val="00190984"/>
    <w:rsid w:val="00190AEF"/>
    <w:rsid w:val="00190D10"/>
    <w:rsid w:val="00190ED8"/>
    <w:rsid w:val="001910FD"/>
    <w:rsid w:val="00191433"/>
    <w:rsid w:val="001914DA"/>
    <w:rsid w:val="001916C2"/>
    <w:rsid w:val="00191864"/>
    <w:rsid w:val="00191958"/>
    <w:rsid w:val="001919E8"/>
    <w:rsid w:val="00191DC4"/>
    <w:rsid w:val="00191E24"/>
    <w:rsid w:val="00192C4E"/>
    <w:rsid w:val="0019308B"/>
    <w:rsid w:val="001934E3"/>
    <w:rsid w:val="00194117"/>
    <w:rsid w:val="00194200"/>
    <w:rsid w:val="0019428B"/>
    <w:rsid w:val="001942EB"/>
    <w:rsid w:val="00194589"/>
    <w:rsid w:val="001948C3"/>
    <w:rsid w:val="00194924"/>
    <w:rsid w:val="00194AC1"/>
    <w:rsid w:val="00194C79"/>
    <w:rsid w:val="00194EC2"/>
    <w:rsid w:val="0019500A"/>
    <w:rsid w:val="0019551E"/>
    <w:rsid w:val="001958CA"/>
    <w:rsid w:val="00195D31"/>
    <w:rsid w:val="00195E63"/>
    <w:rsid w:val="00196835"/>
    <w:rsid w:val="00197957"/>
    <w:rsid w:val="00197DF4"/>
    <w:rsid w:val="001A0CB6"/>
    <w:rsid w:val="001A0E8A"/>
    <w:rsid w:val="001A122A"/>
    <w:rsid w:val="001A15C0"/>
    <w:rsid w:val="001A16A9"/>
    <w:rsid w:val="001A1A16"/>
    <w:rsid w:val="001A1A33"/>
    <w:rsid w:val="001A1AEE"/>
    <w:rsid w:val="001A1C41"/>
    <w:rsid w:val="001A2E4E"/>
    <w:rsid w:val="001A2F4D"/>
    <w:rsid w:val="001A39D0"/>
    <w:rsid w:val="001A3D9F"/>
    <w:rsid w:val="001A415B"/>
    <w:rsid w:val="001A4211"/>
    <w:rsid w:val="001A43DB"/>
    <w:rsid w:val="001A4BAE"/>
    <w:rsid w:val="001A4F56"/>
    <w:rsid w:val="001A51FE"/>
    <w:rsid w:val="001A5487"/>
    <w:rsid w:val="001A5641"/>
    <w:rsid w:val="001A58E7"/>
    <w:rsid w:val="001A5C92"/>
    <w:rsid w:val="001A5EEF"/>
    <w:rsid w:val="001A5FD3"/>
    <w:rsid w:val="001A6217"/>
    <w:rsid w:val="001A62A0"/>
    <w:rsid w:val="001A64C4"/>
    <w:rsid w:val="001A68C1"/>
    <w:rsid w:val="001A6B02"/>
    <w:rsid w:val="001A6F5F"/>
    <w:rsid w:val="001A714B"/>
    <w:rsid w:val="001A71C3"/>
    <w:rsid w:val="001A71F4"/>
    <w:rsid w:val="001A74B6"/>
    <w:rsid w:val="001A7559"/>
    <w:rsid w:val="001A767B"/>
    <w:rsid w:val="001A7D50"/>
    <w:rsid w:val="001B00E3"/>
    <w:rsid w:val="001B02BF"/>
    <w:rsid w:val="001B0531"/>
    <w:rsid w:val="001B0C0F"/>
    <w:rsid w:val="001B0DD6"/>
    <w:rsid w:val="001B0E49"/>
    <w:rsid w:val="001B0F2C"/>
    <w:rsid w:val="001B16EB"/>
    <w:rsid w:val="001B1A2F"/>
    <w:rsid w:val="001B1ACB"/>
    <w:rsid w:val="001B213D"/>
    <w:rsid w:val="001B2294"/>
    <w:rsid w:val="001B2645"/>
    <w:rsid w:val="001B2830"/>
    <w:rsid w:val="001B2FDA"/>
    <w:rsid w:val="001B3238"/>
    <w:rsid w:val="001B3B43"/>
    <w:rsid w:val="001B3D61"/>
    <w:rsid w:val="001B4A8B"/>
    <w:rsid w:val="001B4DF4"/>
    <w:rsid w:val="001B4FD9"/>
    <w:rsid w:val="001B54F2"/>
    <w:rsid w:val="001B591A"/>
    <w:rsid w:val="001B593B"/>
    <w:rsid w:val="001B5976"/>
    <w:rsid w:val="001B5979"/>
    <w:rsid w:val="001B5ACC"/>
    <w:rsid w:val="001B5C67"/>
    <w:rsid w:val="001B5DA3"/>
    <w:rsid w:val="001B63BF"/>
    <w:rsid w:val="001B6F1E"/>
    <w:rsid w:val="001B7730"/>
    <w:rsid w:val="001B7839"/>
    <w:rsid w:val="001B7988"/>
    <w:rsid w:val="001C00F9"/>
    <w:rsid w:val="001C0AF7"/>
    <w:rsid w:val="001C0B9A"/>
    <w:rsid w:val="001C0BF1"/>
    <w:rsid w:val="001C0E3E"/>
    <w:rsid w:val="001C0E71"/>
    <w:rsid w:val="001C0EB1"/>
    <w:rsid w:val="001C159F"/>
    <w:rsid w:val="001C15EF"/>
    <w:rsid w:val="001C1A86"/>
    <w:rsid w:val="001C1C18"/>
    <w:rsid w:val="001C27CF"/>
    <w:rsid w:val="001C27DF"/>
    <w:rsid w:val="001C2C1A"/>
    <w:rsid w:val="001C2EFB"/>
    <w:rsid w:val="001C34BA"/>
    <w:rsid w:val="001C3707"/>
    <w:rsid w:val="001C3864"/>
    <w:rsid w:val="001C3AF1"/>
    <w:rsid w:val="001C4056"/>
    <w:rsid w:val="001C47CA"/>
    <w:rsid w:val="001C4E4F"/>
    <w:rsid w:val="001C51B8"/>
    <w:rsid w:val="001C5271"/>
    <w:rsid w:val="001C565B"/>
    <w:rsid w:val="001C57C7"/>
    <w:rsid w:val="001C581A"/>
    <w:rsid w:val="001C58F2"/>
    <w:rsid w:val="001C5993"/>
    <w:rsid w:val="001C61CE"/>
    <w:rsid w:val="001C6458"/>
    <w:rsid w:val="001C6B56"/>
    <w:rsid w:val="001C6BA1"/>
    <w:rsid w:val="001C701F"/>
    <w:rsid w:val="001C71B5"/>
    <w:rsid w:val="001C7570"/>
    <w:rsid w:val="001C7894"/>
    <w:rsid w:val="001D062B"/>
    <w:rsid w:val="001D0D38"/>
    <w:rsid w:val="001D0F2A"/>
    <w:rsid w:val="001D120F"/>
    <w:rsid w:val="001D16FF"/>
    <w:rsid w:val="001D1ABE"/>
    <w:rsid w:val="001D1E46"/>
    <w:rsid w:val="001D20A4"/>
    <w:rsid w:val="001D23BC"/>
    <w:rsid w:val="001D23F2"/>
    <w:rsid w:val="001D29BA"/>
    <w:rsid w:val="001D2A88"/>
    <w:rsid w:val="001D2E28"/>
    <w:rsid w:val="001D33EC"/>
    <w:rsid w:val="001D355E"/>
    <w:rsid w:val="001D357F"/>
    <w:rsid w:val="001D3968"/>
    <w:rsid w:val="001D3AB6"/>
    <w:rsid w:val="001D3AC0"/>
    <w:rsid w:val="001D3B77"/>
    <w:rsid w:val="001D3BCC"/>
    <w:rsid w:val="001D4377"/>
    <w:rsid w:val="001D465D"/>
    <w:rsid w:val="001D4B11"/>
    <w:rsid w:val="001D4B30"/>
    <w:rsid w:val="001D4C8D"/>
    <w:rsid w:val="001D4D3F"/>
    <w:rsid w:val="001D5124"/>
    <w:rsid w:val="001D55BB"/>
    <w:rsid w:val="001D5D94"/>
    <w:rsid w:val="001D5E08"/>
    <w:rsid w:val="001D5E18"/>
    <w:rsid w:val="001D5FED"/>
    <w:rsid w:val="001D6030"/>
    <w:rsid w:val="001D6066"/>
    <w:rsid w:val="001D60FE"/>
    <w:rsid w:val="001D6562"/>
    <w:rsid w:val="001D684F"/>
    <w:rsid w:val="001D6D23"/>
    <w:rsid w:val="001D76E0"/>
    <w:rsid w:val="001D7A51"/>
    <w:rsid w:val="001D7A70"/>
    <w:rsid w:val="001D7E5D"/>
    <w:rsid w:val="001E02D1"/>
    <w:rsid w:val="001E0534"/>
    <w:rsid w:val="001E0C63"/>
    <w:rsid w:val="001E0E73"/>
    <w:rsid w:val="001E0E8F"/>
    <w:rsid w:val="001E10B5"/>
    <w:rsid w:val="001E1365"/>
    <w:rsid w:val="001E148F"/>
    <w:rsid w:val="001E16DB"/>
    <w:rsid w:val="001E172A"/>
    <w:rsid w:val="001E1CC1"/>
    <w:rsid w:val="001E2128"/>
    <w:rsid w:val="001E267B"/>
    <w:rsid w:val="001E2BF6"/>
    <w:rsid w:val="001E2F3B"/>
    <w:rsid w:val="001E3014"/>
    <w:rsid w:val="001E361C"/>
    <w:rsid w:val="001E3645"/>
    <w:rsid w:val="001E3A28"/>
    <w:rsid w:val="001E3AEC"/>
    <w:rsid w:val="001E3F02"/>
    <w:rsid w:val="001E40F0"/>
    <w:rsid w:val="001E44F6"/>
    <w:rsid w:val="001E4584"/>
    <w:rsid w:val="001E489C"/>
    <w:rsid w:val="001E4A0F"/>
    <w:rsid w:val="001E4DF7"/>
    <w:rsid w:val="001E518E"/>
    <w:rsid w:val="001E539D"/>
    <w:rsid w:val="001E5888"/>
    <w:rsid w:val="001E5A19"/>
    <w:rsid w:val="001E5AFA"/>
    <w:rsid w:val="001E5E53"/>
    <w:rsid w:val="001E6034"/>
    <w:rsid w:val="001E637B"/>
    <w:rsid w:val="001E696A"/>
    <w:rsid w:val="001E6A46"/>
    <w:rsid w:val="001E6A68"/>
    <w:rsid w:val="001E6C70"/>
    <w:rsid w:val="001E75C5"/>
    <w:rsid w:val="001E784D"/>
    <w:rsid w:val="001E7FA3"/>
    <w:rsid w:val="001F02D9"/>
    <w:rsid w:val="001F0617"/>
    <w:rsid w:val="001F0875"/>
    <w:rsid w:val="001F0AFB"/>
    <w:rsid w:val="001F0D48"/>
    <w:rsid w:val="001F0D4F"/>
    <w:rsid w:val="001F0D71"/>
    <w:rsid w:val="001F1016"/>
    <w:rsid w:val="001F10E4"/>
    <w:rsid w:val="001F11A2"/>
    <w:rsid w:val="001F14D8"/>
    <w:rsid w:val="001F16AA"/>
    <w:rsid w:val="001F1853"/>
    <w:rsid w:val="001F1982"/>
    <w:rsid w:val="001F1CE7"/>
    <w:rsid w:val="001F2799"/>
    <w:rsid w:val="001F27FE"/>
    <w:rsid w:val="001F2A0D"/>
    <w:rsid w:val="001F2B87"/>
    <w:rsid w:val="001F2F7D"/>
    <w:rsid w:val="001F32A9"/>
    <w:rsid w:val="001F352D"/>
    <w:rsid w:val="001F3734"/>
    <w:rsid w:val="001F388F"/>
    <w:rsid w:val="001F3F5F"/>
    <w:rsid w:val="001F4007"/>
    <w:rsid w:val="001F4DC8"/>
    <w:rsid w:val="001F50A7"/>
    <w:rsid w:val="001F50E9"/>
    <w:rsid w:val="001F52D7"/>
    <w:rsid w:val="001F542B"/>
    <w:rsid w:val="001F550D"/>
    <w:rsid w:val="001F55EB"/>
    <w:rsid w:val="001F562A"/>
    <w:rsid w:val="001F565A"/>
    <w:rsid w:val="001F56B6"/>
    <w:rsid w:val="001F56EE"/>
    <w:rsid w:val="001F58B5"/>
    <w:rsid w:val="001F5959"/>
    <w:rsid w:val="001F5CA6"/>
    <w:rsid w:val="001F5E33"/>
    <w:rsid w:val="001F606B"/>
    <w:rsid w:val="001F6254"/>
    <w:rsid w:val="001F662E"/>
    <w:rsid w:val="001F732C"/>
    <w:rsid w:val="001F74E6"/>
    <w:rsid w:val="001F75C1"/>
    <w:rsid w:val="001F76A7"/>
    <w:rsid w:val="001F76EC"/>
    <w:rsid w:val="001F783B"/>
    <w:rsid w:val="001F7A67"/>
    <w:rsid w:val="001F7A84"/>
    <w:rsid w:val="001F7EC3"/>
    <w:rsid w:val="001F7FBE"/>
    <w:rsid w:val="0020050E"/>
    <w:rsid w:val="0020115A"/>
    <w:rsid w:val="002015CE"/>
    <w:rsid w:val="00201845"/>
    <w:rsid w:val="00201A83"/>
    <w:rsid w:val="00201F52"/>
    <w:rsid w:val="002020B3"/>
    <w:rsid w:val="0020234A"/>
    <w:rsid w:val="00202D01"/>
    <w:rsid w:val="00202DFC"/>
    <w:rsid w:val="00203469"/>
    <w:rsid w:val="0020373C"/>
    <w:rsid w:val="00204022"/>
    <w:rsid w:val="00204142"/>
    <w:rsid w:val="00204906"/>
    <w:rsid w:val="00205FBE"/>
    <w:rsid w:val="0020609C"/>
    <w:rsid w:val="0020612D"/>
    <w:rsid w:val="00206225"/>
    <w:rsid w:val="00206463"/>
    <w:rsid w:val="00206878"/>
    <w:rsid w:val="00206D6A"/>
    <w:rsid w:val="00206DF4"/>
    <w:rsid w:val="002101F3"/>
    <w:rsid w:val="00210258"/>
    <w:rsid w:val="002103F2"/>
    <w:rsid w:val="002106DB"/>
    <w:rsid w:val="00210833"/>
    <w:rsid w:val="002109BF"/>
    <w:rsid w:val="00210B4E"/>
    <w:rsid w:val="00210FA9"/>
    <w:rsid w:val="0021128A"/>
    <w:rsid w:val="002114CA"/>
    <w:rsid w:val="00211891"/>
    <w:rsid w:val="00211909"/>
    <w:rsid w:val="00211AA8"/>
    <w:rsid w:val="00211B16"/>
    <w:rsid w:val="00212153"/>
    <w:rsid w:val="00212305"/>
    <w:rsid w:val="00212499"/>
    <w:rsid w:val="0021258B"/>
    <w:rsid w:val="002125D6"/>
    <w:rsid w:val="00212626"/>
    <w:rsid w:val="0021325E"/>
    <w:rsid w:val="002133B5"/>
    <w:rsid w:val="00213573"/>
    <w:rsid w:val="002135A1"/>
    <w:rsid w:val="00213EC0"/>
    <w:rsid w:val="002144C8"/>
    <w:rsid w:val="002147A1"/>
    <w:rsid w:val="00214903"/>
    <w:rsid w:val="00214CC2"/>
    <w:rsid w:val="00214EFE"/>
    <w:rsid w:val="002158AF"/>
    <w:rsid w:val="00215AEE"/>
    <w:rsid w:val="00215FAE"/>
    <w:rsid w:val="00216381"/>
    <w:rsid w:val="00216B14"/>
    <w:rsid w:val="00216D6C"/>
    <w:rsid w:val="00217D07"/>
    <w:rsid w:val="00217E8D"/>
    <w:rsid w:val="00217EDD"/>
    <w:rsid w:val="00220601"/>
    <w:rsid w:val="00220638"/>
    <w:rsid w:val="0022092C"/>
    <w:rsid w:val="0022096C"/>
    <w:rsid w:val="00220BAE"/>
    <w:rsid w:val="00220BB9"/>
    <w:rsid w:val="00220EF6"/>
    <w:rsid w:val="00220F54"/>
    <w:rsid w:val="002210A3"/>
    <w:rsid w:val="0022114A"/>
    <w:rsid w:val="00221704"/>
    <w:rsid w:val="00221D21"/>
    <w:rsid w:val="0022348B"/>
    <w:rsid w:val="002239A4"/>
    <w:rsid w:val="002239CF"/>
    <w:rsid w:val="00223C0A"/>
    <w:rsid w:val="00223DBA"/>
    <w:rsid w:val="00224021"/>
    <w:rsid w:val="00224752"/>
    <w:rsid w:val="002248DF"/>
    <w:rsid w:val="00224E71"/>
    <w:rsid w:val="00224FE6"/>
    <w:rsid w:val="002253D1"/>
    <w:rsid w:val="00225858"/>
    <w:rsid w:val="00225AE7"/>
    <w:rsid w:val="0022630B"/>
    <w:rsid w:val="0022635C"/>
    <w:rsid w:val="00226ADF"/>
    <w:rsid w:val="00226B69"/>
    <w:rsid w:val="00226E99"/>
    <w:rsid w:val="00226F25"/>
    <w:rsid w:val="002274C9"/>
    <w:rsid w:val="002277F1"/>
    <w:rsid w:val="00227A3E"/>
    <w:rsid w:val="0023032D"/>
    <w:rsid w:val="00230A4D"/>
    <w:rsid w:val="00230D05"/>
    <w:rsid w:val="00230DF5"/>
    <w:rsid w:val="00230EDB"/>
    <w:rsid w:val="0023127B"/>
    <w:rsid w:val="002312B3"/>
    <w:rsid w:val="002313D1"/>
    <w:rsid w:val="00231C91"/>
    <w:rsid w:val="002323B1"/>
    <w:rsid w:val="0023253B"/>
    <w:rsid w:val="00233414"/>
    <w:rsid w:val="00233436"/>
    <w:rsid w:val="0023389F"/>
    <w:rsid w:val="002339C1"/>
    <w:rsid w:val="00233BD9"/>
    <w:rsid w:val="00233F40"/>
    <w:rsid w:val="0023410C"/>
    <w:rsid w:val="002346BF"/>
    <w:rsid w:val="00234B7A"/>
    <w:rsid w:val="00234C7A"/>
    <w:rsid w:val="00234DC8"/>
    <w:rsid w:val="0023591C"/>
    <w:rsid w:val="00235AD7"/>
    <w:rsid w:val="00235C30"/>
    <w:rsid w:val="00235C4F"/>
    <w:rsid w:val="00235C84"/>
    <w:rsid w:val="002362B3"/>
    <w:rsid w:val="00236898"/>
    <w:rsid w:val="00236CF7"/>
    <w:rsid w:val="002371CF"/>
    <w:rsid w:val="00237298"/>
    <w:rsid w:val="00237617"/>
    <w:rsid w:val="002378A6"/>
    <w:rsid w:val="00237B2F"/>
    <w:rsid w:val="00237D7B"/>
    <w:rsid w:val="00237DD4"/>
    <w:rsid w:val="002403AB"/>
    <w:rsid w:val="00240CCC"/>
    <w:rsid w:val="00240D1D"/>
    <w:rsid w:val="00240E8E"/>
    <w:rsid w:val="00241490"/>
    <w:rsid w:val="0024150B"/>
    <w:rsid w:val="00241A5C"/>
    <w:rsid w:val="00241F12"/>
    <w:rsid w:val="00242092"/>
    <w:rsid w:val="00242709"/>
    <w:rsid w:val="00242763"/>
    <w:rsid w:val="00242FD0"/>
    <w:rsid w:val="0024302E"/>
    <w:rsid w:val="002433E8"/>
    <w:rsid w:val="0024369D"/>
    <w:rsid w:val="00243F0E"/>
    <w:rsid w:val="002441BE"/>
    <w:rsid w:val="002447C1"/>
    <w:rsid w:val="002451C7"/>
    <w:rsid w:val="002453BE"/>
    <w:rsid w:val="0024622C"/>
    <w:rsid w:val="0024631A"/>
    <w:rsid w:val="0024656D"/>
    <w:rsid w:val="002468E5"/>
    <w:rsid w:val="00246B28"/>
    <w:rsid w:val="00246BC2"/>
    <w:rsid w:val="00246CF3"/>
    <w:rsid w:val="00246E50"/>
    <w:rsid w:val="00247F4C"/>
    <w:rsid w:val="002501A4"/>
    <w:rsid w:val="002502A8"/>
    <w:rsid w:val="0025120C"/>
    <w:rsid w:val="00251283"/>
    <w:rsid w:val="002513DE"/>
    <w:rsid w:val="00251655"/>
    <w:rsid w:val="00251851"/>
    <w:rsid w:val="00251C2F"/>
    <w:rsid w:val="00251C4A"/>
    <w:rsid w:val="00251E7B"/>
    <w:rsid w:val="002520F9"/>
    <w:rsid w:val="002522E4"/>
    <w:rsid w:val="002528CC"/>
    <w:rsid w:val="00252928"/>
    <w:rsid w:val="00252C24"/>
    <w:rsid w:val="00252D16"/>
    <w:rsid w:val="00252EB4"/>
    <w:rsid w:val="00252F49"/>
    <w:rsid w:val="0025316E"/>
    <w:rsid w:val="00253376"/>
    <w:rsid w:val="002533E3"/>
    <w:rsid w:val="00253443"/>
    <w:rsid w:val="00253667"/>
    <w:rsid w:val="00253715"/>
    <w:rsid w:val="0025374C"/>
    <w:rsid w:val="00253ADA"/>
    <w:rsid w:val="00253C52"/>
    <w:rsid w:val="002540D6"/>
    <w:rsid w:val="002544BE"/>
    <w:rsid w:val="00254BEC"/>
    <w:rsid w:val="0025548E"/>
    <w:rsid w:val="002554E4"/>
    <w:rsid w:val="0025555E"/>
    <w:rsid w:val="002556CD"/>
    <w:rsid w:val="0025597E"/>
    <w:rsid w:val="00255BF6"/>
    <w:rsid w:val="00255DC5"/>
    <w:rsid w:val="00255E37"/>
    <w:rsid w:val="002562BC"/>
    <w:rsid w:val="002566AC"/>
    <w:rsid w:val="0025695D"/>
    <w:rsid w:val="00256A19"/>
    <w:rsid w:val="00256D6E"/>
    <w:rsid w:val="00256FB5"/>
    <w:rsid w:val="00257272"/>
    <w:rsid w:val="00257557"/>
    <w:rsid w:val="00257620"/>
    <w:rsid w:val="00257747"/>
    <w:rsid w:val="00257990"/>
    <w:rsid w:val="002600ED"/>
    <w:rsid w:val="0026041B"/>
    <w:rsid w:val="00260586"/>
    <w:rsid w:val="00260593"/>
    <w:rsid w:val="002608E6"/>
    <w:rsid w:val="002609CA"/>
    <w:rsid w:val="00261726"/>
    <w:rsid w:val="00261A24"/>
    <w:rsid w:val="00262050"/>
    <w:rsid w:val="00262145"/>
    <w:rsid w:val="00262313"/>
    <w:rsid w:val="00262344"/>
    <w:rsid w:val="00262804"/>
    <w:rsid w:val="00262F55"/>
    <w:rsid w:val="002630F3"/>
    <w:rsid w:val="0026318C"/>
    <w:rsid w:val="002634B7"/>
    <w:rsid w:val="0026368C"/>
    <w:rsid w:val="00263CDC"/>
    <w:rsid w:val="002645AA"/>
    <w:rsid w:val="00264726"/>
    <w:rsid w:val="002647D1"/>
    <w:rsid w:val="00264E2B"/>
    <w:rsid w:val="00264FB7"/>
    <w:rsid w:val="00264FFE"/>
    <w:rsid w:val="002651CD"/>
    <w:rsid w:val="002653D3"/>
    <w:rsid w:val="0026598F"/>
    <w:rsid w:val="00265AAF"/>
    <w:rsid w:val="0026603A"/>
    <w:rsid w:val="0026658D"/>
    <w:rsid w:val="00266793"/>
    <w:rsid w:val="0026696D"/>
    <w:rsid w:val="00266F93"/>
    <w:rsid w:val="002674B7"/>
    <w:rsid w:val="0026774F"/>
    <w:rsid w:val="0026776F"/>
    <w:rsid w:val="00267B04"/>
    <w:rsid w:val="00267F0D"/>
    <w:rsid w:val="0027028A"/>
    <w:rsid w:val="002704A0"/>
    <w:rsid w:val="0027076D"/>
    <w:rsid w:val="002709A1"/>
    <w:rsid w:val="00270AAD"/>
    <w:rsid w:val="00271456"/>
    <w:rsid w:val="0027166D"/>
    <w:rsid w:val="00271858"/>
    <w:rsid w:val="00271A17"/>
    <w:rsid w:val="00271C57"/>
    <w:rsid w:val="00272089"/>
    <w:rsid w:val="00272705"/>
    <w:rsid w:val="00272AD4"/>
    <w:rsid w:val="00272CD9"/>
    <w:rsid w:val="00272CE1"/>
    <w:rsid w:val="00273431"/>
    <w:rsid w:val="00273516"/>
    <w:rsid w:val="0027356A"/>
    <w:rsid w:val="00273895"/>
    <w:rsid w:val="00273FCE"/>
    <w:rsid w:val="002744AE"/>
    <w:rsid w:val="00274B4D"/>
    <w:rsid w:val="00275002"/>
    <w:rsid w:val="00275110"/>
    <w:rsid w:val="0027554E"/>
    <w:rsid w:val="002755BC"/>
    <w:rsid w:val="00275877"/>
    <w:rsid w:val="00275A23"/>
    <w:rsid w:val="00275B61"/>
    <w:rsid w:val="00275F9B"/>
    <w:rsid w:val="0027652D"/>
    <w:rsid w:val="00276983"/>
    <w:rsid w:val="00276E83"/>
    <w:rsid w:val="00276EBC"/>
    <w:rsid w:val="002773E9"/>
    <w:rsid w:val="0027768C"/>
    <w:rsid w:val="002778E6"/>
    <w:rsid w:val="00277955"/>
    <w:rsid w:val="00277CA8"/>
    <w:rsid w:val="00277EC2"/>
    <w:rsid w:val="00280158"/>
    <w:rsid w:val="0028059E"/>
    <w:rsid w:val="00280D7F"/>
    <w:rsid w:val="00280E4B"/>
    <w:rsid w:val="00280E9D"/>
    <w:rsid w:val="00280EB0"/>
    <w:rsid w:val="0028149C"/>
    <w:rsid w:val="00281541"/>
    <w:rsid w:val="0028199A"/>
    <w:rsid w:val="00281B62"/>
    <w:rsid w:val="00281F87"/>
    <w:rsid w:val="0028228E"/>
    <w:rsid w:val="002824CA"/>
    <w:rsid w:val="00282762"/>
    <w:rsid w:val="00282C62"/>
    <w:rsid w:val="0028343A"/>
    <w:rsid w:val="00283845"/>
    <w:rsid w:val="002838D9"/>
    <w:rsid w:val="002839D5"/>
    <w:rsid w:val="00283A86"/>
    <w:rsid w:val="002846FC"/>
    <w:rsid w:val="00284BB7"/>
    <w:rsid w:val="00284FD0"/>
    <w:rsid w:val="0028552C"/>
    <w:rsid w:val="0028590A"/>
    <w:rsid w:val="0028599E"/>
    <w:rsid w:val="00285BAA"/>
    <w:rsid w:val="00285C46"/>
    <w:rsid w:val="00285EF9"/>
    <w:rsid w:val="0028643F"/>
    <w:rsid w:val="002864B5"/>
    <w:rsid w:val="0028724A"/>
    <w:rsid w:val="002874EA"/>
    <w:rsid w:val="002875FD"/>
    <w:rsid w:val="00287948"/>
    <w:rsid w:val="00287AAB"/>
    <w:rsid w:val="00287CD3"/>
    <w:rsid w:val="00287E74"/>
    <w:rsid w:val="00290204"/>
    <w:rsid w:val="002903D6"/>
    <w:rsid w:val="00290D12"/>
    <w:rsid w:val="00291283"/>
    <w:rsid w:val="002914D8"/>
    <w:rsid w:val="00291530"/>
    <w:rsid w:val="00291DB8"/>
    <w:rsid w:val="002921F8"/>
    <w:rsid w:val="002922EE"/>
    <w:rsid w:val="002923E8"/>
    <w:rsid w:val="002926ED"/>
    <w:rsid w:val="00292897"/>
    <w:rsid w:val="002928D7"/>
    <w:rsid w:val="00293A62"/>
    <w:rsid w:val="00293D03"/>
    <w:rsid w:val="00293F65"/>
    <w:rsid w:val="00293FD7"/>
    <w:rsid w:val="002940BC"/>
    <w:rsid w:val="00295200"/>
    <w:rsid w:val="00295B4E"/>
    <w:rsid w:val="00295C17"/>
    <w:rsid w:val="00295C18"/>
    <w:rsid w:val="0029650B"/>
    <w:rsid w:val="002965D8"/>
    <w:rsid w:val="0029661E"/>
    <w:rsid w:val="00296A17"/>
    <w:rsid w:val="00296A4D"/>
    <w:rsid w:val="00296BC8"/>
    <w:rsid w:val="00296F7D"/>
    <w:rsid w:val="002973ED"/>
    <w:rsid w:val="002979BC"/>
    <w:rsid w:val="002A0A4C"/>
    <w:rsid w:val="002A0DB4"/>
    <w:rsid w:val="002A199C"/>
    <w:rsid w:val="002A1EF2"/>
    <w:rsid w:val="002A22AA"/>
    <w:rsid w:val="002A2C11"/>
    <w:rsid w:val="002A30DC"/>
    <w:rsid w:val="002A36F9"/>
    <w:rsid w:val="002A39A3"/>
    <w:rsid w:val="002A3BA3"/>
    <w:rsid w:val="002A3CB1"/>
    <w:rsid w:val="002A425F"/>
    <w:rsid w:val="002A4399"/>
    <w:rsid w:val="002A44C2"/>
    <w:rsid w:val="002A46B7"/>
    <w:rsid w:val="002A4A83"/>
    <w:rsid w:val="002A4ADF"/>
    <w:rsid w:val="002A503D"/>
    <w:rsid w:val="002A5045"/>
    <w:rsid w:val="002A5B73"/>
    <w:rsid w:val="002A5C4E"/>
    <w:rsid w:val="002A5EED"/>
    <w:rsid w:val="002A6A6B"/>
    <w:rsid w:val="002A6EBA"/>
    <w:rsid w:val="002A7169"/>
    <w:rsid w:val="002A7189"/>
    <w:rsid w:val="002A72EE"/>
    <w:rsid w:val="002A79A9"/>
    <w:rsid w:val="002A7A32"/>
    <w:rsid w:val="002B007D"/>
    <w:rsid w:val="002B01C7"/>
    <w:rsid w:val="002B0292"/>
    <w:rsid w:val="002B02BA"/>
    <w:rsid w:val="002B055D"/>
    <w:rsid w:val="002B0603"/>
    <w:rsid w:val="002B0954"/>
    <w:rsid w:val="002B0D68"/>
    <w:rsid w:val="002B0D7C"/>
    <w:rsid w:val="002B0E35"/>
    <w:rsid w:val="002B1057"/>
    <w:rsid w:val="002B1492"/>
    <w:rsid w:val="002B1766"/>
    <w:rsid w:val="002B17F5"/>
    <w:rsid w:val="002B18FA"/>
    <w:rsid w:val="002B1B61"/>
    <w:rsid w:val="002B1C8D"/>
    <w:rsid w:val="002B1DF1"/>
    <w:rsid w:val="002B1F6E"/>
    <w:rsid w:val="002B2466"/>
    <w:rsid w:val="002B2565"/>
    <w:rsid w:val="002B270F"/>
    <w:rsid w:val="002B27BC"/>
    <w:rsid w:val="002B330D"/>
    <w:rsid w:val="002B3614"/>
    <w:rsid w:val="002B37A0"/>
    <w:rsid w:val="002B37E6"/>
    <w:rsid w:val="002B3F99"/>
    <w:rsid w:val="002B4043"/>
    <w:rsid w:val="002B4204"/>
    <w:rsid w:val="002B42FF"/>
    <w:rsid w:val="002B45E2"/>
    <w:rsid w:val="002B4705"/>
    <w:rsid w:val="002B486C"/>
    <w:rsid w:val="002B4AD8"/>
    <w:rsid w:val="002B4DE9"/>
    <w:rsid w:val="002B519B"/>
    <w:rsid w:val="002B522A"/>
    <w:rsid w:val="002B59CC"/>
    <w:rsid w:val="002B5A09"/>
    <w:rsid w:val="002B5F9F"/>
    <w:rsid w:val="002B61DC"/>
    <w:rsid w:val="002B673E"/>
    <w:rsid w:val="002B6870"/>
    <w:rsid w:val="002B6984"/>
    <w:rsid w:val="002B6B4B"/>
    <w:rsid w:val="002B6E72"/>
    <w:rsid w:val="002B7346"/>
    <w:rsid w:val="002B7691"/>
    <w:rsid w:val="002B7976"/>
    <w:rsid w:val="002B7B1C"/>
    <w:rsid w:val="002B7E97"/>
    <w:rsid w:val="002C0149"/>
    <w:rsid w:val="002C0295"/>
    <w:rsid w:val="002C0333"/>
    <w:rsid w:val="002C0535"/>
    <w:rsid w:val="002C082A"/>
    <w:rsid w:val="002C1004"/>
    <w:rsid w:val="002C1375"/>
    <w:rsid w:val="002C1D55"/>
    <w:rsid w:val="002C1D65"/>
    <w:rsid w:val="002C1E19"/>
    <w:rsid w:val="002C209E"/>
    <w:rsid w:val="002C2153"/>
    <w:rsid w:val="002C2224"/>
    <w:rsid w:val="002C2349"/>
    <w:rsid w:val="002C2536"/>
    <w:rsid w:val="002C2991"/>
    <w:rsid w:val="002C2B29"/>
    <w:rsid w:val="002C2B67"/>
    <w:rsid w:val="002C2E1D"/>
    <w:rsid w:val="002C3464"/>
    <w:rsid w:val="002C34AD"/>
    <w:rsid w:val="002C3FD2"/>
    <w:rsid w:val="002C4099"/>
    <w:rsid w:val="002C424A"/>
    <w:rsid w:val="002C4580"/>
    <w:rsid w:val="002C4990"/>
    <w:rsid w:val="002C4D0A"/>
    <w:rsid w:val="002C5383"/>
    <w:rsid w:val="002C53FE"/>
    <w:rsid w:val="002C5725"/>
    <w:rsid w:val="002C5968"/>
    <w:rsid w:val="002C5BB0"/>
    <w:rsid w:val="002C6852"/>
    <w:rsid w:val="002C6B47"/>
    <w:rsid w:val="002C6D53"/>
    <w:rsid w:val="002C6E0E"/>
    <w:rsid w:val="002C6E34"/>
    <w:rsid w:val="002C6E3A"/>
    <w:rsid w:val="002C6EC9"/>
    <w:rsid w:val="002C6F79"/>
    <w:rsid w:val="002C73F6"/>
    <w:rsid w:val="002C7C68"/>
    <w:rsid w:val="002D0323"/>
    <w:rsid w:val="002D063F"/>
    <w:rsid w:val="002D0976"/>
    <w:rsid w:val="002D0984"/>
    <w:rsid w:val="002D0CC4"/>
    <w:rsid w:val="002D1065"/>
    <w:rsid w:val="002D12C2"/>
    <w:rsid w:val="002D15A4"/>
    <w:rsid w:val="002D1988"/>
    <w:rsid w:val="002D19C1"/>
    <w:rsid w:val="002D1D26"/>
    <w:rsid w:val="002D213A"/>
    <w:rsid w:val="002D232A"/>
    <w:rsid w:val="002D27C9"/>
    <w:rsid w:val="002D2BCB"/>
    <w:rsid w:val="002D2CAE"/>
    <w:rsid w:val="002D2E7E"/>
    <w:rsid w:val="002D35BD"/>
    <w:rsid w:val="002D36C7"/>
    <w:rsid w:val="002D370A"/>
    <w:rsid w:val="002D3821"/>
    <w:rsid w:val="002D3D08"/>
    <w:rsid w:val="002D3DCC"/>
    <w:rsid w:val="002D3F19"/>
    <w:rsid w:val="002D42A0"/>
    <w:rsid w:val="002D4980"/>
    <w:rsid w:val="002D4CAA"/>
    <w:rsid w:val="002D52F6"/>
    <w:rsid w:val="002D55DE"/>
    <w:rsid w:val="002D5BA5"/>
    <w:rsid w:val="002D5DB3"/>
    <w:rsid w:val="002D5F03"/>
    <w:rsid w:val="002D695F"/>
    <w:rsid w:val="002D6981"/>
    <w:rsid w:val="002D6C59"/>
    <w:rsid w:val="002D6CAE"/>
    <w:rsid w:val="002D6D31"/>
    <w:rsid w:val="002D7041"/>
    <w:rsid w:val="002D7055"/>
    <w:rsid w:val="002D713F"/>
    <w:rsid w:val="002D78F5"/>
    <w:rsid w:val="002E0209"/>
    <w:rsid w:val="002E045E"/>
    <w:rsid w:val="002E04F8"/>
    <w:rsid w:val="002E077E"/>
    <w:rsid w:val="002E0AA5"/>
    <w:rsid w:val="002E120D"/>
    <w:rsid w:val="002E135F"/>
    <w:rsid w:val="002E1416"/>
    <w:rsid w:val="002E17AF"/>
    <w:rsid w:val="002E20BA"/>
    <w:rsid w:val="002E24EF"/>
    <w:rsid w:val="002E2AA3"/>
    <w:rsid w:val="002E2C4C"/>
    <w:rsid w:val="002E3026"/>
    <w:rsid w:val="002E32B8"/>
    <w:rsid w:val="002E3507"/>
    <w:rsid w:val="002E366D"/>
    <w:rsid w:val="002E39C5"/>
    <w:rsid w:val="002E3F1B"/>
    <w:rsid w:val="002E3FE4"/>
    <w:rsid w:val="002E430C"/>
    <w:rsid w:val="002E46BB"/>
    <w:rsid w:val="002E4723"/>
    <w:rsid w:val="002E4A56"/>
    <w:rsid w:val="002E4D10"/>
    <w:rsid w:val="002E4DFF"/>
    <w:rsid w:val="002E5569"/>
    <w:rsid w:val="002E5B4C"/>
    <w:rsid w:val="002E5BA9"/>
    <w:rsid w:val="002E5DE0"/>
    <w:rsid w:val="002E6403"/>
    <w:rsid w:val="002E69F0"/>
    <w:rsid w:val="002E77B5"/>
    <w:rsid w:val="002E7F0A"/>
    <w:rsid w:val="002F02A0"/>
    <w:rsid w:val="002F066C"/>
    <w:rsid w:val="002F0B8A"/>
    <w:rsid w:val="002F0E87"/>
    <w:rsid w:val="002F1000"/>
    <w:rsid w:val="002F13E6"/>
    <w:rsid w:val="002F148C"/>
    <w:rsid w:val="002F1590"/>
    <w:rsid w:val="002F1E2E"/>
    <w:rsid w:val="002F1F2E"/>
    <w:rsid w:val="002F1FB4"/>
    <w:rsid w:val="002F2042"/>
    <w:rsid w:val="002F206B"/>
    <w:rsid w:val="002F229E"/>
    <w:rsid w:val="002F25A0"/>
    <w:rsid w:val="002F2AE8"/>
    <w:rsid w:val="002F2C27"/>
    <w:rsid w:val="002F2DE0"/>
    <w:rsid w:val="002F33D2"/>
    <w:rsid w:val="002F36F0"/>
    <w:rsid w:val="002F375C"/>
    <w:rsid w:val="002F3D1B"/>
    <w:rsid w:val="002F3D79"/>
    <w:rsid w:val="002F3E5D"/>
    <w:rsid w:val="002F3E7D"/>
    <w:rsid w:val="002F43A6"/>
    <w:rsid w:val="002F473A"/>
    <w:rsid w:val="002F47E4"/>
    <w:rsid w:val="002F4E58"/>
    <w:rsid w:val="002F4F60"/>
    <w:rsid w:val="002F51D4"/>
    <w:rsid w:val="002F5232"/>
    <w:rsid w:val="002F532C"/>
    <w:rsid w:val="002F5420"/>
    <w:rsid w:val="002F55F3"/>
    <w:rsid w:val="002F5890"/>
    <w:rsid w:val="002F5A67"/>
    <w:rsid w:val="002F5A9B"/>
    <w:rsid w:val="002F5FBD"/>
    <w:rsid w:val="002F629D"/>
    <w:rsid w:val="002F62E9"/>
    <w:rsid w:val="002F6488"/>
    <w:rsid w:val="002F6CF9"/>
    <w:rsid w:val="002F6D0E"/>
    <w:rsid w:val="002F6EA0"/>
    <w:rsid w:val="002F6F23"/>
    <w:rsid w:val="002F72E2"/>
    <w:rsid w:val="002F73A0"/>
    <w:rsid w:val="002F772C"/>
    <w:rsid w:val="002F7CE0"/>
    <w:rsid w:val="002F7D4D"/>
    <w:rsid w:val="003000B4"/>
    <w:rsid w:val="00300541"/>
    <w:rsid w:val="00300696"/>
    <w:rsid w:val="0030097B"/>
    <w:rsid w:val="00300A97"/>
    <w:rsid w:val="00300F4A"/>
    <w:rsid w:val="003011DD"/>
    <w:rsid w:val="003012CF"/>
    <w:rsid w:val="00301C9A"/>
    <w:rsid w:val="00301F0E"/>
    <w:rsid w:val="00301F57"/>
    <w:rsid w:val="00301F83"/>
    <w:rsid w:val="003026AC"/>
    <w:rsid w:val="003026B8"/>
    <w:rsid w:val="003026EB"/>
    <w:rsid w:val="00302969"/>
    <w:rsid w:val="003029BD"/>
    <w:rsid w:val="0030302E"/>
    <w:rsid w:val="00303120"/>
    <w:rsid w:val="003039DF"/>
    <w:rsid w:val="003039F6"/>
    <w:rsid w:val="00304041"/>
    <w:rsid w:val="003040AF"/>
    <w:rsid w:val="0030413D"/>
    <w:rsid w:val="0030469A"/>
    <w:rsid w:val="00304AC3"/>
    <w:rsid w:val="00304DAD"/>
    <w:rsid w:val="00304DF1"/>
    <w:rsid w:val="00305167"/>
    <w:rsid w:val="00305623"/>
    <w:rsid w:val="0030566A"/>
    <w:rsid w:val="003056F9"/>
    <w:rsid w:val="00305979"/>
    <w:rsid w:val="00305B81"/>
    <w:rsid w:val="00305DE0"/>
    <w:rsid w:val="003063A0"/>
    <w:rsid w:val="0030646F"/>
    <w:rsid w:val="00306BE2"/>
    <w:rsid w:val="00306CE9"/>
    <w:rsid w:val="00306E62"/>
    <w:rsid w:val="00306FC1"/>
    <w:rsid w:val="00306FE1"/>
    <w:rsid w:val="003071E2"/>
    <w:rsid w:val="003071FE"/>
    <w:rsid w:val="00307420"/>
    <w:rsid w:val="003074F7"/>
    <w:rsid w:val="00307741"/>
    <w:rsid w:val="00307CC4"/>
    <w:rsid w:val="003101E0"/>
    <w:rsid w:val="0031074F"/>
    <w:rsid w:val="00310792"/>
    <w:rsid w:val="00310AB1"/>
    <w:rsid w:val="00310C19"/>
    <w:rsid w:val="00310F5E"/>
    <w:rsid w:val="00310FED"/>
    <w:rsid w:val="0031100E"/>
    <w:rsid w:val="003112E5"/>
    <w:rsid w:val="00311611"/>
    <w:rsid w:val="00311690"/>
    <w:rsid w:val="003119EC"/>
    <w:rsid w:val="00311B56"/>
    <w:rsid w:val="0031230A"/>
    <w:rsid w:val="0031272D"/>
    <w:rsid w:val="00312BE7"/>
    <w:rsid w:val="00313CB2"/>
    <w:rsid w:val="00313FF8"/>
    <w:rsid w:val="003146F7"/>
    <w:rsid w:val="00314B45"/>
    <w:rsid w:val="00315142"/>
    <w:rsid w:val="0031518E"/>
    <w:rsid w:val="00315676"/>
    <w:rsid w:val="00315E46"/>
    <w:rsid w:val="00315FBD"/>
    <w:rsid w:val="0031603C"/>
    <w:rsid w:val="00316363"/>
    <w:rsid w:val="0031651E"/>
    <w:rsid w:val="00316718"/>
    <w:rsid w:val="00316F1B"/>
    <w:rsid w:val="00317092"/>
    <w:rsid w:val="00317132"/>
    <w:rsid w:val="003172A9"/>
    <w:rsid w:val="003177C2"/>
    <w:rsid w:val="00317C22"/>
    <w:rsid w:val="00317EBE"/>
    <w:rsid w:val="0032049D"/>
    <w:rsid w:val="00320A25"/>
    <w:rsid w:val="00320EB2"/>
    <w:rsid w:val="00320EC7"/>
    <w:rsid w:val="00321001"/>
    <w:rsid w:val="00321182"/>
    <w:rsid w:val="00321248"/>
    <w:rsid w:val="00321328"/>
    <w:rsid w:val="00321946"/>
    <w:rsid w:val="00321A1F"/>
    <w:rsid w:val="00321D92"/>
    <w:rsid w:val="00321EF8"/>
    <w:rsid w:val="003224C5"/>
    <w:rsid w:val="00322660"/>
    <w:rsid w:val="003226FF"/>
    <w:rsid w:val="003233C4"/>
    <w:rsid w:val="00323436"/>
    <w:rsid w:val="00323A96"/>
    <w:rsid w:val="00323D7D"/>
    <w:rsid w:val="003240D7"/>
    <w:rsid w:val="003241F6"/>
    <w:rsid w:val="003248ED"/>
    <w:rsid w:val="00325256"/>
    <w:rsid w:val="00325C7F"/>
    <w:rsid w:val="00325CFE"/>
    <w:rsid w:val="00325FB1"/>
    <w:rsid w:val="0032622F"/>
    <w:rsid w:val="0032654A"/>
    <w:rsid w:val="0032678C"/>
    <w:rsid w:val="00326855"/>
    <w:rsid w:val="00326936"/>
    <w:rsid w:val="00326FA8"/>
    <w:rsid w:val="00327F1C"/>
    <w:rsid w:val="00330034"/>
    <w:rsid w:val="00330079"/>
    <w:rsid w:val="003301C6"/>
    <w:rsid w:val="00330618"/>
    <w:rsid w:val="00330821"/>
    <w:rsid w:val="00330EBC"/>
    <w:rsid w:val="00331A3D"/>
    <w:rsid w:val="00331B0A"/>
    <w:rsid w:val="0033238F"/>
    <w:rsid w:val="0033247C"/>
    <w:rsid w:val="0033263D"/>
    <w:rsid w:val="00333A93"/>
    <w:rsid w:val="00333F83"/>
    <w:rsid w:val="00333F98"/>
    <w:rsid w:val="00334507"/>
    <w:rsid w:val="0033450D"/>
    <w:rsid w:val="00335404"/>
    <w:rsid w:val="00335543"/>
    <w:rsid w:val="00335C87"/>
    <w:rsid w:val="003360CD"/>
    <w:rsid w:val="003361E4"/>
    <w:rsid w:val="0033692A"/>
    <w:rsid w:val="00336B06"/>
    <w:rsid w:val="00336C65"/>
    <w:rsid w:val="00336D41"/>
    <w:rsid w:val="00336F48"/>
    <w:rsid w:val="0033701B"/>
    <w:rsid w:val="00337F00"/>
    <w:rsid w:val="0034035B"/>
    <w:rsid w:val="003405CA"/>
    <w:rsid w:val="00340812"/>
    <w:rsid w:val="003408D2"/>
    <w:rsid w:val="00340A08"/>
    <w:rsid w:val="00340B21"/>
    <w:rsid w:val="00340DAB"/>
    <w:rsid w:val="00340E13"/>
    <w:rsid w:val="0034187F"/>
    <w:rsid w:val="00341BF9"/>
    <w:rsid w:val="00342063"/>
    <w:rsid w:val="0034218C"/>
    <w:rsid w:val="003421BD"/>
    <w:rsid w:val="0034235C"/>
    <w:rsid w:val="003425BA"/>
    <w:rsid w:val="00342823"/>
    <w:rsid w:val="00342A9B"/>
    <w:rsid w:val="00343144"/>
    <w:rsid w:val="00343A21"/>
    <w:rsid w:val="00343C25"/>
    <w:rsid w:val="00343D24"/>
    <w:rsid w:val="0034416E"/>
    <w:rsid w:val="00344D1A"/>
    <w:rsid w:val="00344DD0"/>
    <w:rsid w:val="00344F5E"/>
    <w:rsid w:val="00344FAF"/>
    <w:rsid w:val="003452DA"/>
    <w:rsid w:val="00345D58"/>
    <w:rsid w:val="00345F66"/>
    <w:rsid w:val="00345F92"/>
    <w:rsid w:val="003462F9"/>
    <w:rsid w:val="00346377"/>
    <w:rsid w:val="003467A1"/>
    <w:rsid w:val="00347096"/>
    <w:rsid w:val="0034752B"/>
    <w:rsid w:val="003476A1"/>
    <w:rsid w:val="0034772A"/>
    <w:rsid w:val="003501E5"/>
    <w:rsid w:val="0035045F"/>
    <w:rsid w:val="003505D5"/>
    <w:rsid w:val="00350EBD"/>
    <w:rsid w:val="0035113E"/>
    <w:rsid w:val="003513E3"/>
    <w:rsid w:val="003514CF"/>
    <w:rsid w:val="00351506"/>
    <w:rsid w:val="0035153C"/>
    <w:rsid w:val="003516E4"/>
    <w:rsid w:val="0035170A"/>
    <w:rsid w:val="00351731"/>
    <w:rsid w:val="00351A7E"/>
    <w:rsid w:val="00351BD6"/>
    <w:rsid w:val="003524B0"/>
    <w:rsid w:val="003526C6"/>
    <w:rsid w:val="003527E7"/>
    <w:rsid w:val="00352D65"/>
    <w:rsid w:val="00352D90"/>
    <w:rsid w:val="003534F4"/>
    <w:rsid w:val="00353588"/>
    <w:rsid w:val="0035368D"/>
    <w:rsid w:val="003537F1"/>
    <w:rsid w:val="00353E1D"/>
    <w:rsid w:val="00353E93"/>
    <w:rsid w:val="00353EF0"/>
    <w:rsid w:val="00353F78"/>
    <w:rsid w:val="00354653"/>
    <w:rsid w:val="0035496A"/>
    <w:rsid w:val="003557B7"/>
    <w:rsid w:val="0035683B"/>
    <w:rsid w:val="00356BE5"/>
    <w:rsid w:val="00356D3A"/>
    <w:rsid w:val="0035722E"/>
    <w:rsid w:val="0035744C"/>
    <w:rsid w:val="0035748D"/>
    <w:rsid w:val="00357550"/>
    <w:rsid w:val="00357BA1"/>
    <w:rsid w:val="003605F4"/>
    <w:rsid w:val="00361164"/>
    <w:rsid w:val="00362045"/>
    <w:rsid w:val="003621AD"/>
    <w:rsid w:val="0036262E"/>
    <w:rsid w:val="00362AEB"/>
    <w:rsid w:val="00362EF5"/>
    <w:rsid w:val="0036300A"/>
    <w:rsid w:val="00363A57"/>
    <w:rsid w:val="00363F68"/>
    <w:rsid w:val="00364246"/>
    <w:rsid w:val="003649E9"/>
    <w:rsid w:val="00364A84"/>
    <w:rsid w:val="00365079"/>
    <w:rsid w:val="0036547E"/>
    <w:rsid w:val="00365530"/>
    <w:rsid w:val="00366351"/>
    <w:rsid w:val="00366608"/>
    <w:rsid w:val="00366A02"/>
    <w:rsid w:val="003671D2"/>
    <w:rsid w:val="0036768B"/>
    <w:rsid w:val="0036773C"/>
    <w:rsid w:val="00367B1F"/>
    <w:rsid w:val="00370415"/>
    <w:rsid w:val="003705F2"/>
    <w:rsid w:val="0037078C"/>
    <w:rsid w:val="00370CB3"/>
    <w:rsid w:val="00370D99"/>
    <w:rsid w:val="00370E22"/>
    <w:rsid w:val="00371111"/>
    <w:rsid w:val="00371216"/>
    <w:rsid w:val="0037132A"/>
    <w:rsid w:val="00371857"/>
    <w:rsid w:val="00371991"/>
    <w:rsid w:val="00371BB4"/>
    <w:rsid w:val="003727FE"/>
    <w:rsid w:val="00372A21"/>
    <w:rsid w:val="00372AE6"/>
    <w:rsid w:val="00372C7A"/>
    <w:rsid w:val="00373063"/>
    <w:rsid w:val="00373080"/>
    <w:rsid w:val="003734D4"/>
    <w:rsid w:val="003736CA"/>
    <w:rsid w:val="00373911"/>
    <w:rsid w:val="00373934"/>
    <w:rsid w:val="00373A66"/>
    <w:rsid w:val="00373ABC"/>
    <w:rsid w:val="00373E25"/>
    <w:rsid w:val="00373FCA"/>
    <w:rsid w:val="003746AC"/>
    <w:rsid w:val="003747C9"/>
    <w:rsid w:val="00374822"/>
    <w:rsid w:val="003749BF"/>
    <w:rsid w:val="00374BCC"/>
    <w:rsid w:val="00375284"/>
    <w:rsid w:val="00375873"/>
    <w:rsid w:val="00375DB5"/>
    <w:rsid w:val="0037610F"/>
    <w:rsid w:val="00376204"/>
    <w:rsid w:val="00376A71"/>
    <w:rsid w:val="003770CE"/>
    <w:rsid w:val="00377972"/>
    <w:rsid w:val="003779EE"/>
    <w:rsid w:val="003807EE"/>
    <w:rsid w:val="00380D09"/>
    <w:rsid w:val="00380F81"/>
    <w:rsid w:val="00381148"/>
    <w:rsid w:val="0038170D"/>
    <w:rsid w:val="00381788"/>
    <w:rsid w:val="00381D7C"/>
    <w:rsid w:val="0038203B"/>
    <w:rsid w:val="003821FA"/>
    <w:rsid w:val="0038255D"/>
    <w:rsid w:val="003828BA"/>
    <w:rsid w:val="00382939"/>
    <w:rsid w:val="00383F5F"/>
    <w:rsid w:val="00384555"/>
    <w:rsid w:val="003847F5"/>
    <w:rsid w:val="00384A82"/>
    <w:rsid w:val="00384BF3"/>
    <w:rsid w:val="00384D6A"/>
    <w:rsid w:val="0038519E"/>
    <w:rsid w:val="003853FB"/>
    <w:rsid w:val="0038593C"/>
    <w:rsid w:val="00385CA2"/>
    <w:rsid w:val="00385CBD"/>
    <w:rsid w:val="00386028"/>
    <w:rsid w:val="0038615B"/>
    <w:rsid w:val="00386CBB"/>
    <w:rsid w:val="00386CBF"/>
    <w:rsid w:val="00386F26"/>
    <w:rsid w:val="003870D7"/>
    <w:rsid w:val="00387253"/>
    <w:rsid w:val="003873DE"/>
    <w:rsid w:val="00387526"/>
    <w:rsid w:val="00387884"/>
    <w:rsid w:val="00387A6E"/>
    <w:rsid w:val="0039008A"/>
    <w:rsid w:val="003906D3"/>
    <w:rsid w:val="00390B95"/>
    <w:rsid w:val="00390D8F"/>
    <w:rsid w:val="003913A9"/>
    <w:rsid w:val="00391BBA"/>
    <w:rsid w:val="00391D88"/>
    <w:rsid w:val="0039272A"/>
    <w:rsid w:val="00392886"/>
    <w:rsid w:val="00392CF8"/>
    <w:rsid w:val="00392D7B"/>
    <w:rsid w:val="00392F64"/>
    <w:rsid w:val="00392FAA"/>
    <w:rsid w:val="003934E6"/>
    <w:rsid w:val="003936FE"/>
    <w:rsid w:val="0039391E"/>
    <w:rsid w:val="00393A8D"/>
    <w:rsid w:val="00393BD6"/>
    <w:rsid w:val="00393D55"/>
    <w:rsid w:val="00393EA4"/>
    <w:rsid w:val="00394061"/>
    <w:rsid w:val="00394398"/>
    <w:rsid w:val="00394CA6"/>
    <w:rsid w:val="00394F18"/>
    <w:rsid w:val="003950B0"/>
    <w:rsid w:val="0039534A"/>
    <w:rsid w:val="003956A2"/>
    <w:rsid w:val="00395754"/>
    <w:rsid w:val="00396226"/>
    <w:rsid w:val="00396890"/>
    <w:rsid w:val="00396B88"/>
    <w:rsid w:val="00397264"/>
    <w:rsid w:val="0039736F"/>
    <w:rsid w:val="00397557"/>
    <w:rsid w:val="00397F46"/>
    <w:rsid w:val="003A008F"/>
    <w:rsid w:val="003A0AA5"/>
    <w:rsid w:val="003A1464"/>
    <w:rsid w:val="003A1E87"/>
    <w:rsid w:val="003A20AA"/>
    <w:rsid w:val="003A2EF8"/>
    <w:rsid w:val="003A3447"/>
    <w:rsid w:val="003A3513"/>
    <w:rsid w:val="003A38CC"/>
    <w:rsid w:val="003A3C7F"/>
    <w:rsid w:val="003A3D3F"/>
    <w:rsid w:val="003A3D52"/>
    <w:rsid w:val="003A3D9F"/>
    <w:rsid w:val="003A3DC3"/>
    <w:rsid w:val="003A440C"/>
    <w:rsid w:val="003A44F5"/>
    <w:rsid w:val="003A4AC7"/>
    <w:rsid w:val="003A51C6"/>
    <w:rsid w:val="003A53B6"/>
    <w:rsid w:val="003A564B"/>
    <w:rsid w:val="003A5970"/>
    <w:rsid w:val="003A5B4D"/>
    <w:rsid w:val="003A6A55"/>
    <w:rsid w:val="003A7480"/>
    <w:rsid w:val="003A75A9"/>
    <w:rsid w:val="003A75F5"/>
    <w:rsid w:val="003A78A7"/>
    <w:rsid w:val="003A78E6"/>
    <w:rsid w:val="003A7A9A"/>
    <w:rsid w:val="003B00EA"/>
    <w:rsid w:val="003B010A"/>
    <w:rsid w:val="003B0263"/>
    <w:rsid w:val="003B038F"/>
    <w:rsid w:val="003B0A88"/>
    <w:rsid w:val="003B0B27"/>
    <w:rsid w:val="003B126D"/>
    <w:rsid w:val="003B140C"/>
    <w:rsid w:val="003B153B"/>
    <w:rsid w:val="003B1857"/>
    <w:rsid w:val="003B1E6B"/>
    <w:rsid w:val="003B1FA4"/>
    <w:rsid w:val="003B22E9"/>
    <w:rsid w:val="003B243A"/>
    <w:rsid w:val="003B248C"/>
    <w:rsid w:val="003B34D4"/>
    <w:rsid w:val="003B374A"/>
    <w:rsid w:val="003B39F0"/>
    <w:rsid w:val="003B3A2A"/>
    <w:rsid w:val="003B3B1E"/>
    <w:rsid w:val="003B3E70"/>
    <w:rsid w:val="003B4227"/>
    <w:rsid w:val="003B4980"/>
    <w:rsid w:val="003B4F2D"/>
    <w:rsid w:val="003B558E"/>
    <w:rsid w:val="003B5799"/>
    <w:rsid w:val="003B686F"/>
    <w:rsid w:val="003B69DA"/>
    <w:rsid w:val="003B6BBA"/>
    <w:rsid w:val="003B6C43"/>
    <w:rsid w:val="003B6C4A"/>
    <w:rsid w:val="003B72DB"/>
    <w:rsid w:val="003B7621"/>
    <w:rsid w:val="003B7721"/>
    <w:rsid w:val="003B773D"/>
    <w:rsid w:val="003B77DA"/>
    <w:rsid w:val="003C042B"/>
    <w:rsid w:val="003C0975"/>
    <w:rsid w:val="003C09A2"/>
    <w:rsid w:val="003C1032"/>
    <w:rsid w:val="003C118E"/>
    <w:rsid w:val="003C1664"/>
    <w:rsid w:val="003C19EB"/>
    <w:rsid w:val="003C1BBC"/>
    <w:rsid w:val="003C1C19"/>
    <w:rsid w:val="003C1CFC"/>
    <w:rsid w:val="003C1E3D"/>
    <w:rsid w:val="003C234E"/>
    <w:rsid w:val="003C23CA"/>
    <w:rsid w:val="003C2409"/>
    <w:rsid w:val="003C27A2"/>
    <w:rsid w:val="003C2C05"/>
    <w:rsid w:val="003C2D41"/>
    <w:rsid w:val="003C2F7C"/>
    <w:rsid w:val="003C35B8"/>
    <w:rsid w:val="003C36B3"/>
    <w:rsid w:val="003C380A"/>
    <w:rsid w:val="003C3850"/>
    <w:rsid w:val="003C3963"/>
    <w:rsid w:val="003C3B73"/>
    <w:rsid w:val="003C3E20"/>
    <w:rsid w:val="003C400A"/>
    <w:rsid w:val="003C4323"/>
    <w:rsid w:val="003C495F"/>
    <w:rsid w:val="003C554A"/>
    <w:rsid w:val="003C5635"/>
    <w:rsid w:val="003C5C5B"/>
    <w:rsid w:val="003C62EE"/>
    <w:rsid w:val="003C6664"/>
    <w:rsid w:val="003C66C2"/>
    <w:rsid w:val="003C681E"/>
    <w:rsid w:val="003C6D74"/>
    <w:rsid w:val="003C7323"/>
    <w:rsid w:val="003C76A1"/>
    <w:rsid w:val="003C7909"/>
    <w:rsid w:val="003C7B38"/>
    <w:rsid w:val="003C7BBC"/>
    <w:rsid w:val="003C7E0E"/>
    <w:rsid w:val="003C7F19"/>
    <w:rsid w:val="003D06F5"/>
    <w:rsid w:val="003D0959"/>
    <w:rsid w:val="003D0EDD"/>
    <w:rsid w:val="003D173E"/>
    <w:rsid w:val="003D1B46"/>
    <w:rsid w:val="003D1E17"/>
    <w:rsid w:val="003D1E3D"/>
    <w:rsid w:val="003D229E"/>
    <w:rsid w:val="003D22D5"/>
    <w:rsid w:val="003D24D7"/>
    <w:rsid w:val="003D24DE"/>
    <w:rsid w:val="003D2B4B"/>
    <w:rsid w:val="003D2BAD"/>
    <w:rsid w:val="003D2DA4"/>
    <w:rsid w:val="003D2E71"/>
    <w:rsid w:val="003D3521"/>
    <w:rsid w:val="003D39BC"/>
    <w:rsid w:val="003D3A9B"/>
    <w:rsid w:val="003D3BE4"/>
    <w:rsid w:val="003D3D3A"/>
    <w:rsid w:val="003D3D84"/>
    <w:rsid w:val="003D3DF6"/>
    <w:rsid w:val="003D3F4C"/>
    <w:rsid w:val="003D3FE8"/>
    <w:rsid w:val="003D4218"/>
    <w:rsid w:val="003D42CA"/>
    <w:rsid w:val="003D43DA"/>
    <w:rsid w:val="003D47D9"/>
    <w:rsid w:val="003D48A4"/>
    <w:rsid w:val="003D4BB1"/>
    <w:rsid w:val="003D4FA6"/>
    <w:rsid w:val="003D5083"/>
    <w:rsid w:val="003D51FF"/>
    <w:rsid w:val="003D5264"/>
    <w:rsid w:val="003D5AE3"/>
    <w:rsid w:val="003D5EB1"/>
    <w:rsid w:val="003D608F"/>
    <w:rsid w:val="003D6201"/>
    <w:rsid w:val="003D6608"/>
    <w:rsid w:val="003D6DFF"/>
    <w:rsid w:val="003D7683"/>
    <w:rsid w:val="003D7973"/>
    <w:rsid w:val="003D7979"/>
    <w:rsid w:val="003D7E78"/>
    <w:rsid w:val="003E0034"/>
    <w:rsid w:val="003E0177"/>
    <w:rsid w:val="003E03FF"/>
    <w:rsid w:val="003E06F0"/>
    <w:rsid w:val="003E09B7"/>
    <w:rsid w:val="003E0B58"/>
    <w:rsid w:val="003E15C5"/>
    <w:rsid w:val="003E15FC"/>
    <w:rsid w:val="003E17C5"/>
    <w:rsid w:val="003E1B37"/>
    <w:rsid w:val="003E1BA7"/>
    <w:rsid w:val="003E1E28"/>
    <w:rsid w:val="003E2189"/>
    <w:rsid w:val="003E21F2"/>
    <w:rsid w:val="003E2231"/>
    <w:rsid w:val="003E2500"/>
    <w:rsid w:val="003E2654"/>
    <w:rsid w:val="003E2D16"/>
    <w:rsid w:val="003E2D5F"/>
    <w:rsid w:val="003E3304"/>
    <w:rsid w:val="003E3448"/>
    <w:rsid w:val="003E3471"/>
    <w:rsid w:val="003E3495"/>
    <w:rsid w:val="003E37ED"/>
    <w:rsid w:val="003E37F4"/>
    <w:rsid w:val="003E386F"/>
    <w:rsid w:val="003E3947"/>
    <w:rsid w:val="003E3955"/>
    <w:rsid w:val="003E3E42"/>
    <w:rsid w:val="003E465D"/>
    <w:rsid w:val="003E4C63"/>
    <w:rsid w:val="003E4D0E"/>
    <w:rsid w:val="003E4F50"/>
    <w:rsid w:val="003E5147"/>
    <w:rsid w:val="003E522B"/>
    <w:rsid w:val="003E5376"/>
    <w:rsid w:val="003E5530"/>
    <w:rsid w:val="003E55A9"/>
    <w:rsid w:val="003E5938"/>
    <w:rsid w:val="003E5C80"/>
    <w:rsid w:val="003E5DD4"/>
    <w:rsid w:val="003E61DA"/>
    <w:rsid w:val="003E6558"/>
    <w:rsid w:val="003E6756"/>
    <w:rsid w:val="003E68BD"/>
    <w:rsid w:val="003E6F05"/>
    <w:rsid w:val="003E6F32"/>
    <w:rsid w:val="003E6FBE"/>
    <w:rsid w:val="003E7176"/>
    <w:rsid w:val="003E7809"/>
    <w:rsid w:val="003E7A46"/>
    <w:rsid w:val="003E7C5C"/>
    <w:rsid w:val="003F04C1"/>
    <w:rsid w:val="003F08DD"/>
    <w:rsid w:val="003F0C9D"/>
    <w:rsid w:val="003F0D09"/>
    <w:rsid w:val="003F0D84"/>
    <w:rsid w:val="003F11BE"/>
    <w:rsid w:val="003F165A"/>
    <w:rsid w:val="003F1A29"/>
    <w:rsid w:val="003F1ABC"/>
    <w:rsid w:val="003F21A9"/>
    <w:rsid w:val="003F2221"/>
    <w:rsid w:val="003F2356"/>
    <w:rsid w:val="003F2424"/>
    <w:rsid w:val="003F24DB"/>
    <w:rsid w:val="003F26F6"/>
    <w:rsid w:val="003F2A5C"/>
    <w:rsid w:val="003F2FD3"/>
    <w:rsid w:val="003F33C6"/>
    <w:rsid w:val="003F3800"/>
    <w:rsid w:val="003F3855"/>
    <w:rsid w:val="003F3900"/>
    <w:rsid w:val="003F3BD0"/>
    <w:rsid w:val="003F3C25"/>
    <w:rsid w:val="003F3DE2"/>
    <w:rsid w:val="003F420B"/>
    <w:rsid w:val="003F4366"/>
    <w:rsid w:val="003F4537"/>
    <w:rsid w:val="003F47EF"/>
    <w:rsid w:val="003F4884"/>
    <w:rsid w:val="003F4C9A"/>
    <w:rsid w:val="003F52AD"/>
    <w:rsid w:val="003F560D"/>
    <w:rsid w:val="003F5690"/>
    <w:rsid w:val="003F5D3E"/>
    <w:rsid w:val="003F6088"/>
    <w:rsid w:val="003F612F"/>
    <w:rsid w:val="003F6983"/>
    <w:rsid w:val="003F6DFE"/>
    <w:rsid w:val="003F72E0"/>
    <w:rsid w:val="003F7ABB"/>
    <w:rsid w:val="003F7AE7"/>
    <w:rsid w:val="003F7D3A"/>
    <w:rsid w:val="0040015F"/>
    <w:rsid w:val="00400763"/>
    <w:rsid w:val="0040077A"/>
    <w:rsid w:val="00401210"/>
    <w:rsid w:val="00401ABB"/>
    <w:rsid w:val="00401EFC"/>
    <w:rsid w:val="0040200E"/>
    <w:rsid w:val="004024B0"/>
    <w:rsid w:val="0040258E"/>
    <w:rsid w:val="00402C83"/>
    <w:rsid w:val="00402DE3"/>
    <w:rsid w:val="00403474"/>
    <w:rsid w:val="004037D1"/>
    <w:rsid w:val="0040385D"/>
    <w:rsid w:val="00403D72"/>
    <w:rsid w:val="00403F22"/>
    <w:rsid w:val="004042C6"/>
    <w:rsid w:val="0040446F"/>
    <w:rsid w:val="0040478A"/>
    <w:rsid w:val="00404DF8"/>
    <w:rsid w:val="004050A6"/>
    <w:rsid w:val="00405529"/>
    <w:rsid w:val="004055F7"/>
    <w:rsid w:val="00405958"/>
    <w:rsid w:val="00405E9A"/>
    <w:rsid w:val="00406657"/>
    <w:rsid w:val="004067A3"/>
    <w:rsid w:val="0040696A"/>
    <w:rsid w:val="00406EB0"/>
    <w:rsid w:val="004072A8"/>
    <w:rsid w:val="0040790E"/>
    <w:rsid w:val="00407A23"/>
    <w:rsid w:val="004103D7"/>
    <w:rsid w:val="00410B40"/>
    <w:rsid w:val="00410F1F"/>
    <w:rsid w:val="00410F40"/>
    <w:rsid w:val="00410F7D"/>
    <w:rsid w:val="00411200"/>
    <w:rsid w:val="004112AA"/>
    <w:rsid w:val="0041155F"/>
    <w:rsid w:val="0041191B"/>
    <w:rsid w:val="00411B8A"/>
    <w:rsid w:val="00411C4A"/>
    <w:rsid w:val="00411FE1"/>
    <w:rsid w:val="0041220C"/>
    <w:rsid w:val="004124FE"/>
    <w:rsid w:val="00412D71"/>
    <w:rsid w:val="004132CE"/>
    <w:rsid w:val="0041354D"/>
    <w:rsid w:val="00413C53"/>
    <w:rsid w:val="00414152"/>
    <w:rsid w:val="004143A8"/>
    <w:rsid w:val="004143FD"/>
    <w:rsid w:val="0041469D"/>
    <w:rsid w:val="00414990"/>
    <w:rsid w:val="00414E56"/>
    <w:rsid w:val="004153CC"/>
    <w:rsid w:val="004155C6"/>
    <w:rsid w:val="00415715"/>
    <w:rsid w:val="0041573B"/>
    <w:rsid w:val="00415D41"/>
    <w:rsid w:val="00415F03"/>
    <w:rsid w:val="00416216"/>
    <w:rsid w:val="00416B07"/>
    <w:rsid w:val="00416C5B"/>
    <w:rsid w:val="00416E6C"/>
    <w:rsid w:val="00416F0A"/>
    <w:rsid w:val="004170B8"/>
    <w:rsid w:val="004175EE"/>
    <w:rsid w:val="00417DA3"/>
    <w:rsid w:val="00417FF2"/>
    <w:rsid w:val="004200F5"/>
    <w:rsid w:val="00420272"/>
    <w:rsid w:val="00420294"/>
    <w:rsid w:val="004205B3"/>
    <w:rsid w:val="004205BA"/>
    <w:rsid w:val="00420AB8"/>
    <w:rsid w:val="00420B41"/>
    <w:rsid w:val="004212BB"/>
    <w:rsid w:val="004212E8"/>
    <w:rsid w:val="00421A4C"/>
    <w:rsid w:val="00421C9C"/>
    <w:rsid w:val="00421CEE"/>
    <w:rsid w:val="0042241F"/>
    <w:rsid w:val="00422444"/>
    <w:rsid w:val="00422A2D"/>
    <w:rsid w:val="00422A5C"/>
    <w:rsid w:val="00422B70"/>
    <w:rsid w:val="00422ED3"/>
    <w:rsid w:val="00423173"/>
    <w:rsid w:val="0042319F"/>
    <w:rsid w:val="004233B7"/>
    <w:rsid w:val="0042346A"/>
    <w:rsid w:val="00423497"/>
    <w:rsid w:val="00423650"/>
    <w:rsid w:val="00423A79"/>
    <w:rsid w:val="00423CD8"/>
    <w:rsid w:val="0042472C"/>
    <w:rsid w:val="00424A37"/>
    <w:rsid w:val="00424A51"/>
    <w:rsid w:val="00425056"/>
    <w:rsid w:val="0042506C"/>
    <w:rsid w:val="004252C9"/>
    <w:rsid w:val="00425B44"/>
    <w:rsid w:val="00425B55"/>
    <w:rsid w:val="00425E39"/>
    <w:rsid w:val="00425E95"/>
    <w:rsid w:val="00425F38"/>
    <w:rsid w:val="00425FCD"/>
    <w:rsid w:val="00426D48"/>
    <w:rsid w:val="00426E6D"/>
    <w:rsid w:val="004272E1"/>
    <w:rsid w:val="00427B53"/>
    <w:rsid w:val="0043080A"/>
    <w:rsid w:val="00430E7F"/>
    <w:rsid w:val="00430F5C"/>
    <w:rsid w:val="004311AC"/>
    <w:rsid w:val="004318DD"/>
    <w:rsid w:val="00431B0D"/>
    <w:rsid w:val="00431CBF"/>
    <w:rsid w:val="00431CEB"/>
    <w:rsid w:val="00432A30"/>
    <w:rsid w:val="00432C69"/>
    <w:rsid w:val="00432DD6"/>
    <w:rsid w:val="0043340C"/>
    <w:rsid w:val="00433727"/>
    <w:rsid w:val="0043374C"/>
    <w:rsid w:val="00433ECD"/>
    <w:rsid w:val="0043411B"/>
    <w:rsid w:val="0043491E"/>
    <w:rsid w:val="00434D61"/>
    <w:rsid w:val="00434E18"/>
    <w:rsid w:val="00435054"/>
    <w:rsid w:val="004354D5"/>
    <w:rsid w:val="00435E77"/>
    <w:rsid w:val="00436D38"/>
    <w:rsid w:val="00436E4B"/>
    <w:rsid w:val="004374CD"/>
    <w:rsid w:val="00437588"/>
    <w:rsid w:val="004376E7"/>
    <w:rsid w:val="004378BC"/>
    <w:rsid w:val="00437A30"/>
    <w:rsid w:val="00437E34"/>
    <w:rsid w:val="004400BC"/>
    <w:rsid w:val="004403C8"/>
    <w:rsid w:val="00440763"/>
    <w:rsid w:val="00440EB0"/>
    <w:rsid w:val="004412CE"/>
    <w:rsid w:val="00441352"/>
    <w:rsid w:val="00441396"/>
    <w:rsid w:val="004417ED"/>
    <w:rsid w:val="00441862"/>
    <w:rsid w:val="0044212B"/>
    <w:rsid w:val="00442BC2"/>
    <w:rsid w:val="00442FC0"/>
    <w:rsid w:val="004434C9"/>
    <w:rsid w:val="0044391B"/>
    <w:rsid w:val="00443BB3"/>
    <w:rsid w:val="00443BB6"/>
    <w:rsid w:val="00443F66"/>
    <w:rsid w:val="004440E0"/>
    <w:rsid w:val="0044434E"/>
    <w:rsid w:val="0044435C"/>
    <w:rsid w:val="004443F4"/>
    <w:rsid w:val="004444E4"/>
    <w:rsid w:val="004445B1"/>
    <w:rsid w:val="004448C6"/>
    <w:rsid w:val="00444917"/>
    <w:rsid w:val="0044491E"/>
    <w:rsid w:val="00444D0E"/>
    <w:rsid w:val="00444DAE"/>
    <w:rsid w:val="00445605"/>
    <w:rsid w:val="00445DFA"/>
    <w:rsid w:val="00445F5B"/>
    <w:rsid w:val="00446489"/>
    <w:rsid w:val="004466E0"/>
    <w:rsid w:val="00447465"/>
    <w:rsid w:val="00447AFB"/>
    <w:rsid w:val="00447F91"/>
    <w:rsid w:val="0045013F"/>
    <w:rsid w:val="004505E7"/>
    <w:rsid w:val="00450651"/>
    <w:rsid w:val="00450A55"/>
    <w:rsid w:val="00450BCB"/>
    <w:rsid w:val="004513C2"/>
    <w:rsid w:val="0045158A"/>
    <w:rsid w:val="00452259"/>
    <w:rsid w:val="00452DCC"/>
    <w:rsid w:val="00453060"/>
    <w:rsid w:val="00453477"/>
    <w:rsid w:val="00453837"/>
    <w:rsid w:val="00453863"/>
    <w:rsid w:val="00453B89"/>
    <w:rsid w:val="00454018"/>
    <w:rsid w:val="004542A1"/>
    <w:rsid w:val="00454507"/>
    <w:rsid w:val="00454640"/>
    <w:rsid w:val="00454D4B"/>
    <w:rsid w:val="00454F85"/>
    <w:rsid w:val="0045513B"/>
    <w:rsid w:val="0045554E"/>
    <w:rsid w:val="004555C8"/>
    <w:rsid w:val="00455DE6"/>
    <w:rsid w:val="0045702F"/>
    <w:rsid w:val="0045728D"/>
    <w:rsid w:val="0045738F"/>
    <w:rsid w:val="004575E6"/>
    <w:rsid w:val="0045760A"/>
    <w:rsid w:val="004577CC"/>
    <w:rsid w:val="00457E27"/>
    <w:rsid w:val="004601EB"/>
    <w:rsid w:val="004606A6"/>
    <w:rsid w:val="00461079"/>
    <w:rsid w:val="00461347"/>
    <w:rsid w:val="00461772"/>
    <w:rsid w:val="00462927"/>
    <w:rsid w:val="00462981"/>
    <w:rsid w:val="0046298E"/>
    <w:rsid w:val="004629AB"/>
    <w:rsid w:val="0046326D"/>
    <w:rsid w:val="004634A3"/>
    <w:rsid w:val="00463DD3"/>
    <w:rsid w:val="0046410B"/>
    <w:rsid w:val="0046472A"/>
    <w:rsid w:val="00464778"/>
    <w:rsid w:val="00464BB9"/>
    <w:rsid w:val="00464D5E"/>
    <w:rsid w:val="00465005"/>
    <w:rsid w:val="0046566D"/>
    <w:rsid w:val="004657C4"/>
    <w:rsid w:val="004659EA"/>
    <w:rsid w:val="0046650C"/>
    <w:rsid w:val="0046693F"/>
    <w:rsid w:val="00466D9A"/>
    <w:rsid w:val="00466E57"/>
    <w:rsid w:val="00467115"/>
    <w:rsid w:val="00467468"/>
    <w:rsid w:val="0046760E"/>
    <w:rsid w:val="00467E36"/>
    <w:rsid w:val="00467EC6"/>
    <w:rsid w:val="0047031F"/>
    <w:rsid w:val="00470AB7"/>
    <w:rsid w:val="00470BED"/>
    <w:rsid w:val="00470EA3"/>
    <w:rsid w:val="00470FCF"/>
    <w:rsid w:val="004710B8"/>
    <w:rsid w:val="0047123D"/>
    <w:rsid w:val="00471744"/>
    <w:rsid w:val="004719E8"/>
    <w:rsid w:val="004729A2"/>
    <w:rsid w:val="00472B8D"/>
    <w:rsid w:val="00472D90"/>
    <w:rsid w:val="00473868"/>
    <w:rsid w:val="004740B1"/>
    <w:rsid w:val="00474549"/>
    <w:rsid w:val="004747D7"/>
    <w:rsid w:val="00474A04"/>
    <w:rsid w:val="0047534C"/>
    <w:rsid w:val="00475376"/>
    <w:rsid w:val="00475491"/>
    <w:rsid w:val="0047570E"/>
    <w:rsid w:val="00475897"/>
    <w:rsid w:val="00475C4B"/>
    <w:rsid w:val="00475FFD"/>
    <w:rsid w:val="0047610D"/>
    <w:rsid w:val="004761D6"/>
    <w:rsid w:val="00476638"/>
    <w:rsid w:val="004767AE"/>
    <w:rsid w:val="00476940"/>
    <w:rsid w:val="00476A0C"/>
    <w:rsid w:val="00476B9B"/>
    <w:rsid w:val="00476EA1"/>
    <w:rsid w:val="00476FE6"/>
    <w:rsid w:val="00477661"/>
    <w:rsid w:val="00477A6A"/>
    <w:rsid w:val="00480525"/>
    <w:rsid w:val="0048054C"/>
    <w:rsid w:val="0048057C"/>
    <w:rsid w:val="00480FAE"/>
    <w:rsid w:val="00480FDF"/>
    <w:rsid w:val="00481171"/>
    <w:rsid w:val="004811E0"/>
    <w:rsid w:val="004812F0"/>
    <w:rsid w:val="00481610"/>
    <w:rsid w:val="004819DB"/>
    <w:rsid w:val="00481A39"/>
    <w:rsid w:val="00481ABF"/>
    <w:rsid w:val="00481B07"/>
    <w:rsid w:val="00481D0E"/>
    <w:rsid w:val="00481D3F"/>
    <w:rsid w:val="00481E5B"/>
    <w:rsid w:val="00482461"/>
    <w:rsid w:val="00482561"/>
    <w:rsid w:val="00483199"/>
    <w:rsid w:val="0048394B"/>
    <w:rsid w:val="00483E7A"/>
    <w:rsid w:val="0048427F"/>
    <w:rsid w:val="004847DC"/>
    <w:rsid w:val="00484FB0"/>
    <w:rsid w:val="004855BF"/>
    <w:rsid w:val="00485ADB"/>
    <w:rsid w:val="00486272"/>
    <w:rsid w:val="00486433"/>
    <w:rsid w:val="00486DC2"/>
    <w:rsid w:val="004873D3"/>
    <w:rsid w:val="004876F8"/>
    <w:rsid w:val="004877EB"/>
    <w:rsid w:val="0048793E"/>
    <w:rsid w:val="00487A0A"/>
    <w:rsid w:val="00487B07"/>
    <w:rsid w:val="00487ED7"/>
    <w:rsid w:val="00490220"/>
    <w:rsid w:val="00490679"/>
    <w:rsid w:val="0049092B"/>
    <w:rsid w:val="00490BB6"/>
    <w:rsid w:val="004912D4"/>
    <w:rsid w:val="004917DE"/>
    <w:rsid w:val="00491835"/>
    <w:rsid w:val="00491AD2"/>
    <w:rsid w:val="00492556"/>
    <w:rsid w:val="004928B0"/>
    <w:rsid w:val="00492C40"/>
    <w:rsid w:val="004930CC"/>
    <w:rsid w:val="00493343"/>
    <w:rsid w:val="00493C82"/>
    <w:rsid w:val="00493EEF"/>
    <w:rsid w:val="00493F3B"/>
    <w:rsid w:val="00494185"/>
    <w:rsid w:val="004941B4"/>
    <w:rsid w:val="0049452C"/>
    <w:rsid w:val="00494A95"/>
    <w:rsid w:val="00495870"/>
    <w:rsid w:val="00495A89"/>
    <w:rsid w:val="00495C8E"/>
    <w:rsid w:val="00495D2C"/>
    <w:rsid w:val="00496795"/>
    <w:rsid w:val="0049691D"/>
    <w:rsid w:val="00496AB8"/>
    <w:rsid w:val="00496ACA"/>
    <w:rsid w:val="00497065"/>
    <w:rsid w:val="00497082"/>
    <w:rsid w:val="004970AD"/>
    <w:rsid w:val="004974CF"/>
    <w:rsid w:val="004974FF"/>
    <w:rsid w:val="004978C1"/>
    <w:rsid w:val="00497AE2"/>
    <w:rsid w:val="004A0168"/>
    <w:rsid w:val="004A01CF"/>
    <w:rsid w:val="004A0336"/>
    <w:rsid w:val="004A034E"/>
    <w:rsid w:val="004A03AD"/>
    <w:rsid w:val="004A057E"/>
    <w:rsid w:val="004A06D9"/>
    <w:rsid w:val="004A0781"/>
    <w:rsid w:val="004A0BFD"/>
    <w:rsid w:val="004A0E6E"/>
    <w:rsid w:val="004A11C9"/>
    <w:rsid w:val="004A14E9"/>
    <w:rsid w:val="004A151A"/>
    <w:rsid w:val="004A1CBC"/>
    <w:rsid w:val="004A219B"/>
    <w:rsid w:val="004A2E86"/>
    <w:rsid w:val="004A312D"/>
    <w:rsid w:val="004A3329"/>
    <w:rsid w:val="004A3CCD"/>
    <w:rsid w:val="004A3D96"/>
    <w:rsid w:val="004A3E75"/>
    <w:rsid w:val="004A3FD8"/>
    <w:rsid w:val="004A4020"/>
    <w:rsid w:val="004A404E"/>
    <w:rsid w:val="004A4188"/>
    <w:rsid w:val="004A492E"/>
    <w:rsid w:val="004A4D99"/>
    <w:rsid w:val="004A4E60"/>
    <w:rsid w:val="004A4EC7"/>
    <w:rsid w:val="004A51A7"/>
    <w:rsid w:val="004A51D4"/>
    <w:rsid w:val="004A5483"/>
    <w:rsid w:val="004A56ED"/>
    <w:rsid w:val="004A571D"/>
    <w:rsid w:val="004A5980"/>
    <w:rsid w:val="004A5C74"/>
    <w:rsid w:val="004A6327"/>
    <w:rsid w:val="004A63B7"/>
    <w:rsid w:val="004A6484"/>
    <w:rsid w:val="004A6F7E"/>
    <w:rsid w:val="004A7053"/>
    <w:rsid w:val="004A73E0"/>
    <w:rsid w:val="004A7602"/>
    <w:rsid w:val="004A76DC"/>
    <w:rsid w:val="004A7CE0"/>
    <w:rsid w:val="004A7FED"/>
    <w:rsid w:val="004B058F"/>
    <w:rsid w:val="004B07C6"/>
    <w:rsid w:val="004B08B2"/>
    <w:rsid w:val="004B1166"/>
    <w:rsid w:val="004B1267"/>
    <w:rsid w:val="004B13F5"/>
    <w:rsid w:val="004B19B1"/>
    <w:rsid w:val="004B1E9E"/>
    <w:rsid w:val="004B20D1"/>
    <w:rsid w:val="004B2642"/>
    <w:rsid w:val="004B269D"/>
    <w:rsid w:val="004B282B"/>
    <w:rsid w:val="004B2B05"/>
    <w:rsid w:val="004B2CFD"/>
    <w:rsid w:val="004B316C"/>
    <w:rsid w:val="004B3181"/>
    <w:rsid w:val="004B360E"/>
    <w:rsid w:val="004B369C"/>
    <w:rsid w:val="004B382E"/>
    <w:rsid w:val="004B459B"/>
    <w:rsid w:val="004B4AEA"/>
    <w:rsid w:val="004B4B8B"/>
    <w:rsid w:val="004B4DBB"/>
    <w:rsid w:val="004B56F9"/>
    <w:rsid w:val="004B58B6"/>
    <w:rsid w:val="004B5AD7"/>
    <w:rsid w:val="004B5D69"/>
    <w:rsid w:val="004B5E42"/>
    <w:rsid w:val="004B5ED6"/>
    <w:rsid w:val="004B5F11"/>
    <w:rsid w:val="004B633B"/>
    <w:rsid w:val="004B6742"/>
    <w:rsid w:val="004B67EA"/>
    <w:rsid w:val="004B7586"/>
    <w:rsid w:val="004B7768"/>
    <w:rsid w:val="004B7849"/>
    <w:rsid w:val="004B7AD8"/>
    <w:rsid w:val="004B7B38"/>
    <w:rsid w:val="004B7BDF"/>
    <w:rsid w:val="004B7C52"/>
    <w:rsid w:val="004B7C8C"/>
    <w:rsid w:val="004B7DCF"/>
    <w:rsid w:val="004B7DDC"/>
    <w:rsid w:val="004C0BFB"/>
    <w:rsid w:val="004C1309"/>
    <w:rsid w:val="004C1AC4"/>
    <w:rsid w:val="004C287D"/>
    <w:rsid w:val="004C30F0"/>
    <w:rsid w:val="004C31C8"/>
    <w:rsid w:val="004C33E2"/>
    <w:rsid w:val="004C3789"/>
    <w:rsid w:val="004C39E7"/>
    <w:rsid w:val="004C3F22"/>
    <w:rsid w:val="004C3FDD"/>
    <w:rsid w:val="004C3FEA"/>
    <w:rsid w:val="004C42C7"/>
    <w:rsid w:val="004C4F9D"/>
    <w:rsid w:val="004C50AB"/>
    <w:rsid w:val="004C525B"/>
    <w:rsid w:val="004C615B"/>
    <w:rsid w:val="004C6341"/>
    <w:rsid w:val="004C6857"/>
    <w:rsid w:val="004C6BA0"/>
    <w:rsid w:val="004C7106"/>
    <w:rsid w:val="004C7810"/>
    <w:rsid w:val="004C7AD9"/>
    <w:rsid w:val="004D0354"/>
    <w:rsid w:val="004D08AF"/>
    <w:rsid w:val="004D0E53"/>
    <w:rsid w:val="004D0EB6"/>
    <w:rsid w:val="004D12E8"/>
    <w:rsid w:val="004D1770"/>
    <w:rsid w:val="004D1965"/>
    <w:rsid w:val="004D1A88"/>
    <w:rsid w:val="004D1B4A"/>
    <w:rsid w:val="004D1CCA"/>
    <w:rsid w:val="004D22F0"/>
    <w:rsid w:val="004D2342"/>
    <w:rsid w:val="004D26B2"/>
    <w:rsid w:val="004D2DED"/>
    <w:rsid w:val="004D2E45"/>
    <w:rsid w:val="004D3634"/>
    <w:rsid w:val="004D36B3"/>
    <w:rsid w:val="004D37A1"/>
    <w:rsid w:val="004D3A05"/>
    <w:rsid w:val="004D3E32"/>
    <w:rsid w:val="004D439C"/>
    <w:rsid w:val="004D497D"/>
    <w:rsid w:val="004D4C48"/>
    <w:rsid w:val="004D4EAD"/>
    <w:rsid w:val="004D52E6"/>
    <w:rsid w:val="004D53AC"/>
    <w:rsid w:val="004D5AA0"/>
    <w:rsid w:val="004D5C94"/>
    <w:rsid w:val="004D5D61"/>
    <w:rsid w:val="004D60EB"/>
    <w:rsid w:val="004D614F"/>
    <w:rsid w:val="004D640C"/>
    <w:rsid w:val="004D67F9"/>
    <w:rsid w:val="004D6860"/>
    <w:rsid w:val="004D69B4"/>
    <w:rsid w:val="004D715C"/>
    <w:rsid w:val="004D78CB"/>
    <w:rsid w:val="004D7989"/>
    <w:rsid w:val="004D7B8D"/>
    <w:rsid w:val="004D7C30"/>
    <w:rsid w:val="004D7CD2"/>
    <w:rsid w:val="004D7EAE"/>
    <w:rsid w:val="004E00A3"/>
    <w:rsid w:val="004E049F"/>
    <w:rsid w:val="004E0623"/>
    <w:rsid w:val="004E089A"/>
    <w:rsid w:val="004E09B6"/>
    <w:rsid w:val="004E1230"/>
    <w:rsid w:val="004E2618"/>
    <w:rsid w:val="004E2A69"/>
    <w:rsid w:val="004E2BFF"/>
    <w:rsid w:val="004E2F97"/>
    <w:rsid w:val="004E3582"/>
    <w:rsid w:val="004E385E"/>
    <w:rsid w:val="004E3A1A"/>
    <w:rsid w:val="004E3C56"/>
    <w:rsid w:val="004E3DB4"/>
    <w:rsid w:val="004E4111"/>
    <w:rsid w:val="004E4285"/>
    <w:rsid w:val="004E43C3"/>
    <w:rsid w:val="004E4AFF"/>
    <w:rsid w:val="004E5034"/>
    <w:rsid w:val="004E5069"/>
    <w:rsid w:val="004E56F4"/>
    <w:rsid w:val="004E5735"/>
    <w:rsid w:val="004E57B0"/>
    <w:rsid w:val="004E5A20"/>
    <w:rsid w:val="004E6283"/>
    <w:rsid w:val="004E6542"/>
    <w:rsid w:val="004E678D"/>
    <w:rsid w:val="004E687B"/>
    <w:rsid w:val="004E7512"/>
    <w:rsid w:val="004E7DD5"/>
    <w:rsid w:val="004E7F54"/>
    <w:rsid w:val="004F0066"/>
    <w:rsid w:val="004F01B1"/>
    <w:rsid w:val="004F075B"/>
    <w:rsid w:val="004F0C0D"/>
    <w:rsid w:val="004F0FDE"/>
    <w:rsid w:val="004F1432"/>
    <w:rsid w:val="004F1A04"/>
    <w:rsid w:val="004F1BD4"/>
    <w:rsid w:val="004F1FA2"/>
    <w:rsid w:val="004F2546"/>
    <w:rsid w:val="004F259B"/>
    <w:rsid w:val="004F2868"/>
    <w:rsid w:val="004F2886"/>
    <w:rsid w:val="004F31EC"/>
    <w:rsid w:val="004F3819"/>
    <w:rsid w:val="004F3A65"/>
    <w:rsid w:val="004F3AFA"/>
    <w:rsid w:val="004F3E8D"/>
    <w:rsid w:val="004F3EA0"/>
    <w:rsid w:val="004F4125"/>
    <w:rsid w:val="004F419B"/>
    <w:rsid w:val="004F4518"/>
    <w:rsid w:val="004F4AD4"/>
    <w:rsid w:val="004F4D91"/>
    <w:rsid w:val="004F4EA1"/>
    <w:rsid w:val="004F5297"/>
    <w:rsid w:val="004F549D"/>
    <w:rsid w:val="004F5CA2"/>
    <w:rsid w:val="004F6127"/>
    <w:rsid w:val="004F6397"/>
    <w:rsid w:val="004F65D2"/>
    <w:rsid w:val="004F69B7"/>
    <w:rsid w:val="004F6B45"/>
    <w:rsid w:val="004F6C86"/>
    <w:rsid w:val="004F6DB2"/>
    <w:rsid w:val="004F6E93"/>
    <w:rsid w:val="004F760C"/>
    <w:rsid w:val="004F77BC"/>
    <w:rsid w:val="004F780A"/>
    <w:rsid w:val="004F7920"/>
    <w:rsid w:val="004F79BB"/>
    <w:rsid w:val="004F7DA3"/>
    <w:rsid w:val="00500016"/>
    <w:rsid w:val="005002E7"/>
    <w:rsid w:val="00500568"/>
    <w:rsid w:val="00501300"/>
    <w:rsid w:val="0050135C"/>
    <w:rsid w:val="00501383"/>
    <w:rsid w:val="00501610"/>
    <w:rsid w:val="0050178F"/>
    <w:rsid w:val="00501897"/>
    <w:rsid w:val="00501980"/>
    <w:rsid w:val="00501DCF"/>
    <w:rsid w:val="00501E7B"/>
    <w:rsid w:val="00502077"/>
    <w:rsid w:val="00502228"/>
    <w:rsid w:val="005023DC"/>
    <w:rsid w:val="00502505"/>
    <w:rsid w:val="00502560"/>
    <w:rsid w:val="0050276C"/>
    <w:rsid w:val="00502D82"/>
    <w:rsid w:val="0050312A"/>
    <w:rsid w:val="005037B4"/>
    <w:rsid w:val="00503CAF"/>
    <w:rsid w:val="005040F2"/>
    <w:rsid w:val="0050467C"/>
    <w:rsid w:val="005046F6"/>
    <w:rsid w:val="0050482F"/>
    <w:rsid w:val="00504B60"/>
    <w:rsid w:val="00504BB8"/>
    <w:rsid w:val="00504E44"/>
    <w:rsid w:val="00505366"/>
    <w:rsid w:val="0050585D"/>
    <w:rsid w:val="00505880"/>
    <w:rsid w:val="00505AED"/>
    <w:rsid w:val="00506C94"/>
    <w:rsid w:val="005070CD"/>
    <w:rsid w:val="0050727D"/>
    <w:rsid w:val="00507462"/>
    <w:rsid w:val="0050747F"/>
    <w:rsid w:val="00507530"/>
    <w:rsid w:val="005076AE"/>
    <w:rsid w:val="00507A4C"/>
    <w:rsid w:val="00507AEE"/>
    <w:rsid w:val="00507D4E"/>
    <w:rsid w:val="005107EB"/>
    <w:rsid w:val="00510ACC"/>
    <w:rsid w:val="00510ACD"/>
    <w:rsid w:val="00510FE3"/>
    <w:rsid w:val="00511C78"/>
    <w:rsid w:val="00511CFB"/>
    <w:rsid w:val="00512227"/>
    <w:rsid w:val="00512C8A"/>
    <w:rsid w:val="005130AB"/>
    <w:rsid w:val="0051340B"/>
    <w:rsid w:val="005137F0"/>
    <w:rsid w:val="00513B89"/>
    <w:rsid w:val="00514089"/>
    <w:rsid w:val="00514815"/>
    <w:rsid w:val="00514C92"/>
    <w:rsid w:val="0051574E"/>
    <w:rsid w:val="0051588A"/>
    <w:rsid w:val="005158FC"/>
    <w:rsid w:val="00515D29"/>
    <w:rsid w:val="00516056"/>
    <w:rsid w:val="00516136"/>
    <w:rsid w:val="00516680"/>
    <w:rsid w:val="0051694B"/>
    <w:rsid w:val="00517052"/>
    <w:rsid w:val="00517089"/>
    <w:rsid w:val="00517108"/>
    <w:rsid w:val="005178D5"/>
    <w:rsid w:val="00517A1E"/>
    <w:rsid w:val="00517AAB"/>
    <w:rsid w:val="00517D68"/>
    <w:rsid w:val="005204BB"/>
    <w:rsid w:val="005204F3"/>
    <w:rsid w:val="00520651"/>
    <w:rsid w:val="00520692"/>
    <w:rsid w:val="00520E32"/>
    <w:rsid w:val="00521117"/>
    <w:rsid w:val="00521419"/>
    <w:rsid w:val="005217C0"/>
    <w:rsid w:val="0052181A"/>
    <w:rsid w:val="00521861"/>
    <w:rsid w:val="00521B17"/>
    <w:rsid w:val="005223F4"/>
    <w:rsid w:val="0052273E"/>
    <w:rsid w:val="005230C3"/>
    <w:rsid w:val="0052340C"/>
    <w:rsid w:val="00523956"/>
    <w:rsid w:val="00523CAB"/>
    <w:rsid w:val="00523FAC"/>
    <w:rsid w:val="00524053"/>
    <w:rsid w:val="0052423E"/>
    <w:rsid w:val="005245A2"/>
    <w:rsid w:val="005246D4"/>
    <w:rsid w:val="005252CC"/>
    <w:rsid w:val="005253AA"/>
    <w:rsid w:val="0052555D"/>
    <w:rsid w:val="005255F2"/>
    <w:rsid w:val="00525636"/>
    <w:rsid w:val="005256DD"/>
    <w:rsid w:val="005258C0"/>
    <w:rsid w:val="00525F08"/>
    <w:rsid w:val="00526021"/>
    <w:rsid w:val="00526224"/>
    <w:rsid w:val="0052700A"/>
    <w:rsid w:val="00527830"/>
    <w:rsid w:val="00527A07"/>
    <w:rsid w:val="00527AAA"/>
    <w:rsid w:val="00527E60"/>
    <w:rsid w:val="0053000B"/>
    <w:rsid w:val="0053012B"/>
    <w:rsid w:val="005307CC"/>
    <w:rsid w:val="00530AC7"/>
    <w:rsid w:val="00530BBF"/>
    <w:rsid w:val="00530C60"/>
    <w:rsid w:val="00530CE0"/>
    <w:rsid w:val="00530DE8"/>
    <w:rsid w:val="00530F9F"/>
    <w:rsid w:val="00531101"/>
    <w:rsid w:val="00531919"/>
    <w:rsid w:val="00532187"/>
    <w:rsid w:val="0053278A"/>
    <w:rsid w:val="00532A8A"/>
    <w:rsid w:val="005331A5"/>
    <w:rsid w:val="005339B1"/>
    <w:rsid w:val="0053435F"/>
    <w:rsid w:val="0053442E"/>
    <w:rsid w:val="0053450F"/>
    <w:rsid w:val="0053477E"/>
    <w:rsid w:val="00534C28"/>
    <w:rsid w:val="00535170"/>
    <w:rsid w:val="00535513"/>
    <w:rsid w:val="005355B8"/>
    <w:rsid w:val="005358B2"/>
    <w:rsid w:val="00535A53"/>
    <w:rsid w:val="00535A8C"/>
    <w:rsid w:val="00536365"/>
    <w:rsid w:val="0053649C"/>
    <w:rsid w:val="005369C1"/>
    <w:rsid w:val="00536FDF"/>
    <w:rsid w:val="00537015"/>
    <w:rsid w:val="00537138"/>
    <w:rsid w:val="005372C9"/>
    <w:rsid w:val="00537577"/>
    <w:rsid w:val="0053796A"/>
    <w:rsid w:val="005403E6"/>
    <w:rsid w:val="00540509"/>
    <w:rsid w:val="0054053A"/>
    <w:rsid w:val="005414AD"/>
    <w:rsid w:val="0054158D"/>
    <w:rsid w:val="005415ED"/>
    <w:rsid w:val="00541674"/>
    <w:rsid w:val="00541894"/>
    <w:rsid w:val="005418A4"/>
    <w:rsid w:val="005418EE"/>
    <w:rsid w:val="00541E39"/>
    <w:rsid w:val="00542161"/>
    <w:rsid w:val="0054236F"/>
    <w:rsid w:val="00542459"/>
    <w:rsid w:val="00542713"/>
    <w:rsid w:val="00542956"/>
    <w:rsid w:val="005429CA"/>
    <w:rsid w:val="00542B71"/>
    <w:rsid w:val="00542C2C"/>
    <w:rsid w:val="00542E32"/>
    <w:rsid w:val="00542ECA"/>
    <w:rsid w:val="00542F5F"/>
    <w:rsid w:val="0054322B"/>
    <w:rsid w:val="005433AA"/>
    <w:rsid w:val="005434BA"/>
    <w:rsid w:val="0054360F"/>
    <w:rsid w:val="00543A3F"/>
    <w:rsid w:val="00543BDB"/>
    <w:rsid w:val="0054450E"/>
    <w:rsid w:val="00544685"/>
    <w:rsid w:val="005447B3"/>
    <w:rsid w:val="00544907"/>
    <w:rsid w:val="0054495C"/>
    <w:rsid w:val="00544AC1"/>
    <w:rsid w:val="00544D90"/>
    <w:rsid w:val="00544F17"/>
    <w:rsid w:val="00544F86"/>
    <w:rsid w:val="005452B7"/>
    <w:rsid w:val="005454AC"/>
    <w:rsid w:val="00545A48"/>
    <w:rsid w:val="00545E65"/>
    <w:rsid w:val="00546369"/>
    <w:rsid w:val="00546388"/>
    <w:rsid w:val="0054659E"/>
    <w:rsid w:val="005467ED"/>
    <w:rsid w:val="00546813"/>
    <w:rsid w:val="005468BC"/>
    <w:rsid w:val="00546ACB"/>
    <w:rsid w:val="00546B10"/>
    <w:rsid w:val="005472C5"/>
    <w:rsid w:val="00547422"/>
    <w:rsid w:val="0054798B"/>
    <w:rsid w:val="00547D6E"/>
    <w:rsid w:val="00547F76"/>
    <w:rsid w:val="00550A71"/>
    <w:rsid w:val="00550E1C"/>
    <w:rsid w:val="00551675"/>
    <w:rsid w:val="0055174A"/>
    <w:rsid w:val="00551CC8"/>
    <w:rsid w:val="00552075"/>
    <w:rsid w:val="005521B2"/>
    <w:rsid w:val="005521CF"/>
    <w:rsid w:val="00552256"/>
    <w:rsid w:val="005524E8"/>
    <w:rsid w:val="00553377"/>
    <w:rsid w:val="0055370A"/>
    <w:rsid w:val="00553943"/>
    <w:rsid w:val="0055406E"/>
    <w:rsid w:val="00554341"/>
    <w:rsid w:val="00554522"/>
    <w:rsid w:val="00554617"/>
    <w:rsid w:val="005549A9"/>
    <w:rsid w:val="00554C0C"/>
    <w:rsid w:val="00554C29"/>
    <w:rsid w:val="00554F93"/>
    <w:rsid w:val="0055516F"/>
    <w:rsid w:val="0055532B"/>
    <w:rsid w:val="005553BC"/>
    <w:rsid w:val="005557E1"/>
    <w:rsid w:val="00555A02"/>
    <w:rsid w:val="00555B0B"/>
    <w:rsid w:val="00555C37"/>
    <w:rsid w:val="00556140"/>
    <w:rsid w:val="00556555"/>
    <w:rsid w:val="0055672C"/>
    <w:rsid w:val="00556B24"/>
    <w:rsid w:val="005571C1"/>
    <w:rsid w:val="005571DC"/>
    <w:rsid w:val="00557472"/>
    <w:rsid w:val="005574F9"/>
    <w:rsid w:val="00557553"/>
    <w:rsid w:val="005575C1"/>
    <w:rsid w:val="00557718"/>
    <w:rsid w:val="005577DE"/>
    <w:rsid w:val="005578A4"/>
    <w:rsid w:val="00557B8C"/>
    <w:rsid w:val="00557EB5"/>
    <w:rsid w:val="00557FD7"/>
    <w:rsid w:val="00560A9D"/>
    <w:rsid w:val="0056151C"/>
    <w:rsid w:val="0056173B"/>
    <w:rsid w:val="0056178E"/>
    <w:rsid w:val="00561EF7"/>
    <w:rsid w:val="005625D1"/>
    <w:rsid w:val="00562612"/>
    <w:rsid w:val="00562DAB"/>
    <w:rsid w:val="00562E2C"/>
    <w:rsid w:val="00562F59"/>
    <w:rsid w:val="005631CE"/>
    <w:rsid w:val="005638B3"/>
    <w:rsid w:val="0056425D"/>
    <w:rsid w:val="005642E6"/>
    <w:rsid w:val="0056478C"/>
    <w:rsid w:val="00564AFD"/>
    <w:rsid w:val="00564E7A"/>
    <w:rsid w:val="00565215"/>
    <w:rsid w:val="0056550D"/>
    <w:rsid w:val="00565970"/>
    <w:rsid w:val="00566020"/>
    <w:rsid w:val="00566104"/>
    <w:rsid w:val="00566713"/>
    <w:rsid w:val="00566852"/>
    <w:rsid w:val="00566967"/>
    <w:rsid w:val="00566DE1"/>
    <w:rsid w:val="0056766B"/>
    <w:rsid w:val="0056789C"/>
    <w:rsid w:val="00567C8C"/>
    <w:rsid w:val="00567CE8"/>
    <w:rsid w:val="00567EB2"/>
    <w:rsid w:val="00567F31"/>
    <w:rsid w:val="005705DC"/>
    <w:rsid w:val="005709BC"/>
    <w:rsid w:val="00570D32"/>
    <w:rsid w:val="0057112A"/>
    <w:rsid w:val="005712CD"/>
    <w:rsid w:val="005725D7"/>
    <w:rsid w:val="005733B0"/>
    <w:rsid w:val="005735F4"/>
    <w:rsid w:val="0057372A"/>
    <w:rsid w:val="005738C3"/>
    <w:rsid w:val="00573EE5"/>
    <w:rsid w:val="00574130"/>
    <w:rsid w:val="00574139"/>
    <w:rsid w:val="0057427E"/>
    <w:rsid w:val="00574524"/>
    <w:rsid w:val="00574859"/>
    <w:rsid w:val="00574930"/>
    <w:rsid w:val="00574A7A"/>
    <w:rsid w:val="00574C55"/>
    <w:rsid w:val="00575468"/>
    <w:rsid w:val="0057566E"/>
    <w:rsid w:val="0057589E"/>
    <w:rsid w:val="005758EA"/>
    <w:rsid w:val="005760F0"/>
    <w:rsid w:val="005765F3"/>
    <w:rsid w:val="00576B47"/>
    <w:rsid w:val="00577202"/>
    <w:rsid w:val="0057730B"/>
    <w:rsid w:val="005773A7"/>
    <w:rsid w:val="00577497"/>
    <w:rsid w:val="00577D54"/>
    <w:rsid w:val="00577DBB"/>
    <w:rsid w:val="005801BE"/>
    <w:rsid w:val="00580971"/>
    <w:rsid w:val="0058099B"/>
    <w:rsid w:val="005809BA"/>
    <w:rsid w:val="00580E66"/>
    <w:rsid w:val="00580ECB"/>
    <w:rsid w:val="0058108C"/>
    <w:rsid w:val="005813A0"/>
    <w:rsid w:val="00581488"/>
    <w:rsid w:val="0058154A"/>
    <w:rsid w:val="00581726"/>
    <w:rsid w:val="00581798"/>
    <w:rsid w:val="00581A18"/>
    <w:rsid w:val="00581A57"/>
    <w:rsid w:val="00581BF7"/>
    <w:rsid w:val="00582E32"/>
    <w:rsid w:val="00582F53"/>
    <w:rsid w:val="00583063"/>
    <w:rsid w:val="005830AC"/>
    <w:rsid w:val="00583327"/>
    <w:rsid w:val="005834DC"/>
    <w:rsid w:val="005837AD"/>
    <w:rsid w:val="005837CF"/>
    <w:rsid w:val="005837D7"/>
    <w:rsid w:val="0058386C"/>
    <w:rsid w:val="0058404F"/>
    <w:rsid w:val="005841D2"/>
    <w:rsid w:val="00584D94"/>
    <w:rsid w:val="00584F6E"/>
    <w:rsid w:val="00585EFC"/>
    <w:rsid w:val="00585F70"/>
    <w:rsid w:val="005861F5"/>
    <w:rsid w:val="00586448"/>
    <w:rsid w:val="00586687"/>
    <w:rsid w:val="00586936"/>
    <w:rsid w:val="00586B80"/>
    <w:rsid w:val="00586F70"/>
    <w:rsid w:val="00587359"/>
    <w:rsid w:val="00587590"/>
    <w:rsid w:val="0058760A"/>
    <w:rsid w:val="00587971"/>
    <w:rsid w:val="00587DB7"/>
    <w:rsid w:val="00590C13"/>
    <w:rsid w:val="00591771"/>
    <w:rsid w:val="005918CE"/>
    <w:rsid w:val="0059190C"/>
    <w:rsid w:val="00591C40"/>
    <w:rsid w:val="00592681"/>
    <w:rsid w:val="0059296C"/>
    <w:rsid w:val="00593698"/>
    <w:rsid w:val="005937D0"/>
    <w:rsid w:val="005939A8"/>
    <w:rsid w:val="00593A00"/>
    <w:rsid w:val="00593FF2"/>
    <w:rsid w:val="00594072"/>
    <w:rsid w:val="005940EB"/>
    <w:rsid w:val="0059430D"/>
    <w:rsid w:val="00594AB5"/>
    <w:rsid w:val="00595308"/>
    <w:rsid w:val="0059547E"/>
    <w:rsid w:val="005954A7"/>
    <w:rsid w:val="005959AF"/>
    <w:rsid w:val="00595B9C"/>
    <w:rsid w:val="00595EC8"/>
    <w:rsid w:val="00596858"/>
    <w:rsid w:val="00596C1F"/>
    <w:rsid w:val="00596D1C"/>
    <w:rsid w:val="00596D54"/>
    <w:rsid w:val="005970DA"/>
    <w:rsid w:val="0059721E"/>
    <w:rsid w:val="00597309"/>
    <w:rsid w:val="00597674"/>
    <w:rsid w:val="005977BC"/>
    <w:rsid w:val="00597884"/>
    <w:rsid w:val="00597EC7"/>
    <w:rsid w:val="005A0212"/>
    <w:rsid w:val="005A03BF"/>
    <w:rsid w:val="005A0479"/>
    <w:rsid w:val="005A098A"/>
    <w:rsid w:val="005A0F7E"/>
    <w:rsid w:val="005A1159"/>
    <w:rsid w:val="005A128F"/>
    <w:rsid w:val="005A129D"/>
    <w:rsid w:val="005A19CB"/>
    <w:rsid w:val="005A1C5E"/>
    <w:rsid w:val="005A1C6F"/>
    <w:rsid w:val="005A206C"/>
    <w:rsid w:val="005A229B"/>
    <w:rsid w:val="005A24D7"/>
    <w:rsid w:val="005A25DE"/>
    <w:rsid w:val="005A273D"/>
    <w:rsid w:val="005A28CA"/>
    <w:rsid w:val="005A2B76"/>
    <w:rsid w:val="005A32DD"/>
    <w:rsid w:val="005A33CD"/>
    <w:rsid w:val="005A392A"/>
    <w:rsid w:val="005A3A50"/>
    <w:rsid w:val="005A3C44"/>
    <w:rsid w:val="005A3C83"/>
    <w:rsid w:val="005A3E4B"/>
    <w:rsid w:val="005A3FF5"/>
    <w:rsid w:val="005A4070"/>
    <w:rsid w:val="005A45AB"/>
    <w:rsid w:val="005A4B2B"/>
    <w:rsid w:val="005A4BEE"/>
    <w:rsid w:val="005A4DC0"/>
    <w:rsid w:val="005A4E6C"/>
    <w:rsid w:val="005A4E75"/>
    <w:rsid w:val="005A547D"/>
    <w:rsid w:val="005A56BF"/>
    <w:rsid w:val="005A578A"/>
    <w:rsid w:val="005A5A1A"/>
    <w:rsid w:val="005A5D6E"/>
    <w:rsid w:val="005A6226"/>
    <w:rsid w:val="005A6395"/>
    <w:rsid w:val="005A6407"/>
    <w:rsid w:val="005A641F"/>
    <w:rsid w:val="005A69E6"/>
    <w:rsid w:val="005A6B7B"/>
    <w:rsid w:val="005A6DA4"/>
    <w:rsid w:val="005A73F8"/>
    <w:rsid w:val="005A743C"/>
    <w:rsid w:val="005A794E"/>
    <w:rsid w:val="005A7E2B"/>
    <w:rsid w:val="005B03DD"/>
    <w:rsid w:val="005B04AD"/>
    <w:rsid w:val="005B09E3"/>
    <w:rsid w:val="005B0FEE"/>
    <w:rsid w:val="005B1267"/>
    <w:rsid w:val="005B1379"/>
    <w:rsid w:val="005B147B"/>
    <w:rsid w:val="005B160A"/>
    <w:rsid w:val="005B172F"/>
    <w:rsid w:val="005B1935"/>
    <w:rsid w:val="005B1BB2"/>
    <w:rsid w:val="005B1C83"/>
    <w:rsid w:val="005B1DEF"/>
    <w:rsid w:val="005B2238"/>
    <w:rsid w:val="005B2242"/>
    <w:rsid w:val="005B23AF"/>
    <w:rsid w:val="005B2569"/>
    <w:rsid w:val="005B26FC"/>
    <w:rsid w:val="005B2E8F"/>
    <w:rsid w:val="005B312A"/>
    <w:rsid w:val="005B3919"/>
    <w:rsid w:val="005B398E"/>
    <w:rsid w:val="005B3BD0"/>
    <w:rsid w:val="005B3DBC"/>
    <w:rsid w:val="005B3E44"/>
    <w:rsid w:val="005B3F2A"/>
    <w:rsid w:val="005B3F3B"/>
    <w:rsid w:val="005B4128"/>
    <w:rsid w:val="005B4208"/>
    <w:rsid w:val="005B434C"/>
    <w:rsid w:val="005B4EF6"/>
    <w:rsid w:val="005B4FC2"/>
    <w:rsid w:val="005B5018"/>
    <w:rsid w:val="005B5808"/>
    <w:rsid w:val="005B5813"/>
    <w:rsid w:val="005B5B6C"/>
    <w:rsid w:val="005B5D9C"/>
    <w:rsid w:val="005B5E35"/>
    <w:rsid w:val="005B668C"/>
    <w:rsid w:val="005B68BA"/>
    <w:rsid w:val="005B6D93"/>
    <w:rsid w:val="005B6E9D"/>
    <w:rsid w:val="005B6E9E"/>
    <w:rsid w:val="005B70C6"/>
    <w:rsid w:val="005B7314"/>
    <w:rsid w:val="005B7B99"/>
    <w:rsid w:val="005C123A"/>
    <w:rsid w:val="005C1C59"/>
    <w:rsid w:val="005C1D1A"/>
    <w:rsid w:val="005C2383"/>
    <w:rsid w:val="005C238E"/>
    <w:rsid w:val="005C28E4"/>
    <w:rsid w:val="005C2CC2"/>
    <w:rsid w:val="005C33E6"/>
    <w:rsid w:val="005C36B0"/>
    <w:rsid w:val="005C3911"/>
    <w:rsid w:val="005C4362"/>
    <w:rsid w:val="005C4489"/>
    <w:rsid w:val="005C4558"/>
    <w:rsid w:val="005C455B"/>
    <w:rsid w:val="005C46DF"/>
    <w:rsid w:val="005C48E4"/>
    <w:rsid w:val="005C4A3A"/>
    <w:rsid w:val="005C4C15"/>
    <w:rsid w:val="005C4C84"/>
    <w:rsid w:val="005C5156"/>
    <w:rsid w:val="005C521C"/>
    <w:rsid w:val="005C5D23"/>
    <w:rsid w:val="005C647B"/>
    <w:rsid w:val="005C6579"/>
    <w:rsid w:val="005C671F"/>
    <w:rsid w:val="005C6C26"/>
    <w:rsid w:val="005C73E0"/>
    <w:rsid w:val="005C76DF"/>
    <w:rsid w:val="005C7843"/>
    <w:rsid w:val="005C789A"/>
    <w:rsid w:val="005C7A73"/>
    <w:rsid w:val="005C7DB4"/>
    <w:rsid w:val="005C7EAE"/>
    <w:rsid w:val="005C7F8F"/>
    <w:rsid w:val="005D00F4"/>
    <w:rsid w:val="005D0DD3"/>
    <w:rsid w:val="005D0F72"/>
    <w:rsid w:val="005D14EA"/>
    <w:rsid w:val="005D15CD"/>
    <w:rsid w:val="005D1684"/>
    <w:rsid w:val="005D1830"/>
    <w:rsid w:val="005D1876"/>
    <w:rsid w:val="005D228B"/>
    <w:rsid w:val="005D2653"/>
    <w:rsid w:val="005D2C7C"/>
    <w:rsid w:val="005D2DB4"/>
    <w:rsid w:val="005D2E4B"/>
    <w:rsid w:val="005D2FDA"/>
    <w:rsid w:val="005D2FFB"/>
    <w:rsid w:val="005D3056"/>
    <w:rsid w:val="005D3AC8"/>
    <w:rsid w:val="005D3E52"/>
    <w:rsid w:val="005D41D6"/>
    <w:rsid w:val="005D4A70"/>
    <w:rsid w:val="005D4FBC"/>
    <w:rsid w:val="005D508A"/>
    <w:rsid w:val="005D551F"/>
    <w:rsid w:val="005D5702"/>
    <w:rsid w:val="005D583D"/>
    <w:rsid w:val="005D589F"/>
    <w:rsid w:val="005D5E97"/>
    <w:rsid w:val="005D6D72"/>
    <w:rsid w:val="005D6EC0"/>
    <w:rsid w:val="005D796A"/>
    <w:rsid w:val="005D7DE3"/>
    <w:rsid w:val="005E00BF"/>
    <w:rsid w:val="005E0313"/>
    <w:rsid w:val="005E04E8"/>
    <w:rsid w:val="005E0538"/>
    <w:rsid w:val="005E079D"/>
    <w:rsid w:val="005E0B60"/>
    <w:rsid w:val="005E0CB3"/>
    <w:rsid w:val="005E13A7"/>
    <w:rsid w:val="005E14A9"/>
    <w:rsid w:val="005E1580"/>
    <w:rsid w:val="005E164E"/>
    <w:rsid w:val="005E17D9"/>
    <w:rsid w:val="005E1BD3"/>
    <w:rsid w:val="005E20D6"/>
    <w:rsid w:val="005E250F"/>
    <w:rsid w:val="005E2678"/>
    <w:rsid w:val="005E32AE"/>
    <w:rsid w:val="005E39A2"/>
    <w:rsid w:val="005E3AF0"/>
    <w:rsid w:val="005E43F2"/>
    <w:rsid w:val="005E4687"/>
    <w:rsid w:val="005E4FBB"/>
    <w:rsid w:val="005E5004"/>
    <w:rsid w:val="005E5412"/>
    <w:rsid w:val="005E5889"/>
    <w:rsid w:val="005E595D"/>
    <w:rsid w:val="005E5A3A"/>
    <w:rsid w:val="005E5CC2"/>
    <w:rsid w:val="005E5D43"/>
    <w:rsid w:val="005E62B7"/>
    <w:rsid w:val="005E63ED"/>
    <w:rsid w:val="005E6499"/>
    <w:rsid w:val="005E6500"/>
    <w:rsid w:val="005E6764"/>
    <w:rsid w:val="005E68A9"/>
    <w:rsid w:val="005E6B1F"/>
    <w:rsid w:val="005E731C"/>
    <w:rsid w:val="005E7594"/>
    <w:rsid w:val="005E75FA"/>
    <w:rsid w:val="005E7D8A"/>
    <w:rsid w:val="005E7F3F"/>
    <w:rsid w:val="005F07A6"/>
    <w:rsid w:val="005F093F"/>
    <w:rsid w:val="005F0CBD"/>
    <w:rsid w:val="005F1EA8"/>
    <w:rsid w:val="005F1ECB"/>
    <w:rsid w:val="005F2018"/>
    <w:rsid w:val="005F2164"/>
    <w:rsid w:val="005F22FA"/>
    <w:rsid w:val="005F2D69"/>
    <w:rsid w:val="005F2E1C"/>
    <w:rsid w:val="005F3150"/>
    <w:rsid w:val="005F3585"/>
    <w:rsid w:val="005F3D06"/>
    <w:rsid w:val="005F3D6E"/>
    <w:rsid w:val="005F4069"/>
    <w:rsid w:val="005F4455"/>
    <w:rsid w:val="005F44A2"/>
    <w:rsid w:val="005F46FC"/>
    <w:rsid w:val="005F4819"/>
    <w:rsid w:val="005F49EC"/>
    <w:rsid w:val="005F4AC9"/>
    <w:rsid w:val="005F4AD7"/>
    <w:rsid w:val="005F4C18"/>
    <w:rsid w:val="005F4C7B"/>
    <w:rsid w:val="005F5583"/>
    <w:rsid w:val="005F5A6D"/>
    <w:rsid w:val="005F5AFE"/>
    <w:rsid w:val="005F5F8C"/>
    <w:rsid w:val="005F62EB"/>
    <w:rsid w:val="005F6607"/>
    <w:rsid w:val="005F697D"/>
    <w:rsid w:val="005F6ED6"/>
    <w:rsid w:val="005F7102"/>
    <w:rsid w:val="005F757C"/>
    <w:rsid w:val="005F7853"/>
    <w:rsid w:val="005F78BD"/>
    <w:rsid w:val="005F7952"/>
    <w:rsid w:val="005F7B74"/>
    <w:rsid w:val="005F7B95"/>
    <w:rsid w:val="00600823"/>
    <w:rsid w:val="00600D04"/>
    <w:rsid w:val="00600D5B"/>
    <w:rsid w:val="00601ADC"/>
    <w:rsid w:val="00601E31"/>
    <w:rsid w:val="00601E5C"/>
    <w:rsid w:val="006023B9"/>
    <w:rsid w:val="006023E9"/>
    <w:rsid w:val="00602441"/>
    <w:rsid w:val="00602767"/>
    <w:rsid w:val="00602C7F"/>
    <w:rsid w:val="006037FF"/>
    <w:rsid w:val="00603BE1"/>
    <w:rsid w:val="00603CD7"/>
    <w:rsid w:val="00603CEE"/>
    <w:rsid w:val="006044D5"/>
    <w:rsid w:val="00604532"/>
    <w:rsid w:val="00604AA1"/>
    <w:rsid w:val="00605224"/>
    <w:rsid w:val="00605CB6"/>
    <w:rsid w:val="00605D73"/>
    <w:rsid w:val="00605EFE"/>
    <w:rsid w:val="006064F2"/>
    <w:rsid w:val="00606665"/>
    <w:rsid w:val="00606724"/>
    <w:rsid w:val="00607018"/>
    <w:rsid w:val="006073C2"/>
    <w:rsid w:val="006074A5"/>
    <w:rsid w:val="00607E6C"/>
    <w:rsid w:val="00607F92"/>
    <w:rsid w:val="0061027F"/>
    <w:rsid w:val="00610D73"/>
    <w:rsid w:val="0061134F"/>
    <w:rsid w:val="0061187E"/>
    <w:rsid w:val="00611E3B"/>
    <w:rsid w:val="006121FC"/>
    <w:rsid w:val="006122A8"/>
    <w:rsid w:val="0061230C"/>
    <w:rsid w:val="00612AD8"/>
    <w:rsid w:val="00612B09"/>
    <w:rsid w:val="0061385E"/>
    <w:rsid w:val="00613B6C"/>
    <w:rsid w:val="006140A8"/>
    <w:rsid w:val="00614164"/>
    <w:rsid w:val="006144AF"/>
    <w:rsid w:val="006145E8"/>
    <w:rsid w:val="006146A6"/>
    <w:rsid w:val="0061501F"/>
    <w:rsid w:val="00615839"/>
    <w:rsid w:val="006159D1"/>
    <w:rsid w:val="00615B70"/>
    <w:rsid w:val="00616A41"/>
    <w:rsid w:val="00616A5C"/>
    <w:rsid w:val="00616F7B"/>
    <w:rsid w:val="0061740D"/>
    <w:rsid w:val="00617AE6"/>
    <w:rsid w:val="00617C09"/>
    <w:rsid w:val="00617ECE"/>
    <w:rsid w:val="00617F61"/>
    <w:rsid w:val="00620181"/>
    <w:rsid w:val="006203C0"/>
    <w:rsid w:val="00620541"/>
    <w:rsid w:val="00620E0D"/>
    <w:rsid w:val="0062148A"/>
    <w:rsid w:val="006214F2"/>
    <w:rsid w:val="00621628"/>
    <w:rsid w:val="00621AB5"/>
    <w:rsid w:val="00621D9D"/>
    <w:rsid w:val="00621E0D"/>
    <w:rsid w:val="006222AB"/>
    <w:rsid w:val="00622769"/>
    <w:rsid w:val="006227FE"/>
    <w:rsid w:val="00622AFF"/>
    <w:rsid w:val="00622E50"/>
    <w:rsid w:val="0062359C"/>
    <w:rsid w:val="006235AB"/>
    <w:rsid w:val="00623683"/>
    <w:rsid w:val="00623868"/>
    <w:rsid w:val="00623D92"/>
    <w:rsid w:val="00624A2F"/>
    <w:rsid w:val="00624E95"/>
    <w:rsid w:val="006255FD"/>
    <w:rsid w:val="00625637"/>
    <w:rsid w:val="00625737"/>
    <w:rsid w:val="00625F5B"/>
    <w:rsid w:val="006262FF"/>
    <w:rsid w:val="006263A1"/>
    <w:rsid w:val="0062658D"/>
    <w:rsid w:val="006266E4"/>
    <w:rsid w:val="00626B4D"/>
    <w:rsid w:val="00626EF5"/>
    <w:rsid w:val="00627084"/>
    <w:rsid w:val="00627126"/>
    <w:rsid w:val="00627838"/>
    <w:rsid w:val="00627887"/>
    <w:rsid w:val="00627A52"/>
    <w:rsid w:val="00627F99"/>
    <w:rsid w:val="00630119"/>
    <w:rsid w:val="006303D8"/>
    <w:rsid w:val="00630740"/>
    <w:rsid w:val="006308E3"/>
    <w:rsid w:val="00631864"/>
    <w:rsid w:val="0063196E"/>
    <w:rsid w:val="00631AD1"/>
    <w:rsid w:val="00631BC3"/>
    <w:rsid w:val="00631E73"/>
    <w:rsid w:val="00632444"/>
    <w:rsid w:val="00632447"/>
    <w:rsid w:val="00632639"/>
    <w:rsid w:val="00632C23"/>
    <w:rsid w:val="00632CDA"/>
    <w:rsid w:val="00632D60"/>
    <w:rsid w:val="00632E45"/>
    <w:rsid w:val="00633057"/>
    <w:rsid w:val="0063374D"/>
    <w:rsid w:val="0063387F"/>
    <w:rsid w:val="00633DF6"/>
    <w:rsid w:val="00634A03"/>
    <w:rsid w:val="00634A23"/>
    <w:rsid w:val="0063505D"/>
    <w:rsid w:val="00635063"/>
    <w:rsid w:val="006352C3"/>
    <w:rsid w:val="006356A1"/>
    <w:rsid w:val="006359FD"/>
    <w:rsid w:val="00635A8A"/>
    <w:rsid w:val="00635E3B"/>
    <w:rsid w:val="00636579"/>
    <w:rsid w:val="006370CE"/>
    <w:rsid w:val="006372E5"/>
    <w:rsid w:val="006377D6"/>
    <w:rsid w:val="00637856"/>
    <w:rsid w:val="00637B34"/>
    <w:rsid w:val="00637F05"/>
    <w:rsid w:val="00637F64"/>
    <w:rsid w:val="00640240"/>
    <w:rsid w:val="00640460"/>
    <w:rsid w:val="0064060A"/>
    <w:rsid w:val="006409AE"/>
    <w:rsid w:val="00640D60"/>
    <w:rsid w:val="00641694"/>
    <w:rsid w:val="00641A7E"/>
    <w:rsid w:val="00641C8B"/>
    <w:rsid w:val="0064271C"/>
    <w:rsid w:val="00642F2D"/>
    <w:rsid w:val="0064311E"/>
    <w:rsid w:val="00643D31"/>
    <w:rsid w:val="00643DF1"/>
    <w:rsid w:val="00643DFF"/>
    <w:rsid w:val="00643E73"/>
    <w:rsid w:val="00644749"/>
    <w:rsid w:val="00644805"/>
    <w:rsid w:val="00644870"/>
    <w:rsid w:val="00644AE1"/>
    <w:rsid w:val="00644B86"/>
    <w:rsid w:val="00644C31"/>
    <w:rsid w:val="00645087"/>
    <w:rsid w:val="0064534A"/>
    <w:rsid w:val="00645869"/>
    <w:rsid w:val="006459C3"/>
    <w:rsid w:val="00646166"/>
    <w:rsid w:val="0064683D"/>
    <w:rsid w:val="00646AD0"/>
    <w:rsid w:val="00646EB5"/>
    <w:rsid w:val="00646EF5"/>
    <w:rsid w:val="00647317"/>
    <w:rsid w:val="00647539"/>
    <w:rsid w:val="006476DB"/>
    <w:rsid w:val="006479D1"/>
    <w:rsid w:val="00647A91"/>
    <w:rsid w:val="00650080"/>
    <w:rsid w:val="00650154"/>
    <w:rsid w:val="006502F5"/>
    <w:rsid w:val="006508C5"/>
    <w:rsid w:val="00650AFF"/>
    <w:rsid w:val="00651095"/>
    <w:rsid w:val="006511B5"/>
    <w:rsid w:val="006513F2"/>
    <w:rsid w:val="006517FB"/>
    <w:rsid w:val="006522F8"/>
    <w:rsid w:val="006523D5"/>
    <w:rsid w:val="00652470"/>
    <w:rsid w:val="00652E0D"/>
    <w:rsid w:val="00652F29"/>
    <w:rsid w:val="006530DA"/>
    <w:rsid w:val="00653D3F"/>
    <w:rsid w:val="0065422A"/>
    <w:rsid w:val="006543A4"/>
    <w:rsid w:val="00654706"/>
    <w:rsid w:val="00654B7B"/>
    <w:rsid w:val="0065539D"/>
    <w:rsid w:val="00655818"/>
    <w:rsid w:val="006558B6"/>
    <w:rsid w:val="00655DE1"/>
    <w:rsid w:val="00655E5D"/>
    <w:rsid w:val="006562A6"/>
    <w:rsid w:val="006562E6"/>
    <w:rsid w:val="00656468"/>
    <w:rsid w:val="006568D6"/>
    <w:rsid w:val="00656BFC"/>
    <w:rsid w:val="00656DFD"/>
    <w:rsid w:val="00656FD7"/>
    <w:rsid w:val="00656FD9"/>
    <w:rsid w:val="006576CE"/>
    <w:rsid w:val="00657FBA"/>
    <w:rsid w:val="00660449"/>
    <w:rsid w:val="00660889"/>
    <w:rsid w:val="006608AC"/>
    <w:rsid w:val="00660BDF"/>
    <w:rsid w:val="00661653"/>
    <w:rsid w:val="00661A71"/>
    <w:rsid w:val="00661C15"/>
    <w:rsid w:val="00661C36"/>
    <w:rsid w:val="006628F7"/>
    <w:rsid w:val="00662A90"/>
    <w:rsid w:val="00662AA2"/>
    <w:rsid w:val="00662D0B"/>
    <w:rsid w:val="00663203"/>
    <w:rsid w:val="00663220"/>
    <w:rsid w:val="0066327F"/>
    <w:rsid w:val="006635F1"/>
    <w:rsid w:val="00663945"/>
    <w:rsid w:val="00663AA8"/>
    <w:rsid w:val="00663F80"/>
    <w:rsid w:val="0066402C"/>
    <w:rsid w:val="0066410F"/>
    <w:rsid w:val="006641AF"/>
    <w:rsid w:val="006644DD"/>
    <w:rsid w:val="00664535"/>
    <w:rsid w:val="00664998"/>
    <w:rsid w:val="00664C26"/>
    <w:rsid w:val="00664C37"/>
    <w:rsid w:val="00665802"/>
    <w:rsid w:val="00665DEB"/>
    <w:rsid w:val="00665E30"/>
    <w:rsid w:val="0066626A"/>
    <w:rsid w:val="00666C39"/>
    <w:rsid w:val="00667123"/>
    <w:rsid w:val="006673E4"/>
    <w:rsid w:val="006679C5"/>
    <w:rsid w:val="00667A4B"/>
    <w:rsid w:val="00667B95"/>
    <w:rsid w:val="006705BF"/>
    <w:rsid w:val="00670766"/>
    <w:rsid w:val="00670987"/>
    <w:rsid w:val="00670ACB"/>
    <w:rsid w:val="00670E20"/>
    <w:rsid w:val="00671190"/>
    <w:rsid w:val="006716A2"/>
    <w:rsid w:val="0067176F"/>
    <w:rsid w:val="00671A3F"/>
    <w:rsid w:val="00671C0E"/>
    <w:rsid w:val="00671D00"/>
    <w:rsid w:val="006720F0"/>
    <w:rsid w:val="006722E8"/>
    <w:rsid w:val="00672918"/>
    <w:rsid w:val="00672A6F"/>
    <w:rsid w:val="006730B3"/>
    <w:rsid w:val="006735D7"/>
    <w:rsid w:val="0067378E"/>
    <w:rsid w:val="00673867"/>
    <w:rsid w:val="00673924"/>
    <w:rsid w:val="0067394F"/>
    <w:rsid w:val="00673A06"/>
    <w:rsid w:val="00673D68"/>
    <w:rsid w:val="00673F46"/>
    <w:rsid w:val="00674A91"/>
    <w:rsid w:val="00674C32"/>
    <w:rsid w:val="00674F17"/>
    <w:rsid w:val="006753C7"/>
    <w:rsid w:val="0067560C"/>
    <w:rsid w:val="00675FAE"/>
    <w:rsid w:val="006761CE"/>
    <w:rsid w:val="00676558"/>
    <w:rsid w:val="00676ABE"/>
    <w:rsid w:val="006773C5"/>
    <w:rsid w:val="0067778D"/>
    <w:rsid w:val="00677844"/>
    <w:rsid w:val="0067788F"/>
    <w:rsid w:val="006778DF"/>
    <w:rsid w:val="00677BD3"/>
    <w:rsid w:val="00677FDA"/>
    <w:rsid w:val="00680666"/>
    <w:rsid w:val="006807EF"/>
    <w:rsid w:val="00680B69"/>
    <w:rsid w:val="00680C9D"/>
    <w:rsid w:val="00680D83"/>
    <w:rsid w:val="00680F6A"/>
    <w:rsid w:val="006810DF"/>
    <w:rsid w:val="006810F1"/>
    <w:rsid w:val="0068128E"/>
    <w:rsid w:val="006812DA"/>
    <w:rsid w:val="00681407"/>
    <w:rsid w:val="006814A4"/>
    <w:rsid w:val="00681595"/>
    <w:rsid w:val="00681759"/>
    <w:rsid w:val="006818FD"/>
    <w:rsid w:val="00681DF3"/>
    <w:rsid w:val="006824F3"/>
    <w:rsid w:val="00682A37"/>
    <w:rsid w:val="00682C98"/>
    <w:rsid w:val="00682F2F"/>
    <w:rsid w:val="00683C1B"/>
    <w:rsid w:val="006841E6"/>
    <w:rsid w:val="00684689"/>
    <w:rsid w:val="00684829"/>
    <w:rsid w:val="00684B48"/>
    <w:rsid w:val="00685218"/>
    <w:rsid w:val="006853F3"/>
    <w:rsid w:val="006857EB"/>
    <w:rsid w:val="0068598A"/>
    <w:rsid w:val="00685A69"/>
    <w:rsid w:val="00685E62"/>
    <w:rsid w:val="00686142"/>
    <w:rsid w:val="00686475"/>
    <w:rsid w:val="00686573"/>
    <w:rsid w:val="006872CE"/>
    <w:rsid w:val="00687377"/>
    <w:rsid w:val="0068746B"/>
    <w:rsid w:val="006875BD"/>
    <w:rsid w:val="006875C9"/>
    <w:rsid w:val="006877DA"/>
    <w:rsid w:val="00687C63"/>
    <w:rsid w:val="00687FDD"/>
    <w:rsid w:val="00690038"/>
    <w:rsid w:val="0069003C"/>
    <w:rsid w:val="0069015E"/>
    <w:rsid w:val="006901A0"/>
    <w:rsid w:val="00690668"/>
    <w:rsid w:val="0069096E"/>
    <w:rsid w:val="006915D4"/>
    <w:rsid w:val="00691709"/>
    <w:rsid w:val="00691892"/>
    <w:rsid w:val="00691C4C"/>
    <w:rsid w:val="00692AD5"/>
    <w:rsid w:val="00692D80"/>
    <w:rsid w:val="00692FB4"/>
    <w:rsid w:val="006931DF"/>
    <w:rsid w:val="006933AA"/>
    <w:rsid w:val="006936F8"/>
    <w:rsid w:val="006938B7"/>
    <w:rsid w:val="0069393C"/>
    <w:rsid w:val="00693F24"/>
    <w:rsid w:val="0069466D"/>
    <w:rsid w:val="006948A2"/>
    <w:rsid w:val="00694A83"/>
    <w:rsid w:val="00694B34"/>
    <w:rsid w:val="00694BF3"/>
    <w:rsid w:val="00694C0B"/>
    <w:rsid w:val="00694D4D"/>
    <w:rsid w:val="00694F10"/>
    <w:rsid w:val="00694FFD"/>
    <w:rsid w:val="00695177"/>
    <w:rsid w:val="00695563"/>
    <w:rsid w:val="006956E6"/>
    <w:rsid w:val="00695FF9"/>
    <w:rsid w:val="0069668A"/>
    <w:rsid w:val="006967AC"/>
    <w:rsid w:val="00696C44"/>
    <w:rsid w:val="00696DEE"/>
    <w:rsid w:val="00696F55"/>
    <w:rsid w:val="00696FA7"/>
    <w:rsid w:val="00697721"/>
    <w:rsid w:val="00697754"/>
    <w:rsid w:val="00697832"/>
    <w:rsid w:val="00697F2F"/>
    <w:rsid w:val="006A074E"/>
    <w:rsid w:val="006A09DF"/>
    <w:rsid w:val="006A0B64"/>
    <w:rsid w:val="006A118D"/>
    <w:rsid w:val="006A11CB"/>
    <w:rsid w:val="006A1AEF"/>
    <w:rsid w:val="006A1BA9"/>
    <w:rsid w:val="006A1C6C"/>
    <w:rsid w:val="006A1DF3"/>
    <w:rsid w:val="006A1E9E"/>
    <w:rsid w:val="006A2004"/>
    <w:rsid w:val="006A20A8"/>
    <w:rsid w:val="006A22A5"/>
    <w:rsid w:val="006A242B"/>
    <w:rsid w:val="006A260F"/>
    <w:rsid w:val="006A30F5"/>
    <w:rsid w:val="006A3C70"/>
    <w:rsid w:val="006A3E0C"/>
    <w:rsid w:val="006A3E86"/>
    <w:rsid w:val="006A3FF8"/>
    <w:rsid w:val="006A4058"/>
    <w:rsid w:val="006A4418"/>
    <w:rsid w:val="006A50D7"/>
    <w:rsid w:val="006A538A"/>
    <w:rsid w:val="006A53C9"/>
    <w:rsid w:val="006A5B14"/>
    <w:rsid w:val="006A662F"/>
    <w:rsid w:val="006A69FE"/>
    <w:rsid w:val="006A6B76"/>
    <w:rsid w:val="006A6C81"/>
    <w:rsid w:val="006A6F52"/>
    <w:rsid w:val="006A736C"/>
    <w:rsid w:val="006A7771"/>
    <w:rsid w:val="006A7BB0"/>
    <w:rsid w:val="006A7BEA"/>
    <w:rsid w:val="006A7F6C"/>
    <w:rsid w:val="006B09F7"/>
    <w:rsid w:val="006B0B32"/>
    <w:rsid w:val="006B1255"/>
    <w:rsid w:val="006B14E5"/>
    <w:rsid w:val="006B1F9C"/>
    <w:rsid w:val="006B2008"/>
    <w:rsid w:val="006B262D"/>
    <w:rsid w:val="006B2758"/>
    <w:rsid w:val="006B2CF7"/>
    <w:rsid w:val="006B2F1D"/>
    <w:rsid w:val="006B3007"/>
    <w:rsid w:val="006B346D"/>
    <w:rsid w:val="006B3B7F"/>
    <w:rsid w:val="006B4328"/>
    <w:rsid w:val="006B4612"/>
    <w:rsid w:val="006B462B"/>
    <w:rsid w:val="006B463F"/>
    <w:rsid w:val="006B483E"/>
    <w:rsid w:val="006B4898"/>
    <w:rsid w:val="006B4A3E"/>
    <w:rsid w:val="006B4E0D"/>
    <w:rsid w:val="006B4E91"/>
    <w:rsid w:val="006B4F62"/>
    <w:rsid w:val="006B5041"/>
    <w:rsid w:val="006B5720"/>
    <w:rsid w:val="006B5B66"/>
    <w:rsid w:val="006B5C3C"/>
    <w:rsid w:val="006B5C55"/>
    <w:rsid w:val="006B6027"/>
    <w:rsid w:val="006B6119"/>
    <w:rsid w:val="006B6130"/>
    <w:rsid w:val="006B621C"/>
    <w:rsid w:val="006B656A"/>
    <w:rsid w:val="006B68F7"/>
    <w:rsid w:val="006B6CAA"/>
    <w:rsid w:val="006B6F43"/>
    <w:rsid w:val="006B7203"/>
    <w:rsid w:val="006B762F"/>
    <w:rsid w:val="006B773E"/>
    <w:rsid w:val="006B7F1F"/>
    <w:rsid w:val="006C003D"/>
    <w:rsid w:val="006C01D2"/>
    <w:rsid w:val="006C01F2"/>
    <w:rsid w:val="006C069D"/>
    <w:rsid w:val="006C06BB"/>
    <w:rsid w:val="006C098D"/>
    <w:rsid w:val="006C0BB6"/>
    <w:rsid w:val="006C0D1B"/>
    <w:rsid w:val="006C11EB"/>
    <w:rsid w:val="006C14B8"/>
    <w:rsid w:val="006C1A3C"/>
    <w:rsid w:val="006C1A99"/>
    <w:rsid w:val="006C2740"/>
    <w:rsid w:val="006C2B5B"/>
    <w:rsid w:val="006C2CA0"/>
    <w:rsid w:val="006C2D85"/>
    <w:rsid w:val="006C33AA"/>
    <w:rsid w:val="006C3414"/>
    <w:rsid w:val="006C3563"/>
    <w:rsid w:val="006C3813"/>
    <w:rsid w:val="006C3862"/>
    <w:rsid w:val="006C3B01"/>
    <w:rsid w:val="006C3BC8"/>
    <w:rsid w:val="006C3D0F"/>
    <w:rsid w:val="006C3F1B"/>
    <w:rsid w:val="006C3F83"/>
    <w:rsid w:val="006C4893"/>
    <w:rsid w:val="006C4CAD"/>
    <w:rsid w:val="006C4D46"/>
    <w:rsid w:val="006C5122"/>
    <w:rsid w:val="006C5312"/>
    <w:rsid w:val="006C673E"/>
    <w:rsid w:val="006C6D27"/>
    <w:rsid w:val="006C6D52"/>
    <w:rsid w:val="006C70D4"/>
    <w:rsid w:val="006C7184"/>
    <w:rsid w:val="006C742A"/>
    <w:rsid w:val="006C7564"/>
    <w:rsid w:val="006C76D5"/>
    <w:rsid w:val="006C78A9"/>
    <w:rsid w:val="006C7D8E"/>
    <w:rsid w:val="006C7DB1"/>
    <w:rsid w:val="006C7F75"/>
    <w:rsid w:val="006D0CBA"/>
    <w:rsid w:val="006D0EE7"/>
    <w:rsid w:val="006D10F8"/>
    <w:rsid w:val="006D1169"/>
    <w:rsid w:val="006D128B"/>
    <w:rsid w:val="006D14E7"/>
    <w:rsid w:val="006D150B"/>
    <w:rsid w:val="006D1641"/>
    <w:rsid w:val="006D18B7"/>
    <w:rsid w:val="006D1A62"/>
    <w:rsid w:val="006D1B04"/>
    <w:rsid w:val="006D1E19"/>
    <w:rsid w:val="006D2598"/>
    <w:rsid w:val="006D292A"/>
    <w:rsid w:val="006D29F5"/>
    <w:rsid w:val="006D2B42"/>
    <w:rsid w:val="006D3444"/>
    <w:rsid w:val="006D37BB"/>
    <w:rsid w:val="006D3A0C"/>
    <w:rsid w:val="006D43AB"/>
    <w:rsid w:val="006D443F"/>
    <w:rsid w:val="006D52CB"/>
    <w:rsid w:val="006D5707"/>
    <w:rsid w:val="006D5E97"/>
    <w:rsid w:val="006D67EE"/>
    <w:rsid w:val="006D6E6A"/>
    <w:rsid w:val="006D714F"/>
    <w:rsid w:val="006D71A1"/>
    <w:rsid w:val="006D7D93"/>
    <w:rsid w:val="006D7F2D"/>
    <w:rsid w:val="006D7F93"/>
    <w:rsid w:val="006E023C"/>
    <w:rsid w:val="006E027B"/>
    <w:rsid w:val="006E0298"/>
    <w:rsid w:val="006E05CB"/>
    <w:rsid w:val="006E07DF"/>
    <w:rsid w:val="006E15CD"/>
    <w:rsid w:val="006E1754"/>
    <w:rsid w:val="006E1767"/>
    <w:rsid w:val="006E17C4"/>
    <w:rsid w:val="006E1BE1"/>
    <w:rsid w:val="006E1D00"/>
    <w:rsid w:val="006E1E53"/>
    <w:rsid w:val="006E25B1"/>
    <w:rsid w:val="006E27DF"/>
    <w:rsid w:val="006E284A"/>
    <w:rsid w:val="006E2BA8"/>
    <w:rsid w:val="006E30B7"/>
    <w:rsid w:val="006E331A"/>
    <w:rsid w:val="006E3497"/>
    <w:rsid w:val="006E36A7"/>
    <w:rsid w:val="006E36FB"/>
    <w:rsid w:val="006E3923"/>
    <w:rsid w:val="006E439C"/>
    <w:rsid w:val="006E45E5"/>
    <w:rsid w:val="006E4977"/>
    <w:rsid w:val="006E4A6B"/>
    <w:rsid w:val="006E4C6A"/>
    <w:rsid w:val="006E4EDC"/>
    <w:rsid w:val="006E5087"/>
    <w:rsid w:val="006E50AB"/>
    <w:rsid w:val="006E510C"/>
    <w:rsid w:val="006E5AC1"/>
    <w:rsid w:val="006E5EAB"/>
    <w:rsid w:val="006E6149"/>
    <w:rsid w:val="006E66EE"/>
    <w:rsid w:val="006E6BEB"/>
    <w:rsid w:val="006E6E99"/>
    <w:rsid w:val="006E738A"/>
    <w:rsid w:val="006E7565"/>
    <w:rsid w:val="006E757B"/>
    <w:rsid w:val="006E7FE5"/>
    <w:rsid w:val="006F0070"/>
    <w:rsid w:val="006F039F"/>
    <w:rsid w:val="006F06A0"/>
    <w:rsid w:val="006F08F4"/>
    <w:rsid w:val="006F0A39"/>
    <w:rsid w:val="006F0F3B"/>
    <w:rsid w:val="006F1804"/>
    <w:rsid w:val="006F1D80"/>
    <w:rsid w:val="006F1F90"/>
    <w:rsid w:val="006F2453"/>
    <w:rsid w:val="006F2891"/>
    <w:rsid w:val="006F2C9F"/>
    <w:rsid w:val="006F2E8D"/>
    <w:rsid w:val="006F3164"/>
    <w:rsid w:val="006F31EC"/>
    <w:rsid w:val="006F38AE"/>
    <w:rsid w:val="006F3B36"/>
    <w:rsid w:val="006F3D82"/>
    <w:rsid w:val="006F3DF7"/>
    <w:rsid w:val="006F3E78"/>
    <w:rsid w:val="006F454C"/>
    <w:rsid w:val="006F49D8"/>
    <w:rsid w:val="006F4ED1"/>
    <w:rsid w:val="006F56B0"/>
    <w:rsid w:val="006F57A3"/>
    <w:rsid w:val="006F5A64"/>
    <w:rsid w:val="006F5A99"/>
    <w:rsid w:val="006F5E90"/>
    <w:rsid w:val="006F6373"/>
    <w:rsid w:val="006F63D3"/>
    <w:rsid w:val="006F646B"/>
    <w:rsid w:val="006F6472"/>
    <w:rsid w:val="006F69EC"/>
    <w:rsid w:val="006F6EDA"/>
    <w:rsid w:val="006F705E"/>
    <w:rsid w:val="006F729D"/>
    <w:rsid w:val="006F72C0"/>
    <w:rsid w:val="006F755E"/>
    <w:rsid w:val="006F7597"/>
    <w:rsid w:val="006F7E61"/>
    <w:rsid w:val="006F7F39"/>
    <w:rsid w:val="00700483"/>
    <w:rsid w:val="007005CC"/>
    <w:rsid w:val="00700997"/>
    <w:rsid w:val="00700C34"/>
    <w:rsid w:val="00700D85"/>
    <w:rsid w:val="007010EB"/>
    <w:rsid w:val="0070139F"/>
    <w:rsid w:val="0070141C"/>
    <w:rsid w:val="007016F8"/>
    <w:rsid w:val="00701AFE"/>
    <w:rsid w:val="00701BE0"/>
    <w:rsid w:val="00701C5B"/>
    <w:rsid w:val="00701DA7"/>
    <w:rsid w:val="00701EF1"/>
    <w:rsid w:val="0070223D"/>
    <w:rsid w:val="0070260F"/>
    <w:rsid w:val="007029BC"/>
    <w:rsid w:val="00702A6A"/>
    <w:rsid w:val="00702B67"/>
    <w:rsid w:val="00702C36"/>
    <w:rsid w:val="00702E9A"/>
    <w:rsid w:val="00703475"/>
    <w:rsid w:val="00703485"/>
    <w:rsid w:val="007036D4"/>
    <w:rsid w:val="00703801"/>
    <w:rsid w:val="00703CF7"/>
    <w:rsid w:val="00703E92"/>
    <w:rsid w:val="00704603"/>
    <w:rsid w:val="00705130"/>
    <w:rsid w:val="00705414"/>
    <w:rsid w:val="0070549A"/>
    <w:rsid w:val="00705B67"/>
    <w:rsid w:val="00705DE6"/>
    <w:rsid w:val="00705F8A"/>
    <w:rsid w:val="00706119"/>
    <w:rsid w:val="00706623"/>
    <w:rsid w:val="00706C1F"/>
    <w:rsid w:val="00706C7B"/>
    <w:rsid w:val="00707078"/>
    <w:rsid w:val="007072DE"/>
    <w:rsid w:val="007072EB"/>
    <w:rsid w:val="007078E0"/>
    <w:rsid w:val="00707A9C"/>
    <w:rsid w:val="00707ADB"/>
    <w:rsid w:val="00707D3E"/>
    <w:rsid w:val="00707EB4"/>
    <w:rsid w:val="00710566"/>
    <w:rsid w:val="00710933"/>
    <w:rsid w:val="00710E5A"/>
    <w:rsid w:val="00710F4D"/>
    <w:rsid w:val="00711521"/>
    <w:rsid w:val="00711A3A"/>
    <w:rsid w:val="00711C7A"/>
    <w:rsid w:val="00711D4C"/>
    <w:rsid w:val="00711DB8"/>
    <w:rsid w:val="00712382"/>
    <w:rsid w:val="00712704"/>
    <w:rsid w:val="0071272D"/>
    <w:rsid w:val="007127C5"/>
    <w:rsid w:val="00712D61"/>
    <w:rsid w:val="00713016"/>
    <w:rsid w:val="0071325D"/>
    <w:rsid w:val="007135FD"/>
    <w:rsid w:val="0071369F"/>
    <w:rsid w:val="0071390B"/>
    <w:rsid w:val="007139B1"/>
    <w:rsid w:val="00713E89"/>
    <w:rsid w:val="00713F58"/>
    <w:rsid w:val="00714590"/>
    <w:rsid w:val="0071470D"/>
    <w:rsid w:val="007147C3"/>
    <w:rsid w:val="007149BF"/>
    <w:rsid w:val="00714E20"/>
    <w:rsid w:val="0071508F"/>
    <w:rsid w:val="007151BE"/>
    <w:rsid w:val="0071540A"/>
    <w:rsid w:val="00715506"/>
    <w:rsid w:val="00715EDF"/>
    <w:rsid w:val="00716AA3"/>
    <w:rsid w:val="00716FE1"/>
    <w:rsid w:val="00717676"/>
    <w:rsid w:val="007177CC"/>
    <w:rsid w:val="00717826"/>
    <w:rsid w:val="00717CDE"/>
    <w:rsid w:val="00717D1C"/>
    <w:rsid w:val="00717F73"/>
    <w:rsid w:val="00717FF3"/>
    <w:rsid w:val="00720143"/>
    <w:rsid w:val="00720751"/>
    <w:rsid w:val="00720BDD"/>
    <w:rsid w:val="00720CB5"/>
    <w:rsid w:val="00720E00"/>
    <w:rsid w:val="00720E47"/>
    <w:rsid w:val="00720EA6"/>
    <w:rsid w:val="007214AD"/>
    <w:rsid w:val="0072178F"/>
    <w:rsid w:val="00721882"/>
    <w:rsid w:val="007219A3"/>
    <w:rsid w:val="007219A6"/>
    <w:rsid w:val="00721C7E"/>
    <w:rsid w:val="00721DE0"/>
    <w:rsid w:val="00721E46"/>
    <w:rsid w:val="00722130"/>
    <w:rsid w:val="0072230A"/>
    <w:rsid w:val="007226BA"/>
    <w:rsid w:val="0072278A"/>
    <w:rsid w:val="00722CA2"/>
    <w:rsid w:val="00722CE1"/>
    <w:rsid w:val="00722D43"/>
    <w:rsid w:val="007238D5"/>
    <w:rsid w:val="00723A2C"/>
    <w:rsid w:val="00723AAE"/>
    <w:rsid w:val="00724043"/>
    <w:rsid w:val="007241BB"/>
    <w:rsid w:val="00724801"/>
    <w:rsid w:val="00724A2F"/>
    <w:rsid w:val="00725001"/>
    <w:rsid w:val="007251B1"/>
    <w:rsid w:val="007259CB"/>
    <w:rsid w:val="00725B83"/>
    <w:rsid w:val="00725E63"/>
    <w:rsid w:val="00726037"/>
    <w:rsid w:val="007267B8"/>
    <w:rsid w:val="00726A15"/>
    <w:rsid w:val="00726B61"/>
    <w:rsid w:val="007270C9"/>
    <w:rsid w:val="007276E6"/>
    <w:rsid w:val="00727D20"/>
    <w:rsid w:val="0073018B"/>
    <w:rsid w:val="0073055A"/>
    <w:rsid w:val="00730DAB"/>
    <w:rsid w:val="00730FC2"/>
    <w:rsid w:val="00730FFA"/>
    <w:rsid w:val="0073104F"/>
    <w:rsid w:val="007314DA"/>
    <w:rsid w:val="007315F2"/>
    <w:rsid w:val="0073176A"/>
    <w:rsid w:val="007319D8"/>
    <w:rsid w:val="00731B45"/>
    <w:rsid w:val="00731D2F"/>
    <w:rsid w:val="0073220A"/>
    <w:rsid w:val="00732B56"/>
    <w:rsid w:val="00732F5E"/>
    <w:rsid w:val="007332CA"/>
    <w:rsid w:val="007336B7"/>
    <w:rsid w:val="00733CC2"/>
    <w:rsid w:val="00733F5A"/>
    <w:rsid w:val="00734ACE"/>
    <w:rsid w:val="00734D59"/>
    <w:rsid w:val="007352D8"/>
    <w:rsid w:val="007355EC"/>
    <w:rsid w:val="007358A8"/>
    <w:rsid w:val="00735CBF"/>
    <w:rsid w:val="00736281"/>
    <w:rsid w:val="00736676"/>
    <w:rsid w:val="0073679E"/>
    <w:rsid w:val="007367B2"/>
    <w:rsid w:val="007368C6"/>
    <w:rsid w:val="007368FB"/>
    <w:rsid w:val="00736BD8"/>
    <w:rsid w:val="00736CC4"/>
    <w:rsid w:val="00736DAA"/>
    <w:rsid w:val="00736F19"/>
    <w:rsid w:val="0073722F"/>
    <w:rsid w:val="007379C2"/>
    <w:rsid w:val="007379C4"/>
    <w:rsid w:val="00737C4E"/>
    <w:rsid w:val="00737D02"/>
    <w:rsid w:val="00740969"/>
    <w:rsid w:val="00741112"/>
    <w:rsid w:val="00741887"/>
    <w:rsid w:val="00742119"/>
    <w:rsid w:val="0074296C"/>
    <w:rsid w:val="00742974"/>
    <w:rsid w:val="00742CA6"/>
    <w:rsid w:val="007431DC"/>
    <w:rsid w:val="007434B9"/>
    <w:rsid w:val="00743846"/>
    <w:rsid w:val="00743966"/>
    <w:rsid w:val="00743B89"/>
    <w:rsid w:val="00744423"/>
    <w:rsid w:val="0074457E"/>
    <w:rsid w:val="007449C5"/>
    <w:rsid w:val="00744E8D"/>
    <w:rsid w:val="00745422"/>
    <w:rsid w:val="00745E97"/>
    <w:rsid w:val="007461A1"/>
    <w:rsid w:val="00746379"/>
    <w:rsid w:val="00746595"/>
    <w:rsid w:val="007466FE"/>
    <w:rsid w:val="007469DD"/>
    <w:rsid w:val="00746D08"/>
    <w:rsid w:val="00746E8E"/>
    <w:rsid w:val="00746E9D"/>
    <w:rsid w:val="0074711F"/>
    <w:rsid w:val="0074726E"/>
    <w:rsid w:val="00747531"/>
    <w:rsid w:val="00747705"/>
    <w:rsid w:val="0074799E"/>
    <w:rsid w:val="00747DBC"/>
    <w:rsid w:val="00747EFE"/>
    <w:rsid w:val="00750092"/>
    <w:rsid w:val="007501B0"/>
    <w:rsid w:val="00750C86"/>
    <w:rsid w:val="00750D29"/>
    <w:rsid w:val="00750DE1"/>
    <w:rsid w:val="00750F86"/>
    <w:rsid w:val="00750F87"/>
    <w:rsid w:val="00751111"/>
    <w:rsid w:val="007511CE"/>
    <w:rsid w:val="00751385"/>
    <w:rsid w:val="00751E3B"/>
    <w:rsid w:val="007521A1"/>
    <w:rsid w:val="00752361"/>
    <w:rsid w:val="007525CC"/>
    <w:rsid w:val="00752702"/>
    <w:rsid w:val="00752875"/>
    <w:rsid w:val="0075291C"/>
    <w:rsid w:val="0075301F"/>
    <w:rsid w:val="0075362B"/>
    <w:rsid w:val="00753D75"/>
    <w:rsid w:val="00753DAB"/>
    <w:rsid w:val="00754076"/>
    <w:rsid w:val="00754213"/>
    <w:rsid w:val="0075425F"/>
    <w:rsid w:val="00754BE0"/>
    <w:rsid w:val="007551C6"/>
    <w:rsid w:val="007559BD"/>
    <w:rsid w:val="00755AE2"/>
    <w:rsid w:val="00755CA9"/>
    <w:rsid w:val="00755E6B"/>
    <w:rsid w:val="00756225"/>
    <w:rsid w:val="00756238"/>
    <w:rsid w:val="00756549"/>
    <w:rsid w:val="007565D7"/>
    <w:rsid w:val="007568A1"/>
    <w:rsid w:val="0075690F"/>
    <w:rsid w:val="00756B64"/>
    <w:rsid w:val="00756CC6"/>
    <w:rsid w:val="00756F61"/>
    <w:rsid w:val="00756FDD"/>
    <w:rsid w:val="00757175"/>
    <w:rsid w:val="007571FA"/>
    <w:rsid w:val="00757258"/>
    <w:rsid w:val="0075756C"/>
    <w:rsid w:val="0075794B"/>
    <w:rsid w:val="00757C9C"/>
    <w:rsid w:val="00757D41"/>
    <w:rsid w:val="00757DA0"/>
    <w:rsid w:val="0076060F"/>
    <w:rsid w:val="00760663"/>
    <w:rsid w:val="00760761"/>
    <w:rsid w:val="00760BFC"/>
    <w:rsid w:val="00760F0D"/>
    <w:rsid w:val="007619FB"/>
    <w:rsid w:val="00761B01"/>
    <w:rsid w:val="00761CF1"/>
    <w:rsid w:val="00762012"/>
    <w:rsid w:val="00762251"/>
    <w:rsid w:val="00762764"/>
    <w:rsid w:val="00762842"/>
    <w:rsid w:val="00762A25"/>
    <w:rsid w:val="00762A85"/>
    <w:rsid w:val="00762C7F"/>
    <w:rsid w:val="00762EC5"/>
    <w:rsid w:val="00762F9F"/>
    <w:rsid w:val="00763249"/>
    <w:rsid w:val="0076325C"/>
    <w:rsid w:val="00763627"/>
    <w:rsid w:val="00763B62"/>
    <w:rsid w:val="00763D08"/>
    <w:rsid w:val="00763DCB"/>
    <w:rsid w:val="007640CD"/>
    <w:rsid w:val="00764507"/>
    <w:rsid w:val="0076469B"/>
    <w:rsid w:val="00764ADF"/>
    <w:rsid w:val="00764B26"/>
    <w:rsid w:val="00764DCB"/>
    <w:rsid w:val="00764E6F"/>
    <w:rsid w:val="00765074"/>
    <w:rsid w:val="007652B5"/>
    <w:rsid w:val="007657C9"/>
    <w:rsid w:val="00765A63"/>
    <w:rsid w:val="00765CCC"/>
    <w:rsid w:val="00765E44"/>
    <w:rsid w:val="00766737"/>
    <w:rsid w:val="00766934"/>
    <w:rsid w:val="00766DA3"/>
    <w:rsid w:val="00766DA5"/>
    <w:rsid w:val="00766E8D"/>
    <w:rsid w:val="00767507"/>
    <w:rsid w:val="007678C1"/>
    <w:rsid w:val="00767AE1"/>
    <w:rsid w:val="00767BF9"/>
    <w:rsid w:val="00770207"/>
    <w:rsid w:val="00770A5D"/>
    <w:rsid w:val="00770C3B"/>
    <w:rsid w:val="00770C71"/>
    <w:rsid w:val="00770CB8"/>
    <w:rsid w:val="00770CF6"/>
    <w:rsid w:val="00770D2D"/>
    <w:rsid w:val="00770DFE"/>
    <w:rsid w:val="00770F75"/>
    <w:rsid w:val="0077130F"/>
    <w:rsid w:val="00771B30"/>
    <w:rsid w:val="00771F9B"/>
    <w:rsid w:val="0077214B"/>
    <w:rsid w:val="00772248"/>
    <w:rsid w:val="0077260A"/>
    <w:rsid w:val="00772669"/>
    <w:rsid w:val="00772821"/>
    <w:rsid w:val="00772D3F"/>
    <w:rsid w:val="00772D64"/>
    <w:rsid w:val="00773811"/>
    <w:rsid w:val="007742FA"/>
    <w:rsid w:val="007748A7"/>
    <w:rsid w:val="0077490F"/>
    <w:rsid w:val="0077491D"/>
    <w:rsid w:val="00774E0D"/>
    <w:rsid w:val="0077502F"/>
    <w:rsid w:val="00775B39"/>
    <w:rsid w:val="00775F70"/>
    <w:rsid w:val="00776ADC"/>
    <w:rsid w:val="00776CFC"/>
    <w:rsid w:val="00777166"/>
    <w:rsid w:val="007771DE"/>
    <w:rsid w:val="00777416"/>
    <w:rsid w:val="0077770F"/>
    <w:rsid w:val="0077793F"/>
    <w:rsid w:val="00777B93"/>
    <w:rsid w:val="00777C2D"/>
    <w:rsid w:val="00777C40"/>
    <w:rsid w:val="00777ECE"/>
    <w:rsid w:val="007800DA"/>
    <w:rsid w:val="007801DD"/>
    <w:rsid w:val="007804BB"/>
    <w:rsid w:val="007805F9"/>
    <w:rsid w:val="007808B1"/>
    <w:rsid w:val="007809CA"/>
    <w:rsid w:val="00780AC7"/>
    <w:rsid w:val="00780DBF"/>
    <w:rsid w:val="00781095"/>
    <w:rsid w:val="0078178E"/>
    <w:rsid w:val="00781CCB"/>
    <w:rsid w:val="00781F00"/>
    <w:rsid w:val="00781FA8"/>
    <w:rsid w:val="00782077"/>
    <w:rsid w:val="007822BA"/>
    <w:rsid w:val="00782A13"/>
    <w:rsid w:val="00782B1D"/>
    <w:rsid w:val="00782EC7"/>
    <w:rsid w:val="0078334B"/>
    <w:rsid w:val="007835D0"/>
    <w:rsid w:val="00783A40"/>
    <w:rsid w:val="00783C5B"/>
    <w:rsid w:val="00783D19"/>
    <w:rsid w:val="007846AF"/>
    <w:rsid w:val="00784741"/>
    <w:rsid w:val="00784C39"/>
    <w:rsid w:val="00784DF2"/>
    <w:rsid w:val="007852D2"/>
    <w:rsid w:val="00785620"/>
    <w:rsid w:val="00785A21"/>
    <w:rsid w:val="00785D56"/>
    <w:rsid w:val="00785FBD"/>
    <w:rsid w:val="00786515"/>
    <w:rsid w:val="0078660B"/>
    <w:rsid w:val="00786A32"/>
    <w:rsid w:val="00786F5E"/>
    <w:rsid w:val="00787388"/>
    <w:rsid w:val="00787426"/>
    <w:rsid w:val="007874B0"/>
    <w:rsid w:val="007876AF"/>
    <w:rsid w:val="00787787"/>
    <w:rsid w:val="00787AC1"/>
    <w:rsid w:val="00787F38"/>
    <w:rsid w:val="00787F9E"/>
    <w:rsid w:val="0079005F"/>
    <w:rsid w:val="007900C9"/>
    <w:rsid w:val="00790742"/>
    <w:rsid w:val="007910A5"/>
    <w:rsid w:val="00791206"/>
    <w:rsid w:val="00791546"/>
    <w:rsid w:val="00791CBB"/>
    <w:rsid w:val="00792046"/>
    <w:rsid w:val="00792302"/>
    <w:rsid w:val="00792394"/>
    <w:rsid w:val="007925BB"/>
    <w:rsid w:val="007927D6"/>
    <w:rsid w:val="00792AEC"/>
    <w:rsid w:val="00792B27"/>
    <w:rsid w:val="00793314"/>
    <w:rsid w:val="007933F3"/>
    <w:rsid w:val="0079343F"/>
    <w:rsid w:val="0079371D"/>
    <w:rsid w:val="00793E86"/>
    <w:rsid w:val="007941C7"/>
    <w:rsid w:val="0079515A"/>
    <w:rsid w:val="007953DE"/>
    <w:rsid w:val="007957A3"/>
    <w:rsid w:val="007957B2"/>
    <w:rsid w:val="0079588F"/>
    <w:rsid w:val="00795AB4"/>
    <w:rsid w:val="00795AD0"/>
    <w:rsid w:val="00795CD3"/>
    <w:rsid w:val="00795D31"/>
    <w:rsid w:val="00795DC9"/>
    <w:rsid w:val="00795E4E"/>
    <w:rsid w:val="00795EA6"/>
    <w:rsid w:val="007963AE"/>
    <w:rsid w:val="00796D19"/>
    <w:rsid w:val="00797013"/>
    <w:rsid w:val="0079718C"/>
    <w:rsid w:val="007974D7"/>
    <w:rsid w:val="00797A00"/>
    <w:rsid w:val="007A052C"/>
    <w:rsid w:val="007A0EAE"/>
    <w:rsid w:val="007A0F3D"/>
    <w:rsid w:val="007A17C0"/>
    <w:rsid w:val="007A1AA8"/>
    <w:rsid w:val="007A1B2C"/>
    <w:rsid w:val="007A2104"/>
    <w:rsid w:val="007A28EA"/>
    <w:rsid w:val="007A2D0F"/>
    <w:rsid w:val="007A31A4"/>
    <w:rsid w:val="007A3293"/>
    <w:rsid w:val="007A3529"/>
    <w:rsid w:val="007A36AC"/>
    <w:rsid w:val="007A3966"/>
    <w:rsid w:val="007A3A07"/>
    <w:rsid w:val="007A3C4E"/>
    <w:rsid w:val="007A3D64"/>
    <w:rsid w:val="007A3E11"/>
    <w:rsid w:val="007A4779"/>
    <w:rsid w:val="007A4A32"/>
    <w:rsid w:val="007A5016"/>
    <w:rsid w:val="007A5A46"/>
    <w:rsid w:val="007A5C78"/>
    <w:rsid w:val="007A65E8"/>
    <w:rsid w:val="007A66AA"/>
    <w:rsid w:val="007A6B2B"/>
    <w:rsid w:val="007A6B5B"/>
    <w:rsid w:val="007A6B6C"/>
    <w:rsid w:val="007A6E0B"/>
    <w:rsid w:val="007A7012"/>
    <w:rsid w:val="007A7262"/>
    <w:rsid w:val="007A78AE"/>
    <w:rsid w:val="007A79D2"/>
    <w:rsid w:val="007A7ACE"/>
    <w:rsid w:val="007A7DE9"/>
    <w:rsid w:val="007A7FA7"/>
    <w:rsid w:val="007B0008"/>
    <w:rsid w:val="007B02D7"/>
    <w:rsid w:val="007B0B32"/>
    <w:rsid w:val="007B0B46"/>
    <w:rsid w:val="007B0B8E"/>
    <w:rsid w:val="007B0BF1"/>
    <w:rsid w:val="007B0CA3"/>
    <w:rsid w:val="007B0E8F"/>
    <w:rsid w:val="007B14F1"/>
    <w:rsid w:val="007B1C17"/>
    <w:rsid w:val="007B1F92"/>
    <w:rsid w:val="007B1FAC"/>
    <w:rsid w:val="007B1FAD"/>
    <w:rsid w:val="007B20FF"/>
    <w:rsid w:val="007B2127"/>
    <w:rsid w:val="007B2321"/>
    <w:rsid w:val="007B25AC"/>
    <w:rsid w:val="007B2752"/>
    <w:rsid w:val="007B2CC5"/>
    <w:rsid w:val="007B31BE"/>
    <w:rsid w:val="007B3435"/>
    <w:rsid w:val="007B3706"/>
    <w:rsid w:val="007B3AC4"/>
    <w:rsid w:val="007B4561"/>
    <w:rsid w:val="007B516F"/>
    <w:rsid w:val="007B54EA"/>
    <w:rsid w:val="007B5B51"/>
    <w:rsid w:val="007B62BF"/>
    <w:rsid w:val="007B63B0"/>
    <w:rsid w:val="007B6553"/>
    <w:rsid w:val="007B6ABC"/>
    <w:rsid w:val="007B72E8"/>
    <w:rsid w:val="007B73A3"/>
    <w:rsid w:val="007B7423"/>
    <w:rsid w:val="007B745D"/>
    <w:rsid w:val="007B754C"/>
    <w:rsid w:val="007B7664"/>
    <w:rsid w:val="007B76B1"/>
    <w:rsid w:val="007B79EF"/>
    <w:rsid w:val="007B7CCC"/>
    <w:rsid w:val="007B7CE2"/>
    <w:rsid w:val="007B7F9C"/>
    <w:rsid w:val="007C00D0"/>
    <w:rsid w:val="007C00F9"/>
    <w:rsid w:val="007C0AA1"/>
    <w:rsid w:val="007C1F96"/>
    <w:rsid w:val="007C2073"/>
    <w:rsid w:val="007C20C2"/>
    <w:rsid w:val="007C227C"/>
    <w:rsid w:val="007C2288"/>
    <w:rsid w:val="007C241E"/>
    <w:rsid w:val="007C2432"/>
    <w:rsid w:val="007C2696"/>
    <w:rsid w:val="007C298A"/>
    <w:rsid w:val="007C2A61"/>
    <w:rsid w:val="007C2F6C"/>
    <w:rsid w:val="007C311A"/>
    <w:rsid w:val="007C371C"/>
    <w:rsid w:val="007C3C43"/>
    <w:rsid w:val="007C3CA0"/>
    <w:rsid w:val="007C3CE2"/>
    <w:rsid w:val="007C3E9B"/>
    <w:rsid w:val="007C3F58"/>
    <w:rsid w:val="007C3F74"/>
    <w:rsid w:val="007C40A2"/>
    <w:rsid w:val="007C440F"/>
    <w:rsid w:val="007C4577"/>
    <w:rsid w:val="007C4B20"/>
    <w:rsid w:val="007C4B56"/>
    <w:rsid w:val="007C541C"/>
    <w:rsid w:val="007C55E0"/>
    <w:rsid w:val="007C55ED"/>
    <w:rsid w:val="007C5697"/>
    <w:rsid w:val="007C608B"/>
    <w:rsid w:val="007C6287"/>
    <w:rsid w:val="007C6335"/>
    <w:rsid w:val="007C671A"/>
    <w:rsid w:val="007C67B8"/>
    <w:rsid w:val="007C6876"/>
    <w:rsid w:val="007C6D8E"/>
    <w:rsid w:val="007C6DE8"/>
    <w:rsid w:val="007C6E8A"/>
    <w:rsid w:val="007C6ED5"/>
    <w:rsid w:val="007C6F8E"/>
    <w:rsid w:val="007C72CB"/>
    <w:rsid w:val="007C7787"/>
    <w:rsid w:val="007C785C"/>
    <w:rsid w:val="007C79A6"/>
    <w:rsid w:val="007C7F0D"/>
    <w:rsid w:val="007C7F63"/>
    <w:rsid w:val="007C7FF9"/>
    <w:rsid w:val="007D0295"/>
    <w:rsid w:val="007D053C"/>
    <w:rsid w:val="007D09BD"/>
    <w:rsid w:val="007D0EBF"/>
    <w:rsid w:val="007D0F0E"/>
    <w:rsid w:val="007D129C"/>
    <w:rsid w:val="007D14E9"/>
    <w:rsid w:val="007D1697"/>
    <w:rsid w:val="007D1728"/>
    <w:rsid w:val="007D228F"/>
    <w:rsid w:val="007D2D6D"/>
    <w:rsid w:val="007D34EB"/>
    <w:rsid w:val="007D380E"/>
    <w:rsid w:val="007D3AC7"/>
    <w:rsid w:val="007D4121"/>
    <w:rsid w:val="007D4269"/>
    <w:rsid w:val="007D475B"/>
    <w:rsid w:val="007D4AE2"/>
    <w:rsid w:val="007D4CF0"/>
    <w:rsid w:val="007D4FF3"/>
    <w:rsid w:val="007D50AD"/>
    <w:rsid w:val="007D5254"/>
    <w:rsid w:val="007D5481"/>
    <w:rsid w:val="007D55FE"/>
    <w:rsid w:val="007D5772"/>
    <w:rsid w:val="007D5FEE"/>
    <w:rsid w:val="007D6579"/>
    <w:rsid w:val="007D682F"/>
    <w:rsid w:val="007D68BB"/>
    <w:rsid w:val="007D6BC9"/>
    <w:rsid w:val="007D6CCC"/>
    <w:rsid w:val="007D6E20"/>
    <w:rsid w:val="007D7557"/>
    <w:rsid w:val="007D77FD"/>
    <w:rsid w:val="007D79ED"/>
    <w:rsid w:val="007D7D2B"/>
    <w:rsid w:val="007E0C92"/>
    <w:rsid w:val="007E14AB"/>
    <w:rsid w:val="007E17F4"/>
    <w:rsid w:val="007E1F10"/>
    <w:rsid w:val="007E236F"/>
    <w:rsid w:val="007E23E6"/>
    <w:rsid w:val="007E24C5"/>
    <w:rsid w:val="007E2AFC"/>
    <w:rsid w:val="007E2D6A"/>
    <w:rsid w:val="007E3D60"/>
    <w:rsid w:val="007E3E65"/>
    <w:rsid w:val="007E4309"/>
    <w:rsid w:val="007E46E8"/>
    <w:rsid w:val="007E4A5B"/>
    <w:rsid w:val="007E4B91"/>
    <w:rsid w:val="007E4BDB"/>
    <w:rsid w:val="007E54C0"/>
    <w:rsid w:val="007E55E2"/>
    <w:rsid w:val="007E5796"/>
    <w:rsid w:val="007E57EF"/>
    <w:rsid w:val="007E5F6D"/>
    <w:rsid w:val="007E6055"/>
    <w:rsid w:val="007E606E"/>
    <w:rsid w:val="007E6146"/>
    <w:rsid w:val="007E621F"/>
    <w:rsid w:val="007E6444"/>
    <w:rsid w:val="007E676C"/>
    <w:rsid w:val="007E6DC3"/>
    <w:rsid w:val="007E6FA4"/>
    <w:rsid w:val="007E70A7"/>
    <w:rsid w:val="007E7644"/>
    <w:rsid w:val="007E7BC9"/>
    <w:rsid w:val="007E7C24"/>
    <w:rsid w:val="007E7CB9"/>
    <w:rsid w:val="007E7E39"/>
    <w:rsid w:val="007F0004"/>
    <w:rsid w:val="007F0179"/>
    <w:rsid w:val="007F01C2"/>
    <w:rsid w:val="007F097E"/>
    <w:rsid w:val="007F107C"/>
    <w:rsid w:val="007F1437"/>
    <w:rsid w:val="007F1B5B"/>
    <w:rsid w:val="007F2020"/>
    <w:rsid w:val="007F275D"/>
    <w:rsid w:val="007F330E"/>
    <w:rsid w:val="007F34D4"/>
    <w:rsid w:val="007F355F"/>
    <w:rsid w:val="007F35EC"/>
    <w:rsid w:val="007F39FD"/>
    <w:rsid w:val="007F46BA"/>
    <w:rsid w:val="007F496A"/>
    <w:rsid w:val="007F539F"/>
    <w:rsid w:val="007F5521"/>
    <w:rsid w:val="007F56CE"/>
    <w:rsid w:val="007F5B9C"/>
    <w:rsid w:val="007F5CE9"/>
    <w:rsid w:val="007F620E"/>
    <w:rsid w:val="007F63FA"/>
    <w:rsid w:val="007F6543"/>
    <w:rsid w:val="007F67E1"/>
    <w:rsid w:val="007F6A45"/>
    <w:rsid w:val="007F6A50"/>
    <w:rsid w:val="007F6F21"/>
    <w:rsid w:val="007F7655"/>
    <w:rsid w:val="007F789C"/>
    <w:rsid w:val="007F7C07"/>
    <w:rsid w:val="007F7ED5"/>
    <w:rsid w:val="007F7F13"/>
    <w:rsid w:val="0080002E"/>
    <w:rsid w:val="0080033E"/>
    <w:rsid w:val="0080072A"/>
    <w:rsid w:val="008009D0"/>
    <w:rsid w:val="00800AA6"/>
    <w:rsid w:val="00800DCB"/>
    <w:rsid w:val="00800E27"/>
    <w:rsid w:val="008012A6"/>
    <w:rsid w:val="00801A93"/>
    <w:rsid w:val="00802352"/>
    <w:rsid w:val="008023E1"/>
    <w:rsid w:val="00802513"/>
    <w:rsid w:val="00802612"/>
    <w:rsid w:val="0080280C"/>
    <w:rsid w:val="008029E0"/>
    <w:rsid w:val="00802CDD"/>
    <w:rsid w:val="00802FFD"/>
    <w:rsid w:val="0080322F"/>
    <w:rsid w:val="00803291"/>
    <w:rsid w:val="0080335D"/>
    <w:rsid w:val="0080381C"/>
    <w:rsid w:val="00803C64"/>
    <w:rsid w:val="00804017"/>
    <w:rsid w:val="008044BE"/>
    <w:rsid w:val="008048D4"/>
    <w:rsid w:val="008049CB"/>
    <w:rsid w:val="008049D5"/>
    <w:rsid w:val="00804B01"/>
    <w:rsid w:val="00804E0A"/>
    <w:rsid w:val="0080507A"/>
    <w:rsid w:val="00805C7B"/>
    <w:rsid w:val="00805DBF"/>
    <w:rsid w:val="00805E7E"/>
    <w:rsid w:val="00805FBB"/>
    <w:rsid w:val="0080624F"/>
    <w:rsid w:val="00806805"/>
    <w:rsid w:val="00806953"/>
    <w:rsid w:val="008069F5"/>
    <w:rsid w:val="00806B2A"/>
    <w:rsid w:val="00806B77"/>
    <w:rsid w:val="00806D4C"/>
    <w:rsid w:val="008071E1"/>
    <w:rsid w:val="0080742F"/>
    <w:rsid w:val="0080769F"/>
    <w:rsid w:val="00807A95"/>
    <w:rsid w:val="00807C42"/>
    <w:rsid w:val="00810012"/>
    <w:rsid w:val="0081044F"/>
    <w:rsid w:val="0081066F"/>
    <w:rsid w:val="008110A5"/>
    <w:rsid w:val="008115A1"/>
    <w:rsid w:val="00811B37"/>
    <w:rsid w:val="00812103"/>
    <w:rsid w:val="008122C9"/>
    <w:rsid w:val="008123FA"/>
    <w:rsid w:val="008125EF"/>
    <w:rsid w:val="008127B3"/>
    <w:rsid w:val="00812ED5"/>
    <w:rsid w:val="008137A7"/>
    <w:rsid w:val="00813F7D"/>
    <w:rsid w:val="0081409B"/>
    <w:rsid w:val="0081411A"/>
    <w:rsid w:val="00814305"/>
    <w:rsid w:val="00814398"/>
    <w:rsid w:val="00814621"/>
    <w:rsid w:val="00814D15"/>
    <w:rsid w:val="0081510C"/>
    <w:rsid w:val="008152BF"/>
    <w:rsid w:val="008159D3"/>
    <w:rsid w:val="00815F4D"/>
    <w:rsid w:val="00815F70"/>
    <w:rsid w:val="00816013"/>
    <w:rsid w:val="008161F5"/>
    <w:rsid w:val="00816228"/>
    <w:rsid w:val="00816369"/>
    <w:rsid w:val="00816543"/>
    <w:rsid w:val="0081666A"/>
    <w:rsid w:val="008167E6"/>
    <w:rsid w:val="008169A6"/>
    <w:rsid w:val="00816A4E"/>
    <w:rsid w:val="00816B09"/>
    <w:rsid w:val="00816DE5"/>
    <w:rsid w:val="008173A8"/>
    <w:rsid w:val="0081747E"/>
    <w:rsid w:val="0081769E"/>
    <w:rsid w:val="00817816"/>
    <w:rsid w:val="00817A97"/>
    <w:rsid w:val="00817EB7"/>
    <w:rsid w:val="00817FA3"/>
    <w:rsid w:val="00820138"/>
    <w:rsid w:val="008208E5"/>
    <w:rsid w:val="008208F6"/>
    <w:rsid w:val="0082095E"/>
    <w:rsid w:val="008209E6"/>
    <w:rsid w:val="00820B3C"/>
    <w:rsid w:val="00820EE5"/>
    <w:rsid w:val="008213D6"/>
    <w:rsid w:val="00821402"/>
    <w:rsid w:val="0082226E"/>
    <w:rsid w:val="008233CE"/>
    <w:rsid w:val="00823635"/>
    <w:rsid w:val="008236D7"/>
    <w:rsid w:val="008237A2"/>
    <w:rsid w:val="00824E6C"/>
    <w:rsid w:val="00825A65"/>
    <w:rsid w:val="00825CAA"/>
    <w:rsid w:val="0082644D"/>
    <w:rsid w:val="00826581"/>
    <w:rsid w:val="00827148"/>
    <w:rsid w:val="0082728A"/>
    <w:rsid w:val="0082745B"/>
    <w:rsid w:val="0082760A"/>
    <w:rsid w:val="00827620"/>
    <w:rsid w:val="008278FA"/>
    <w:rsid w:val="00827A5F"/>
    <w:rsid w:val="0083001B"/>
    <w:rsid w:val="00830495"/>
    <w:rsid w:val="008304D4"/>
    <w:rsid w:val="00830FAC"/>
    <w:rsid w:val="00831474"/>
    <w:rsid w:val="008314FE"/>
    <w:rsid w:val="00831549"/>
    <w:rsid w:val="00831695"/>
    <w:rsid w:val="00831706"/>
    <w:rsid w:val="0083201D"/>
    <w:rsid w:val="00832403"/>
    <w:rsid w:val="00832546"/>
    <w:rsid w:val="00832F24"/>
    <w:rsid w:val="00833083"/>
    <w:rsid w:val="00833CFD"/>
    <w:rsid w:val="00833DB2"/>
    <w:rsid w:val="00833E32"/>
    <w:rsid w:val="00834DF7"/>
    <w:rsid w:val="0083518F"/>
    <w:rsid w:val="00835C29"/>
    <w:rsid w:val="00836130"/>
    <w:rsid w:val="00836316"/>
    <w:rsid w:val="008365F0"/>
    <w:rsid w:val="0083685D"/>
    <w:rsid w:val="00837442"/>
    <w:rsid w:val="008374EB"/>
    <w:rsid w:val="008379BA"/>
    <w:rsid w:val="00837B38"/>
    <w:rsid w:val="00837E15"/>
    <w:rsid w:val="008400B4"/>
    <w:rsid w:val="008400F6"/>
    <w:rsid w:val="008406E7"/>
    <w:rsid w:val="008411EF"/>
    <w:rsid w:val="008412FE"/>
    <w:rsid w:val="008421DC"/>
    <w:rsid w:val="00842263"/>
    <w:rsid w:val="00842C77"/>
    <w:rsid w:val="00842FBE"/>
    <w:rsid w:val="0084305D"/>
    <w:rsid w:val="008438F5"/>
    <w:rsid w:val="00844B7E"/>
    <w:rsid w:val="00844EAA"/>
    <w:rsid w:val="00845035"/>
    <w:rsid w:val="00845221"/>
    <w:rsid w:val="00845255"/>
    <w:rsid w:val="008454A3"/>
    <w:rsid w:val="0084550D"/>
    <w:rsid w:val="008455D8"/>
    <w:rsid w:val="0084597C"/>
    <w:rsid w:val="00845B0A"/>
    <w:rsid w:val="0084615C"/>
    <w:rsid w:val="008462BD"/>
    <w:rsid w:val="008463BD"/>
    <w:rsid w:val="0084663B"/>
    <w:rsid w:val="00846B66"/>
    <w:rsid w:val="00846C07"/>
    <w:rsid w:val="00846C7F"/>
    <w:rsid w:val="00846FD0"/>
    <w:rsid w:val="008470ED"/>
    <w:rsid w:val="008476A4"/>
    <w:rsid w:val="008478AD"/>
    <w:rsid w:val="00847D1D"/>
    <w:rsid w:val="00847FB2"/>
    <w:rsid w:val="008500CB"/>
    <w:rsid w:val="00850118"/>
    <w:rsid w:val="00850155"/>
    <w:rsid w:val="008502E0"/>
    <w:rsid w:val="0085045E"/>
    <w:rsid w:val="008507F7"/>
    <w:rsid w:val="008508C2"/>
    <w:rsid w:val="00850BEC"/>
    <w:rsid w:val="00850BFF"/>
    <w:rsid w:val="00850C37"/>
    <w:rsid w:val="00850EE5"/>
    <w:rsid w:val="00850F8B"/>
    <w:rsid w:val="00851A9A"/>
    <w:rsid w:val="00852173"/>
    <w:rsid w:val="00852604"/>
    <w:rsid w:val="008529B5"/>
    <w:rsid w:val="00852DC6"/>
    <w:rsid w:val="00852E0E"/>
    <w:rsid w:val="00852F32"/>
    <w:rsid w:val="008530FC"/>
    <w:rsid w:val="008535D9"/>
    <w:rsid w:val="00853F8D"/>
    <w:rsid w:val="00854212"/>
    <w:rsid w:val="00854511"/>
    <w:rsid w:val="00854CFA"/>
    <w:rsid w:val="00854D4A"/>
    <w:rsid w:val="00854DE5"/>
    <w:rsid w:val="00854EBF"/>
    <w:rsid w:val="00855433"/>
    <w:rsid w:val="0085582C"/>
    <w:rsid w:val="0085586A"/>
    <w:rsid w:val="008558A5"/>
    <w:rsid w:val="00856879"/>
    <w:rsid w:val="008572B6"/>
    <w:rsid w:val="00857994"/>
    <w:rsid w:val="008579F5"/>
    <w:rsid w:val="00860414"/>
    <w:rsid w:val="00860490"/>
    <w:rsid w:val="008606E5"/>
    <w:rsid w:val="00860B7E"/>
    <w:rsid w:val="00860C6B"/>
    <w:rsid w:val="00861575"/>
    <w:rsid w:val="00861F6D"/>
    <w:rsid w:val="008623ED"/>
    <w:rsid w:val="00862F26"/>
    <w:rsid w:val="0086300F"/>
    <w:rsid w:val="008632DB"/>
    <w:rsid w:val="008633E7"/>
    <w:rsid w:val="0086340A"/>
    <w:rsid w:val="008634FC"/>
    <w:rsid w:val="008635AF"/>
    <w:rsid w:val="0086380A"/>
    <w:rsid w:val="008638F1"/>
    <w:rsid w:val="00863B8D"/>
    <w:rsid w:val="008640D7"/>
    <w:rsid w:val="008643DE"/>
    <w:rsid w:val="008643F0"/>
    <w:rsid w:val="0086457C"/>
    <w:rsid w:val="00864D35"/>
    <w:rsid w:val="00864FF9"/>
    <w:rsid w:val="008651DA"/>
    <w:rsid w:val="00865653"/>
    <w:rsid w:val="00865735"/>
    <w:rsid w:val="00865F1B"/>
    <w:rsid w:val="00865FEB"/>
    <w:rsid w:val="00866A88"/>
    <w:rsid w:val="00866DFF"/>
    <w:rsid w:val="00866F80"/>
    <w:rsid w:val="00866FCD"/>
    <w:rsid w:val="0086702A"/>
    <w:rsid w:val="00867285"/>
    <w:rsid w:val="008673E0"/>
    <w:rsid w:val="00867B15"/>
    <w:rsid w:val="00867D97"/>
    <w:rsid w:val="00867EAE"/>
    <w:rsid w:val="00867F86"/>
    <w:rsid w:val="008700FD"/>
    <w:rsid w:val="008703FE"/>
    <w:rsid w:val="00870626"/>
    <w:rsid w:val="008706EE"/>
    <w:rsid w:val="008708A7"/>
    <w:rsid w:val="00870BEE"/>
    <w:rsid w:val="00871000"/>
    <w:rsid w:val="0087150C"/>
    <w:rsid w:val="008721A4"/>
    <w:rsid w:val="0087221D"/>
    <w:rsid w:val="008727B7"/>
    <w:rsid w:val="00872AD4"/>
    <w:rsid w:val="00872BA7"/>
    <w:rsid w:val="00872E7E"/>
    <w:rsid w:val="008742DD"/>
    <w:rsid w:val="008743F1"/>
    <w:rsid w:val="00874CC4"/>
    <w:rsid w:val="00874F9F"/>
    <w:rsid w:val="00875007"/>
    <w:rsid w:val="008750C2"/>
    <w:rsid w:val="00876168"/>
    <w:rsid w:val="008768BB"/>
    <w:rsid w:val="00876B2A"/>
    <w:rsid w:val="00876B6B"/>
    <w:rsid w:val="00877020"/>
    <w:rsid w:val="008771A4"/>
    <w:rsid w:val="0087725A"/>
    <w:rsid w:val="00877421"/>
    <w:rsid w:val="0087761B"/>
    <w:rsid w:val="00877AF4"/>
    <w:rsid w:val="00877D2D"/>
    <w:rsid w:val="00880396"/>
    <w:rsid w:val="00880757"/>
    <w:rsid w:val="008815E4"/>
    <w:rsid w:val="008816BA"/>
    <w:rsid w:val="00882301"/>
    <w:rsid w:val="00882678"/>
    <w:rsid w:val="008826BE"/>
    <w:rsid w:val="00882730"/>
    <w:rsid w:val="0088363E"/>
    <w:rsid w:val="00883A9C"/>
    <w:rsid w:val="008843A4"/>
    <w:rsid w:val="0088442C"/>
    <w:rsid w:val="00884A55"/>
    <w:rsid w:val="00884E7C"/>
    <w:rsid w:val="00884FAF"/>
    <w:rsid w:val="00885185"/>
    <w:rsid w:val="0088562B"/>
    <w:rsid w:val="008856DB"/>
    <w:rsid w:val="008857EF"/>
    <w:rsid w:val="00885BA3"/>
    <w:rsid w:val="00885D2C"/>
    <w:rsid w:val="00885D8F"/>
    <w:rsid w:val="008861E0"/>
    <w:rsid w:val="0088620B"/>
    <w:rsid w:val="00886762"/>
    <w:rsid w:val="0088678B"/>
    <w:rsid w:val="00886CCF"/>
    <w:rsid w:val="00886E72"/>
    <w:rsid w:val="00886F75"/>
    <w:rsid w:val="008874E2"/>
    <w:rsid w:val="0088758A"/>
    <w:rsid w:val="00887CD6"/>
    <w:rsid w:val="00887D59"/>
    <w:rsid w:val="008905E8"/>
    <w:rsid w:val="008906EC"/>
    <w:rsid w:val="0089088B"/>
    <w:rsid w:val="00890A32"/>
    <w:rsid w:val="00890BE6"/>
    <w:rsid w:val="00890F9F"/>
    <w:rsid w:val="008910B1"/>
    <w:rsid w:val="008912B6"/>
    <w:rsid w:val="00891713"/>
    <w:rsid w:val="008917A3"/>
    <w:rsid w:val="00891FBC"/>
    <w:rsid w:val="008922EE"/>
    <w:rsid w:val="00892561"/>
    <w:rsid w:val="008927F8"/>
    <w:rsid w:val="00892A88"/>
    <w:rsid w:val="00893783"/>
    <w:rsid w:val="008937F2"/>
    <w:rsid w:val="00893954"/>
    <w:rsid w:val="00893C65"/>
    <w:rsid w:val="00894027"/>
    <w:rsid w:val="0089419C"/>
    <w:rsid w:val="008941B1"/>
    <w:rsid w:val="008941FD"/>
    <w:rsid w:val="00894338"/>
    <w:rsid w:val="0089472A"/>
    <w:rsid w:val="008947EA"/>
    <w:rsid w:val="00894E69"/>
    <w:rsid w:val="0089550B"/>
    <w:rsid w:val="00895C54"/>
    <w:rsid w:val="0089606C"/>
    <w:rsid w:val="00896323"/>
    <w:rsid w:val="008963EB"/>
    <w:rsid w:val="00896590"/>
    <w:rsid w:val="0089665B"/>
    <w:rsid w:val="008969AB"/>
    <w:rsid w:val="00896B83"/>
    <w:rsid w:val="00896BAF"/>
    <w:rsid w:val="00896C23"/>
    <w:rsid w:val="008972BB"/>
    <w:rsid w:val="008975DD"/>
    <w:rsid w:val="008976DB"/>
    <w:rsid w:val="00897FEF"/>
    <w:rsid w:val="008A0267"/>
    <w:rsid w:val="008A05F3"/>
    <w:rsid w:val="008A085C"/>
    <w:rsid w:val="008A0BC4"/>
    <w:rsid w:val="008A0C86"/>
    <w:rsid w:val="008A1243"/>
    <w:rsid w:val="008A125F"/>
    <w:rsid w:val="008A12C9"/>
    <w:rsid w:val="008A1AC3"/>
    <w:rsid w:val="008A1CF4"/>
    <w:rsid w:val="008A1E05"/>
    <w:rsid w:val="008A209D"/>
    <w:rsid w:val="008A2407"/>
    <w:rsid w:val="008A29D2"/>
    <w:rsid w:val="008A2AF5"/>
    <w:rsid w:val="008A2D05"/>
    <w:rsid w:val="008A33A0"/>
    <w:rsid w:val="008A38D4"/>
    <w:rsid w:val="008A3C73"/>
    <w:rsid w:val="008A4368"/>
    <w:rsid w:val="008A4668"/>
    <w:rsid w:val="008A49AD"/>
    <w:rsid w:val="008A4AB8"/>
    <w:rsid w:val="008A4E7D"/>
    <w:rsid w:val="008A4E7F"/>
    <w:rsid w:val="008A5602"/>
    <w:rsid w:val="008A5BE5"/>
    <w:rsid w:val="008A6085"/>
    <w:rsid w:val="008A60BE"/>
    <w:rsid w:val="008A6237"/>
    <w:rsid w:val="008A6542"/>
    <w:rsid w:val="008A66C1"/>
    <w:rsid w:val="008A706E"/>
    <w:rsid w:val="008A72E2"/>
    <w:rsid w:val="008A756A"/>
    <w:rsid w:val="008A772E"/>
    <w:rsid w:val="008B057A"/>
    <w:rsid w:val="008B07EB"/>
    <w:rsid w:val="008B0EC5"/>
    <w:rsid w:val="008B0F9C"/>
    <w:rsid w:val="008B1176"/>
    <w:rsid w:val="008B12E9"/>
    <w:rsid w:val="008B14BB"/>
    <w:rsid w:val="008B17C8"/>
    <w:rsid w:val="008B1E89"/>
    <w:rsid w:val="008B2400"/>
    <w:rsid w:val="008B3317"/>
    <w:rsid w:val="008B3678"/>
    <w:rsid w:val="008B3A3C"/>
    <w:rsid w:val="008B49EE"/>
    <w:rsid w:val="008B51D8"/>
    <w:rsid w:val="008B52BC"/>
    <w:rsid w:val="008B5674"/>
    <w:rsid w:val="008B6568"/>
    <w:rsid w:val="008B66EC"/>
    <w:rsid w:val="008B67D3"/>
    <w:rsid w:val="008B6D1A"/>
    <w:rsid w:val="008B7023"/>
    <w:rsid w:val="008B713C"/>
    <w:rsid w:val="008B7890"/>
    <w:rsid w:val="008B7C67"/>
    <w:rsid w:val="008B7F75"/>
    <w:rsid w:val="008C0784"/>
    <w:rsid w:val="008C0BF8"/>
    <w:rsid w:val="008C0DAE"/>
    <w:rsid w:val="008C111F"/>
    <w:rsid w:val="008C140E"/>
    <w:rsid w:val="008C1553"/>
    <w:rsid w:val="008C1709"/>
    <w:rsid w:val="008C1870"/>
    <w:rsid w:val="008C1A22"/>
    <w:rsid w:val="008C1B85"/>
    <w:rsid w:val="008C1E33"/>
    <w:rsid w:val="008C1EB3"/>
    <w:rsid w:val="008C2179"/>
    <w:rsid w:val="008C22D6"/>
    <w:rsid w:val="008C26CE"/>
    <w:rsid w:val="008C2827"/>
    <w:rsid w:val="008C315F"/>
    <w:rsid w:val="008C31B1"/>
    <w:rsid w:val="008C37BB"/>
    <w:rsid w:val="008C39C8"/>
    <w:rsid w:val="008C3A88"/>
    <w:rsid w:val="008C3AC2"/>
    <w:rsid w:val="008C3DA1"/>
    <w:rsid w:val="008C4176"/>
    <w:rsid w:val="008C4313"/>
    <w:rsid w:val="008C50AB"/>
    <w:rsid w:val="008C51D8"/>
    <w:rsid w:val="008C52E6"/>
    <w:rsid w:val="008C57D7"/>
    <w:rsid w:val="008C597D"/>
    <w:rsid w:val="008C626E"/>
    <w:rsid w:val="008C63CB"/>
    <w:rsid w:val="008C6476"/>
    <w:rsid w:val="008C656F"/>
    <w:rsid w:val="008C671C"/>
    <w:rsid w:val="008C684B"/>
    <w:rsid w:val="008C6BD1"/>
    <w:rsid w:val="008C6F61"/>
    <w:rsid w:val="008C729D"/>
    <w:rsid w:val="008C76AC"/>
    <w:rsid w:val="008C78E2"/>
    <w:rsid w:val="008C7AA2"/>
    <w:rsid w:val="008C7DEF"/>
    <w:rsid w:val="008C7E0E"/>
    <w:rsid w:val="008D0766"/>
    <w:rsid w:val="008D0ACA"/>
    <w:rsid w:val="008D0B2B"/>
    <w:rsid w:val="008D1197"/>
    <w:rsid w:val="008D1C42"/>
    <w:rsid w:val="008D1D42"/>
    <w:rsid w:val="008D1D87"/>
    <w:rsid w:val="008D1FDF"/>
    <w:rsid w:val="008D2041"/>
    <w:rsid w:val="008D2120"/>
    <w:rsid w:val="008D22A9"/>
    <w:rsid w:val="008D24B7"/>
    <w:rsid w:val="008D2548"/>
    <w:rsid w:val="008D266F"/>
    <w:rsid w:val="008D275B"/>
    <w:rsid w:val="008D2BE3"/>
    <w:rsid w:val="008D2DD3"/>
    <w:rsid w:val="008D2E4D"/>
    <w:rsid w:val="008D3056"/>
    <w:rsid w:val="008D30C3"/>
    <w:rsid w:val="008D4394"/>
    <w:rsid w:val="008D4758"/>
    <w:rsid w:val="008D4829"/>
    <w:rsid w:val="008D497C"/>
    <w:rsid w:val="008D506F"/>
    <w:rsid w:val="008D555A"/>
    <w:rsid w:val="008D5D70"/>
    <w:rsid w:val="008D6298"/>
    <w:rsid w:val="008D635D"/>
    <w:rsid w:val="008D6C7D"/>
    <w:rsid w:val="008D6DFA"/>
    <w:rsid w:val="008D707B"/>
    <w:rsid w:val="008D71A2"/>
    <w:rsid w:val="008D71DD"/>
    <w:rsid w:val="008D72BE"/>
    <w:rsid w:val="008D7350"/>
    <w:rsid w:val="008D75DE"/>
    <w:rsid w:val="008E10AA"/>
    <w:rsid w:val="008E1388"/>
    <w:rsid w:val="008E1704"/>
    <w:rsid w:val="008E1D39"/>
    <w:rsid w:val="008E1D78"/>
    <w:rsid w:val="008E1DAC"/>
    <w:rsid w:val="008E2237"/>
    <w:rsid w:val="008E233E"/>
    <w:rsid w:val="008E233F"/>
    <w:rsid w:val="008E2360"/>
    <w:rsid w:val="008E236F"/>
    <w:rsid w:val="008E2398"/>
    <w:rsid w:val="008E23BD"/>
    <w:rsid w:val="008E28E3"/>
    <w:rsid w:val="008E2C20"/>
    <w:rsid w:val="008E3028"/>
    <w:rsid w:val="008E3055"/>
    <w:rsid w:val="008E3210"/>
    <w:rsid w:val="008E34D6"/>
    <w:rsid w:val="008E392A"/>
    <w:rsid w:val="008E4176"/>
    <w:rsid w:val="008E4489"/>
    <w:rsid w:val="008E454D"/>
    <w:rsid w:val="008E4E85"/>
    <w:rsid w:val="008E4FE5"/>
    <w:rsid w:val="008E54A4"/>
    <w:rsid w:val="008E5728"/>
    <w:rsid w:val="008E575E"/>
    <w:rsid w:val="008E608A"/>
    <w:rsid w:val="008E6291"/>
    <w:rsid w:val="008E6D6F"/>
    <w:rsid w:val="008E75E0"/>
    <w:rsid w:val="008E7A5F"/>
    <w:rsid w:val="008E7F04"/>
    <w:rsid w:val="008F0808"/>
    <w:rsid w:val="008F0972"/>
    <w:rsid w:val="008F0C29"/>
    <w:rsid w:val="008F0EC9"/>
    <w:rsid w:val="008F11B9"/>
    <w:rsid w:val="008F12C2"/>
    <w:rsid w:val="008F14F2"/>
    <w:rsid w:val="008F1578"/>
    <w:rsid w:val="008F1870"/>
    <w:rsid w:val="008F2426"/>
    <w:rsid w:val="008F2754"/>
    <w:rsid w:val="008F2F52"/>
    <w:rsid w:val="008F30A8"/>
    <w:rsid w:val="008F31A0"/>
    <w:rsid w:val="008F38BC"/>
    <w:rsid w:val="008F3F8D"/>
    <w:rsid w:val="008F4222"/>
    <w:rsid w:val="008F4406"/>
    <w:rsid w:val="008F467D"/>
    <w:rsid w:val="008F4BC0"/>
    <w:rsid w:val="008F4D11"/>
    <w:rsid w:val="008F4EB9"/>
    <w:rsid w:val="008F4FEC"/>
    <w:rsid w:val="008F5A86"/>
    <w:rsid w:val="008F65C1"/>
    <w:rsid w:val="008F67B1"/>
    <w:rsid w:val="008F6B5A"/>
    <w:rsid w:val="008F6BA0"/>
    <w:rsid w:val="008F6C73"/>
    <w:rsid w:val="008F6CED"/>
    <w:rsid w:val="008F7027"/>
    <w:rsid w:val="008F762E"/>
    <w:rsid w:val="008F76FE"/>
    <w:rsid w:val="008F770B"/>
    <w:rsid w:val="008F7C1D"/>
    <w:rsid w:val="008F7C70"/>
    <w:rsid w:val="009007F0"/>
    <w:rsid w:val="0090102C"/>
    <w:rsid w:val="009010E2"/>
    <w:rsid w:val="00901433"/>
    <w:rsid w:val="00901505"/>
    <w:rsid w:val="009018DF"/>
    <w:rsid w:val="00901930"/>
    <w:rsid w:val="00901D7E"/>
    <w:rsid w:val="0090224A"/>
    <w:rsid w:val="00902375"/>
    <w:rsid w:val="009023F8"/>
    <w:rsid w:val="00902586"/>
    <w:rsid w:val="00902655"/>
    <w:rsid w:val="00902AEB"/>
    <w:rsid w:val="00902F85"/>
    <w:rsid w:val="009030CD"/>
    <w:rsid w:val="00903798"/>
    <w:rsid w:val="009039B9"/>
    <w:rsid w:val="00903CF7"/>
    <w:rsid w:val="00903DFE"/>
    <w:rsid w:val="009040F1"/>
    <w:rsid w:val="00904B9C"/>
    <w:rsid w:val="00904C10"/>
    <w:rsid w:val="00904D86"/>
    <w:rsid w:val="00904EE1"/>
    <w:rsid w:val="009052E3"/>
    <w:rsid w:val="0090552B"/>
    <w:rsid w:val="00905B3B"/>
    <w:rsid w:val="009064BA"/>
    <w:rsid w:val="00906775"/>
    <w:rsid w:val="009068F7"/>
    <w:rsid w:val="00906A6C"/>
    <w:rsid w:val="009075C4"/>
    <w:rsid w:val="009079DE"/>
    <w:rsid w:val="00907BA0"/>
    <w:rsid w:val="009104A4"/>
    <w:rsid w:val="00910C9B"/>
    <w:rsid w:val="00911614"/>
    <w:rsid w:val="009119BB"/>
    <w:rsid w:val="009122AB"/>
    <w:rsid w:val="00912344"/>
    <w:rsid w:val="00912AC1"/>
    <w:rsid w:val="00912D96"/>
    <w:rsid w:val="009130C6"/>
    <w:rsid w:val="0091355F"/>
    <w:rsid w:val="00913734"/>
    <w:rsid w:val="0091388C"/>
    <w:rsid w:val="009142DA"/>
    <w:rsid w:val="00914897"/>
    <w:rsid w:val="00914F85"/>
    <w:rsid w:val="009150AC"/>
    <w:rsid w:val="00915562"/>
    <w:rsid w:val="009158CE"/>
    <w:rsid w:val="00915B45"/>
    <w:rsid w:val="00916130"/>
    <w:rsid w:val="00916254"/>
    <w:rsid w:val="0091641E"/>
    <w:rsid w:val="00916C26"/>
    <w:rsid w:val="009170D0"/>
    <w:rsid w:val="009174F5"/>
    <w:rsid w:val="0091767D"/>
    <w:rsid w:val="009205A3"/>
    <w:rsid w:val="009205DD"/>
    <w:rsid w:val="00920604"/>
    <w:rsid w:val="00920CA0"/>
    <w:rsid w:val="00920D3B"/>
    <w:rsid w:val="00920F4B"/>
    <w:rsid w:val="009210BE"/>
    <w:rsid w:val="00921137"/>
    <w:rsid w:val="0092128E"/>
    <w:rsid w:val="00921728"/>
    <w:rsid w:val="00921A86"/>
    <w:rsid w:val="00921DEE"/>
    <w:rsid w:val="00921F51"/>
    <w:rsid w:val="009226B3"/>
    <w:rsid w:val="00922C43"/>
    <w:rsid w:val="009230D1"/>
    <w:rsid w:val="0092311E"/>
    <w:rsid w:val="00923643"/>
    <w:rsid w:val="00923B82"/>
    <w:rsid w:val="00923CFC"/>
    <w:rsid w:val="0092425A"/>
    <w:rsid w:val="009244F5"/>
    <w:rsid w:val="009249EA"/>
    <w:rsid w:val="00925711"/>
    <w:rsid w:val="00925918"/>
    <w:rsid w:val="00925C18"/>
    <w:rsid w:val="00925EEE"/>
    <w:rsid w:val="00925FE6"/>
    <w:rsid w:val="0092603B"/>
    <w:rsid w:val="009260F8"/>
    <w:rsid w:val="00926AD9"/>
    <w:rsid w:val="009273F2"/>
    <w:rsid w:val="00927BAC"/>
    <w:rsid w:val="0093032D"/>
    <w:rsid w:val="009308FC"/>
    <w:rsid w:val="00930CB7"/>
    <w:rsid w:val="00930EDA"/>
    <w:rsid w:val="009312C6"/>
    <w:rsid w:val="009313A1"/>
    <w:rsid w:val="0093148F"/>
    <w:rsid w:val="0093167D"/>
    <w:rsid w:val="00931821"/>
    <w:rsid w:val="0093199D"/>
    <w:rsid w:val="00931CA4"/>
    <w:rsid w:val="00931F56"/>
    <w:rsid w:val="00932112"/>
    <w:rsid w:val="00932649"/>
    <w:rsid w:val="0093285E"/>
    <w:rsid w:val="0093286F"/>
    <w:rsid w:val="00932BC6"/>
    <w:rsid w:val="00932C0C"/>
    <w:rsid w:val="00932CED"/>
    <w:rsid w:val="009330F9"/>
    <w:rsid w:val="00933437"/>
    <w:rsid w:val="009336A9"/>
    <w:rsid w:val="009336FA"/>
    <w:rsid w:val="009337BA"/>
    <w:rsid w:val="00933937"/>
    <w:rsid w:val="00933A58"/>
    <w:rsid w:val="00933A6F"/>
    <w:rsid w:val="00933BE3"/>
    <w:rsid w:val="00933F2A"/>
    <w:rsid w:val="00934547"/>
    <w:rsid w:val="009348D7"/>
    <w:rsid w:val="00935912"/>
    <w:rsid w:val="00935962"/>
    <w:rsid w:val="00935C93"/>
    <w:rsid w:val="00935FA3"/>
    <w:rsid w:val="009366BF"/>
    <w:rsid w:val="00936838"/>
    <w:rsid w:val="009368B9"/>
    <w:rsid w:val="009369C3"/>
    <w:rsid w:val="00936A8A"/>
    <w:rsid w:val="00936B7F"/>
    <w:rsid w:val="00936CBC"/>
    <w:rsid w:val="00937482"/>
    <w:rsid w:val="00937620"/>
    <w:rsid w:val="009407CD"/>
    <w:rsid w:val="00940BE4"/>
    <w:rsid w:val="009411B9"/>
    <w:rsid w:val="0094122F"/>
    <w:rsid w:val="0094129C"/>
    <w:rsid w:val="00941B71"/>
    <w:rsid w:val="00941C8B"/>
    <w:rsid w:val="0094264B"/>
    <w:rsid w:val="009427E5"/>
    <w:rsid w:val="00942905"/>
    <w:rsid w:val="00942EFA"/>
    <w:rsid w:val="009432DD"/>
    <w:rsid w:val="009434F1"/>
    <w:rsid w:val="009439A2"/>
    <w:rsid w:val="00943ED2"/>
    <w:rsid w:val="00944085"/>
    <w:rsid w:val="009445BB"/>
    <w:rsid w:val="009445EA"/>
    <w:rsid w:val="009448B6"/>
    <w:rsid w:val="00944B43"/>
    <w:rsid w:val="00944B45"/>
    <w:rsid w:val="009450EF"/>
    <w:rsid w:val="009456D4"/>
    <w:rsid w:val="009461DC"/>
    <w:rsid w:val="009463D6"/>
    <w:rsid w:val="0094686C"/>
    <w:rsid w:val="009468C1"/>
    <w:rsid w:val="00947211"/>
    <w:rsid w:val="009473FE"/>
    <w:rsid w:val="00947B90"/>
    <w:rsid w:val="00947EBC"/>
    <w:rsid w:val="00950063"/>
    <w:rsid w:val="009501CA"/>
    <w:rsid w:val="00950379"/>
    <w:rsid w:val="00950551"/>
    <w:rsid w:val="00950780"/>
    <w:rsid w:val="00950A77"/>
    <w:rsid w:val="00950FFA"/>
    <w:rsid w:val="00951580"/>
    <w:rsid w:val="00951B39"/>
    <w:rsid w:val="0095268B"/>
    <w:rsid w:val="009527B8"/>
    <w:rsid w:val="00952853"/>
    <w:rsid w:val="00952D8E"/>
    <w:rsid w:val="00952F43"/>
    <w:rsid w:val="0095374C"/>
    <w:rsid w:val="00953785"/>
    <w:rsid w:val="0095387D"/>
    <w:rsid w:val="00953B1D"/>
    <w:rsid w:val="00953F94"/>
    <w:rsid w:val="00954244"/>
    <w:rsid w:val="009544BE"/>
    <w:rsid w:val="0095469E"/>
    <w:rsid w:val="00954830"/>
    <w:rsid w:val="009548CA"/>
    <w:rsid w:val="00954DE0"/>
    <w:rsid w:val="0095515C"/>
    <w:rsid w:val="00955C70"/>
    <w:rsid w:val="00955D33"/>
    <w:rsid w:val="00955FDD"/>
    <w:rsid w:val="00956060"/>
    <w:rsid w:val="009566C7"/>
    <w:rsid w:val="00956B6D"/>
    <w:rsid w:val="00957999"/>
    <w:rsid w:val="00957AAC"/>
    <w:rsid w:val="00957B5B"/>
    <w:rsid w:val="00957D5F"/>
    <w:rsid w:val="00957E9B"/>
    <w:rsid w:val="00957FF7"/>
    <w:rsid w:val="00960051"/>
    <w:rsid w:val="0096023F"/>
    <w:rsid w:val="009603AE"/>
    <w:rsid w:val="009604EF"/>
    <w:rsid w:val="00960554"/>
    <w:rsid w:val="00960FE3"/>
    <w:rsid w:val="00961186"/>
    <w:rsid w:val="009616A6"/>
    <w:rsid w:val="00961D6E"/>
    <w:rsid w:val="00961E59"/>
    <w:rsid w:val="00961FCA"/>
    <w:rsid w:val="009626B9"/>
    <w:rsid w:val="0096274F"/>
    <w:rsid w:val="009627E1"/>
    <w:rsid w:val="0096283B"/>
    <w:rsid w:val="0096285A"/>
    <w:rsid w:val="00962D71"/>
    <w:rsid w:val="00962F22"/>
    <w:rsid w:val="0096308D"/>
    <w:rsid w:val="0096315B"/>
    <w:rsid w:val="009635DA"/>
    <w:rsid w:val="00963AB5"/>
    <w:rsid w:val="00963C2E"/>
    <w:rsid w:val="009644DE"/>
    <w:rsid w:val="009645C6"/>
    <w:rsid w:val="009645D8"/>
    <w:rsid w:val="00964802"/>
    <w:rsid w:val="00964BFE"/>
    <w:rsid w:val="00964E41"/>
    <w:rsid w:val="009658C3"/>
    <w:rsid w:val="00965C63"/>
    <w:rsid w:val="00965CED"/>
    <w:rsid w:val="0096610A"/>
    <w:rsid w:val="0096644E"/>
    <w:rsid w:val="00966645"/>
    <w:rsid w:val="009668EB"/>
    <w:rsid w:val="00966B02"/>
    <w:rsid w:val="00966C04"/>
    <w:rsid w:val="009674A4"/>
    <w:rsid w:val="0096754D"/>
    <w:rsid w:val="00967A08"/>
    <w:rsid w:val="0097015A"/>
    <w:rsid w:val="00970195"/>
    <w:rsid w:val="009702B3"/>
    <w:rsid w:val="009704BB"/>
    <w:rsid w:val="00970A2A"/>
    <w:rsid w:val="00970ADE"/>
    <w:rsid w:val="00970E76"/>
    <w:rsid w:val="00970F49"/>
    <w:rsid w:val="00971294"/>
    <w:rsid w:val="00971309"/>
    <w:rsid w:val="00971B5C"/>
    <w:rsid w:val="00971E4A"/>
    <w:rsid w:val="0097223A"/>
    <w:rsid w:val="0097268F"/>
    <w:rsid w:val="0097287C"/>
    <w:rsid w:val="00972F9D"/>
    <w:rsid w:val="009733FE"/>
    <w:rsid w:val="00973719"/>
    <w:rsid w:val="0097378B"/>
    <w:rsid w:val="00973A58"/>
    <w:rsid w:val="009746ED"/>
    <w:rsid w:val="00974B1E"/>
    <w:rsid w:val="00974D23"/>
    <w:rsid w:val="009756FE"/>
    <w:rsid w:val="00976376"/>
    <w:rsid w:val="009764A0"/>
    <w:rsid w:val="0097664A"/>
    <w:rsid w:val="00976669"/>
    <w:rsid w:val="009774C4"/>
    <w:rsid w:val="00977579"/>
    <w:rsid w:val="00977875"/>
    <w:rsid w:val="009778EC"/>
    <w:rsid w:val="00977913"/>
    <w:rsid w:val="00977B0F"/>
    <w:rsid w:val="00977C30"/>
    <w:rsid w:val="00977D01"/>
    <w:rsid w:val="00977DEB"/>
    <w:rsid w:val="0098002B"/>
    <w:rsid w:val="0098023F"/>
    <w:rsid w:val="00980895"/>
    <w:rsid w:val="00980CC9"/>
    <w:rsid w:val="00980E62"/>
    <w:rsid w:val="009818B5"/>
    <w:rsid w:val="00982B00"/>
    <w:rsid w:val="00982BDE"/>
    <w:rsid w:val="00982EBB"/>
    <w:rsid w:val="00982F44"/>
    <w:rsid w:val="009831DB"/>
    <w:rsid w:val="00983903"/>
    <w:rsid w:val="00983E37"/>
    <w:rsid w:val="00983EE3"/>
    <w:rsid w:val="009843C9"/>
    <w:rsid w:val="0098497A"/>
    <w:rsid w:val="00984D0B"/>
    <w:rsid w:val="0098505F"/>
    <w:rsid w:val="00985485"/>
    <w:rsid w:val="00985521"/>
    <w:rsid w:val="00985554"/>
    <w:rsid w:val="009855D5"/>
    <w:rsid w:val="009857EB"/>
    <w:rsid w:val="00985B05"/>
    <w:rsid w:val="00985F9B"/>
    <w:rsid w:val="009862DB"/>
    <w:rsid w:val="00986319"/>
    <w:rsid w:val="009867A3"/>
    <w:rsid w:val="00986AAA"/>
    <w:rsid w:val="00986B3C"/>
    <w:rsid w:val="009871F1"/>
    <w:rsid w:val="0098752F"/>
    <w:rsid w:val="00987933"/>
    <w:rsid w:val="00987987"/>
    <w:rsid w:val="00987B9D"/>
    <w:rsid w:val="00987EB0"/>
    <w:rsid w:val="00987F1A"/>
    <w:rsid w:val="00987FDE"/>
    <w:rsid w:val="00990180"/>
    <w:rsid w:val="00990577"/>
    <w:rsid w:val="00990579"/>
    <w:rsid w:val="0099057B"/>
    <w:rsid w:val="00990B19"/>
    <w:rsid w:val="00990B6B"/>
    <w:rsid w:val="00990BB3"/>
    <w:rsid w:val="00990C71"/>
    <w:rsid w:val="00990F33"/>
    <w:rsid w:val="009925C9"/>
    <w:rsid w:val="009928DB"/>
    <w:rsid w:val="00992A29"/>
    <w:rsid w:val="00992CD9"/>
    <w:rsid w:val="009930DA"/>
    <w:rsid w:val="0099354A"/>
    <w:rsid w:val="009936D0"/>
    <w:rsid w:val="0099375D"/>
    <w:rsid w:val="009938B1"/>
    <w:rsid w:val="009940B1"/>
    <w:rsid w:val="009941F6"/>
    <w:rsid w:val="009942E0"/>
    <w:rsid w:val="00994832"/>
    <w:rsid w:val="009948BA"/>
    <w:rsid w:val="0099496D"/>
    <w:rsid w:val="00994AB3"/>
    <w:rsid w:val="009951FC"/>
    <w:rsid w:val="009958CF"/>
    <w:rsid w:val="009961EC"/>
    <w:rsid w:val="0099625A"/>
    <w:rsid w:val="0099638E"/>
    <w:rsid w:val="0099645F"/>
    <w:rsid w:val="00996833"/>
    <w:rsid w:val="00996D1D"/>
    <w:rsid w:val="00996E07"/>
    <w:rsid w:val="009970A6"/>
    <w:rsid w:val="009970E0"/>
    <w:rsid w:val="00997292"/>
    <w:rsid w:val="009972B9"/>
    <w:rsid w:val="00997475"/>
    <w:rsid w:val="00997B30"/>
    <w:rsid w:val="00997EC0"/>
    <w:rsid w:val="00997F99"/>
    <w:rsid w:val="009A01B9"/>
    <w:rsid w:val="009A0233"/>
    <w:rsid w:val="009A0920"/>
    <w:rsid w:val="009A094F"/>
    <w:rsid w:val="009A0BA4"/>
    <w:rsid w:val="009A0F01"/>
    <w:rsid w:val="009A1054"/>
    <w:rsid w:val="009A17EA"/>
    <w:rsid w:val="009A1821"/>
    <w:rsid w:val="009A1BF1"/>
    <w:rsid w:val="009A1CF8"/>
    <w:rsid w:val="009A2ADB"/>
    <w:rsid w:val="009A327E"/>
    <w:rsid w:val="009A3BFC"/>
    <w:rsid w:val="009A3D7C"/>
    <w:rsid w:val="009A3F33"/>
    <w:rsid w:val="009A3FE1"/>
    <w:rsid w:val="009A4923"/>
    <w:rsid w:val="009A4DDF"/>
    <w:rsid w:val="009A4EC6"/>
    <w:rsid w:val="009A54AB"/>
    <w:rsid w:val="009A57A5"/>
    <w:rsid w:val="009A5917"/>
    <w:rsid w:val="009A5D98"/>
    <w:rsid w:val="009A60AD"/>
    <w:rsid w:val="009A649F"/>
    <w:rsid w:val="009A6958"/>
    <w:rsid w:val="009A6CE3"/>
    <w:rsid w:val="009A6EDA"/>
    <w:rsid w:val="009A6F73"/>
    <w:rsid w:val="009A7024"/>
    <w:rsid w:val="009A72B7"/>
    <w:rsid w:val="009A75DD"/>
    <w:rsid w:val="009A7FA3"/>
    <w:rsid w:val="009B0433"/>
    <w:rsid w:val="009B0665"/>
    <w:rsid w:val="009B0A5A"/>
    <w:rsid w:val="009B17E1"/>
    <w:rsid w:val="009B1CCC"/>
    <w:rsid w:val="009B233F"/>
    <w:rsid w:val="009B235A"/>
    <w:rsid w:val="009B286D"/>
    <w:rsid w:val="009B2C27"/>
    <w:rsid w:val="009B2C2A"/>
    <w:rsid w:val="009B2CA9"/>
    <w:rsid w:val="009B2CEC"/>
    <w:rsid w:val="009B352A"/>
    <w:rsid w:val="009B3917"/>
    <w:rsid w:val="009B3A05"/>
    <w:rsid w:val="009B3D3A"/>
    <w:rsid w:val="009B41A7"/>
    <w:rsid w:val="009B4502"/>
    <w:rsid w:val="009B46DE"/>
    <w:rsid w:val="009B49A9"/>
    <w:rsid w:val="009B5047"/>
    <w:rsid w:val="009B5666"/>
    <w:rsid w:val="009B578F"/>
    <w:rsid w:val="009B6287"/>
    <w:rsid w:val="009B6333"/>
    <w:rsid w:val="009B71FA"/>
    <w:rsid w:val="009B793A"/>
    <w:rsid w:val="009B7B18"/>
    <w:rsid w:val="009C08C3"/>
    <w:rsid w:val="009C1004"/>
    <w:rsid w:val="009C1061"/>
    <w:rsid w:val="009C1B53"/>
    <w:rsid w:val="009C1CF3"/>
    <w:rsid w:val="009C2063"/>
    <w:rsid w:val="009C2073"/>
    <w:rsid w:val="009C270F"/>
    <w:rsid w:val="009C279E"/>
    <w:rsid w:val="009C2ED7"/>
    <w:rsid w:val="009C317C"/>
    <w:rsid w:val="009C3F0D"/>
    <w:rsid w:val="009C4015"/>
    <w:rsid w:val="009C4048"/>
    <w:rsid w:val="009C43FF"/>
    <w:rsid w:val="009C498A"/>
    <w:rsid w:val="009C4AD0"/>
    <w:rsid w:val="009C5017"/>
    <w:rsid w:val="009C51B3"/>
    <w:rsid w:val="009C5313"/>
    <w:rsid w:val="009C60CD"/>
    <w:rsid w:val="009C652D"/>
    <w:rsid w:val="009C67AC"/>
    <w:rsid w:val="009C6C69"/>
    <w:rsid w:val="009C6D7A"/>
    <w:rsid w:val="009C7B74"/>
    <w:rsid w:val="009C7DB9"/>
    <w:rsid w:val="009C7E15"/>
    <w:rsid w:val="009D01FE"/>
    <w:rsid w:val="009D0308"/>
    <w:rsid w:val="009D03C3"/>
    <w:rsid w:val="009D0414"/>
    <w:rsid w:val="009D079B"/>
    <w:rsid w:val="009D0A37"/>
    <w:rsid w:val="009D0C9C"/>
    <w:rsid w:val="009D0D14"/>
    <w:rsid w:val="009D1E9B"/>
    <w:rsid w:val="009D1EAB"/>
    <w:rsid w:val="009D223C"/>
    <w:rsid w:val="009D2493"/>
    <w:rsid w:val="009D25F2"/>
    <w:rsid w:val="009D2736"/>
    <w:rsid w:val="009D2E8B"/>
    <w:rsid w:val="009D338F"/>
    <w:rsid w:val="009D33E7"/>
    <w:rsid w:val="009D3A7C"/>
    <w:rsid w:val="009D44D1"/>
    <w:rsid w:val="009D4573"/>
    <w:rsid w:val="009D4DD5"/>
    <w:rsid w:val="009D506C"/>
    <w:rsid w:val="009D5322"/>
    <w:rsid w:val="009D6800"/>
    <w:rsid w:val="009D68BA"/>
    <w:rsid w:val="009D6FA9"/>
    <w:rsid w:val="009D70AB"/>
    <w:rsid w:val="009D7F4A"/>
    <w:rsid w:val="009E0024"/>
    <w:rsid w:val="009E022E"/>
    <w:rsid w:val="009E037D"/>
    <w:rsid w:val="009E07A1"/>
    <w:rsid w:val="009E1709"/>
    <w:rsid w:val="009E1B15"/>
    <w:rsid w:val="009E1C60"/>
    <w:rsid w:val="009E1F07"/>
    <w:rsid w:val="009E2133"/>
    <w:rsid w:val="009E2590"/>
    <w:rsid w:val="009E2CE7"/>
    <w:rsid w:val="009E2D94"/>
    <w:rsid w:val="009E2E37"/>
    <w:rsid w:val="009E2ED7"/>
    <w:rsid w:val="009E31DC"/>
    <w:rsid w:val="009E364A"/>
    <w:rsid w:val="009E3745"/>
    <w:rsid w:val="009E4360"/>
    <w:rsid w:val="009E493F"/>
    <w:rsid w:val="009E4BB8"/>
    <w:rsid w:val="009E4E09"/>
    <w:rsid w:val="009E4E19"/>
    <w:rsid w:val="009E5184"/>
    <w:rsid w:val="009E5450"/>
    <w:rsid w:val="009E547B"/>
    <w:rsid w:val="009E590E"/>
    <w:rsid w:val="009E5F69"/>
    <w:rsid w:val="009E5FF3"/>
    <w:rsid w:val="009E6070"/>
    <w:rsid w:val="009E6604"/>
    <w:rsid w:val="009E6A4B"/>
    <w:rsid w:val="009E6BB9"/>
    <w:rsid w:val="009E6C84"/>
    <w:rsid w:val="009E6D16"/>
    <w:rsid w:val="009E71E1"/>
    <w:rsid w:val="009E724F"/>
    <w:rsid w:val="009E73E6"/>
    <w:rsid w:val="009E7577"/>
    <w:rsid w:val="009F0688"/>
    <w:rsid w:val="009F0967"/>
    <w:rsid w:val="009F09F3"/>
    <w:rsid w:val="009F0A2E"/>
    <w:rsid w:val="009F0BBE"/>
    <w:rsid w:val="009F0BD2"/>
    <w:rsid w:val="009F0F7B"/>
    <w:rsid w:val="009F10BE"/>
    <w:rsid w:val="009F1176"/>
    <w:rsid w:val="009F12B2"/>
    <w:rsid w:val="009F2478"/>
    <w:rsid w:val="009F2561"/>
    <w:rsid w:val="009F2590"/>
    <w:rsid w:val="009F2A4E"/>
    <w:rsid w:val="009F2EB3"/>
    <w:rsid w:val="009F2FDF"/>
    <w:rsid w:val="009F3440"/>
    <w:rsid w:val="009F3474"/>
    <w:rsid w:val="009F38AD"/>
    <w:rsid w:val="009F4063"/>
    <w:rsid w:val="009F4B57"/>
    <w:rsid w:val="009F4BBA"/>
    <w:rsid w:val="009F4CFB"/>
    <w:rsid w:val="009F4D49"/>
    <w:rsid w:val="009F4D6C"/>
    <w:rsid w:val="009F513F"/>
    <w:rsid w:val="009F5354"/>
    <w:rsid w:val="009F5709"/>
    <w:rsid w:val="009F6027"/>
    <w:rsid w:val="009F6B6B"/>
    <w:rsid w:val="009F6EBE"/>
    <w:rsid w:val="009F7764"/>
    <w:rsid w:val="009F7A29"/>
    <w:rsid w:val="009F7A41"/>
    <w:rsid w:val="00A0011C"/>
    <w:rsid w:val="00A00988"/>
    <w:rsid w:val="00A00AF3"/>
    <w:rsid w:val="00A00E35"/>
    <w:rsid w:val="00A01528"/>
    <w:rsid w:val="00A01BBC"/>
    <w:rsid w:val="00A01F61"/>
    <w:rsid w:val="00A021F7"/>
    <w:rsid w:val="00A0243C"/>
    <w:rsid w:val="00A0248E"/>
    <w:rsid w:val="00A02837"/>
    <w:rsid w:val="00A028A8"/>
    <w:rsid w:val="00A0425C"/>
    <w:rsid w:val="00A042D2"/>
    <w:rsid w:val="00A0484F"/>
    <w:rsid w:val="00A04B52"/>
    <w:rsid w:val="00A04B65"/>
    <w:rsid w:val="00A04DA4"/>
    <w:rsid w:val="00A04FAB"/>
    <w:rsid w:val="00A04FBC"/>
    <w:rsid w:val="00A0503F"/>
    <w:rsid w:val="00A05089"/>
    <w:rsid w:val="00A05141"/>
    <w:rsid w:val="00A0526C"/>
    <w:rsid w:val="00A053C3"/>
    <w:rsid w:val="00A0542F"/>
    <w:rsid w:val="00A055B2"/>
    <w:rsid w:val="00A059E9"/>
    <w:rsid w:val="00A05E90"/>
    <w:rsid w:val="00A05EB7"/>
    <w:rsid w:val="00A0631C"/>
    <w:rsid w:val="00A0635C"/>
    <w:rsid w:val="00A0637F"/>
    <w:rsid w:val="00A06476"/>
    <w:rsid w:val="00A064FE"/>
    <w:rsid w:val="00A06509"/>
    <w:rsid w:val="00A06848"/>
    <w:rsid w:val="00A069B4"/>
    <w:rsid w:val="00A06BB4"/>
    <w:rsid w:val="00A06E19"/>
    <w:rsid w:val="00A07172"/>
    <w:rsid w:val="00A072AC"/>
    <w:rsid w:val="00A076F5"/>
    <w:rsid w:val="00A0774D"/>
    <w:rsid w:val="00A077D5"/>
    <w:rsid w:val="00A07A4E"/>
    <w:rsid w:val="00A07D41"/>
    <w:rsid w:val="00A07F8F"/>
    <w:rsid w:val="00A07FBD"/>
    <w:rsid w:val="00A1040F"/>
    <w:rsid w:val="00A11034"/>
    <w:rsid w:val="00A1141E"/>
    <w:rsid w:val="00A114E3"/>
    <w:rsid w:val="00A114F1"/>
    <w:rsid w:val="00A11ABD"/>
    <w:rsid w:val="00A11B60"/>
    <w:rsid w:val="00A11D0D"/>
    <w:rsid w:val="00A12413"/>
    <w:rsid w:val="00A124EC"/>
    <w:rsid w:val="00A12694"/>
    <w:rsid w:val="00A128B0"/>
    <w:rsid w:val="00A128F0"/>
    <w:rsid w:val="00A12ED5"/>
    <w:rsid w:val="00A13083"/>
    <w:rsid w:val="00A136F6"/>
    <w:rsid w:val="00A13A77"/>
    <w:rsid w:val="00A13F04"/>
    <w:rsid w:val="00A13F95"/>
    <w:rsid w:val="00A1428A"/>
    <w:rsid w:val="00A14361"/>
    <w:rsid w:val="00A14CF4"/>
    <w:rsid w:val="00A14F11"/>
    <w:rsid w:val="00A14F75"/>
    <w:rsid w:val="00A15543"/>
    <w:rsid w:val="00A163A8"/>
    <w:rsid w:val="00A16C3E"/>
    <w:rsid w:val="00A17558"/>
    <w:rsid w:val="00A2000D"/>
    <w:rsid w:val="00A200C6"/>
    <w:rsid w:val="00A20478"/>
    <w:rsid w:val="00A20926"/>
    <w:rsid w:val="00A20CE5"/>
    <w:rsid w:val="00A218C6"/>
    <w:rsid w:val="00A21C0B"/>
    <w:rsid w:val="00A21CDB"/>
    <w:rsid w:val="00A21D9F"/>
    <w:rsid w:val="00A223A5"/>
    <w:rsid w:val="00A2276A"/>
    <w:rsid w:val="00A22807"/>
    <w:rsid w:val="00A22ED0"/>
    <w:rsid w:val="00A230C4"/>
    <w:rsid w:val="00A231CC"/>
    <w:rsid w:val="00A2379F"/>
    <w:rsid w:val="00A244EE"/>
    <w:rsid w:val="00A245DA"/>
    <w:rsid w:val="00A24799"/>
    <w:rsid w:val="00A252B8"/>
    <w:rsid w:val="00A254A6"/>
    <w:rsid w:val="00A257BD"/>
    <w:rsid w:val="00A25897"/>
    <w:rsid w:val="00A25AC2"/>
    <w:rsid w:val="00A25C70"/>
    <w:rsid w:val="00A25CC6"/>
    <w:rsid w:val="00A26096"/>
    <w:rsid w:val="00A2629B"/>
    <w:rsid w:val="00A26556"/>
    <w:rsid w:val="00A27489"/>
    <w:rsid w:val="00A275FA"/>
    <w:rsid w:val="00A27BEA"/>
    <w:rsid w:val="00A30105"/>
    <w:rsid w:val="00A30372"/>
    <w:rsid w:val="00A30387"/>
    <w:rsid w:val="00A30415"/>
    <w:rsid w:val="00A30FAE"/>
    <w:rsid w:val="00A3137C"/>
    <w:rsid w:val="00A31748"/>
    <w:rsid w:val="00A322CA"/>
    <w:rsid w:val="00A3257A"/>
    <w:rsid w:val="00A328B9"/>
    <w:rsid w:val="00A328CA"/>
    <w:rsid w:val="00A329B2"/>
    <w:rsid w:val="00A32C54"/>
    <w:rsid w:val="00A32D66"/>
    <w:rsid w:val="00A32F32"/>
    <w:rsid w:val="00A33D95"/>
    <w:rsid w:val="00A340AF"/>
    <w:rsid w:val="00A348D4"/>
    <w:rsid w:val="00A34B8F"/>
    <w:rsid w:val="00A34C5B"/>
    <w:rsid w:val="00A34E30"/>
    <w:rsid w:val="00A35133"/>
    <w:rsid w:val="00A353B0"/>
    <w:rsid w:val="00A354DA"/>
    <w:rsid w:val="00A35738"/>
    <w:rsid w:val="00A35824"/>
    <w:rsid w:val="00A35A65"/>
    <w:rsid w:val="00A35BA0"/>
    <w:rsid w:val="00A35D28"/>
    <w:rsid w:val="00A366AA"/>
    <w:rsid w:val="00A366EC"/>
    <w:rsid w:val="00A36F1F"/>
    <w:rsid w:val="00A37078"/>
    <w:rsid w:val="00A3737F"/>
    <w:rsid w:val="00A37A2F"/>
    <w:rsid w:val="00A37B2B"/>
    <w:rsid w:val="00A37CFF"/>
    <w:rsid w:val="00A37EA4"/>
    <w:rsid w:val="00A40098"/>
    <w:rsid w:val="00A400CE"/>
    <w:rsid w:val="00A4049B"/>
    <w:rsid w:val="00A40500"/>
    <w:rsid w:val="00A4149C"/>
    <w:rsid w:val="00A417E1"/>
    <w:rsid w:val="00A422C7"/>
    <w:rsid w:val="00A42716"/>
    <w:rsid w:val="00A42758"/>
    <w:rsid w:val="00A42A30"/>
    <w:rsid w:val="00A42CEC"/>
    <w:rsid w:val="00A42E1E"/>
    <w:rsid w:val="00A4380C"/>
    <w:rsid w:val="00A43BF4"/>
    <w:rsid w:val="00A43CB2"/>
    <w:rsid w:val="00A43E9F"/>
    <w:rsid w:val="00A4415B"/>
    <w:rsid w:val="00A4416D"/>
    <w:rsid w:val="00A44197"/>
    <w:rsid w:val="00A44232"/>
    <w:rsid w:val="00A442F5"/>
    <w:rsid w:val="00A4448F"/>
    <w:rsid w:val="00A44522"/>
    <w:rsid w:val="00A4455F"/>
    <w:rsid w:val="00A44841"/>
    <w:rsid w:val="00A44F21"/>
    <w:rsid w:val="00A45264"/>
    <w:rsid w:val="00A45399"/>
    <w:rsid w:val="00A457BE"/>
    <w:rsid w:val="00A45969"/>
    <w:rsid w:val="00A45AA7"/>
    <w:rsid w:val="00A45C55"/>
    <w:rsid w:val="00A45FB0"/>
    <w:rsid w:val="00A4632A"/>
    <w:rsid w:val="00A46611"/>
    <w:rsid w:val="00A46810"/>
    <w:rsid w:val="00A46E8F"/>
    <w:rsid w:val="00A4714A"/>
    <w:rsid w:val="00A474A1"/>
    <w:rsid w:val="00A476AB"/>
    <w:rsid w:val="00A50081"/>
    <w:rsid w:val="00A503A0"/>
    <w:rsid w:val="00A507AE"/>
    <w:rsid w:val="00A50CD3"/>
    <w:rsid w:val="00A51D65"/>
    <w:rsid w:val="00A5201D"/>
    <w:rsid w:val="00A52265"/>
    <w:rsid w:val="00A523FC"/>
    <w:rsid w:val="00A52525"/>
    <w:rsid w:val="00A525B8"/>
    <w:rsid w:val="00A526F5"/>
    <w:rsid w:val="00A5293B"/>
    <w:rsid w:val="00A52C3C"/>
    <w:rsid w:val="00A538E0"/>
    <w:rsid w:val="00A5391C"/>
    <w:rsid w:val="00A54237"/>
    <w:rsid w:val="00A543B5"/>
    <w:rsid w:val="00A543D9"/>
    <w:rsid w:val="00A548AE"/>
    <w:rsid w:val="00A54912"/>
    <w:rsid w:val="00A549C1"/>
    <w:rsid w:val="00A55808"/>
    <w:rsid w:val="00A55A71"/>
    <w:rsid w:val="00A55BE8"/>
    <w:rsid w:val="00A560AF"/>
    <w:rsid w:val="00A5696A"/>
    <w:rsid w:val="00A56C25"/>
    <w:rsid w:val="00A57157"/>
    <w:rsid w:val="00A573DF"/>
    <w:rsid w:val="00A57B80"/>
    <w:rsid w:val="00A57C19"/>
    <w:rsid w:val="00A57D13"/>
    <w:rsid w:val="00A57D1E"/>
    <w:rsid w:val="00A57FDD"/>
    <w:rsid w:val="00A602BB"/>
    <w:rsid w:val="00A6041C"/>
    <w:rsid w:val="00A605D5"/>
    <w:rsid w:val="00A60CD0"/>
    <w:rsid w:val="00A60EED"/>
    <w:rsid w:val="00A610A1"/>
    <w:rsid w:val="00A610C5"/>
    <w:rsid w:val="00A61885"/>
    <w:rsid w:val="00A61E4D"/>
    <w:rsid w:val="00A62724"/>
    <w:rsid w:val="00A627AF"/>
    <w:rsid w:val="00A62BA8"/>
    <w:rsid w:val="00A62C33"/>
    <w:rsid w:val="00A62CEB"/>
    <w:rsid w:val="00A6355D"/>
    <w:rsid w:val="00A6359B"/>
    <w:rsid w:val="00A63C97"/>
    <w:rsid w:val="00A63CDA"/>
    <w:rsid w:val="00A63EB2"/>
    <w:rsid w:val="00A64066"/>
    <w:rsid w:val="00A641E3"/>
    <w:rsid w:val="00A64AAA"/>
    <w:rsid w:val="00A64E3A"/>
    <w:rsid w:val="00A6502F"/>
    <w:rsid w:val="00A652E5"/>
    <w:rsid w:val="00A6547E"/>
    <w:rsid w:val="00A658AD"/>
    <w:rsid w:val="00A65975"/>
    <w:rsid w:val="00A659EF"/>
    <w:rsid w:val="00A65DB0"/>
    <w:rsid w:val="00A66483"/>
    <w:rsid w:val="00A66721"/>
    <w:rsid w:val="00A6689B"/>
    <w:rsid w:val="00A67141"/>
    <w:rsid w:val="00A67B4C"/>
    <w:rsid w:val="00A67BF2"/>
    <w:rsid w:val="00A70B84"/>
    <w:rsid w:val="00A70CAB"/>
    <w:rsid w:val="00A710F5"/>
    <w:rsid w:val="00A71199"/>
    <w:rsid w:val="00A71C01"/>
    <w:rsid w:val="00A72324"/>
    <w:rsid w:val="00A7254A"/>
    <w:rsid w:val="00A726ED"/>
    <w:rsid w:val="00A72E45"/>
    <w:rsid w:val="00A737E4"/>
    <w:rsid w:val="00A738B1"/>
    <w:rsid w:val="00A73B43"/>
    <w:rsid w:val="00A7435B"/>
    <w:rsid w:val="00A7455F"/>
    <w:rsid w:val="00A7473F"/>
    <w:rsid w:val="00A749FD"/>
    <w:rsid w:val="00A74B13"/>
    <w:rsid w:val="00A74B5C"/>
    <w:rsid w:val="00A755AD"/>
    <w:rsid w:val="00A755F9"/>
    <w:rsid w:val="00A766F2"/>
    <w:rsid w:val="00A770BB"/>
    <w:rsid w:val="00A773FF"/>
    <w:rsid w:val="00A778D7"/>
    <w:rsid w:val="00A801C4"/>
    <w:rsid w:val="00A80384"/>
    <w:rsid w:val="00A80710"/>
    <w:rsid w:val="00A809C0"/>
    <w:rsid w:val="00A80F86"/>
    <w:rsid w:val="00A81219"/>
    <w:rsid w:val="00A812E7"/>
    <w:rsid w:val="00A81386"/>
    <w:rsid w:val="00A81758"/>
    <w:rsid w:val="00A818C2"/>
    <w:rsid w:val="00A81F30"/>
    <w:rsid w:val="00A82378"/>
    <w:rsid w:val="00A832FD"/>
    <w:rsid w:val="00A83337"/>
    <w:rsid w:val="00A834F4"/>
    <w:rsid w:val="00A837C9"/>
    <w:rsid w:val="00A83C4D"/>
    <w:rsid w:val="00A83E63"/>
    <w:rsid w:val="00A8422D"/>
    <w:rsid w:val="00A844CB"/>
    <w:rsid w:val="00A84644"/>
    <w:rsid w:val="00A846BB"/>
    <w:rsid w:val="00A84A68"/>
    <w:rsid w:val="00A84B77"/>
    <w:rsid w:val="00A854BF"/>
    <w:rsid w:val="00A85961"/>
    <w:rsid w:val="00A859CD"/>
    <w:rsid w:val="00A85B32"/>
    <w:rsid w:val="00A85BAF"/>
    <w:rsid w:val="00A866BC"/>
    <w:rsid w:val="00A870B3"/>
    <w:rsid w:val="00A871F2"/>
    <w:rsid w:val="00A87240"/>
    <w:rsid w:val="00A8739B"/>
    <w:rsid w:val="00A8775F"/>
    <w:rsid w:val="00A87B27"/>
    <w:rsid w:val="00A87FFA"/>
    <w:rsid w:val="00A90409"/>
    <w:rsid w:val="00A9045D"/>
    <w:rsid w:val="00A904AD"/>
    <w:rsid w:val="00A90972"/>
    <w:rsid w:val="00A90B6E"/>
    <w:rsid w:val="00A90F1E"/>
    <w:rsid w:val="00A90FE2"/>
    <w:rsid w:val="00A91038"/>
    <w:rsid w:val="00A91090"/>
    <w:rsid w:val="00A910A5"/>
    <w:rsid w:val="00A913B7"/>
    <w:rsid w:val="00A91BAD"/>
    <w:rsid w:val="00A91D2D"/>
    <w:rsid w:val="00A9290F"/>
    <w:rsid w:val="00A930C8"/>
    <w:rsid w:val="00A9310F"/>
    <w:rsid w:val="00A93410"/>
    <w:rsid w:val="00A93B61"/>
    <w:rsid w:val="00A93F15"/>
    <w:rsid w:val="00A94905"/>
    <w:rsid w:val="00A94BA0"/>
    <w:rsid w:val="00A94E7A"/>
    <w:rsid w:val="00A94EBE"/>
    <w:rsid w:val="00A95114"/>
    <w:rsid w:val="00A9517A"/>
    <w:rsid w:val="00A9544B"/>
    <w:rsid w:val="00A95726"/>
    <w:rsid w:val="00A95A66"/>
    <w:rsid w:val="00A95BA1"/>
    <w:rsid w:val="00A95E4B"/>
    <w:rsid w:val="00A9616C"/>
    <w:rsid w:val="00A96DF1"/>
    <w:rsid w:val="00A96EEE"/>
    <w:rsid w:val="00A9748A"/>
    <w:rsid w:val="00A977AC"/>
    <w:rsid w:val="00A97983"/>
    <w:rsid w:val="00A97CD6"/>
    <w:rsid w:val="00AA009B"/>
    <w:rsid w:val="00AA08B9"/>
    <w:rsid w:val="00AA0FBC"/>
    <w:rsid w:val="00AA1007"/>
    <w:rsid w:val="00AA1174"/>
    <w:rsid w:val="00AA17F8"/>
    <w:rsid w:val="00AA1D3E"/>
    <w:rsid w:val="00AA1E47"/>
    <w:rsid w:val="00AA1F6B"/>
    <w:rsid w:val="00AA262C"/>
    <w:rsid w:val="00AA281F"/>
    <w:rsid w:val="00AA2D5A"/>
    <w:rsid w:val="00AA397B"/>
    <w:rsid w:val="00AA39C8"/>
    <w:rsid w:val="00AA4A9A"/>
    <w:rsid w:val="00AA5073"/>
    <w:rsid w:val="00AA52BD"/>
    <w:rsid w:val="00AA55E8"/>
    <w:rsid w:val="00AA5A40"/>
    <w:rsid w:val="00AA5D08"/>
    <w:rsid w:val="00AA62AE"/>
    <w:rsid w:val="00AA67D6"/>
    <w:rsid w:val="00AA6922"/>
    <w:rsid w:val="00AA69AC"/>
    <w:rsid w:val="00AA6CBA"/>
    <w:rsid w:val="00AA6D16"/>
    <w:rsid w:val="00AA7423"/>
    <w:rsid w:val="00AA77E7"/>
    <w:rsid w:val="00AA78B5"/>
    <w:rsid w:val="00AA7AA8"/>
    <w:rsid w:val="00AB0097"/>
    <w:rsid w:val="00AB00C5"/>
    <w:rsid w:val="00AB05BD"/>
    <w:rsid w:val="00AB05FC"/>
    <w:rsid w:val="00AB0724"/>
    <w:rsid w:val="00AB091E"/>
    <w:rsid w:val="00AB093A"/>
    <w:rsid w:val="00AB0E52"/>
    <w:rsid w:val="00AB1583"/>
    <w:rsid w:val="00AB19BE"/>
    <w:rsid w:val="00AB19C8"/>
    <w:rsid w:val="00AB1B6F"/>
    <w:rsid w:val="00AB1C20"/>
    <w:rsid w:val="00AB1FE6"/>
    <w:rsid w:val="00AB22E6"/>
    <w:rsid w:val="00AB23D7"/>
    <w:rsid w:val="00AB2843"/>
    <w:rsid w:val="00AB2951"/>
    <w:rsid w:val="00AB3438"/>
    <w:rsid w:val="00AB351B"/>
    <w:rsid w:val="00AB39DA"/>
    <w:rsid w:val="00AB3AF5"/>
    <w:rsid w:val="00AB40E0"/>
    <w:rsid w:val="00AB41D3"/>
    <w:rsid w:val="00AB4B6C"/>
    <w:rsid w:val="00AB4E17"/>
    <w:rsid w:val="00AB50D0"/>
    <w:rsid w:val="00AB536C"/>
    <w:rsid w:val="00AB5D62"/>
    <w:rsid w:val="00AB6127"/>
    <w:rsid w:val="00AB6A3B"/>
    <w:rsid w:val="00AB6F42"/>
    <w:rsid w:val="00AB73D3"/>
    <w:rsid w:val="00AB7587"/>
    <w:rsid w:val="00AB7692"/>
    <w:rsid w:val="00AC0396"/>
    <w:rsid w:val="00AC07A9"/>
    <w:rsid w:val="00AC087C"/>
    <w:rsid w:val="00AC0A0B"/>
    <w:rsid w:val="00AC0A4C"/>
    <w:rsid w:val="00AC119B"/>
    <w:rsid w:val="00AC133D"/>
    <w:rsid w:val="00AC14A0"/>
    <w:rsid w:val="00AC1508"/>
    <w:rsid w:val="00AC165D"/>
    <w:rsid w:val="00AC1BF9"/>
    <w:rsid w:val="00AC1C0B"/>
    <w:rsid w:val="00AC23A8"/>
    <w:rsid w:val="00AC2440"/>
    <w:rsid w:val="00AC25F2"/>
    <w:rsid w:val="00AC2860"/>
    <w:rsid w:val="00AC2DFC"/>
    <w:rsid w:val="00AC2E08"/>
    <w:rsid w:val="00AC3009"/>
    <w:rsid w:val="00AC3035"/>
    <w:rsid w:val="00AC3401"/>
    <w:rsid w:val="00AC36A0"/>
    <w:rsid w:val="00AC3E40"/>
    <w:rsid w:val="00AC3EEF"/>
    <w:rsid w:val="00AC45DA"/>
    <w:rsid w:val="00AC53B7"/>
    <w:rsid w:val="00AC5CE9"/>
    <w:rsid w:val="00AC5D93"/>
    <w:rsid w:val="00AC5FAA"/>
    <w:rsid w:val="00AC6554"/>
    <w:rsid w:val="00AC65C3"/>
    <w:rsid w:val="00AC6BAB"/>
    <w:rsid w:val="00AC6F3A"/>
    <w:rsid w:val="00AC7190"/>
    <w:rsid w:val="00AC75EC"/>
    <w:rsid w:val="00AC76A0"/>
    <w:rsid w:val="00AC784C"/>
    <w:rsid w:val="00AC7BB3"/>
    <w:rsid w:val="00AC7D5B"/>
    <w:rsid w:val="00AD0E9D"/>
    <w:rsid w:val="00AD12F8"/>
    <w:rsid w:val="00AD1685"/>
    <w:rsid w:val="00AD185D"/>
    <w:rsid w:val="00AD18EC"/>
    <w:rsid w:val="00AD1BF6"/>
    <w:rsid w:val="00AD234C"/>
    <w:rsid w:val="00AD2494"/>
    <w:rsid w:val="00AD269E"/>
    <w:rsid w:val="00AD27E0"/>
    <w:rsid w:val="00AD2C5A"/>
    <w:rsid w:val="00AD2DB6"/>
    <w:rsid w:val="00AD40C9"/>
    <w:rsid w:val="00AD423B"/>
    <w:rsid w:val="00AD43DB"/>
    <w:rsid w:val="00AD4C8E"/>
    <w:rsid w:val="00AD50A0"/>
    <w:rsid w:val="00AD5329"/>
    <w:rsid w:val="00AD5B1B"/>
    <w:rsid w:val="00AD5C94"/>
    <w:rsid w:val="00AD632C"/>
    <w:rsid w:val="00AD632F"/>
    <w:rsid w:val="00AD6477"/>
    <w:rsid w:val="00AD6B94"/>
    <w:rsid w:val="00AD6D99"/>
    <w:rsid w:val="00AD6EB4"/>
    <w:rsid w:val="00AD6F66"/>
    <w:rsid w:val="00AD73C1"/>
    <w:rsid w:val="00AD7F91"/>
    <w:rsid w:val="00AE004A"/>
    <w:rsid w:val="00AE086E"/>
    <w:rsid w:val="00AE1CC3"/>
    <w:rsid w:val="00AE1EC2"/>
    <w:rsid w:val="00AE1F65"/>
    <w:rsid w:val="00AE1F70"/>
    <w:rsid w:val="00AE1FE2"/>
    <w:rsid w:val="00AE21E4"/>
    <w:rsid w:val="00AE2465"/>
    <w:rsid w:val="00AE2812"/>
    <w:rsid w:val="00AE2DE0"/>
    <w:rsid w:val="00AE329C"/>
    <w:rsid w:val="00AE33DC"/>
    <w:rsid w:val="00AE3679"/>
    <w:rsid w:val="00AE3C4B"/>
    <w:rsid w:val="00AE3CD7"/>
    <w:rsid w:val="00AE3E59"/>
    <w:rsid w:val="00AE3F8C"/>
    <w:rsid w:val="00AE4079"/>
    <w:rsid w:val="00AE46BC"/>
    <w:rsid w:val="00AE4838"/>
    <w:rsid w:val="00AE4AF2"/>
    <w:rsid w:val="00AE4E19"/>
    <w:rsid w:val="00AE5179"/>
    <w:rsid w:val="00AE5CD8"/>
    <w:rsid w:val="00AE5D9E"/>
    <w:rsid w:val="00AE5F3E"/>
    <w:rsid w:val="00AE6EE4"/>
    <w:rsid w:val="00AE6F6A"/>
    <w:rsid w:val="00AE70F3"/>
    <w:rsid w:val="00AE720E"/>
    <w:rsid w:val="00AE73B8"/>
    <w:rsid w:val="00AE7455"/>
    <w:rsid w:val="00AE7610"/>
    <w:rsid w:val="00AE778C"/>
    <w:rsid w:val="00AE77A5"/>
    <w:rsid w:val="00AE7CA1"/>
    <w:rsid w:val="00AE7F90"/>
    <w:rsid w:val="00AE7FD3"/>
    <w:rsid w:val="00AF0517"/>
    <w:rsid w:val="00AF085C"/>
    <w:rsid w:val="00AF09CA"/>
    <w:rsid w:val="00AF1303"/>
    <w:rsid w:val="00AF16C6"/>
    <w:rsid w:val="00AF190F"/>
    <w:rsid w:val="00AF1BAB"/>
    <w:rsid w:val="00AF1D41"/>
    <w:rsid w:val="00AF225D"/>
    <w:rsid w:val="00AF2804"/>
    <w:rsid w:val="00AF2927"/>
    <w:rsid w:val="00AF2A1D"/>
    <w:rsid w:val="00AF2B2D"/>
    <w:rsid w:val="00AF2C5B"/>
    <w:rsid w:val="00AF316C"/>
    <w:rsid w:val="00AF3BE2"/>
    <w:rsid w:val="00AF3C40"/>
    <w:rsid w:val="00AF41DA"/>
    <w:rsid w:val="00AF47BC"/>
    <w:rsid w:val="00AF4A67"/>
    <w:rsid w:val="00AF4AAA"/>
    <w:rsid w:val="00AF4B4A"/>
    <w:rsid w:val="00AF52A9"/>
    <w:rsid w:val="00AF5599"/>
    <w:rsid w:val="00AF59AE"/>
    <w:rsid w:val="00AF5C3B"/>
    <w:rsid w:val="00AF60AA"/>
    <w:rsid w:val="00AF60B2"/>
    <w:rsid w:val="00AF625A"/>
    <w:rsid w:val="00AF6361"/>
    <w:rsid w:val="00AF64A7"/>
    <w:rsid w:val="00AF69E0"/>
    <w:rsid w:val="00AF6FF7"/>
    <w:rsid w:val="00AF726F"/>
    <w:rsid w:val="00AF759E"/>
    <w:rsid w:val="00B00767"/>
    <w:rsid w:val="00B00A22"/>
    <w:rsid w:val="00B00AD6"/>
    <w:rsid w:val="00B015D5"/>
    <w:rsid w:val="00B015F8"/>
    <w:rsid w:val="00B019F6"/>
    <w:rsid w:val="00B01BB5"/>
    <w:rsid w:val="00B01C4B"/>
    <w:rsid w:val="00B020A8"/>
    <w:rsid w:val="00B02102"/>
    <w:rsid w:val="00B0247B"/>
    <w:rsid w:val="00B024BC"/>
    <w:rsid w:val="00B024E7"/>
    <w:rsid w:val="00B02525"/>
    <w:rsid w:val="00B02787"/>
    <w:rsid w:val="00B02E7C"/>
    <w:rsid w:val="00B02FD2"/>
    <w:rsid w:val="00B030E2"/>
    <w:rsid w:val="00B032A5"/>
    <w:rsid w:val="00B03341"/>
    <w:rsid w:val="00B0343F"/>
    <w:rsid w:val="00B03C17"/>
    <w:rsid w:val="00B03F8F"/>
    <w:rsid w:val="00B03FAC"/>
    <w:rsid w:val="00B04338"/>
    <w:rsid w:val="00B046D0"/>
    <w:rsid w:val="00B04B17"/>
    <w:rsid w:val="00B04B6B"/>
    <w:rsid w:val="00B04BAF"/>
    <w:rsid w:val="00B04F1E"/>
    <w:rsid w:val="00B0506C"/>
    <w:rsid w:val="00B051B0"/>
    <w:rsid w:val="00B05994"/>
    <w:rsid w:val="00B062F6"/>
    <w:rsid w:val="00B0652F"/>
    <w:rsid w:val="00B067F5"/>
    <w:rsid w:val="00B06EF0"/>
    <w:rsid w:val="00B07556"/>
    <w:rsid w:val="00B076BD"/>
    <w:rsid w:val="00B07749"/>
    <w:rsid w:val="00B07F88"/>
    <w:rsid w:val="00B10000"/>
    <w:rsid w:val="00B10009"/>
    <w:rsid w:val="00B104B0"/>
    <w:rsid w:val="00B106EB"/>
    <w:rsid w:val="00B1094B"/>
    <w:rsid w:val="00B10B2B"/>
    <w:rsid w:val="00B11E8E"/>
    <w:rsid w:val="00B12223"/>
    <w:rsid w:val="00B12688"/>
    <w:rsid w:val="00B1276E"/>
    <w:rsid w:val="00B1277A"/>
    <w:rsid w:val="00B128CC"/>
    <w:rsid w:val="00B12B7F"/>
    <w:rsid w:val="00B12C4F"/>
    <w:rsid w:val="00B12DEA"/>
    <w:rsid w:val="00B1399D"/>
    <w:rsid w:val="00B13ABA"/>
    <w:rsid w:val="00B13CA3"/>
    <w:rsid w:val="00B140C1"/>
    <w:rsid w:val="00B14402"/>
    <w:rsid w:val="00B148F3"/>
    <w:rsid w:val="00B14E36"/>
    <w:rsid w:val="00B151E1"/>
    <w:rsid w:val="00B153B6"/>
    <w:rsid w:val="00B15589"/>
    <w:rsid w:val="00B15C30"/>
    <w:rsid w:val="00B16712"/>
    <w:rsid w:val="00B16A34"/>
    <w:rsid w:val="00B16AAD"/>
    <w:rsid w:val="00B1736C"/>
    <w:rsid w:val="00B1778B"/>
    <w:rsid w:val="00B177A5"/>
    <w:rsid w:val="00B177D4"/>
    <w:rsid w:val="00B178F1"/>
    <w:rsid w:val="00B17BD2"/>
    <w:rsid w:val="00B20536"/>
    <w:rsid w:val="00B205E0"/>
    <w:rsid w:val="00B209C2"/>
    <w:rsid w:val="00B20A46"/>
    <w:rsid w:val="00B21069"/>
    <w:rsid w:val="00B218FC"/>
    <w:rsid w:val="00B21B92"/>
    <w:rsid w:val="00B22191"/>
    <w:rsid w:val="00B22423"/>
    <w:rsid w:val="00B22473"/>
    <w:rsid w:val="00B228F5"/>
    <w:rsid w:val="00B22D20"/>
    <w:rsid w:val="00B22DD1"/>
    <w:rsid w:val="00B22EBE"/>
    <w:rsid w:val="00B23062"/>
    <w:rsid w:val="00B2324C"/>
    <w:rsid w:val="00B23546"/>
    <w:rsid w:val="00B238F8"/>
    <w:rsid w:val="00B23E2D"/>
    <w:rsid w:val="00B23EB4"/>
    <w:rsid w:val="00B23F84"/>
    <w:rsid w:val="00B241D3"/>
    <w:rsid w:val="00B24267"/>
    <w:rsid w:val="00B24C02"/>
    <w:rsid w:val="00B2520A"/>
    <w:rsid w:val="00B25433"/>
    <w:rsid w:val="00B254DE"/>
    <w:rsid w:val="00B2578A"/>
    <w:rsid w:val="00B25813"/>
    <w:rsid w:val="00B265CF"/>
    <w:rsid w:val="00B26AF7"/>
    <w:rsid w:val="00B272C7"/>
    <w:rsid w:val="00B27711"/>
    <w:rsid w:val="00B27C51"/>
    <w:rsid w:val="00B300AD"/>
    <w:rsid w:val="00B30158"/>
    <w:rsid w:val="00B301AC"/>
    <w:rsid w:val="00B30327"/>
    <w:rsid w:val="00B304BA"/>
    <w:rsid w:val="00B30997"/>
    <w:rsid w:val="00B30BB4"/>
    <w:rsid w:val="00B30EEE"/>
    <w:rsid w:val="00B310BF"/>
    <w:rsid w:val="00B31932"/>
    <w:rsid w:val="00B31DAC"/>
    <w:rsid w:val="00B31FAF"/>
    <w:rsid w:val="00B325BE"/>
    <w:rsid w:val="00B33018"/>
    <w:rsid w:val="00B33417"/>
    <w:rsid w:val="00B3375C"/>
    <w:rsid w:val="00B33ADF"/>
    <w:rsid w:val="00B33B19"/>
    <w:rsid w:val="00B34257"/>
    <w:rsid w:val="00B346B8"/>
    <w:rsid w:val="00B34925"/>
    <w:rsid w:val="00B34A76"/>
    <w:rsid w:val="00B34ADB"/>
    <w:rsid w:val="00B34B9B"/>
    <w:rsid w:val="00B34BA7"/>
    <w:rsid w:val="00B35041"/>
    <w:rsid w:val="00B3544D"/>
    <w:rsid w:val="00B354B7"/>
    <w:rsid w:val="00B35A03"/>
    <w:rsid w:val="00B360B0"/>
    <w:rsid w:val="00B360F8"/>
    <w:rsid w:val="00B3683C"/>
    <w:rsid w:val="00B371B9"/>
    <w:rsid w:val="00B3736E"/>
    <w:rsid w:val="00B3763A"/>
    <w:rsid w:val="00B37C16"/>
    <w:rsid w:val="00B4024C"/>
    <w:rsid w:val="00B40E65"/>
    <w:rsid w:val="00B4168C"/>
    <w:rsid w:val="00B41D60"/>
    <w:rsid w:val="00B41F3A"/>
    <w:rsid w:val="00B4343C"/>
    <w:rsid w:val="00B43CCF"/>
    <w:rsid w:val="00B44181"/>
    <w:rsid w:val="00B44264"/>
    <w:rsid w:val="00B44D4D"/>
    <w:rsid w:val="00B44DF0"/>
    <w:rsid w:val="00B452B2"/>
    <w:rsid w:val="00B4568B"/>
    <w:rsid w:val="00B458DA"/>
    <w:rsid w:val="00B458FF"/>
    <w:rsid w:val="00B461F3"/>
    <w:rsid w:val="00B46331"/>
    <w:rsid w:val="00B468FD"/>
    <w:rsid w:val="00B46CE2"/>
    <w:rsid w:val="00B47005"/>
    <w:rsid w:val="00B4714D"/>
    <w:rsid w:val="00B47A93"/>
    <w:rsid w:val="00B47D65"/>
    <w:rsid w:val="00B5024A"/>
    <w:rsid w:val="00B50397"/>
    <w:rsid w:val="00B50762"/>
    <w:rsid w:val="00B50F2C"/>
    <w:rsid w:val="00B510B0"/>
    <w:rsid w:val="00B510E1"/>
    <w:rsid w:val="00B513AC"/>
    <w:rsid w:val="00B517CC"/>
    <w:rsid w:val="00B51807"/>
    <w:rsid w:val="00B51DAE"/>
    <w:rsid w:val="00B52561"/>
    <w:rsid w:val="00B5290D"/>
    <w:rsid w:val="00B52BB7"/>
    <w:rsid w:val="00B530FD"/>
    <w:rsid w:val="00B53163"/>
    <w:rsid w:val="00B53282"/>
    <w:rsid w:val="00B5330C"/>
    <w:rsid w:val="00B53423"/>
    <w:rsid w:val="00B5379E"/>
    <w:rsid w:val="00B537FB"/>
    <w:rsid w:val="00B53927"/>
    <w:rsid w:val="00B539C5"/>
    <w:rsid w:val="00B53D02"/>
    <w:rsid w:val="00B549CC"/>
    <w:rsid w:val="00B55108"/>
    <w:rsid w:val="00B55426"/>
    <w:rsid w:val="00B560A8"/>
    <w:rsid w:val="00B561D7"/>
    <w:rsid w:val="00B562DA"/>
    <w:rsid w:val="00B5643A"/>
    <w:rsid w:val="00B56515"/>
    <w:rsid w:val="00B5759C"/>
    <w:rsid w:val="00B5773A"/>
    <w:rsid w:val="00B57B40"/>
    <w:rsid w:val="00B57FC5"/>
    <w:rsid w:val="00B60309"/>
    <w:rsid w:val="00B606AA"/>
    <w:rsid w:val="00B60DB7"/>
    <w:rsid w:val="00B616B9"/>
    <w:rsid w:val="00B618F6"/>
    <w:rsid w:val="00B61D30"/>
    <w:rsid w:val="00B61DC7"/>
    <w:rsid w:val="00B62106"/>
    <w:rsid w:val="00B62177"/>
    <w:rsid w:val="00B625EE"/>
    <w:rsid w:val="00B6323C"/>
    <w:rsid w:val="00B634B9"/>
    <w:rsid w:val="00B6363C"/>
    <w:rsid w:val="00B639DE"/>
    <w:rsid w:val="00B6497C"/>
    <w:rsid w:val="00B64AAB"/>
    <w:rsid w:val="00B64BD1"/>
    <w:rsid w:val="00B64E25"/>
    <w:rsid w:val="00B6535D"/>
    <w:rsid w:val="00B65517"/>
    <w:rsid w:val="00B65D15"/>
    <w:rsid w:val="00B65E18"/>
    <w:rsid w:val="00B65EFD"/>
    <w:rsid w:val="00B6615A"/>
    <w:rsid w:val="00B6638D"/>
    <w:rsid w:val="00B6641D"/>
    <w:rsid w:val="00B6685A"/>
    <w:rsid w:val="00B66B54"/>
    <w:rsid w:val="00B66B61"/>
    <w:rsid w:val="00B66C67"/>
    <w:rsid w:val="00B66D35"/>
    <w:rsid w:val="00B66F0C"/>
    <w:rsid w:val="00B678B1"/>
    <w:rsid w:val="00B7037C"/>
    <w:rsid w:val="00B704E3"/>
    <w:rsid w:val="00B70840"/>
    <w:rsid w:val="00B70C60"/>
    <w:rsid w:val="00B71039"/>
    <w:rsid w:val="00B7143A"/>
    <w:rsid w:val="00B71579"/>
    <w:rsid w:val="00B71860"/>
    <w:rsid w:val="00B71892"/>
    <w:rsid w:val="00B71936"/>
    <w:rsid w:val="00B71B2B"/>
    <w:rsid w:val="00B720BE"/>
    <w:rsid w:val="00B724B2"/>
    <w:rsid w:val="00B7270E"/>
    <w:rsid w:val="00B73903"/>
    <w:rsid w:val="00B73933"/>
    <w:rsid w:val="00B73BD5"/>
    <w:rsid w:val="00B73C86"/>
    <w:rsid w:val="00B73EB7"/>
    <w:rsid w:val="00B73FBB"/>
    <w:rsid w:val="00B756AE"/>
    <w:rsid w:val="00B758EA"/>
    <w:rsid w:val="00B75B5D"/>
    <w:rsid w:val="00B75B97"/>
    <w:rsid w:val="00B75C1C"/>
    <w:rsid w:val="00B75DD1"/>
    <w:rsid w:val="00B75E70"/>
    <w:rsid w:val="00B75FBB"/>
    <w:rsid w:val="00B761B3"/>
    <w:rsid w:val="00B763D7"/>
    <w:rsid w:val="00B76455"/>
    <w:rsid w:val="00B76709"/>
    <w:rsid w:val="00B76CCF"/>
    <w:rsid w:val="00B76CFD"/>
    <w:rsid w:val="00B7753A"/>
    <w:rsid w:val="00B77904"/>
    <w:rsid w:val="00B77F88"/>
    <w:rsid w:val="00B80144"/>
    <w:rsid w:val="00B805DF"/>
    <w:rsid w:val="00B80705"/>
    <w:rsid w:val="00B80803"/>
    <w:rsid w:val="00B80B25"/>
    <w:rsid w:val="00B80C80"/>
    <w:rsid w:val="00B80E32"/>
    <w:rsid w:val="00B80F19"/>
    <w:rsid w:val="00B81004"/>
    <w:rsid w:val="00B81305"/>
    <w:rsid w:val="00B813D6"/>
    <w:rsid w:val="00B815F5"/>
    <w:rsid w:val="00B8164D"/>
    <w:rsid w:val="00B81D66"/>
    <w:rsid w:val="00B82208"/>
    <w:rsid w:val="00B823CF"/>
    <w:rsid w:val="00B825FC"/>
    <w:rsid w:val="00B8279B"/>
    <w:rsid w:val="00B8280F"/>
    <w:rsid w:val="00B83011"/>
    <w:rsid w:val="00B8301C"/>
    <w:rsid w:val="00B840DC"/>
    <w:rsid w:val="00B840E9"/>
    <w:rsid w:val="00B84286"/>
    <w:rsid w:val="00B844A0"/>
    <w:rsid w:val="00B84667"/>
    <w:rsid w:val="00B84980"/>
    <w:rsid w:val="00B849E6"/>
    <w:rsid w:val="00B84D92"/>
    <w:rsid w:val="00B8533F"/>
    <w:rsid w:val="00B853B4"/>
    <w:rsid w:val="00B85731"/>
    <w:rsid w:val="00B8609A"/>
    <w:rsid w:val="00B860BF"/>
    <w:rsid w:val="00B86554"/>
    <w:rsid w:val="00B867C0"/>
    <w:rsid w:val="00B86B00"/>
    <w:rsid w:val="00B86B20"/>
    <w:rsid w:val="00B87578"/>
    <w:rsid w:val="00B877B3"/>
    <w:rsid w:val="00B878EA"/>
    <w:rsid w:val="00B8795C"/>
    <w:rsid w:val="00B87F2C"/>
    <w:rsid w:val="00B90079"/>
    <w:rsid w:val="00B900BD"/>
    <w:rsid w:val="00B90146"/>
    <w:rsid w:val="00B901F8"/>
    <w:rsid w:val="00B90998"/>
    <w:rsid w:val="00B90B58"/>
    <w:rsid w:val="00B90DB0"/>
    <w:rsid w:val="00B911D4"/>
    <w:rsid w:val="00B91431"/>
    <w:rsid w:val="00B91683"/>
    <w:rsid w:val="00B9172E"/>
    <w:rsid w:val="00B91E87"/>
    <w:rsid w:val="00B920BE"/>
    <w:rsid w:val="00B926F6"/>
    <w:rsid w:val="00B92F3E"/>
    <w:rsid w:val="00B9364A"/>
    <w:rsid w:val="00B93F9A"/>
    <w:rsid w:val="00B9458E"/>
    <w:rsid w:val="00B946A6"/>
    <w:rsid w:val="00B94A37"/>
    <w:rsid w:val="00B94E8F"/>
    <w:rsid w:val="00B95175"/>
    <w:rsid w:val="00B957D6"/>
    <w:rsid w:val="00B95BA7"/>
    <w:rsid w:val="00B95E3A"/>
    <w:rsid w:val="00B960DB"/>
    <w:rsid w:val="00B96381"/>
    <w:rsid w:val="00B96583"/>
    <w:rsid w:val="00B96586"/>
    <w:rsid w:val="00B96744"/>
    <w:rsid w:val="00B96816"/>
    <w:rsid w:val="00B97187"/>
    <w:rsid w:val="00B97492"/>
    <w:rsid w:val="00B975EF"/>
    <w:rsid w:val="00B97864"/>
    <w:rsid w:val="00B9786A"/>
    <w:rsid w:val="00B9790D"/>
    <w:rsid w:val="00B97AA3"/>
    <w:rsid w:val="00B97B23"/>
    <w:rsid w:val="00BA01DE"/>
    <w:rsid w:val="00BA063D"/>
    <w:rsid w:val="00BA0BD1"/>
    <w:rsid w:val="00BA0C41"/>
    <w:rsid w:val="00BA0CF0"/>
    <w:rsid w:val="00BA0EC5"/>
    <w:rsid w:val="00BA0FA6"/>
    <w:rsid w:val="00BA111C"/>
    <w:rsid w:val="00BA13CD"/>
    <w:rsid w:val="00BA1440"/>
    <w:rsid w:val="00BA1B0D"/>
    <w:rsid w:val="00BA2297"/>
    <w:rsid w:val="00BA2B8A"/>
    <w:rsid w:val="00BA3053"/>
    <w:rsid w:val="00BA3295"/>
    <w:rsid w:val="00BA36DF"/>
    <w:rsid w:val="00BA3B53"/>
    <w:rsid w:val="00BA3E29"/>
    <w:rsid w:val="00BA40BB"/>
    <w:rsid w:val="00BA44A2"/>
    <w:rsid w:val="00BA505D"/>
    <w:rsid w:val="00BA5107"/>
    <w:rsid w:val="00BA51F7"/>
    <w:rsid w:val="00BA52FA"/>
    <w:rsid w:val="00BA5573"/>
    <w:rsid w:val="00BA5C2D"/>
    <w:rsid w:val="00BA5F84"/>
    <w:rsid w:val="00BA61ED"/>
    <w:rsid w:val="00BA64F0"/>
    <w:rsid w:val="00BA6510"/>
    <w:rsid w:val="00BA754A"/>
    <w:rsid w:val="00BA7790"/>
    <w:rsid w:val="00BA7A07"/>
    <w:rsid w:val="00BA7BED"/>
    <w:rsid w:val="00BA7E73"/>
    <w:rsid w:val="00BA7F13"/>
    <w:rsid w:val="00BB00EB"/>
    <w:rsid w:val="00BB0126"/>
    <w:rsid w:val="00BB0523"/>
    <w:rsid w:val="00BB0853"/>
    <w:rsid w:val="00BB160C"/>
    <w:rsid w:val="00BB1E8D"/>
    <w:rsid w:val="00BB1F86"/>
    <w:rsid w:val="00BB2257"/>
    <w:rsid w:val="00BB24B9"/>
    <w:rsid w:val="00BB2937"/>
    <w:rsid w:val="00BB2C3D"/>
    <w:rsid w:val="00BB2CCA"/>
    <w:rsid w:val="00BB2E0D"/>
    <w:rsid w:val="00BB331E"/>
    <w:rsid w:val="00BB3706"/>
    <w:rsid w:val="00BB371D"/>
    <w:rsid w:val="00BB38DF"/>
    <w:rsid w:val="00BB3A53"/>
    <w:rsid w:val="00BB3DC3"/>
    <w:rsid w:val="00BB3F38"/>
    <w:rsid w:val="00BB3FA1"/>
    <w:rsid w:val="00BB406F"/>
    <w:rsid w:val="00BB43F1"/>
    <w:rsid w:val="00BB4441"/>
    <w:rsid w:val="00BB45E2"/>
    <w:rsid w:val="00BB4634"/>
    <w:rsid w:val="00BB4680"/>
    <w:rsid w:val="00BB490D"/>
    <w:rsid w:val="00BB4A32"/>
    <w:rsid w:val="00BB4EB8"/>
    <w:rsid w:val="00BB4EC4"/>
    <w:rsid w:val="00BB527B"/>
    <w:rsid w:val="00BB5486"/>
    <w:rsid w:val="00BB54CF"/>
    <w:rsid w:val="00BB551F"/>
    <w:rsid w:val="00BB5784"/>
    <w:rsid w:val="00BB61C8"/>
    <w:rsid w:val="00BB6BA3"/>
    <w:rsid w:val="00BB6EA6"/>
    <w:rsid w:val="00BB6F42"/>
    <w:rsid w:val="00BB739E"/>
    <w:rsid w:val="00BB79D0"/>
    <w:rsid w:val="00BB7D6D"/>
    <w:rsid w:val="00BB7FB9"/>
    <w:rsid w:val="00BC006C"/>
    <w:rsid w:val="00BC0703"/>
    <w:rsid w:val="00BC097D"/>
    <w:rsid w:val="00BC0B4E"/>
    <w:rsid w:val="00BC0BDE"/>
    <w:rsid w:val="00BC12EE"/>
    <w:rsid w:val="00BC154D"/>
    <w:rsid w:val="00BC15C9"/>
    <w:rsid w:val="00BC175B"/>
    <w:rsid w:val="00BC1DAA"/>
    <w:rsid w:val="00BC1FB9"/>
    <w:rsid w:val="00BC210E"/>
    <w:rsid w:val="00BC2996"/>
    <w:rsid w:val="00BC2A48"/>
    <w:rsid w:val="00BC3107"/>
    <w:rsid w:val="00BC36A0"/>
    <w:rsid w:val="00BC3948"/>
    <w:rsid w:val="00BC398D"/>
    <w:rsid w:val="00BC45AD"/>
    <w:rsid w:val="00BC45E2"/>
    <w:rsid w:val="00BC4744"/>
    <w:rsid w:val="00BC5224"/>
    <w:rsid w:val="00BC549D"/>
    <w:rsid w:val="00BC567F"/>
    <w:rsid w:val="00BC570E"/>
    <w:rsid w:val="00BC596C"/>
    <w:rsid w:val="00BC5D2C"/>
    <w:rsid w:val="00BC5F12"/>
    <w:rsid w:val="00BC60F3"/>
    <w:rsid w:val="00BC6328"/>
    <w:rsid w:val="00BC66CE"/>
    <w:rsid w:val="00BC6ADD"/>
    <w:rsid w:val="00BC6E15"/>
    <w:rsid w:val="00BC71F8"/>
    <w:rsid w:val="00BC796E"/>
    <w:rsid w:val="00BC7B29"/>
    <w:rsid w:val="00BC7DF5"/>
    <w:rsid w:val="00BC7E41"/>
    <w:rsid w:val="00BC7FED"/>
    <w:rsid w:val="00BD061B"/>
    <w:rsid w:val="00BD074B"/>
    <w:rsid w:val="00BD07D4"/>
    <w:rsid w:val="00BD08A5"/>
    <w:rsid w:val="00BD096F"/>
    <w:rsid w:val="00BD0F61"/>
    <w:rsid w:val="00BD1094"/>
    <w:rsid w:val="00BD178D"/>
    <w:rsid w:val="00BD1B03"/>
    <w:rsid w:val="00BD1CC7"/>
    <w:rsid w:val="00BD201B"/>
    <w:rsid w:val="00BD204C"/>
    <w:rsid w:val="00BD20E1"/>
    <w:rsid w:val="00BD23DF"/>
    <w:rsid w:val="00BD2665"/>
    <w:rsid w:val="00BD2800"/>
    <w:rsid w:val="00BD2BCE"/>
    <w:rsid w:val="00BD2CBE"/>
    <w:rsid w:val="00BD3F25"/>
    <w:rsid w:val="00BD4576"/>
    <w:rsid w:val="00BD46D7"/>
    <w:rsid w:val="00BD4748"/>
    <w:rsid w:val="00BD4AE1"/>
    <w:rsid w:val="00BD4CCA"/>
    <w:rsid w:val="00BD4E00"/>
    <w:rsid w:val="00BD51E6"/>
    <w:rsid w:val="00BD5861"/>
    <w:rsid w:val="00BD5FA9"/>
    <w:rsid w:val="00BD6406"/>
    <w:rsid w:val="00BD6BA2"/>
    <w:rsid w:val="00BD712A"/>
    <w:rsid w:val="00BD7538"/>
    <w:rsid w:val="00BD76F4"/>
    <w:rsid w:val="00BD7EAC"/>
    <w:rsid w:val="00BD7F86"/>
    <w:rsid w:val="00BE05FA"/>
    <w:rsid w:val="00BE0648"/>
    <w:rsid w:val="00BE090B"/>
    <w:rsid w:val="00BE0B50"/>
    <w:rsid w:val="00BE0E42"/>
    <w:rsid w:val="00BE0F02"/>
    <w:rsid w:val="00BE119D"/>
    <w:rsid w:val="00BE11D5"/>
    <w:rsid w:val="00BE1513"/>
    <w:rsid w:val="00BE1691"/>
    <w:rsid w:val="00BE178B"/>
    <w:rsid w:val="00BE1BDD"/>
    <w:rsid w:val="00BE1DE4"/>
    <w:rsid w:val="00BE226A"/>
    <w:rsid w:val="00BE25B5"/>
    <w:rsid w:val="00BE2BA6"/>
    <w:rsid w:val="00BE2FF6"/>
    <w:rsid w:val="00BE32BD"/>
    <w:rsid w:val="00BE3613"/>
    <w:rsid w:val="00BE3630"/>
    <w:rsid w:val="00BE3671"/>
    <w:rsid w:val="00BE3A21"/>
    <w:rsid w:val="00BE4158"/>
    <w:rsid w:val="00BE4298"/>
    <w:rsid w:val="00BE51A7"/>
    <w:rsid w:val="00BE51AB"/>
    <w:rsid w:val="00BE52FE"/>
    <w:rsid w:val="00BE56F4"/>
    <w:rsid w:val="00BE57A8"/>
    <w:rsid w:val="00BE5AF8"/>
    <w:rsid w:val="00BE5CFA"/>
    <w:rsid w:val="00BE6123"/>
    <w:rsid w:val="00BE6202"/>
    <w:rsid w:val="00BE63B7"/>
    <w:rsid w:val="00BE6DF6"/>
    <w:rsid w:val="00BE6F4C"/>
    <w:rsid w:val="00BE78E9"/>
    <w:rsid w:val="00BE7978"/>
    <w:rsid w:val="00BE7A5E"/>
    <w:rsid w:val="00BE7EDA"/>
    <w:rsid w:val="00BF01F8"/>
    <w:rsid w:val="00BF057B"/>
    <w:rsid w:val="00BF0756"/>
    <w:rsid w:val="00BF0E89"/>
    <w:rsid w:val="00BF1352"/>
    <w:rsid w:val="00BF150D"/>
    <w:rsid w:val="00BF18D0"/>
    <w:rsid w:val="00BF1906"/>
    <w:rsid w:val="00BF23B4"/>
    <w:rsid w:val="00BF28F4"/>
    <w:rsid w:val="00BF29CB"/>
    <w:rsid w:val="00BF3340"/>
    <w:rsid w:val="00BF359E"/>
    <w:rsid w:val="00BF3C66"/>
    <w:rsid w:val="00BF3FB4"/>
    <w:rsid w:val="00BF487B"/>
    <w:rsid w:val="00BF4F1A"/>
    <w:rsid w:val="00BF5AB1"/>
    <w:rsid w:val="00BF63BF"/>
    <w:rsid w:val="00BF6A64"/>
    <w:rsid w:val="00BF6F4D"/>
    <w:rsid w:val="00BF7197"/>
    <w:rsid w:val="00BF72E6"/>
    <w:rsid w:val="00BF74F9"/>
    <w:rsid w:val="00BF765A"/>
    <w:rsid w:val="00BF7782"/>
    <w:rsid w:val="00C001D7"/>
    <w:rsid w:val="00C005D3"/>
    <w:rsid w:val="00C00943"/>
    <w:rsid w:val="00C00BEC"/>
    <w:rsid w:val="00C00FF7"/>
    <w:rsid w:val="00C0127C"/>
    <w:rsid w:val="00C01B4F"/>
    <w:rsid w:val="00C01F12"/>
    <w:rsid w:val="00C01F75"/>
    <w:rsid w:val="00C023C7"/>
    <w:rsid w:val="00C02AC5"/>
    <w:rsid w:val="00C02BE6"/>
    <w:rsid w:val="00C03733"/>
    <w:rsid w:val="00C03753"/>
    <w:rsid w:val="00C03869"/>
    <w:rsid w:val="00C0456E"/>
    <w:rsid w:val="00C04A1F"/>
    <w:rsid w:val="00C05032"/>
    <w:rsid w:val="00C0508B"/>
    <w:rsid w:val="00C0549D"/>
    <w:rsid w:val="00C059AD"/>
    <w:rsid w:val="00C05B33"/>
    <w:rsid w:val="00C05DC5"/>
    <w:rsid w:val="00C060FC"/>
    <w:rsid w:val="00C06738"/>
    <w:rsid w:val="00C0693B"/>
    <w:rsid w:val="00C06F4F"/>
    <w:rsid w:val="00C07033"/>
    <w:rsid w:val="00C07168"/>
    <w:rsid w:val="00C077BC"/>
    <w:rsid w:val="00C07AB3"/>
    <w:rsid w:val="00C07F97"/>
    <w:rsid w:val="00C10134"/>
    <w:rsid w:val="00C101FB"/>
    <w:rsid w:val="00C10258"/>
    <w:rsid w:val="00C1036A"/>
    <w:rsid w:val="00C1054F"/>
    <w:rsid w:val="00C10666"/>
    <w:rsid w:val="00C1079D"/>
    <w:rsid w:val="00C10B21"/>
    <w:rsid w:val="00C10B9A"/>
    <w:rsid w:val="00C10C94"/>
    <w:rsid w:val="00C10DAC"/>
    <w:rsid w:val="00C10DE1"/>
    <w:rsid w:val="00C10F67"/>
    <w:rsid w:val="00C11569"/>
    <w:rsid w:val="00C11712"/>
    <w:rsid w:val="00C11F21"/>
    <w:rsid w:val="00C1230B"/>
    <w:rsid w:val="00C12322"/>
    <w:rsid w:val="00C12391"/>
    <w:rsid w:val="00C129AF"/>
    <w:rsid w:val="00C12A08"/>
    <w:rsid w:val="00C12AE5"/>
    <w:rsid w:val="00C12F25"/>
    <w:rsid w:val="00C1339D"/>
    <w:rsid w:val="00C1371A"/>
    <w:rsid w:val="00C13C92"/>
    <w:rsid w:val="00C14007"/>
    <w:rsid w:val="00C15154"/>
    <w:rsid w:val="00C151D3"/>
    <w:rsid w:val="00C1550F"/>
    <w:rsid w:val="00C15AF9"/>
    <w:rsid w:val="00C15CF2"/>
    <w:rsid w:val="00C15FB2"/>
    <w:rsid w:val="00C15FEB"/>
    <w:rsid w:val="00C16109"/>
    <w:rsid w:val="00C16358"/>
    <w:rsid w:val="00C16550"/>
    <w:rsid w:val="00C16CC1"/>
    <w:rsid w:val="00C16DFC"/>
    <w:rsid w:val="00C174D3"/>
    <w:rsid w:val="00C179F5"/>
    <w:rsid w:val="00C17C0F"/>
    <w:rsid w:val="00C17C7D"/>
    <w:rsid w:val="00C17CBC"/>
    <w:rsid w:val="00C2024C"/>
    <w:rsid w:val="00C20A0E"/>
    <w:rsid w:val="00C20DC8"/>
    <w:rsid w:val="00C20E42"/>
    <w:rsid w:val="00C2121B"/>
    <w:rsid w:val="00C21605"/>
    <w:rsid w:val="00C22307"/>
    <w:rsid w:val="00C223B7"/>
    <w:rsid w:val="00C22748"/>
    <w:rsid w:val="00C2288A"/>
    <w:rsid w:val="00C2315C"/>
    <w:rsid w:val="00C23A48"/>
    <w:rsid w:val="00C23A66"/>
    <w:rsid w:val="00C23B11"/>
    <w:rsid w:val="00C23CAC"/>
    <w:rsid w:val="00C23CB1"/>
    <w:rsid w:val="00C23E58"/>
    <w:rsid w:val="00C23FE5"/>
    <w:rsid w:val="00C2448C"/>
    <w:rsid w:val="00C248E1"/>
    <w:rsid w:val="00C24904"/>
    <w:rsid w:val="00C24AD7"/>
    <w:rsid w:val="00C24D81"/>
    <w:rsid w:val="00C252FE"/>
    <w:rsid w:val="00C25DC2"/>
    <w:rsid w:val="00C25FB5"/>
    <w:rsid w:val="00C26206"/>
    <w:rsid w:val="00C26A74"/>
    <w:rsid w:val="00C26B3A"/>
    <w:rsid w:val="00C2754F"/>
    <w:rsid w:val="00C27556"/>
    <w:rsid w:val="00C2774D"/>
    <w:rsid w:val="00C2784A"/>
    <w:rsid w:val="00C27A24"/>
    <w:rsid w:val="00C27D76"/>
    <w:rsid w:val="00C301C1"/>
    <w:rsid w:val="00C30C3D"/>
    <w:rsid w:val="00C30D91"/>
    <w:rsid w:val="00C31183"/>
    <w:rsid w:val="00C31452"/>
    <w:rsid w:val="00C316BD"/>
    <w:rsid w:val="00C31C89"/>
    <w:rsid w:val="00C3278E"/>
    <w:rsid w:val="00C32C8A"/>
    <w:rsid w:val="00C32FFE"/>
    <w:rsid w:val="00C33167"/>
    <w:rsid w:val="00C33E2C"/>
    <w:rsid w:val="00C33E9F"/>
    <w:rsid w:val="00C33FF6"/>
    <w:rsid w:val="00C34119"/>
    <w:rsid w:val="00C342C7"/>
    <w:rsid w:val="00C34644"/>
    <w:rsid w:val="00C3464D"/>
    <w:rsid w:val="00C346DD"/>
    <w:rsid w:val="00C34739"/>
    <w:rsid w:val="00C3473E"/>
    <w:rsid w:val="00C347B3"/>
    <w:rsid w:val="00C347FD"/>
    <w:rsid w:val="00C3498C"/>
    <w:rsid w:val="00C34DAD"/>
    <w:rsid w:val="00C35033"/>
    <w:rsid w:val="00C35139"/>
    <w:rsid w:val="00C355B0"/>
    <w:rsid w:val="00C355DD"/>
    <w:rsid w:val="00C35659"/>
    <w:rsid w:val="00C35F50"/>
    <w:rsid w:val="00C3628B"/>
    <w:rsid w:val="00C365B1"/>
    <w:rsid w:val="00C3693D"/>
    <w:rsid w:val="00C36B14"/>
    <w:rsid w:val="00C3766B"/>
    <w:rsid w:val="00C37CDE"/>
    <w:rsid w:val="00C37CF7"/>
    <w:rsid w:val="00C37D9E"/>
    <w:rsid w:val="00C37F62"/>
    <w:rsid w:val="00C40331"/>
    <w:rsid w:val="00C40492"/>
    <w:rsid w:val="00C409FD"/>
    <w:rsid w:val="00C40A18"/>
    <w:rsid w:val="00C40CDA"/>
    <w:rsid w:val="00C415CB"/>
    <w:rsid w:val="00C416D0"/>
    <w:rsid w:val="00C4176B"/>
    <w:rsid w:val="00C41D3A"/>
    <w:rsid w:val="00C41E98"/>
    <w:rsid w:val="00C427A9"/>
    <w:rsid w:val="00C42B40"/>
    <w:rsid w:val="00C433B4"/>
    <w:rsid w:val="00C4345D"/>
    <w:rsid w:val="00C43725"/>
    <w:rsid w:val="00C4379D"/>
    <w:rsid w:val="00C4379F"/>
    <w:rsid w:val="00C43B5F"/>
    <w:rsid w:val="00C44370"/>
    <w:rsid w:val="00C444F6"/>
    <w:rsid w:val="00C4478A"/>
    <w:rsid w:val="00C447E5"/>
    <w:rsid w:val="00C4485B"/>
    <w:rsid w:val="00C452CB"/>
    <w:rsid w:val="00C456AC"/>
    <w:rsid w:val="00C456C5"/>
    <w:rsid w:val="00C45BF3"/>
    <w:rsid w:val="00C4603C"/>
    <w:rsid w:val="00C464E8"/>
    <w:rsid w:val="00C466C6"/>
    <w:rsid w:val="00C46879"/>
    <w:rsid w:val="00C47011"/>
    <w:rsid w:val="00C47482"/>
    <w:rsid w:val="00C47726"/>
    <w:rsid w:val="00C47C39"/>
    <w:rsid w:val="00C50570"/>
    <w:rsid w:val="00C50574"/>
    <w:rsid w:val="00C50B41"/>
    <w:rsid w:val="00C50D7F"/>
    <w:rsid w:val="00C51471"/>
    <w:rsid w:val="00C519A8"/>
    <w:rsid w:val="00C51BD2"/>
    <w:rsid w:val="00C524C4"/>
    <w:rsid w:val="00C525BA"/>
    <w:rsid w:val="00C52657"/>
    <w:rsid w:val="00C528CD"/>
    <w:rsid w:val="00C52B51"/>
    <w:rsid w:val="00C52C49"/>
    <w:rsid w:val="00C52F66"/>
    <w:rsid w:val="00C5335E"/>
    <w:rsid w:val="00C538F3"/>
    <w:rsid w:val="00C53E7B"/>
    <w:rsid w:val="00C54366"/>
    <w:rsid w:val="00C547CA"/>
    <w:rsid w:val="00C549CE"/>
    <w:rsid w:val="00C54F38"/>
    <w:rsid w:val="00C55B26"/>
    <w:rsid w:val="00C55DD1"/>
    <w:rsid w:val="00C56736"/>
    <w:rsid w:val="00C56D72"/>
    <w:rsid w:val="00C56DCF"/>
    <w:rsid w:val="00C56F46"/>
    <w:rsid w:val="00C57100"/>
    <w:rsid w:val="00C57214"/>
    <w:rsid w:val="00C575D1"/>
    <w:rsid w:val="00C57C22"/>
    <w:rsid w:val="00C60709"/>
    <w:rsid w:val="00C60D85"/>
    <w:rsid w:val="00C613B6"/>
    <w:rsid w:val="00C614A2"/>
    <w:rsid w:val="00C61656"/>
    <w:rsid w:val="00C617AC"/>
    <w:rsid w:val="00C619AC"/>
    <w:rsid w:val="00C61B18"/>
    <w:rsid w:val="00C61B67"/>
    <w:rsid w:val="00C61EEC"/>
    <w:rsid w:val="00C620A4"/>
    <w:rsid w:val="00C62287"/>
    <w:rsid w:val="00C626E5"/>
    <w:rsid w:val="00C627E0"/>
    <w:rsid w:val="00C62B7E"/>
    <w:rsid w:val="00C63136"/>
    <w:rsid w:val="00C633E3"/>
    <w:rsid w:val="00C63443"/>
    <w:rsid w:val="00C634B9"/>
    <w:rsid w:val="00C634FE"/>
    <w:rsid w:val="00C635EF"/>
    <w:rsid w:val="00C63803"/>
    <w:rsid w:val="00C63E68"/>
    <w:rsid w:val="00C64240"/>
    <w:rsid w:val="00C64615"/>
    <w:rsid w:val="00C64749"/>
    <w:rsid w:val="00C6480F"/>
    <w:rsid w:val="00C64D3A"/>
    <w:rsid w:val="00C65C59"/>
    <w:rsid w:val="00C65CCB"/>
    <w:rsid w:val="00C65DFC"/>
    <w:rsid w:val="00C66763"/>
    <w:rsid w:val="00C66822"/>
    <w:rsid w:val="00C6718D"/>
    <w:rsid w:val="00C67471"/>
    <w:rsid w:val="00C6777A"/>
    <w:rsid w:val="00C677F5"/>
    <w:rsid w:val="00C6786B"/>
    <w:rsid w:val="00C70244"/>
    <w:rsid w:val="00C70450"/>
    <w:rsid w:val="00C70C4D"/>
    <w:rsid w:val="00C70C91"/>
    <w:rsid w:val="00C70FC0"/>
    <w:rsid w:val="00C71239"/>
    <w:rsid w:val="00C712FD"/>
    <w:rsid w:val="00C71519"/>
    <w:rsid w:val="00C71566"/>
    <w:rsid w:val="00C71D10"/>
    <w:rsid w:val="00C71EF4"/>
    <w:rsid w:val="00C71FB9"/>
    <w:rsid w:val="00C720CA"/>
    <w:rsid w:val="00C720E3"/>
    <w:rsid w:val="00C72854"/>
    <w:rsid w:val="00C72A13"/>
    <w:rsid w:val="00C73057"/>
    <w:rsid w:val="00C731D1"/>
    <w:rsid w:val="00C732ED"/>
    <w:rsid w:val="00C73370"/>
    <w:rsid w:val="00C7357C"/>
    <w:rsid w:val="00C73648"/>
    <w:rsid w:val="00C73A49"/>
    <w:rsid w:val="00C73CE6"/>
    <w:rsid w:val="00C7464F"/>
    <w:rsid w:val="00C748E3"/>
    <w:rsid w:val="00C74BED"/>
    <w:rsid w:val="00C74C61"/>
    <w:rsid w:val="00C74EEF"/>
    <w:rsid w:val="00C7554E"/>
    <w:rsid w:val="00C75683"/>
    <w:rsid w:val="00C76320"/>
    <w:rsid w:val="00C7651D"/>
    <w:rsid w:val="00C766E0"/>
    <w:rsid w:val="00C767F8"/>
    <w:rsid w:val="00C76CA8"/>
    <w:rsid w:val="00C76E8D"/>
    <w:rsid w:val="00C76F76"/>
    <w:rsid w:val="00C771B0"/>
    <w:rsid w:val="00C772AE"/>
    <w:rsid w:val="00C7797D"/>
    <w:rsid w:val="00C77A2A"/>
    <w:rsid w:val="00C77F3F"/>
    <w:rsid w:val="00C77FBD"/>
    <w:rsid w:val="00C800B3"/>
    <w:rsid w:val="00C80165"/>
    <w:rsid w:val="00C8082A"/>
    <w:rsid w:val="00C80C46"/>
    <w:rsid w:val="00C8112C"/>
    <w:rsid w:val="00C81172"/>
    <w:rsid w:val="00C813AC"/>
    <w:rsid w:val="00C813FF"/>
    <w:rsid w:val="00C81709"/>
    <w:rsid w:val="00C81730"/>
    <w:rsid w:val="00C81759"/>
    <w:rsid w:val="00C8183F"/>
    <w:rsid w:val="00C81A8D"/>
    <w:rsid w:val="00C81E83"/>
    <w:rsid w:val="00C823E3"/>
    <w:rsid w:val="00C825B3"/>
    <w:rsid w:val="00C82A06"/>
    <w:rsid w:val="00C82DF4"/>
    <w:rsid w:val="00C82F7C"/>
    <w:rsid w:val="00C8329C"/>
    <w:rsid w:val="00C837D3"/>
    <w:rsid w:val="00C83CCD"/>
    <w:rsid w:val="00C83D05"/>
    <w:rsid w:val="00C83F03"/>
    <w:rsid w:val="00C84172"/>
    <w:rsid w:val="00C84410"/>
    <w:rsid w:val="00C8453A"/>
    <w:rsid w:val="00C84716"/>
    <w:rsid w:val="00C85107"/>
    <w:rsid w:val="00C85355"/>
    <w:rsid w:val="00C8558C"/>
    <w:rsid w:val="00C85DE3"/>
    <w:rsid w:val="00C85E9C"/>
    <w:rsid w:val="00C85F2E"/>
    <w:rsid w:val="00C8603F"/>
    <w:rsid w:val="00C86254"/>
    <w:rsid w:val="00C86281"/>
    <w:rsid w:val="00C866B2"/>
    <w:rsid w:val="00C869FA"/>
    <w:rsid w:val="00C870DF"/>
    <w:rsid w:val="00C8725C"/>
    <w:rsid w:val="00C8741D"/>
    <w:rsid w:val="00C87648"/>
    <w:rsid w:val="00C8781A"/>
    <w:rsid w:val="00C87B36"/>
    <w:rsid w:val="00C90416"/>
    <w:rsid w:val="00C90665"/>
    <w:rsid w:val="00C9078B"/>
    <w:rsid w:val="00C90CEA"/>
    <w:rsid w:val="00C90E28"/>
    <w:rsid w:val="00C9104F"/>
    <w:rsid w:val="00C9123D"/>
    <w:rsid w:val="00C9134C"/>
    <w:rsid w:val="00C9184E"/>
    <w:rsid w:val="00C91926"/>
    <w:rsid w:val="00C92125"/>
    <w:rsid w:val="00C92786"/>
    <w:rsid w:val="00C929C1"/>
    <w:rsid w:val="00C92B27"/>
    <w:rsid w:val="00C9310F"/>
    <w:rsid w:val="00C93141"/>
    <w:rsid w:val="00C93D32"/>
    <w:rsid w:val="00C94BD9"/>
    <w:rsid w:val="00C95136"/>
    <w:rsid w:val="00C95253"/>
    <w:rsid w:val="00C95324"/>
    <w:rsid w:val="00C954EC"/>
    <w:rsid w:val="00C95519"/>
    <w:rsid w:val="00C9570A"/>
    <w:rsid w:val="00C95E23"/>
    <w:rsid w:val="00C96715"/>
    <w:rsid w:val="00C969E9"/>
    <w:rsid w:val="00C96FC2"/>
    <w:rsid w:val="00C97882"/>
    <w:rsid w:val="00C97A31"/>
    <w:rsid w:val="00CA059D"/>
    <w:rsid w:val="00CA0A86"/>
    <w:rsid w:val="00CA0CB0"/>
    <w:rsid w:val="00CA0DC5"/>
    <w:rsid w:val="00CA0EC8"/>
    <w:rsid w:val="00CA22F3"/>
    <w:rsid w:val="00CA236D"/>
    <w:rsid w:val="00CA26D6"/>
    <w:rsid w:val="00CA3BAE"/>
    <w:rsid w:val="00CA420C"/>
    <w:rsid w:val="00CA4984"/>
    <w:rsid w:val="00CA49E1"/>
    <w:rsid w:val="00CA4CF1"/>
    <w:rsid w:val="00CA4CF2"/>
    <w:rsid w:val="00CA4EF0"/>
    <w:rsid w:val="00CA5043"/>
    <w:rsid w:val="00CA5090"/>
    <w:rsid w:val="00CA59BB"/>
    <w:rsid w:val="00CA59C2"/>
    <w:rsid w:val="00CA5DE8"/>
    <w:rsid w:val="00CA6FE6"/>
    <w:rsid w:val="00CA72F8"/>
    <w:rsid w:val="00CA73B2"/>
    <w:rsid w:val="00CA745D"/>
    <w:rsid w:val="00CB054B"/>
    <w:rsid w:val="00CB081D"/>
    <w:rsid w:val="00CB09E2"/>
    <w:rsid w:val="00CB0C13"/>
    <w:rsid w:val="00CB0C30"/>
    <w:rsid w:val="00CB0D8F"/>
    <w:rsid w:val="00CB1571"/>
    <w:rsid w:val="00CB18FA"/>
    <w:rsid w:val="00CB19C0"/>
    <w:rsid w:val="00CB1A9F"/>
    <w:rsid w:val="00CB1DE9"/>
    <w:rsid w:val="00CB1E3A"/>
    <w:rsid w:val="00CB1E68"/>
    <w:rsid w:val="00CB2231"/>
    <w:rsid w:val="00CB24EC"/>
    <w:rsid w:val="00CB26DA"/>
    <w:rsid w:val="00CB2B6F"/>
    <w:rsid w:val="00CB2C11"/>
    <w:rsid w:val="00CB2C40"/>
    <w:rsid w:val="00CB3AF4"/>
    <w:rsid w:val="00CB3BF8"/>
    <w:rsid w:val="00CB42C0"/>
    <w:rsid w:val="00CB45B7"/>
    <w:rsid w:val="00CB4B70"/>
    <w:rsid w:val="00CB5217"/>
    <w:rsid w:val="00CB56B7"/>
    <w:rsid w:val="00CB57EE"/>
    <w:rsid w:val="00CB5C55"/>
    <w:rsid w:val="00CB5DF7"/>
    <w:rsid w:val="00CB5F5D"/>
    <w:rsid w:val="00CB6122"/>
    <w:rsid w:val="00CB65B7"/>
    <w:rsid w:val="00CB6784"/>
    <w:rsid w:val="00CB6DD8"/>
    <w:rsid w:val="00CB6EDC"/>
    <w:rsid w:val="00CB740E"/>
    <w:rsid w:val="00CB76B9"/>
    <w:rsid w:val="00CB79A8"/>
    <w:rsid w:val="00CB7A93"/>
    <w:rsid w:val="00CB7AAB"/>
    <w:rsid w:val="00CB7B1E"/>
    <w:rsid w:val="00CC008A"/>
    <w:rsid w:val="00CC13A6"/>
    <w:rsid w:val="00CC1C10"/>
    <w:rsid w:val="00CC1D26"/>
    <w:rsid w:val="00CC1EC9"/>
    <w:rsid w:val="00CC214B"/>
    <w:rsid w:val="00CC22AD"/>
    <w:rsid w:val="00CC245B"/>
    <w:rsid w:val="00CC2598"/>
    <w:rsid w:val="00CC2C61"/>
    <w:rsid w:val="00CC2CF3"/>
    <w:rsid w:val="00CC2D3A"/>
    <w:rsid w:val="00CC3001"/>
    <w:rsid w:val="00CC3032"/>
    <w:rsid w:val="00CC308F"/>
    <w:rsid w:val="00CC33A0"/>
    <w:rsid w:val="00CC42F0"/>
    <w:rsid w:val="00CC47DD"/>
    <w:rsid w:val="00CC4EB7"/>
    <w:rsid w:val="00CC5613"/>
    <w:rsid w:val="00CC56D1"/>
    <w:rsid w:val="00CC5A95"/>
    <w:rsid w:val="00CC66C1"/>
    <w:rsid w:val="00CC6A86"/>
    <w:rsid w:val="00CC73A7"/>
    <w:rsid w:val="00CC771C"/>
    <w:rsid w:val="00CC7972"/>
    <w:rsid w:val="00CC79A2"/>
    <w:rsid w:val="00CC7B22"/>
    <w:rsid w:val="00CC7D01"/>
    <w:rsid w:val="00CC7D7E"/>
    <w:rsid w:val="00CC7E01"/>
    <w:rsid w:val="00CD0029"/>
    <w:rsid w:val="00CD037E"/>
    <w:rsid w:val="00CD0974"/>
    <w:rsid w:val="00CD0B23"/>
    <w:rsid w:val="00CD0C3C"/>
    <w:rsid w:val="00CD0E2B"/>
    <w:rsid w:val="00CD0ECA"/>
    <w:rsid w:val="00CD1280"/>
    <w:rsid w:val="00CD1B16"/>
    <w:rsid w:val="00CD1EEA"/>
    <w:rsid w:val="00CD23E2"/>
    <w:rsid w:val="00CD2506"/>
    <w:rsid w:val="00CD2698"/>
    <w:rsid w:val="00CD27F5"/>
    <w:rsid w:val="00CD31E5"/>
    <w:rsid w:val="00CD3244"/>
    <w:rsid w:val="00CD3850"/>
    <w:rsid w:val="00CD3C96"/>
    <w:rsid w:val="00CD40F4"/>
    <w:rsid w:val="00CD4368"/>
    <w:rsid w:val="00CD4477"/>
    <w:rsid w:val="00CD4CB7"/>
    <w:rsid w:val="00CD5136"/>
    <w:rsid w:val="00CD5CA5"/>
    <w:rsid w:val="00CD5D68"/>
    <w:rsid w:val="00CD5F97"/>
    <w:rsid w:val="00CD6316"/>
    <w:rsid w:val="00CD6579"/>
    <w:rsid w:val="00CD6666"/>
    <w:rsid w:val="00CD6B62"/>
    <w:rsid w:val="00CD6B8C"/>
    <w:rsid w:val="00CD6BBB"/>
    <w:rsid w:val="00CD6C4B"/>
    <w:rsid w:val="00CD6D24"/>
    <w:rsid w:val="00CD6D9A"/>
    <w:rsid w:val="00CD6FD2"/>
    <w:rsid w:val="00CD73B5"/>
    <w:rsid w:val="00CD7D7A"/>
    <w:rsid w:val="00CE0291"/>
    <w:rsid w:val="00CE0B88"/>
    <w:rsid w:val="00CE0BE2"/>
    <w:rsid w:val="00CE12E8"/>
    <w:rsid w:val="00CE151A"/>
    <w:rsid w:val="00CE1533"/>
    <w:rsid w:val="00CE1ECF"/>
    <w:rsid w:val="00CE1F19"/>
    <w:rsid w:val="00CE23A4"/>
    <w:rsid w:val="00CE25D0"/>
    <w:rsid w:val="00CE2A0F"/>
    <w:rsid w:val="00CE31C0"/>
    <w:rsid w:val="00CE3286"/>
    <w:rsid w:val="00CE3421"/>
    <w:rsid w:val="00CE3659"/>
    <w:rsid w:val="00CE3826"/>
    <w:rsid w:val="00CE3942"/>
    <w:rsid w:val="00CE3A28"/>
    <w:rsid w:val="00CE3B93"/>
    <w:rsid w:val="00CE452F"/>
    <w:rsid w:val="00CE49AB"/>
    <w:rsid w:val="00CE4BB8"/>
    <w:rsid w:val="00CE4D9A"/>
    <w:rsid w:val="00CE5171"/>
    <w:rsid w:val="00CE543D"/>
    <w:rsid w:val="00CE54FD"/>
    <w:rsid w:val="00CE5579"/>
    <w:rsid w:val="00CE6269"/>
    <w:rsid w:val="00CE62CB"/>
    <w:rsid w:val="00CE640A"/>
    <w:rsid w:val="00CE68E6"/>
    <w:rsid w:val="00CE7277"/>
    <w:rsid w:val="00CE7313"/>
    <w:rsid w:val="00CE7ECA"/>
    <w:rsid w:val="00CF0032"/>
    <w:rsid w:val="00CF0096"/>
    <w:rsid w:val="00CF00F1"/>
    <w:rsid w:val="00CF0141"/>
    <w:rsid w:val="00CF0416"/>
    <w:rsid w:val="00CF0462"/>
    <w:rsid w:val="00CF0C13"/>
    <w:rsid w:val="00CF0EF7"/>
    <w:rsid w:val="00CF14F3"/>
    <w:rsid w:val="00CF1EAC"/>
    <w:rsid w:val="00CF2511"/>
    <w:rsid w:val="00CF2692"/>
    <w:rsid w:val="00CF2A91"/>
    <w:rsid w:val="00CF2EFC"/>
    <w:rsid w:val="00CF31A5"/>
    <w:rsid w:val="00CF340C"/>
    <w:rsid w:val="00CF3CB2"/>
    <w:rsid w:val="00CF425A"/>
    <w:rsid w:val="00CF43F4"/>
    <w:rsid w:val="00CF4BD0"/>
    <w:rsid w:val="00CF4FB5"/>
    <w:rsid w:val="00CF53A6"/>
    <w:rsid w:val="00CF54BA"/>
    <w:rsid w:val="00CF6749"/>
    <w:rsid w:val="00CF6BA1"/>
    <w:rsid w:val="00CF6F15"/>
    <w:rsid w:val="00CF7066"/>
    <w:rsid w:val="00CF7505"/>
    <w:rsid w:val="00CF7A72"/>
    <w:rsid w:val="00CF7D8A"/>
    <w:rsid w:val="00CF7D94"/>
    <w:rsid w:val="00CF7EA2"/>
    <w:rsid w:val="00CF7F74"/>
    <w:rsid w:val="00CF7F79"/>
    <w:rsid w:val="00D004ED"/>
    <w:rsid w:val="00D0065C"/>
    <w:rsid w:val="00D00709"/>
    <w:rsid w:val="00D00C88"/>
    <w:rsid w:val="00D01159"/>
    <w:rsid w:val="00D01471"/>
    <w:rsid w:val="00D01E66"/>
    <w:rsid w:val="00D021F0"/>
    <w:rsid w:val="00D02686"/>
    <w:rsid w:val="00D027D9"/>
    <w:rsid w:val="00D02AE4"/>
    <w:rsid w:val="00D02B6F"/>
    <w:rsid w:val="00D02EA1"/>
    <w:rsid w:val="00D02F97"/>
    <w:rsid w:val="00D033C2"/>
    <w:rsid w:val="00D034FE"/>
    <w:rsid w:val="00D037F1"/>
    <w:rsid w:val="00D0426B"/>
    <w:rsid w:val="00D04595"/>
    <w:rsid w:val="00D0498A"/>
    <w:rsid w:val="00D04D93"/>
    <w:rsid w:val="00D050D1"/>
    <w:rsid w:val="00D05257"/>
    <w:rsid w:val="00D0561D"/>
    <w:rsid w:val="00D05A1E"/>
    <w:rsid w:val="00D05AC6"/>
    <w:rsid w:val="00D06300"/>
    <w:rsid w:val="00D06351"/>
    <w:rsid w:val="00D0695D"/>
    <w:rsid w:val="00D06C0D"/>
    <w:rsid w:val="00D0755B"/>
    <w:rsid w:val="00D07573"/>
    <w:rsid w:val="00D076C2"/>
    <w:rsid w:val="00D07996"/>
    <w:rsid w:val="00D07DB6"/>
    <w:rsid w:val="00D10113"/>
    <w:rsid w:val="00D101AA"/>
    <w:rsid w:val="00D1054C"/>
    <w:rsid w:val="00D10D8A"/>
    <w:rsid w:val="00D11253"/>
    <w:rsid w:val="00D11558"/>
    <w:rsid w:val="00D1159D"/>
    <w:rsid w:val="00D1201D"/>
    <w:rsid w:val="00D120CC"/>
    <w:rsid w:val="00D1215F"/>
    <w:rsid w:val="00D122ED"/>
    <w:rsid w:val="00D12852"/>
    <w:rsid w:val="00D1286E"/>
    <w:rsid w:val="00D12A92"/>
    <w:rsid w:val="00D12AA5"/>
    <w:rsid w:val="00D136B6"/>
    <w:rsid w:val="00D13A48"/>
    <w:rsid w:val="00D13C14"/>
    <w:rsid w:val="00D1406E"/>
    <w:rsid w:val="00D14120"/>
    <w:rsid w:val="00D14193"/>
    <w:rsid w:val="00D14759"/>
    <w:rsid w:val="00D14762"/>
    <w:rsid w:val="00D1550E"/>
    <w:rsid w:val="00D1563C"/>
    <w:rsid w:val="00D15817"/>
    <w:rsid w:val="00D158D0"/>
    <w:rsid w:val="00D15B33"/>
    <w:rsid w:val="00D15C89"/>
    <w:rsid w:val="00D161A3"/>
    <w:rsid w:val="00D1678C"/>
    <w:rsid w:val="00D16B8F"/>
    <w:rsid w:val="00D16BA9"/>
    <w:rsid w:val="00D16CCF"/>
    <w:rsid w:val="00D17429"/>
    <w:rsid w:val="00D1788C"/>
    <w:rsid w:val="00D1796B"/>
    <w:rsid w:val="00D17BE2"/>
    <w:rsid w:val="00D20001"/>
    <w:rsid w:val="00D2015E"/>
    <w:rsid w:val="00D202BD"/>
    <w:rsid w:val="00D20342"/>
    <w:rsid w:val="00D205E7"/>
    <w:rsid w:val="00D20A32"/>
    <w:rsid w:val="00D20D22"/>
    <w:rsid w:val="00D212B6"/>
    <w:rsid w:val="00D2162F"/>
    <w:rsid w:val="00D219A9"/>
    <w:rsid w:val="00D21B25"/>
    <w:rsid w:val="00D21D3B"/>
    <w:rsid w:val="00D21E4F"/>
    <w:rsid w:val="00D21F8E"/>
    <w:rsid w:val="00D221F0"/>
    <w:rsid w:val="00D224FF"/>
    <w:rsid w:val="00D22767"/>
    <w:rsid w:val="00D22857"/>
    <w:rsid w:val="00D22CFF"/>
    <w:rsid w:val="00D23CA0"/>
    <w:rsid w:val="00D23CB4"/>
    <w:rsid w:val="00D24372"/>
    <w:rsid w:val="00D244F0"/>
    <w:rsid w:val="00D24754"/>
    <w:rsid w:val="00D24911"/>
    <w:rsid w:val="00D24BED"/>
    <w:rsid w:val="00D252C3"/>
    <w:rsid w:val="00D253EC"/>
    <w:rsid w:val="00D2581F"/>
    <w:rsid w:val="00D25BAA"/>
    <w:rsid w:val="00D25C22"/>
    <w:rsid w:val="00D26897"/>
    <w:rsid w:val="00D26C86"/>
    <w:rsid w:val="00D2725E"/>
    <w:rsid w:val="00D27608"/>
    <w:rsid w:val="00D27C04"/>
    <w:rsid w:val="00D27CDB"/>
    <w:rsid w:val="00D27D7E"/>
    <w:rsid w:val="00D30678"/>
    <w:rsid w:val="00D306AC"/>
    <w:rsid w:val="00D30B00"/>
    <w:rsid w:val="00D30F52"/>
    <w:rsid w:val="00D315A6"/>
    <w:rsid w:val="00D315F4"/>
    <w:rsid w:val="00D316A3"/>
    <w:rsid w:val="00D31705"/>
    <w:rsid w:val="00D31AA0"/>
    <w:rsid w:val="00D327CD"/>
    <w:rsid w:val="00D3288B"/>
    <w:rsid w:val="00D33490"/>
    <w:rsid w:val="00D33916"/>
    <w:rsid w:val="00D33DFA"/>
    <w:rsid w:val="00D33EC3"/>
    <w:rsid w:val="00D3403F"/>
    <w:rsid w:val="00D34216"/>
    <w:rsid w:val="00D34920"/>
    <w:rsid w:val="00D34D14"/>
    <w:rsid w:val="00D356DE"/>
    <w:rsid w:val="00D357AB"/>
    <w:rsid w:val="00D35CF0"/>
    <w:rsid w:val="00D3628C"/>
    <w:rsid w:val="00D36364"/>
    <w:rsid w:val="00D36410"/>
    <w:rsid w:val="00D36518"/>
    <w:rsid w:val="00D3683E"/>
    <w:rsid w:val="00D369CB"/>
    <w:rsid w:val="00D370B6"/>
    <w:rsid w:val="00D37316"/>
    <w:rsid w:val="00D374CA"/>
    <w:rsid w:val="00D3774F"/>
    <w:rsid w:val="00D401BE"/>
    <w:rsid w:val="00D4031B"/>
    <w:rsid w:val="00D403E4"/>
    <w:rsid w:val="00D4051D"/>
    <w:rsid w:val="00D407F3"/>
    <w:rsid w:val="00D408A3"/>
    <w:rsid w:val="00D40909"/>
    <w:rsid w:val="00D4095B"/>
    <w:rsid w:val="00D40C5C"/>
    <w:rsid w:val="00D40FB7"/>
    <w:rsid w:val="00D41086"/>
    <w:rsid w:val="00D415B8"/>
    <w:rsid w:val="00D41636"/>
    <w:rsid w:val="00D4172C"/>
    <w:rsid w:val="00D41821"/>
    <w:rsid w:val="00D4186B"/>
    <w:rsid w:val="00D41BE7"/>
    <w:rsid w:val="00D420F1"/>
    <w:rsid w:val="00D429D7"/>
    <w:rsid w:val="00D42F55"/>
    <w:rsid w:val="00D42FCA"/>
    <w:rsid w:val="00D435E4"/>
    <w:rsid w:val="00D4372B"/>
    <w:rsid w:val="00D43B4D"/>
    <w:rsid w:val="00D43D58"/>
    <w:rsid w:val="00D43D92"/>
    <w:rsid w:val="00D43DD0"/>
    <w:rsid w:val="00D441BC"/>
    <w:rsid w:val="00D441D8"/>
    <w:rsid w:val="00D44582"/>
    <w:rsid w:val="00D44AA7"/>
    <w:rsid w:val="00D44B91"/>
    <w:rsid w:val="00D46080"/>
    <w:rsid w:val="00D46141"/>
    <w:rsid w:val="00D4622E"/>
    <w:rsid w:val="00D462D8"/>
    <w:rsid w:val="00D466B5"/>
    <w:rsid w:val="00D467C2"/>
    <w:rsid w:val="00D46AB0"/>
    <w:rsid w:val="00D46EC1"/>
    <w:rsid w:val="00D4731E"/>
    <w:rsid w:val="00D47441"/>
    <w:rsid w:val="00D47523"/>
    <w:rsid w:val="00D501AE"/>
    <w:rsid w:val="00D50316"/>
    <w:rsid w:val="00D50918"/>
    <w:rsid w:val="00D50AEC"/>
    <w:rsid w:val="00D50BAB"/>
    <w:rsid w:val="00D5207E"/>
    <w:rsid w:val="00D5224A"/>
    <w:rsid w:val="00D524B0"/>
    <w:rsid w:val="00D52BC8"/>
    <w:rsid w:val="00D52C66"/>
    <w:rsid w:val="00D52CC7"/>
    <w:rsid w:val="00D52D40"/>
    <w:rsid w:val="00D52F6A"/>
    <w:rsid w:val="00D5385E"/>
    <w:rsid w:val="00D53BE7"/>
    <w:rsid w:val="00D53C2A"/>
    <w:rsid w:val="00D53CC7"/>
    <w:rsid w:val="00D53F72"/>
    <w:rsid w:val="00D54000"/>
    <w:rsid w:val="00D541B1"/>
    <w:rsid w:val="00D54928"/>
    <w:rsid w:val="00D54DCA"/>
    <w:rsid w:val="00D556FE"/>
    <w:rsid w:val="00D5576D"/>
    <w:rsid w:val="00D56385"/>
    <w:rsid w:val="00D5639A"/>
    <w:rsid w:val="00D563E5"/>
    <w:rsid w:val="00D56E50"/>
    <w:rsid w:val="00D571DB"/>
    <w:rsid w:val="00D57395"/>
    <w:rsid w:val="00D57496"/>
    <w:rsid w:val="00D576C3"/>
    <w:rsid w:val="00D57FBF"/>
    <w:rsid w:val="00D6039F"/>
    <w:rsid w:val="00D60643"/>
    <w:rsid w:val="00D60EA2"/>
    <w:rsid w:val="00D61240"/>
    <w:rsid w:val="00D617A6"/>
    <w:rsid w:val="00D61AEA"/>
    <w:rsid w:val="00D61B2E"/>
    <w:rsid w:val="00D61D52"/>
    <w:rsid w:val="00D61E4C"/>
    <w:rsid w:val="00D625E7"/>
    <w:rsid w:val="00D625FA"/>
    <w:rsid w:val="00D62762"/>
    <w:rsid w:val="00D631A3"/>
    <w:rsid w:val="00D63323"/>
    <w:rsid w:val="00D63649"/>
    <w:rsid w:val="00D63848"/>
    <w:rsid w:val="00D63921"/>
    <w:rsid w:val="00D63A8D"/>
    <w:rsid w:val="00D63AC0"/>
    <w:rsid w:val="00D63CC7"/>
    <w:rsid w:val="00D64451"/>
    <w:rsid w:val="00D644A3"/>
    <w:rsid w:val="00D6461B"/>
    <w:rsid w:val="00D657D6"/>
    <w:rsid w:val="00D65B07"/>
    <w:rsid w:val="00D65BA8"/>
    <w:rsid w:val="00D65C1A"/>
    <w:rsid w:val="00D65C61"/>
    <w:rsid w:val="00D65EF7"/>
    <w:rsid w:val="00D66088"/>
    <w:rsid w:val="00D668A2"/>
    <w:rsid w:val="00D6724F"/>
    <w:rsid w:val="00D6740D"/>
    <w:rsid w:val="00D676F4"/>
    <w:rsid w:val="00D67713"/>
    <w:rsid w:val="00D679CC"/>
    <w:rsid w:val="00D703C1"/>
    <w:rsid w:val="00D7072A"/>
    <w:rsid w:val="00D70FAD"/>
    <w:rsid w:val="00D716C6"/>
    <w:rsid w:val="00D716E2"/>
    <w:rsid w:val="00D71AC1"/>
    <w:rsid w:val="00D7266D"/>
    <w:rsid w:val="00D72CFB"/>
    <w:rsid w:val="00D72E8F"/>
    <w:rsid w:val="00D72EFA"/>
    <w:rsid w:val="00D73282"/>
    <w:rsid w:val="00D7335C"/>
    <w:rsid w:val="00D73B61"/>
    <w:rsid w:val="00D73C43"/>
    <w:rsid w:val="00D73F89"/>
    <w:rsid w:val="00D740D8"/>
    <w:rsid w:val="00D742DB"/>
    <w:rsid w:val="00D748B7"/>
    <w:rsid w:val="00D748D3"/>
    <w:rsid w:val="00D74CCE"/>
    <w:rsid w:val="00D7583F"/>
    <w:rsid w:val="00D75C3F"/>
    <w:rsid w:val="00D760C6"/>
    <w:rsid w:val="00D76C47"/>
    <w:rsid w:val="00D76DCD"/>
    <w:rsid w:val="00D77325"/>
    <w:rsid w:val="00D77968"/>
    <w:rsid w:val="00D8046C"/>
    <w:rsid w:val="00D809FF"/>
    <w:rsid w:val="00D80A25"/>
    <w:rsid w:val="00D80AFD"/>
    <w:rsid w:val="00D814A2"/>
    <w:rsid w:val="00D818DA"/>
    <w:rsid w:val="00D81EF8"/>
    <w:rsid w:val="00D821A2"/>
    <w:rsid w:val="00D8261B"/>
    <w:rsid w:val="00D8272B"/>
    <w:rsid w:val="00D829B3"/>
    <w:rsid w:val="00D82B26"/>
    <w:rsid w:val="00D82DC4"/>
    <w:rsid w:val="00D833DD"/>
    <w:rsid w:val="00D837EE"/>
    <w:rsid w:val="00D83B96"/>
    <w:rsid w:val="00D83CDD"/>
    <w:rsid w:val="00D846C6"/>
    <w:rsid w:val="00D848A7"/>
    <w:rsid w:val="00D85511"/>
    <w:rsid w:val="00D856A2"/>
    <w:rsid w:val="00D858AA"/>
    <w:rsid w:val="00D85B91"/>
    <w:rsid w:val="00D86726"/>
    <w:rsid w:val="00D875B3"/>
    <w:rsid w:val="00D87706"/>
    <w:rsid w:val="00D87738"/>
    <w:rsid w:val="00D879E4"/>
    <w:rsid w:val="00D901A3"/>
    <w:rsid w:val="00D90508"/>
    <w:rsid w:val="00D9063F"/>
    <w:rsid w:val="00D90A5B"/>
    <w:rsid w:val="00D915A4"/>
    <w:rsid w:val="00D915E0"/>
    <w:rsid w:val="00D91C0C"/>
    <w:rsid w:val="00D91F32"/>
    <w:rsid w:val="00D92026"/>
    <w:rsid w:val="00D925E4"/>
    <w:rsid w:val="00D92701"/>
    <w:rsid w:val="00D92FE1"/>
    <w:rsid w:val="00D93043"/>
    <w:rsid w:val="00D9316E"/>
    <w:rsid w:val="00D932BC"/>
    <w:rsid w:val="00D93BF5"/>
    <w:rsid w:val="00D93DF8"/>
    <w:rsid w:val="00D9450C"/>
    <w:rsid w:val="00D94B4D"/>
    <w:rsid w:val="00D94C7A"/>
    <w:rsid w:val="00D95139"/>
    <w:rsid w:val="00D952F9"/>
    <w:rsid w:val="00D9544C"/>
    <w:rsid w:val="00D9556A"/>
    <w:rsid w:val="00D95A34"/>
    <w:rsid w:val="00D95D92"/>
    <w:rsid w:val="00D95D96"/>
    <w:rsid w:val="00D95DF3"/>
    <w:rsid w:val="00D9684C"/>
    <w:rsid w:val="00D96854"/>
    <w:rsid w:val="00D96951"/>
    <w:rsid w:val="00D974A5"/>
    <w:rsid w:val="00D974B2"/>
    <w:rsid w:val="00D974DC"/>
    <w:rsid w:val="00D97578"/>
    <w:rsid w:val="00D9780A"/>
    <w:rsid w:val="00D97DB7"/>
    <w:rsid w:val="00D97EC8"/>
    <w:rsid w:val="00D97FB7"/>
    <w:rsid w:val="00DA0113"/>
    <w:rsid w:val="00DA063D"/>
    <w:rsid w:val="00DA09D5"/>
    <w:rsid w:val="00DA0DD3"/>
    <w:rsid w:val="00DA1180"/>
    <w:rsid w:val="00DA1214"/>
    <w:rsid w:val="00DA1307"/>
    <w:rsid w:val="00DA1595"/>
    <w:rsid w:val="00DA1AD9"/>
    <w:rsid w:val="00DA1B28"/>
    <w:rsid w:val="00DA1B5C"/>
    <w:rsid w:val="00DA1E9E"/>
    <w:rsid w:val="00DA2079"/>
    <w:rsid w:val="00DA2480"/>
    <w:rsid w:val="00DA24C0"/>
    <w:rsid w:val="00DA25F0"/>
    <w:rsid w:val="00DA2C05"/>
    <w:rsid w:val="00DA2CC4"/>
    <w:rsid w:val="00DA2E4A"/>
    <w:rsid w:val="00DA3155"/>
    <w:rsid w:val="00DA32E5"/>
    <w:rsid w:val="00DA333F"/>
    <w:rsid w:val="00DA3D47"/>
    <w:rsid w:val="00DA46D3"/>
    <w:rsid w:val="00DA47FE"/>
    <w:rsid w:val="00DA4BDA"/>
    <w:rsid w:val="00DA4CAC"/>
    <w:rsid w:val="00DA4EE4"/>
    <w:rsid w:val="00DA509D"/>
    <w:rsid w:val="00DA5262"/>
    <w:rsid w:val="00DA530D"/>
    <w:rsid w:val="00DA5472"/>
    <w:rsid w:val="00DA5588"/>
    <w:rsid w:val="00DA5948"/>
    <w:rsid w:val="00DA5BDE"/>
    <w:rsid w:val="00DA602B"/>
    <w:rsid w:val="00DA6275"/>
    <w:rsid w:val="00DA68D2"/>
    <w:rsid w:val="00DA6A5A"/>
    <w:rsid w:val="00DA789C"/>
    <w:rsid w:val="00DA7FB0"/>
    <w:rsid w:val="00DB012A"/>
    <w:rsid w:val="00DB02E6"/>
    <w:rsid w:val="00DB0675"/>
    <w:rsid w:val="00DB078E"/>
    <w:rsid w:val="00DB0E43"/>
    <w:rsid w:val="00DB13D7"/>
    <w:rsid w:val="00DB1491"/>
    <w:rsid w:val="00DB14FC"/>
    <w:rsid w:val="00DB18C8"/>
    <w:rsid w:val="00DB25EB"/>
    <w:rsid w:val="00DB30B8"/>
    <w:rsid w:val="00DB3102"/>
    <w:rsid w:val="00DB33A4"/>
    <w:rsid w:val="00DB33F0"/>
    <w:rsid w:val="00DB3538"/>
    <w:rsid w:val="00DB3585"/>
    <w:rsid w:val="00DB35B5"/>
    <w:rsid w:val="00DB3A58"/>
    <w:rsid w:val="00DB3A7F"/>
    <w:rsid w:val="00DB3E2D"/>
    <w:rsid w:val="00DB49E4"/>
    <w:rsid w:val="00DB4B0D"/>
    <w:rsid w:val="00DB4CE6"/>
    <w:rsid w:val="00DB4DA1"/>
    <w:rsid w:val="00DB5105"/>
    <w:rsid w:val="00DB57B7"/>
    <w:rsid w:val="00DB648A"/>
    <w:rsid w:val="00DB6ABE"/>
    <w:rsid w:val="00DB6E8F"/>
    <w:rsid w:val="00DB6F52"/>
    <w:rsid w:val="00DB793B"/>
    <w:rsid w:val="00DB7F75"/>
    <w:rsid w:val="00DC07BF"/>
    <w:rsid w:val="00DC0958"/>
    <w:rsid w:val="00DC0AD3"/>
    <w:rsid w:val="00DC0B0D"/>
    <w:rsid w:val="00DC1083"/>
    <w:rsid w:val="00DC1118"/>
    <w:rsid w:val="00DC1272"/>
    <w:rsid w:val="00DC13A3"/>
    <w:rsid w:val="00DC1409"/>
    <w:rsid w:val="00DC18DB"/>
    <w:rsid w:val="00DC1B1B"/>
    <w:rsid w:val="00DC1CC6"/>
    <w:rsid w:val="00DC249D"/>
    <w:rsid w:val="00DC24E5"/>
    <w:rsid w:val="00DC24FD"/>
    <w:rsid w:val="00DC25BD"/>
    <w:rsid w:val="00DC2648"/>
    <w:rsid w:val="00DC28AF"/>
    <w:rsid w:val="00DC2961"/>
    <w:rsid w:val="00DC2AD5"/>
    <w:rsid w:val="00DC311A"/>
    <w:rsid w:val="00DC330F"/>
    <w:rsid w:val="00DC3485"/>
    <w:rsid w:val="00DC3716"/>
    <w:rsid w:val="00DC3820"/>
    <w:rsid w:val="00DC3BCF"/>
    <w:rsid w:val="00DC3E3A"/>
    <w:rsid w:val="00DC5198"/>
    <w:rsid w:val="00DC570D"/>
    <w:rsid w:val="00DC5A5B"/>
    <w:rsid w:val="00DC5AB1"/>
    <w:rsid w:val="00DC5F39"/>
    <w:rsid w:val="00DC6086"/>
    <w:rsid w:val="00DC6239"/>
    <w:rsid w:val="00DC62C7"/>
    <w:rsid w:val="00DC68EB"/>
    <w:rsid w:val="00DC7428"/>
    <w:rsid w:val="00DC751D"/>
    <w:rsid w:val="00DC783E"/>
    <w:rsid w:val="00DC7960"/>
    <w:rsid w:val="00DC7D32"/>
    <w:rsid w:val="00DC7F94"/>
    <w:rsid w:val="00DD087F"/>
    <w:rsid w:val="00DD0914"/>
    <w:rsid w:val="00DD0B9F"/>
    <w:rsid w:val="00DD0D93"/>
    <w:rsid w:val="00DD15AE"/>
    <w:rsid w:val="00DD1D6C"/>
    <w:rsid w:val="00DD2245"/>
    <w:rsid w:val="00DD22C4"/>
    <w:rsid w:val="00DD2663"/>
    <w:rsid w:val="00DD26C8"/>
    <w:rsid w:val="00DD2918"/>
    <w:rsid w:val="00DD2985"/>
    <w:rsid w:val="00DD2E70"/>
    <w:rsid w:val="00DD3139"/>
    <w:rsid w:val="00DD31C8"/>
    <w:rsid w:val="00DD3681"/>
    <w:rsid w:val="00DD383A"/>
    <w:rsid w:val="00DD3CF3"/>
    <w:rsid w:val="00DD410E"/>
    <w:rsid w:val="00DD43A5"/>
    <w:rsid w:val="00DD453E"/>
    <w:rsid w:val="00DD45E4"/>
    <w:rsid w:val="00DD4828"/>
    <w:rsid w:val="00DD4FBE"/>
    <w:rsid w:val="00DD5190"/>
    <w:rsid w:val="00DD555F"/>
    <w:rsid w:val="00DD5658"/>
    <w:rsid w:val="00DD56B5"/>
    <w:rsid w:val="00DD5A67"/>
    <w:rsid w:val="00DD5E5E"/>
    <w:rsid w:val="00DD5ED0"/>
    <w:rsid w:val="00DD5EDD"/>
    <w:rsid w:val="00DD6254"/>
    <w:rsid w:val="00DD6664"/>
    <w:rsid w:val="00DD6782"/>
    <w:rsid w:val="00DD67C4"/>
    <w:rsid w:val="00DD7573"/>
    <w:rsid w:val="00DD7EF8"/>
    <w:rsid w:val="00DE00B2"/>
    <w:rsid w:val="00DE01BE"/>
    <w:rsid w:val="00DE026E"/>
    <w:rsid w:val="00DE0475"/>
    <w:rsid w:val="00DE0554"/>
    <w:rsid w:val="00DE05AF"/>
    <w:rsid w:val="00DE0731"/>
    <w:rsid w:val="00DE0870"/>
    <w:rsid w:val="00DE09E2"/>
    <w:rsid w:val="00DE0E26"/>
    <w:rsid w:val="00DE0E65"/>
    <w:rsid w:val="00DE1B72"/>
    <w:rsid w:val="00DE1E75"/>
    <w:rsid w:val="00DE2C5A"/>
    <w:rsid w:val="00DE3147"/>
    <w:rsid w:val="00DE34CA"/>
    <w:rsid w:val="00DE4A5C"/>
    <w:rsid w:val="00DE4D7F"/>
    <w:rsid w:val="00DE520E"/>
    <w:rsid w:val="00DE5581"/>
    <w:rsid w:val="00DE5872"/>
    <w:rsid w:val="00DE5A66"/>
    <w:rsid w:val="00DE5E97"/>
    <w:rsid w:val="00DE6105"/>
    <w:rsid w:val="00DE625D"/>
    <w:rsid w:val="00DE64A0"/>
    <w:rsid w:val="00DE6D39"/>
    <w:rsid w:val="00DE6E8F"/>
    <w:rsid w:val="00DE777E"/>
    <w:rsid w:val="00DE77E9"/>
    <w:rsid w:val="00DE7801"/>
    <w:rsid w:val="00DE7A38"/>
    <w:rsid w:val="00DE7BA6"/>
    <w:rsid w:val="00DE7F5E"/>
    <w:rsid w:val="00DE7F99"/>
    <w:rsid w:val="00DF112A"/>
    <w:rsid w:val="00DF1167"/>
    <w:rsid w:val="00DF1B65"/>
    <w:rsid w:val="00DF1DF0"/>
    <w:rsid w:val="00DF1EC4"/>
    <w:rsid w:val="00DF248A"/>
    <w:rsid w:val="00DF2A17"/>
    <w:rsid w:val="00DF2A37"/>
    <w:rsid w:val="00DF2C91"/>
    <w:rsid w:val="00DF2F56"/>
    <w:rsid w:val="00DF3230"/>
    <w:rsid w:val="00DF3309"/>
    <w:rsid w:val="00DF37C8"/>
    <w:rsid w:val="00DF3871"/>
    <w:rsid w:val="00DF39D1"/>
    <w:rsid w:val="00DF3C7A"/>
    <w:rsid w:val="00DF412D"/>
    <w:rsid w:val="00DF4693"/>
    <w:rsid w:val="00DF4BE0"/>
    <w:rsid w:val="00DF4CAE"/>
    <w:rsid w:val="00DF5186"/>
    <w:rsid w:val="00DF597B"/>
    <w:rsid w:val="00DF5AB2"/>
    <w:rsid w:val="00DF5BDA"/>
    <w:rsid w:val="00DF61C2"/>
    <w:rsid w:val="00DF6411"/>
    <w:rsid w:val="00DF65EC"/>
    <w:rsid w:val="00DF69EE"/>
    <w:rsid w:val="00DF6B7D"/>
    <w:rsid w:val="00DF6C83"/>
    <w:rsid w:val="00DF6FF4"/>
    <w:rsid w:val="00DF7223"/>
    <w:rsid w:val="00DF73F3"/>
    <w:rsid w:val="00DF76BA"/>
    <w:rsid w:val="00DF76E5"/>
    <w:rsid w:val="00DF79A7"/>
    <w:rsid w:val="00DF7B61"/>
    <w:rsid w:val="00DF7E4E"/>
    <w:rsid w:val="00E001C7"/>
    <w:rsid w:val="00E00416"/>
    <w:rsid w:val="00E007D4"/>
    <w:rsid w:val="00E00884"/>
    <w:rsid w:val="00E00ADB"/>
    <w:rsid w:val="00E011F3"/>
    <w:rsid w:val="00E0120F"/>
    <w:rsid w:val="00E01601"/>
    <w:rsid w:val="00E016DC"/>
    <w:rsid w:val="00E01A54"/>
    <w:rsid w:val="00E01C84"/>
    <w:rsid w:val="00E01C9B"/>
    <w:rsid w:val="00E01EB9"/>
    <w:rsid w:val="00E01F03"/>
    <w:rsid w:val="00E022ED"/>
    <w:rsid w:val="00E024DB"/>
    <w:rsid w:val="00E026D1"/>
    <w:rsid w:val="00E02EC9"/>
    <w:rsid w:val="00E02EE3"/>
    <w:rsid w:val="00E03430"/>
    <w:rsid w:val="00E03497"/>
    <w:rsid w:val="00E03B68"/>
    <w:rsid w:val="00E03B77"/>
    <w:rsid w:val="00E048E7"/>
    <w:rsid w:val="00E04C55"/>
    <w:rsid w:val="00E050AB"/>
    <w:rsid w:val="00E055A1"/>
    <w:rsid w:val="00E05934"/>
    <w:rsid w:val="00E05DAC"/>
    <w:rsid w:val="00E05E0F"/>
    <w:rsid w:val="00E05E4E"/>
    <w:rsid w:val="00E06B09"/>
    <w:rsid w:val="00E06C0A"/>
    <w:rsid w:val="00E0727C"/>
    <w:rsid w:val="00E07393"/>
    <w:rsid w:val="00E073B1"/>
    <w:rsid w:val="00E07421"/>
    <w:rsid w:val="00E0774C"/>
    <w:rsid w:val="00E07AB7"/>
    <w:rsid w:val="00E07DB6"/>
    <w:rsid w:val="00E10303"/>
    <w:rsid w:val="00E10508"/>
    <w:rsid w:val="00E10B32"/>
    <w:rsid w:val="00E11103"/>
    <w:rsid w:val="00E112D6"/>
    <w:rsid w:val="00E112E4"/>
    <w:rsid w:val="00E11371"/>
    <w:rsid w:val="00E116DF"/>
    <w:rsid w:val="00E11A05"/>
    <w:rsid w:val="00E11F47"/>
    <w:rsid w:val="00E128AB"/>
    <w:rsid w:val="00E128D2"/>
    <w:rsid w:val="00E12B81"/>
    <w:rsid w:val="00E12DDF"/>
    <w:rsid w:val="00E12E2F"/>
    <w:rsid w:val="00E13163"/>
    <w:rsid w:val="00E13199"/>
    <w:rsid w:val="00E13BE2"/>
    <w:rsid w:val="00E13E4E"/>
    <w:rsid w:val="00E13F7B"/>
    <w:rsid w:val="00E143D4"/>
    <w:rsid w:val="00E1463E"/>
    <w:rsid w:val="00E14991"/>
    <w:rsid w:val="00E14D62"/>
    <w:rsid w:val="00E14F73"/>
    <w:rsid w:val="00E1577A"/>
    <w:rsid w:val="00E15BDA"/>
    <w:rsid w:val="00E15CC4"/>
    <w:rsid w:val="00E15F21"/>
    <w:rsid w:val="00E168B3"/>
    <w:rsid w:val="00E16C74"/>
    <w:rsid w:val="00E17180"/>
    <w:rsid w:val="00E17666"/>
    <w:rsid w:val="00E17A15"/>
    <w:rsid w:val="00E17AF9"/>
    <w:rsid w:val="00E17C40"/>
    <w:rsid w:val="00E2056A"/>
    <w:rsid w:val="00E20986"/>
    <w:rsid w:val="00E20C6A"/>
    <w:rsid w:val="00E20E4C"/>
    <w:rsid w:val="00E21489"/>
    <w:rsid w:val="00E214F0"/>
    <w:rsid w:val="00E2167E"/>
    <w:rsid w:val="00E21890"/>
    <w:rsid w:val="00E2196D"/>
    <w:rsid w:val="00E21E89"/>
    <w:rsid w:val="00E21F02"/>
    <w:rsid w:val="00E22419"/>
    <w:rsid w:val="00E22980"/>
    <w:rsid w:val="00E22A2E"/>
    <w:rsid w:val="00E22A63"/>
    <w:rsid w:val="00E22ADF"/>
    <w:rsid w:val="00E22B0B"/>
    <w:rsid w:val="00E22C8F"/>
    <w:rsid w:val="00E23072"/>
    <w:rsid w:val="00E231DF"/>
    <w:rsid w:val="00E2398F"/>
    <w:rsid w:val="00E23ACD"/>
    <w:rsid w:val="00E23BBB"/>
    <w:rsid w:val="00E23E6E"/>
    <w:rsid w:val="00E24209"/>
    <w:rsid w:val="00E248E6"/>
    <w:rsid w:val="00E24D18"/>
    <w:rsid w:val="00E25040"/>
    <w:rsid w:val="00E251B1"/>
    <w:rsid w:val="00E2534D"/>
    <w:rsid w:val="00E2542A"/>
    <w:rsid w:val="00E2549B"/>
    <w:rsid w:val="00E262EE"/>
    <w:rsid w:val="00E2632D"/>
    <w:rsid w:val="00E26C3D"/>
    <w:rsid w:val="00E26E59"/>
    <w:rsid w:val="00E26F07"/>
    <w:rsid w:val="00E27241"/>
    <w:rsid w:val="00E27426"/>
    <w:rsid w:val="00E2751D"/>
    <w:rsid w:val="00E2764C"/>
    <w:rsid w:val="00E2781C"/>
    <w:rsid w:val="00E27B7D"/>
    <w:rsid w:val="00E27C1A"/>
    <w:rsid w:val="00E27FE8"/>
    <w:rsid w:val="00E304F4"/>
    <w:rsid w:val="00E30B0D"/>
    <w:rsid w:val="00E30D27"/>
    <w:rsid w:val="00E3141B"/>
    <w:rsid w:val="00E31A80"/>
    <w:rsid w:val="00E31AF5"/>
    <w:rsid w:val="00E31B53"/>
    <w:rsid w:val="00E31D6D"/>
    <w:rsid w:val="00E31DA0"/>
    <w:rsid w:val="00E32206"/>
    <w:rsid w:val="00E32394"/>
    <w:rsid w:val="00E32972"/>
    <w:rsid w:val="00E329B0"/>
    <w:rsid w:val="00E32C95"/>
    <w:rsid w:val="00E33795"/>
    <w:rsid w:val="00E33E26"/>
    <w:rsid w:val="00E34220"/>
    <w:rsid w:val="00E345C9"/>
    <w:rsid w:val="00E3495F"/>
    <w:rsid w:val="00E34FE8"/>
    <w:rsid w:val="00E35286"/>
    <w:rsid w:val="00E354E0"/>
    <w:rsid w:val="00E35EAD"/>
    <w:rsid w:val="00E35F62"/>
    <w:rsid w:val="00E35FC5"/>
    <w:rsid w:val="00E36269"/>
    <w:rsid w:val="00E3642D"/>
    <w:rsid w:val="00E3650E"/>
    <w:rsid w:val="00E367D6"/>
    <w:rsid w:val="00E368A0"/>
    <w:rsid w:val="00E36AA6"/>
    <w:rsid w:val="00E371DC"/>
    <w:rsid w:val="00E37370"/>
    <w:rsid w:val="00E373B3"/>
    <w:rsid w:val="00E37415"/>
    <w:rsid w:val="00E37632"/>
    <w:rsid w:val="00E40118"/>
    <w:rsid w:val="00E41339"/>
    <w:rsid w:val="00E4137C"/>
    <w:rsid w:val="00E416D4"/>
    <w:rsid w:val="00E416E8"/>
    <w:rsid w:val="00E41BDA"/>
    <w:rsid w:val="00E423C9"/>
    <w:rsid w:val="00E42698"/>
    <w:rsid w:val="00E429AA"/>
    <w:rsid w:val="00E429B1"/>
    <w:rsid w:val="00E436FC"/>
    <w:rsid w:val="00E43BE2"/>
    <w:rsid w:val="00E43C31"/>
    <w:rsid w:val="00E43CE9"/>
    <w:rsid w:val="00E43EA3"/>
    <w:rsid w:val="00E43F39"/>
    <w:rsid w:val="00E443AD"/>
    <w:rsid w:val="00E44A3F"/>
    <w:rsid w:val="00E44F2C"/>
    <w:rsid w:val="00E45032"/>
    <w:rsid w:val="00E45451"/>
    <w:rsid w:val="00E45472"/>
    <w:rsid w:val="00E4564F"/>
    <w:rsid w:val="00E4566E"/>
    <w:rsid w:val="00E45931"/>
    <w:rsid w:val="00E459BF"/>
    <w:rsid w:val="00E45DCF"/>
    <w:rsid w:val="00E4611E"/>
    <w:rsid w:val="00E469A5"/>
    <w:rsid w:val="00E46E51"/>
    <w:rsid w:val="00E472E5"/>
    <w:rsid w:val="00E47D0A"/>
    <w:rsid w:val="00E47F0F"/>
    <w:rsid w:val="00E50146"/>
    <w:rsid w:val="00E501E7"/>
    <w:rsid w:val="00E50450"/>
    <w:rsid w:val="00E50DF7"/>
    <w:rsid w:val="00E50F06"/>
    <w:rsid w:val="00E50FCD"/>
    <w:rsid w:val="00E51102"/>
    <w:rsid w:val="00E51243"/>
    <w:rsid w:val="00E51263"/>
    <w:rsid w:val="00E513A3"/>
    <w:rsid w:val="00E5181E"/>
    <w:rsid w:val="00E51F16"/>
    <w:rsid w:val="00E51FD3"/>
    <w:rsid w:val="00E521A6"/>
    <w:rsid w:val="00E52837"/>
    <w:rsid w:val="00E52BBC"/>
    <w:rsid w:val="00E52CE1"/>
    <w:rsid w:val="00E52D47"/>
    <w:rsid w:val="00E52E48"/>
    <w:rsid w:val="00E53423"/>
    <w:rsid w:val="00E5383C"/>
    <w:rsid w:val="00E54081"/>
    <w:rsid w:val="00E546CB"/>
    <w:rsid w:val="00E547A3"/>
    <w:rsid w:val="00E54B1B"/>
    <w:rsid w:val="00E54E09"/>
    <w:rsid w:val="00E55638"/>
    <w:rsid w:val="00E55B35"/>
    <w:rsid w:val="00E55B6B"/>
    <w:rsid w:val="00E564A9"/>
    <w:rsid w:val="00E56792"/>
    <w:rsid w:val="00E56F36"/>
    <w:rsid w:val="00E56FC4"/>
    <w:rsid w:val="00E57167"/>
    <w:rsid w:val="00E574DC"/>
    <w:rsid w:val="00E5753D"/>
    <w:rsid w:val="00E57602"/>
    <w:rsid w:val="00E60187"/>
    <w:rsid w:val="00E6081C"/>
    <w:rsid w:val="00E60C5E"/>
    <w:rsid w:val="00E6138D"/>
    <w:rsid w:val="00E61A30"/>
    <w:rsid w:val="00E61CC1"/>
    <w:rsid w:val="00E61E11"/>
    <w:rsid w:val="00E62172"/>
    <w:rsid w:val="00E621F9"/>
    <w:rsid w:val="00E62436"/>
    <w:rsid w:val="00E62F5E"/>
    <w:rsid w:val="00E63211"/>
    <w:rsid w:val="00E6326B"/>
    <w:rsid w:val="00E63402"/>
    <w:rsid w:val="00E63915"/>
    <w:rsid w:val="00E639FB"/>
    <w:rsid w:val="00E63BED"/>
    <w:rsid w:val="00E63CEF"/>
    <w:rsid w:val="00E6416D"/>
    <w:rsid w:val="00E64695"/>
    <w:rsid w:val="00E64711"/>
    <w:rsid w:val="00E64896"/>
    <w:rsid w:val="00E65760"/>
    <w:rsid w:val="00E65BB8"/>
    <w:rsid w:val="00E660C9"/>
    <w:rsid w:val="00E66581"/>
    <w:rsid w:val="00E66908"/>
    <w:rsid w:val="00E66D14"/>
    <w:rsid w:val="00E67099"/>
    <w:rsid w:val="00E673E1"/>
    <w:rsid w:val="00E67420"/>
    <w:rsid w:val="00E676FE"/>
    <w:rsid w:val="00E67972"/>
    <w:rsid w:val="00E70499"/>
    <w:rsid w:val="00E704C4"/>
    <w:rsid w:val="00E70719"/>
    <w:rsid w:val="00E70914"/>
    <w:rsid w:val="00E70E81"/>
    <w:rsid w:val="00E7122D"/>
    <w:rsid w:val="00E713F5"/>
    <w:rsid w:val="00E719C1"/>
    <w:rsid w:val="00E71A82"/>
    <w:rsid w:val="00E71A9C"/>
    <w:rsid w:val="00E7269F"/>
    <w:rsid w:val="00E727C3"/>
    <w:rsid w:val="00E72BB3"/>
    <w:rsid w:val="00E72E67"/>
    <w:rsid w:val="00E7314C"/>
    <w:rsid w:val="00E73377"/>
    <w:rsid w:val="00E7358D"/>
    <w:rsid w:val="00E73A82"/>
    <w:rsid w:val="00E73AF0"/>
    <w:rsid w:val="00E73F37"/>
    <w:rsid w:val="00E74541"/>
    <w:rsid w:val="00E745D5"/>
    <w:rsid w:val="00E74689"/>
    <w:rsid w:val="00E746AC"/>
    <w:rsid w:val="00E7476D"/>
    <w:rsid w:val="00E749B6"/>
    <w:rsid w:val="00E74A01"/>
    <w:rsid w:val="00E753E2"/>
    <w:rsid w:val="00E75489"/>
    <w:rsid w:val="00E75895"/>
    <w:rsid w:val="00E76A13"/>
    <w:rsid w:val="00E76A62"/>
    <w:rsid w:val="00E76F97"/>
    <w:rsid w:val="00E7710B"/>
    <w:rsid w:val="00E771A8"/>
    <w:rsid w:val="00E7739B"/>
    <w:rsid w:val="00E77F72"/>
    <w:rsid w:val="00E77FF8"/>
    <w:rsid w:val="00E80201"/>
    <w:rsid w:val="00E80860"/>
    <w:rsid w:val="00E80EA6"/>
    <w:rsid w:val="00E80F05"/>
    <w:rsid w:val="00E81206"/>
    <w:rsid w:val="00E81542"/>
    <w:rsid w:val="00E81649"/>
    <w:rsid w:val="00E816F3"/>
    <w:rsid w:val="00E8180A"/>
    <w:rsid w:val="00E81CC0"/>
    <w:rsid w:val="00E81CE1"/>
    <w:rsid w:val="00E826F3"/>
    <w:rsid w:val="00E82B13"/>
    <w:rsid w:val="00E82F29"/>
    <w:rsid w:val="00E83E51"/>
    <w:rsid w:val="00E83E7C"/>
    <w:rsid w:val="00E8402D"/>
    <w:rsid w:val="00E84201"/>
    <w:rsid w:val="00E84670"/>
    <w:rsid w:val="00E84BDF"/>
    <w:rsid w:val="00E85786"/>
    <w:rsid w:val="00E8591D"/>
    <w:rsid w:val="00E85A4E"/>
    <w:rsid w:val="00E85E95"/>
    <w:rsid w:val="00E860A2"/>
    <w:rsid w:val="00E86238"/>
    <w:rsid w:val="00E866B4"/>
    <w:rsid w:val="00E86927"/>
    <w:rsid w:val="00E86D38"/>
    <w:rsid w:val="00E876D3"/>
    <w:rsid w:val="00E87970"/>
    <w:rsid w:val="00E87E45"/>
    <w:rsid w:val="00E87EAF"/>
    <w:rsid w:val="00E87F9F"/>
    <w:rsid w:val="00E900F2"/>
    <w:rsid w:val="00E901AC"/>
    <w:rsid w:val="00E906EB"/>
    <w:rsid w:val="00E9098D"/>
    <w:rsid w:val="00E90B41"/>
    <w:rsid w:val="00E90B62"/>
    <w:rsid w:val="00E90C0C"/>
    <w:rsid w:val="00E90CEA"/>
    <w:rsid w:val="00E91382"/>
    <w:rsid w:val="00E9186A"/>
    <w:rsid w:val="00E919AB"/>
    <w:rsid w:val="00E9291F"/>
    <w:rsid w:val="00E9298E"/>
    <w:rsid w:val="00E931FF"/>
    <w:rsid w:val="00E935BA"/>
    <w:rsid w:val="00E9367A"/>
    <w:rsid w:val="00E93A18"/>
    <w:rsid w:val="00E93C2B"/>
    <w:rsid w:val="00E94473"/>
    <w:rsid w:val="00E944F1"/>
    <w:rsid w:val="00E947D8"/>
    <w:rsid w:val="00E9491C"/>
    <w:rsid w:val="00E94B0C"/>
    <w:rsid w:val="00E94C6E"/>
    <w:rsid w:val="00E94F86"/>
    <w:rsid w:val="00E9517F"/>
    <w:rsid w:val="00E9523D"/>
    <w:rsid w:val="00E9571C"/>
    <w:rsid w:val="00E9599D"/>
    <w:rsid w:val="00E95A50"/>
    <w:rsid w:val="00E961A2"/>
    <w:rsid w:val="00E961A5"/>
    <w:rsid w:val="00E96317"/>
    <w:rsid w:val="00E96567"/>
    <w:rsid w:val="00E9683C"/>
    <w:rsid w:val="00E969A7"/>
    <w:rsid w:val="00E97310"/>
    <w:rsid w:val="00E97339"/>
    <w:rsid w:val="00E979FF"/>
    <w:rsid w:val="00EA01F5"/>
    <w:rsid w:val="00EA0324"/>
    <w:rsid w:val="00EA0692"/>
    <w:rsid w:val="00EA0781"/>
    <w:rsid w:val="00EA0BB6"/>
    <w:rsid w:val="00EA0ED6"/>
    <w:rsid w:val="00EA1027"/>
    <w:rsid w:val="00EA10C5"/>
    <w:rsid w:val="00EA114A"/>
    <w:rsid w:val="00EA1152"/>
    <w:rsid w:val="00EA1173"/>
    <w:rsid w:val="00EA145A"/>
    <w:rsid w:val="00EA1829"/>
    <w:rsid w:val="00EA1A5B"/>
    <w:rsid w:val="00EA1C32"/>
    <w:rsid w:val="00EA22EE"/>
    <w:rsid w:val="00EA2629"/>
    <w:rsid w:val="00EA2CFF"/>
    <w:rsid w:val="00EA32C3"/>
    <w:rsid w:val="00EA37D4"/>
    <w:rsid w:val="00EA38FF"/>
    <w:rsid w:val="00EA3916"/>
    <w:rsid w:val="00EA3966"/>
    <w:rsid w:val="00EA3B34"/>
    <w:rsid w:val="00EA3C14"/>
    <w:rsid w:val="00EA44CA"/>
    <w:rsid w:val="00EA4CA7"/>
    <w:rsid w:val="00EA5014"/>
    <w:rsid w:val="00EA51EE"/>
    <w:rsid w:val="00EA5721"/>
    <w:rsid w:val="00EA6074"/>
    <w:rsid w:val="00EA620F"/>
    <w:rsid w:val="00EA68E9"/>
    <w:rsid w:val="00EA6AFD"/>
    <w:rsid w:val="00EA6FAB"/>
    <w:rsid w:val="00EA72C0"/>
    <w:rsid w:val="00EA790F"/>
    <w:rsid w:val="00EA7A36"/>
    <w:rsid w:val="00EA7C47"/>
    <w:rsid w:val="00EB0D83"/>
    <w:rsid w:val="00EB12C0"/>
    <w:rsid w:val="00EB12E9"/>
    <w:rsid w:val="00EB15BE"/>
    <w:rsid w:val="00EB1CCE"/>
    <w:rsid w:val="00EB1E2E"/>
    <w:rsid w:val="00EB24E2"/>
    <w:rsid w:val="00EB289E"/>
    <w:rsid w:val="00EB28E4"/>
    <w:rsid w:val="00EB2A50"/>
    <w:rsid w:val="00EB2FDC"/>
    <w:rsid w:val="00EB323E"/>
    <w:rsid w:val="00EB326F"/>
    <w:rsid w:val="00EB35F9"/>
    <w:rsid w:val="00EB3693"/>
    <w:rsid w:val="00EB3A37"/>
    <w:rsid w:val="00EB3A9E"/>
    <w:rsid w:val="00EB3C8D"/>
    <w:rsid w:val="00EB3CFE"/>
    <w:rsid w:val="00EB4372"/>
    <w:rsid w:val="00EB4C63"/>
    <w:rsid w:val="00EB50B3"/>
    <w:rsid w:val="00EB5A35"/>
    <w:rsid w:val="00EB5FFF"/>
    <w:rsid w:val="00EB619F"/>
    <w:rsid w:val="00EB6340"/>
    <w:rsid w:val="00EB63B7"/>
    <w:rsid w:val="00EB64C1"/>
    <w:rsid w:val="00EB6759"/>
    <w:rsid w:val="00EB6C35"/>
    <w:rsid w:val="00EB7C5C"/>
    <w:rsid w:val="00EB7CD2"/>
    <w:rsid w:val="00EC04F2"/>
    <w:rsid w:val="00EC0F40"/>
    <w:rsid w:val="00EC1626"/>
    <w:rsid w:val="00EC18EE"/>
    <w:rsid w:val="00EC190A"/>
    <w:rsid w:val="00EC218C"/>
    <w:rsid w:val="00EC2216"/>
    <w:rsid w:val="00EC2415"/>
    <w:rsid w:val="00EC2D36"/>
    <w:rsid w:val="00EC31BF"/>
    <w:rsid w:val="00EC36AC"/>
    <w:rsid w:val="00EC3A04"/>
    <w:rsid w:val="00EC3C77"/>
    <w:rsid w:val="00EC3DAB"/>
    <w:rsid w:val="00EC3DCE"/>
    <w:rsid w:val="00EC3EB2"/>
    <w:rsid w:val="00EC3FA4"/>
    <w:rsid w:val="00EC46BB"/>
    <w:rsid w:val="00EC4A00"/>
    <w:rsid w:val="00EC4B6E"/>
    <w:rsid w:val="00EC509F"/>
    <w:rsid w:val="00EC51C6"/>
    <w:rsid w:val="00EC522C"/>
    <w:rsid w:val="00EC53C8"/>
    <w:rsid w:val="00EC5404"/>
    <w:rsid w:val="00EC563B"/>
    <w:rsid w:val="00EC5981"/>
    <w:rsid w:val="00EC5E02"/>
    <w:rsid w:val="00EC6B9C"/>
    <w:rsid w:val="00EC6BED"/>
    <w:rsid w:val="00EC6DB9"/>
    <w:rsid w:val="00EC6EFB"/>
    <w:rsid w:val="00EC71F1"/>
    <w:rsid w:val="00EC7F6D"/>
    <w:rsid w:val="00ED0312"/>
    <w:rsid w:val="00ED05DF"/>
    <w:rsid w:val="00ED07FB"/>
    <w:rsid w:val="00ED08F7"/>
    <w:rsid w:val="00ED13D1"/>
    <w:rsid w:val="00ED16E0"/>
    <w:rsid w:val="00ED1761"/>
    <w:rsid w:val="00ED177B"/>
    <w:rsid w:val="00ED1838"/>
    <w:rsid w:val="00ED1946"/>
    <w:rsid w:val="00ED1992"/>
    <w:rsid w:val="00ED1C26"/>
    <w:rsid w:val="00ED1C96"/>
    <w:rsid w:val="00ED1E9C"/>
    <w:rsid w:val="00ED2874"/>
    <w:rsid w:val="00ED29C7"/>
    <w:rsid w:val="00ED2AF7"/>
    <w:rsid w:val="00ED2B36"/>
    <w:rsid w:val="00ED356E"/>
    <w:rsid w:val="00ED3696"/>
    <w:rsid w:val="00ED4146"/>
    <w:rsid w:val="00ED4290"/>
    <w:rsid w:val="00ED4A08"/>
    <w:rsid w:val="00ED5222"/>
    <w:rsid w:val="00ED57EB"/>
    <w:rsid w:val="00ED5947"/>
    <w:rsid w:val="00ED5961"/>
    <w:rsid w:val="00ED6177"/>
    <w:rsid w:val="00ED631C"/>
    <w:rsid w:val="00ED65F2"/>
    <w:rsid w:val="00ED664B"/>
    <w:rsid w:val="00ED6AF9"/>
    <w:rsid w:val="00ED6F11"/>
    <w:rsid w:val="00ED6F48"/>
    <w:rsid w:val="00ED70D4"/>
    <w:rsid w:val="00ED758E"/>
    <w:rsid w:val="00EE0266"/>
    <w:rsid w:val="00EE0747"/>
    <w:rsid w:val="00EE085D"/>
    <w:rsid w:val="00EE11F6"/>
    <w:rsid w:val="00EE172E"/>
    <w:rsid w:val="00EE17E5"/>
    <w:rsid w:val="00EE1BD9"/>
    <w:rsid w:val="00EE1C1D"/>
    <w:rsid w:val="00EE1E6C"/>
    <w:rsid w:val="00EE1F38"/>
    <w:rsid w:val="00EE216B"/>
    <w:rsid w:val="00EE26D9"/>
    <w:rsid w:val="00EE276E"/>
    <w:rsid w:val="00EE2A03"/>
    <w:rsid w:val="00EE2BA8"/>
    <w:rsid w:val="00EE3098"/>
    <w:rsid w:val="00EE344E"/>
    <w:rsid w:val="00EE3466"/>
    <w:rsid w:val="00EE3525"/>
    <w:rsid w:val="00EE3D1D"/>
    <w:rsid w:val="00EE3DA3"/>
    <w:rsid w:val="00EE3EBF"/>
    <w:rsid w:val="00EE3FE7"/>
    <w:rsid w:val="00EE43CE"/>
    <w:rsid w:val="00EE464B"/>
    <w:rsid w:val="00EE480A"/>
    <w:rsid w:val="00EE4EA1"/>
    <w:rsid w:val="00EE5C6C"/>
    <w:rsid w:val="00EE62D9"/>
    <w:rsid w:val="00EE63A4"/>
    <w:rsid w:val="00EE691F"/>
    <w:rsid w:val="00EE728D"/>
    <w:rsid w:val="00EE7506"/>
    <w:rsid w:val="00EE76C8"/>
    <w:rsid w:val="00EE7CD3"/>
    <w:rsid w:val="00EF0348"/>
    <w:rsid w:val="00EF03EB"/>
    <w:rsid w:val="00EF08DB"/>
    <w:rsid w:val="00EF0F65"/>
    <w:rsid w:val="00EF10FF"/>
    <w:rsid w:val="00EF11D3"/>
    <w:rsid w:val="00EF17D0"/>
    <w:rsid w:val="00EF1927"/>
    <w:rsid w:val="00EF1E70"/>
    <w:rsid w:val="00EF22BE"/>
    <w:rsid w:val="00EF274B"/>
    <w:rsid w:val="00EF29BE"/>
    <w:rsid w:val="00EF2E84"/>
    <w:rsid w:val="00EF340A"/>
    <w:rsid w:val="00EF35EE"/>
    <w:rsid w:val="00EF3F7A"/>
    <w:rsid w:val="00EF40D1"/>
    <w:rsid w:val="00EF421D"/>
    <w:rsid w:val="00EF4652"/>
    <w:rsid w:val="00EF491D"/>
    <w:rsid w:val="00EF4BB2"/>
    <w:rsid w:val="00EF4C12"/>
    <w:rsid w:val="00EF4F2B"/>
    <w:rsid w:val="00EF52BD"/>
    <w:rsid w:val="00EF5B14"/>
    <w:rsid w:val="00EF5D9B"/>
    <w:rsid w:val="00EF5F73"/>
    <w:rsid w:val="00EF6073"/>
    <w:rsid w:val="00EF68F6"/>
    <w:rsid w:val="00EF69EC"/>
    <w:rsid w:val="00EF6DBF"/>
    <w:rsid w:val="00EF6E6E"/>
    <w:rsid w:val="00EF6FF1"/>
    <w:rsid w:val="00EF72E3"/>
    <w:rsid w:val="00EF7CC3"/>
    <w:rsid w:val="00EF7F66"/>
    <w:rsid w:val="00F007BD"/>
    <w:rsid w:val="00F00A48"/>
    <w:rsid w:val="00F00A5B"/>
    <w:rsid w:val="00F015E1"/>
    <w:rsid w:val="00F019B0"/>
    <w:rsid w:val="00F01E39"/>
    <w:rsid w:val="00F020D5"/>
    <w:rsid w:val="00F02542"/>
    <w:rsid w:val="00F02CFD"/>
    <w:rsid w:val="00F02DEF"/>
    <w:rsid w:val="00F03175"/>
    <w:rsid w:val="00F03647"/>
    <w:rsid w:val="00F03717"/>
    <w:rsid w:val="00F03727"/>
    <w:rsid w:val="00F0379C"/>
    <w:rsid w:val="00F037F5"/>
    <w:rsid w:val="00F03982"/>
    <w:rsid w:val="00F039AD"/>
    <w:rsid w:val="00F03A95"/>
    <w:rsid w:val="00F03CD2"/>
    <w:rsid w:val="00F03DBE"/>
    <w:rsid w:val="00F0447D"/>
    <w:rsid w:val="00F04589"/>
    <w:rsid w:val="00F0463A"/>
    <w:rsid w:val="00F048E0"/>
    <w:rsid w:val="00F05311"/>
    <w:rsid w:val="00F053D5"/>
    <w:rsid w:val="00F05513"/>
    <w:rsid w:val="00F059C5"/>
    <w:rsid w:val="00F06435"/>
    <w:rsid w:val="00F064B4"/>
    <w:rsid w:val="00F065BF"/>
    <w:rsid w:val="00F066F1"/>
    <w:rsid w:val="00F06733"/>
    <w:rsid w:val="00F06772"/>
    <w:rsid w:val="00F06826"/>
    <w:rsid w:val="00F06A61"/>
    <w:rsid w:val="00F06C01"/>
    <w:rsid w:val="00F06D32"/>
    <w:rsid w:val="00F07108"/>
    <w:rsid w:val="00F10817"/>
    <w:rsid w:val="00F10989"/>
    <w:rsid w:val="00F10F9F"/>
    <w:rsid w:val="00F113FF"/>
    <w:rsid w:val="00F114BB"/>
    <w:rsid w:val="00F114D8"/>
    <w:rsid w:val="00F11519"/>
    <w:rsid w:val="00F11656"/>
    <w:rsid w:val="00F117FA"/>
    <w:rsid w:val="00F11B0D"/>
    <w:rsid w:val="00F11C22"/>
    <w:rsid w:val="00F120F3"/>
    <w:rsid w:val="00F1212B"/>
    <w:rsid w:val="00F12435"/>
    <w:rsid w:val="00F1284E"/>
    <w:rsid w:val="00F12DC1"/>
    <w:rsid w:val="00F13057"/>
    <w:rsid w:val="00F13112"/>
    <w:rsid w:val="00F13145"/>
    <w:rsid w:val="00F13300"/>
    <w:rsid w:val="00F1332E"/>
    <w:rsid w:val="00F13523"/>
    <w:rsid w:val="00F138B2"/>
    <w:rsid w:val="00F14335"/>
    <w:rsid w:val="00F14F06"/>
    <w:rsid w:val="00F15024"/>
    <w:rsid w:val="00F15316"/>
    <w:rsid w:val="00F15412"/>
    <w:rsid w:val="00F159C6"/>
    <w:rsid w:val="00F15CA8"/>
    <w:rsid w:val="00F15DBF"/>
    <w:rsid w:val="00F1615E"/>
    <w:rsid w:val="00F164D4"/>
    <w:rsid w:val="00F167C6"/>
    <w:rsid w:val="00F16A94"/>
    <w:rsid w:val="00F17013"/>
    <w:rsid w:val="00F173EB"/>
    <w:rsid w:val="00F17595"/>
    <w:rsid w:val="00F17840"/>
    <w:rsid w:val="00F17A85"/>
    <w:rsid w:val="00F20170"/>
    <w:rsid w:val="00F2096F"/>
    <w:rsid w:val="00F20F44"/>
    <w:rsid w:val="00F218DF"/>
    <w:rsid w:val="00F219E4"/>
    <w:rsid w:val="00F21A33"/>
    <w:rsid w:val="00F22002"/>
    <w:rsid w:val="00F22577"/>
    <w:rsid w:val="00F2293D"/>
    <w:rsid w:val="00F22C6E"/>
    <w:rsid w:val="00F22D00"/>
    <w:rsid w:val="00F23316"/>
    <w:rsid w:val="00F23700"/>
    <w:rsid w:val="00F23AB2"/>
    <w:rsid w:val="00F23C69"/>
    <w:rsid w:val="00F24121"/>
    <w:rsid w:val="00F242FA"/>
    <w:rsid w:val="00F25718"/>
    <w:rsid w:val="00F25885"/>
    <w:rsid w:val="00F259D8"/>
    <w:rsid w:val="00F25AA3"/>
    <w:rsid w:val="00F25C68"/>
    <w:rsid w:val="00F25E84"/>
    <w:rsid w:val="00F25E9D"/>
    <w:rsid w:val="00F264DD"/>
    <w:rsid w:val="00F265DA"/>
    <w:rsid w:val="00F2669E"/>
    <w:rsid w:val="00F266AB"/>
    <w:rsid w:val="00F266E6"/>
    <w:rsid w:val="00F26791"/>
    <w:rsid w:val="00F268C7"/>
    <w:rsid w:val="00F269EE"/>
    <w:rsid w:val="00F26FC0"/>
    <w:rsid w:val="00F271BD"/>
    <w:rsid w:val="00F27410"/>
    <w:rsid w:val="00F2776B"/>
    <w:rsid w:val="00F27989"/>
    <w:rsid w:val="00F27C1A"/>
    <w:rsid w:val="00F27E27"/>
    <w:rsid w:val="00F304BA"/>
    <w:rsid w:val="00F30708"/>
    <w:rsid w:val="00F30EE6"/>
    <w:rsid w:val="00F310B2"/>
    <w:rsid w:val="00F31933"/>
    <w:rsid w:val="00F319E5"/>
    <w:rsid w:val="00F31A0D"/>
    <w:rsid w:val="00F31BCF"/>
    <w:rsid w:val="00F32148"/>
    <w:rsid w:val="00F3216B"/>
    <w:rsid w:val="00F324FD"/>
    <w:rsid w:val="00F327CB"/>
    <w:rsid w:val="00F32D26"/>
    <w:rsid w:val="00F33218"/>
    <w:rsid w:val="00F33F2F"/>
    <w:rsid w:val="00F34437"/>
    <w:rsid w:val="00F34CBC"/>
    <w:rsid w:val="00F34CC0"/>
    <w:rsid w:val="00F3507D"/>
    <w:rsid w:val="00F35498"/>
    <w:rsid w:val="00F35E9E"/>
    <w:rsid w:val="00F35FD8"/>
    <w:rsid w:val="00F36145"/>
    <w:rsid w:val="00F36337"/>
    <w:rsid w:val="00F366AD"/>
    <w:rsid w:val="00F36914"/>
    <w:rsid w:val="00F36AD2"/>
    <w:rsid w:val="00F36BBA"/>
    <w:rsid w:val="00F371E7"/>
    <w:rsid w:val="00F37905"/>
    <w:rsid w:val="00F37947"/>
    <w:rsid w:val="00F37997"/>
    <w:rsid w:val="00F40060"/>
    <w:rsid w:val="00F40C39"/>
    <w:rsid w:val="00F40CD7"/>
    <w:rsid w:val="00F40F52"/>
    <w:rsid w:val="00F4129D"/>
    <w:rsid w:val="00F414C5"/>
    <w:rsid w:val="00F4178D"/>
    <w:rsid w:val="00F41F40"/>
    <w:rsid w:val="00F420E5"/>
    <w:rsid w:val="00F424A7"/>
    <w:rsid w:val="00F42A4E"/>
    <w:rsid w:val="00F4342E"/>
    <w:rsid w:val="00F43445"/>
    <w:rsid w:val="00F4386B"/>
    <w:rsid w:val="00F43CC9"/>
    <w:rsid w:val="00F43DA5"/>
    <w:rsid w:val="00F43E5E"/>
    <w:rsid w:val="00F448D2"/>
    <w:rsid w:val="00F44BB6"/>
    <w:rsid w:val="00F45073"/>
    <w:rsid w:val="00F453CD"/>
    <w:rsid w:val="00F45CFF"/>
    <w:rsid w:val="00F46472"/>
    <w:rsid w:val="00F46513"/>
    <w:rsid w:val="00F46662"/>
    <w:rsid w:val="00F47044"/>
    <w:rsid w:val="00F4720D"/>
    <w:rsid w:val="00F47216"/>
    <w:rsid w:val="00F47376"/>
    <w:rsid w:val="00F474E9"/>
    <w:rsid w:val="00F479AC"/>
    <w:rsid w:val="00F479DD"/>
    <w:rsid w:val="00F47CE3"/>
    <w:rsid w:val="00F5024E"/>
    <w:rsid w:val="00F502EC"/>
    <w:rsid w:val="00F5064D"/>
    <w:rsid w:val="00F50E16"/>
    <w:rsid w:val="00F50E6F"/>
    <w:rsid w:val="00F51400"/>
    <w:rsid w:val="00F519DC"/>
    <w:rsid w:val="00F52064"/>
    <w:rsid w:val="00F52232"/>
    <w:rsid w:val="00F5264B"/>
    <w:rsid w:val="00F527B4"/>
    <w:rsid w:val="00F52990"/>
    <w:rsid w:val="00F52A7D"/>
    <w:rsid w:val="00F52C56"/>
    <w:rsid w:val="00F53AE5"/>
    <w:rsid w:val="00F53E5C"/>
    <w:rsid w:val="00F5405E"/>
    <w:rsid w:val="00F54194"/>
    <w:rsid w:val="00F546C9"/>
    <w:rsid w:val="00F54982"/>
    <w:rsid w:val="00F54A53"/>
    <w:rsid w:val="00F54BE6"/>
    <w:rsid w:val="00F5518C"/>
    <w:rsid w:val="00F5527F"/>
    <w:rsid w:val="00F552F6"/>
    <w:rsid w:val="00F552FA"/>
    <w:rsid w:val="00F55F24"/>
    <w:rsid w:val="00F56196"/>
    <w:rsid w:val="00F56606"/>
    <w:rsid w:val="00F56882"/>
    <w:rsid w:val="00F568F1"/>
    <w:rsid w:val="00F57298"/>
    <w:rsid w:val="00F572A9"/>
    <w:rsid w:val="00F57615"/>
    <w:rsid w:val="00F57650"/>
    <w:rsid w:val="00F5791F"/>
    <w:rsid w:val="00F6007E"/>
    <w:rsid w:val="00F6022E"/>
    <w:rsid w:val="00F602B0"/>
    <w:rsid w:val="00F6038A"/>
    <w:rsid w:val="00F6056B"/>
    <w:rsid w:val="00F6074F"/>
    <w:rsid w:val="00F6075D"/>
    <w:rsid w:val="00F60783"/>
    <w:rsid w:val="00F60ABD"/>
    <w:rsid w:val="00F60C70"/>
    <w:rsid w:val="00F60EB8"/>
    <w:rsid w:val="00F60F1B"/>
    <w:rsid w:val="00F60F2E"/>
    <w:rsid w:val="00F613FA"/>
    <w:rsid w:val="00F61A5D"/>
    <w:rsid w:val="00F61AE7"/>
    <w:rsid w:val="00F61E0E"/>
    <w:rsid w:val="00F61F76"/>
    <w:rsid w:val="00F6201B"/>
    <w:rsid w:val="00F62068"/>
    <w:rsid w:val="00F62343"/>
    <w:rsid w:val="00F62374"/>
    <w:rsid w:val="00F6238D"/>
    <w:rsid w:val="00F6277E"/>
    <w:rsid w:val="00F628F5"/>
    <w:rsid w:val="00F62A72"/>
    <w:rsid w:val="00F62AE3"/>
    <w:rsid w:val="00F62D78"/>
    <w:rsid w:val="00F62EDA"/>
    <w:rsid w:val="00F63413"/>
    <w:rsid w:val="00F6380C"/>
    <w:rsid w:val="00F63C4D"/>
    <w:rsid w:val="00F63FC3"/>
    <w:rsid w:val="00F643AE"/>
    <w:rsid w:val="00F643D4"/>
    <w:rsid w:val="00F644F3"/>
    <w:rsid w:val="00F645A5"/>
    <w:rsid w:val="00F6461F"/>
    <w:rsid w:val="00F64E86"/>
    <w:rsid w:val="00F6564B"/>
    <w:rsid w:val="00F6564D"/>
    <w:rsid w:val="00F65653"/>
    <w:rsid w:val="00F6597C"/>
    <w:rsid w:val="00F65D8F"/>
    <w:rsid w:val="00F66199"/>
    <w:rsid w:val="00F661E4"/>
    <w:rsid w:val="00F66244"/>
    <w:rsid w:val="00F66367"/>
    <w:rsid w:val="00F66792"/>
    <w:rsid w:val="00F66895"/>
    <w:rsid w:val="00F66DE6"/>
    <w:rsid w:val="00F66E8F"/>
    <w:rsid w:val="00F66EBA"/>
    <w:rsid w:val="00F670C0"/>
    <w:rsid w:val="00F679D8"/>
    <w:rsid w:val="00F70252"/>
    <w:rsid w:val="00F7026D"/>
    <w:rsid w:val="00F705ED"/>
    <w:rsid w:val="00F70873"/>
    <w:rsid w:val="00F709BA"/>
    <w:rsid w:val="00F70AE0"/>
    <w:rsid w:val="00F70D8C"/>
    <w:rsid w:val="00F70DF1"/>
    <w:rsid w:val="00F71183"/>
    <w:rsid w:val="00F71B86"/>
    <w:rsid w:val="00F71BE9"/>
    <w:rsid w:val="00F71D90"/>
    <w:rsid w:val="00F71F28"/>
    <w:rsid w:val="00F71F7E"/>
    <w:rsid w:val="00F721A3"/>
    <w:rsid w:val="00F725F3"/>
    <w:rsid w:val="00F7265F"/>
    <w:rsid w:val="00F72BD3"/>
    <w:rsid w:val="00F72F2A"/>
    <w:rsid w:val="00F73267"/>
    <w:rsid w:val="00F73829"/>
    <w:rsid w:val="00F73A12"/>
    <w:rsid w:val="00F73F99"/>
    <w:rsid w:val="00F73FC6"/>
    <w:rsid w:val="00F74DE1"/>
    <w:rsid w:val="00F74DEB"/>
    <w:rsid w:val="00F74EEC"/>
    <w:rsid w:val="00F75405"/>
    <w:rsid w:val="00F7548A"/>
    <w:rsid w:val="00F75B48"/>
    <w:rsid w:val="00F75E70"/>
    <w:rsid w:val="00F75EEF"/>
    <w:rsid w:val="00F76012"/>
    <w:rsid w:val="00F76627"/>
    <w:rsid w:val="00F76A13"/>
    <w:rsid w:val="00F76A32"/>
    <w:rsid w:val="00F76AD3"/>
    <w:rsid w:val="00F76D7C"/>
    <w:rsid w:val="00F76D9A"/>
    <w:rsid w:val="00F77471"/>
    <w:rsid w:val="00F7766C"/>
    <w:rsid w:val="00F77756"/>
    <w:rsid w:val="00F7786D"/>
    <w:rsid w:val="00F77900"/>
    <w:rsid w:val="00F77954"/>
    <w:rsid w:val="00F7795E"/>
    <w:rsid w:val="00F77D1B"/>
    <w:rsid w:val="00F80478"/>
    <w:rsid w:val="00F80532"/>
    <w:rsid w:val="00F806DA"/>
    <w:rsid w:val="00F80737"/>
    <w:rsid w:val="00F80E83"/>
    <w:rsid w:val="00F80ED3"/>
    <w:rsid w:val="00F8157B"/>
    <w:rsid w:val="00F819D1"/>
    <w:rsid w:val="00F81BBA"/>
    <w:rsid w:val="00F81C96"/>
    <w:rsid w:val="00F81DC1"/>
    <w:rsid w:val="00F82285"/>
    <w:rsid w:val="00F82A6B"/>
    <w:rsid w:val="00F82B42"/>
    <w:rsid w:val="00F8343C"/>
    <w:rsid w:val="00F835D4"/>
    <w:rsid w:val="00F8367C"/>
    <w:rsid w:val="00F83942"/>
    <w:rsid w:val="00F83D52"/>
    <w:rsid w:val="00F83E2C"/>
    <w:rsid w:val="00F83EB2"/>
    <w:rsid w:val="00F84745"/>
    <w:rsid w:val="00F84D0B"/>
    <w:rsid w:val="00F84DFF"/>
    <w:rsid w:val="00F84FED"/>
    <w:rsid w:val="00F85B1D"/>
    <w:rsid w:val="00F85D24"/>
    <w:rsid w:val="00F866B4"/>
    <w:rsid w:val="00F86726"/>
    <w:rsid w:val="00F86B22"/>
    <w:rsid w:val="00F87247"/>
    <w:rsid w:val="00F875E2"/>
    <w:rsid w:val="00F876C4"/>
    <w:rsid w:val="00F877F0"/>
    <w:rsid w:val="00F87AF6"/>
    <w:rsid w:val="00F87BB4"/>
    <w:rsid w:val="00F9068C"/>
    <w:rsid w:val="00F9072C"/>
    <w:rsid w:val="00F907A1"/>
    <w:rsid w:val="00F909B2"/>
    <w:rsid w:val="00F90B14"/>
    <w:rsid w:val="00F90DB1"/>
    <w:rsid w:val="00F910AC"/>
    <w:rsid w:val="00F91413"/>
    <w:rsid w:val="00F91873"/>
    <w:rsid w:val="00F91BD2"/>
    <w:rsid w:val="00F9208A"/>
    <w:rsid w:val="00F92138"/>
    <w:rsid w:val="00F92139"/>
    <w:rsid w:val="00F92596"/>
    <w:rsid w:val="00F92619"/>
    <w:rsid w:val="00F935D9"/>
    <w:rsid w:val="00F935DA"/>
    <w:rsid w:val="00F938D0"/>
    <w:rsid w:val="00F93A23"/>
    <w:rsid w:val="00F93A6A"/>
    <w:rsid w:val="00F93FEA"/>
    <w:rsid w:val="00F940C2"/>
    <w:rsid w:val="00F941B7"/>
    <w:rsid w:val="00F9439F"/>
    <w:rsid w:val="00F94805"/>
    <w:rsid w:val="00F9516F"/>
    <w:rsid w:val="00F95C4E"/>
    <w:rsid w:val="00F960B0"/>
    <w:rsid w:val="00F960B4"/>
    <w:rsid w:val="00F96464"/>
    <w:rsid w:val="00F96486"/>
    <w:rsid w:val="00F96871"/>
    <w:rsid w:val="00F96B79"/>
    <w:rsid w:val="00F96CD0"/>
    <w:rsid w:val="00F96D5B"/>
    <w:rsid w:val="00F97278"/>
    <w:rsid w:val="00F974BD"/>
    <w:rsid w:val="00F975D7"/>
    <w:rsid w:val="00F9785B"/>
    <w:rsid w:val="00FA0FBB"/>
    <w:rsid w:val="00FA1351"/>
    <w:rsid w:val="00FA1458"/>
    <w:rsid w:val="00FA1A3E"/>
    <w:rsid w:val="00FA1B66"/>
    <w:rsid w:val="00FA1BCE"/>
    <w:rsid w:val="00FA21D2"/>
    <w:rsid w:val="00FA22B7"/>
    <w:rsid w:val="00FA23E3"/>
    <w:rsid w:val="00FA2C2F"/>
    <w:rsid w:val="00FA2E13"/>
    <w:rsid w:val="00FA30D4"/>
    <w:rsid w:val="00FA3669"/>
    <w:rsid w:val="00FA3746"/>
    <w:rsid w:val="00FA37B7"/>
    <w:rsid w:val="00FA3B71"/>
    <w:rsid w:val="00FA3C37"/>
    <w:rsid w:val="00FA3C6C"/>
    <w:rsid w:val="00FA4999"/>
    <w:rsid w:val="00FA49A7"/>
    <w:rsid w:val="00FA4AA0"/>
    <w:rsid w:val="00FA54DE"/>
    <w:rsid w:val="00FA587B"/>
    <w:rsid w:val="00FA5C09"/>
    <w:rsid w:val="00FA63FE"/>
    <w:rsid w:val="00FA647E"/>
    <w:rsid w:val="00FA6579"/>
    <w:rsid w:val="00FA6892"/>
    <w:rsid w:val="00FA7DF2"/>
    <w:rsid w:val="00FB0199"/>
    <w:rsid w:val="00FB020B"/>
    <w:rsid w:val="00FB04B8"/>
    <w:rsid w:val="00FB0708"/>
    <w:rsid w:val="00FB0BCE"/>
    <w:rsid w:val="00FB0E98"/>
    <w:rsid w:val="00FB14CF"/>
    <w:rsid w:val="00FB1624"/>
    <w:rsid w:val="00FB1B9F"/>
    <w:rsid w:val="00FB1C92"/>
    <w:rsid w:val="00FB1CD6"/>
    <w:rsid w:val="00FB1E2C"/>
    <w:rsid w:val="00FB1FAE"/>
    <w:rsid w:val="00FB20E0"/>
    <w:rsid w:val="00FB2405"/>
    <w:rsid w:val="00FB2890"/>
    <w:rsid w:val="00FB2BA0"/>
    <w:rsid w:val="00FB2D3D"/>
    <w:rsid w:val="00FB2D8C"/>
    <w:rsid w:val="00FB3624"/>
    <w:rsid w:val="00FB36D8"/>
    <w:rsid w:val="00FB36FE"/>
    <w:rsid w:val="00FB37BE"/>
    <w:rsid w:val="00FB37C3"/>
    <w:rsid w:val="00FB3932"/>
    <w:rsid w:val="00FB3B0C"/>
    <w:rsid w:val="00FB3B7F"/>
    <w:rsid w:val="00FB3C05"/>
    <w:rsid w:val="00FB4443"/>
    <w:rsid w:val="00FB44AB"/>
    <w:rsid w:val="00FB47E9"/>
    <w:rsid w:val="00FB4B5C"/>
    <w:rsid w:val="00FB4D33"/>
    <w:rsid w:val="00FB50F8"/>
    <w:rsid w:val="00FB513F"/>
    <w:rsid w:val="00FB5232"/>
    <w:rsid w:val="00FB563C"/>
    <w:rsid w:val="00FB5B54"/>
    <w:rsid w:val="00FB5C35"/>
    <w:rsid w:val="00FB5E4B"/>
    <w:rsid w:val="00FB6102"/>
    <w:rsid w:val="00FB63CF"/>
    <w:rsid w:val="00FB71E3"/>
    <w:rsid w:val="00FC093A"/>
    <w:rsid w:val="00FC0942"/>
    <w:rsid w:val="00FC0A96"/>
    <w:rsid w:val="00FC17B1"/>
    <w:rsid w:val="00FC17D3"/>
    <w:rsid w:val="00FC1892"/>
    <w:rsid w:val="00FC1DBB"/>
    <w:rsid w:val="00FC21BC"/>
    <w:rsid w:val="00FC224F"/>
    <w:rsid w:val="00FC2469"/>
    <w:rsid w:val="00FC2CE8"/>
    <w:rsid w:val="00FC3079"/>
    <w:rsid w:val="00FC3085"/>
    <w:rsid w:val="00FC3135"/>
    <w:rsid w:val="00FC3330"/>
    <w:rsid w:val="00FC343C"/>
    <w:rsid w:val="00FC380D"/>
    <w:rsid w:val="00FC3860"/>
    <w:rsid w:val="00FC38A5"/>
    <w:rsid w:val="00FC40DE"/>
    <w:rsid w:val="00FC42A3"/>
    <w:rsid w:val="00FC4979"/>
    <w:rsid w:val="00FC4AFE"/>
    <w:rsid w:val="00FC504F"/>
    <w:rsid w:val="00FC5489"/>
    <w:rsid w:val="00FC6ABF"/>
    <w:rsid w:val="00FC70D5"/>
    <w:rsid w:val="00FC753A"/>
    <w:rsid w:val="00FC7B7E"/>
    <w:rsid w:val="00FD0237"/>
    <w:rsid w:val="00FD050E"/>
    <w:rsid w:val="00FD0577"/>
    <w:rsid w:val="00FD0DDD"/>
    <w:rsid w:val="00FD0FE8"/>
    <w:rsid w:val="00FD14EA"/>
    <w:rsid w:val="00FD169E"/>
    <w:rsid w:val="00FD2CEF"/>
    <w:rsid w:val="00FD2D65"/>
    <w:rsid w:val="00FD3038"/>
    <w:rsid w:val="00FD331F"/>
    <w:rsid w:val="00FD3559"/>
    <w:rsid w:val="00FD3587"/>
    <w:rsid w:val="00FD35B1"/>
    <w:rsid w:val="00FD415E"/>
    <w:rsid w:val="00FD44EA"/>
    <w:rsid w:val="00FD4775"/>
    <w:rsid w:val="00FD477B"/>
    <w:rsid w:val="00FD4872"/>
    <w:rsid w:val="00FD496D"/>
    <w:rsid w:val="00FD4D32"/>
    <w:rsid w:val="00FD5128"/>
    <w:rsid w:val="00FD51B7"/>
    <w:rsid w:val="00FD57D0"/>
    <w:rsid w:val="00FD5974"/>
    <w:rsid w:val="00FD5B10"/>
    <w:rsid w:val="00FD5BC8"/>
    <w:rsid w:val="00FD5D0B"/>
    <w:rsid w:val="00FD5DF3"/>
    <w:rsid w:val="00FD5E15"/>
    <w:rsid w:val="00FD5F79"/>
    <w:rsid w:val="00FD60D6"/>
    <w:rsid w:val="00FD610E"/>
    <w:rsid w:val="00FD63F3"/>
    <w:rsid w:val="00FD675A"/>
    <w:rsid w:val="00FD694D"/>
    <w:rsid w:val="00FD6AD7"/>
    <w:rsid w:val="00FD6EF7"/>
    <w:rsid w:val="00FD71F9"/>
    <w:rsid w:val="00FD73EC"/>
    <w:rsid w:val="00FD78B1"/>
    <w:rsid w:val="00FD7C18"/>
    <w:rsid w:val="00FD7E92"/>
    <w:rsid w:val="00FD7E9C"/>
    <w:rsid w:val="00FD7F39"/>
    <w:rsid w:val="00FE0530"/>
    <w:rsid w:val="00FE054D"/>
    <w:rsid w:val="00FE0B8F"/>
    <w:rsid w:val="00FE0DB1"/>
    <w:rsid w:val="00FE0EB3"/>
    <w:rsid w:val="00FE0EFD"/>
    <w:rsid w:val="00FE10E6"/>
    <w:rsid w:val="00FE18D1"/>
    <w:rsid w:val="00FE1E66"/>
    <w:rsid w:val="00FE202A"/>
    <w:rsid w:val="00FE3263"/>
    <w:rsid w:val="00FE3444"/>
    <w:rsid w:val="00FE3ABB"/>
    <w:rsid w:val="00FE3D78"/>
    <w:rsid w:val="00FE3F50"/>
    <w:rsid w:val="00FE406D"/>
    <w:rsid w:val="00FE4242"/>
    <w:rsid w:val="00FE465D"/>
    <w:rsid w:val="00FE4790"/>
    <w:rsid w:val="00FE48DE"/>
    <w:rsid w:val="00FE4A98"/>
    <w:rsid w:val="00FE4ABC"/>
    <w:rsid w:val="00FE4DFF"/>
    <w:rsid w:val="00FE4F12"/>
    <w:rsid w:val="00FE4F76"/>
    <w:rsid w:val="00FE4F7B"/>
    <w:rsid w:val="00FE50A8"/>
    <w:rsid w:val="00FE52AC"/>
    <w:rsid w:val="00FE533E"/>
    <w:rsid w:val="00FE5516"/>
    <w:rsid w:val="00FE570B"/>
    <w:rsid w:val="00FE5A7B"/>
    <w:rsid w:val="00FE61B3"/>
    <w:rsid w:val="00FE625F"/>
    <w:rsid w:val="00FE6566"/>
    <w:rsid w:val="00FE6854"/>
    <w:rsid w:val="00FE6E51"/>
    <w:rsid w:val="00FE7163"/>
    <w:rsid w:val="00FE72BE"/>
    <w:rsid w:val="00FE771C"/>
    <w:rsid w:val="00FE788B"/>
    <w:rsid w:val="00FE7A44"/>
    <w:rsid w:val="00FE7B6B"/>
    <w:rsid w:val="00FE7D6A"/>
    <w:rsid w:val="00FE7DB4"/>
    <w:rsid w:val="00FF004B"/>
    <w:rsid w:val="00FF052D"/>
    <w:rsid w:val="00FF07BC"/>
    <w:rsid w:val="00FF0A4D"/>
    <w:rsid w:val="00FF165D"/>
    <w:rsid w:val="00FF1AC4"/>
    <w:rsid w:val="00FF2133"/>
    <w:rsid w:val="00FF25A4"/>
    <w:rsid w:val="00FF2625"/>
    <w:rsid w:val="00FF286F"/>
    <w:rsid w:val="00FF2960"/>
    <w:rsid w:val="00FF2DE3"/>
    <w:rsid w:val="00FF31EF"/>
    <w:rsid w:val="00FF32D7"/>
    <w:rsid w:val="00FF358A"/>
    <w:rsid w:val="00FF40F5"/>
    <w:rsid w:val="00FF43D8"/>
    <w:rsid w:val="00FF441A"/>
    <w:rsid w:val="00FF4EEB"/>
    <w:rsid w:val="00FF54A0"/>
    <w:rsid w:val="00FF5B6A"/>
    <w:rsid w:val="00FF5F39"/>
    <w:rsid w:val="00FF5FEF"/>
    <w:rsid w:val="00FF6162"/>
    <w:rsid w:val="00FF68E5"/>
    <w:rsid w:val="00FF68F1"/>
    <w:rsid w:val="00FF6AD6"/>
    <w:rsid w:val="00FF6ADB"/>
    <w:rsid w:val="00FF6D13"/>
    <w:rsid w:val="00FF6EE4"/>
    <w:rsid w:val="00FF6F4B"/>
    <w:rsid w:val="00FF7438"/>
    <w:rsid w:val="00FF764B"/>
    <w:rsid w:val="00FF7F16"/>
    <w:rsid w:val="010026B6"/>
    <w:rsid w:val="012E07FF"/>
    <w:rsid w:val="014050FA"/>
    <w:rsid w:val="015121B9"/>
    <w:rsid w:val="01724A4B"/>
    <w:rsid w:val="017442FA"/>
    <w:rsid w:val="018036AD"/>
    <w:rsid w:val="01A72AE0"/>
    <w:rsid w:val="01E43D4E"/>
    <w:rsid w:val="01E56199"/>
    <w:rsid w:val="026F0E0C"/>
    <w:rsid w:val="02941F7E"/>
    <w:rsid w:val="02AA4958"/>
    <w:rsid w:val="02D41F53"/>
    <w:rsid w:val="03091F82"/>
    <w:rsid w:val="031B2E05"/>
    <w:rsid w:val="031F61EE"/>
    <w:rsid w:val="033923C2"/>
    <w:rsid w:val="03991DF6"/>
    <w:rsid w:val="039F3FEC"/>
    <w:rsid w:val="03A60EAB"/>
    <w:rsid w:val="03F50FD8"/>
    <w:rsid w:val="04073338"/>
    <w:rsid w:val="042F4E90"/>
    <w:rsid w:val="0430275A"/>
    <w:rsid w:val="044F1236"/>
    <w:rsid w:val="044F3DBF"/>
    <w:rsid w:val="04844854"/>
    <w:rsid w:val="04993FFA"/>
    <w:rsid w:val="049B394B"/>
    <w:rsid w:val="04AE208F"/>
    <w:rsid w:val="04B36E06"/>
    <w:rsid w:val="04CB2483"/>
    <w:rsid w:val="04D32532"/>
    <w:rsid w:val="04DF1571"/>
    <w:rsid w:val="04E574A2"/>
    <w:rsid w:val="04FA5554"/>
    <w:rsid w:val="055638AE"/>
    <w:rsid w:val="056570A1"/>
    <w:rsid w:val="057D6145"/>
    <w:rsid w:val="058F280E"/>
    <w:rsid w:val="05EA5FAC"/>
    <w:rsid w:val="06040E46"/>
    <w:rsid w:val="061100C1"/>
    <w:rsid w:val="061D784D"/>
    <w:rsid w:val="06231E4A"/>
    <w:rsid w:val="06333065"/>
    <w:rsid w:val="065C5052"/>
    <w:rsid w:val="06607931"/>
    <w:rsid w:val="0675440F"/>
    <w:rsid w:val="069C25B8"/>
    <w:rsid w:val="06E46C11"/>
    <w:rsid w:val="06E813F8"/>
    <w:rsid w:val="0709496C"/>
    <w:rsid w:val="070F3307"/>
    <w:rsid w:val="071E6821"/>
    <w:rsid w:val="07390466"/>
    <w:rsid w:val="074671A8"/>
    <w:rsid w:val="075B2ECD"/>
    <w:rsid w:val="07870660"/>
    <w:rsid w:val="079658E8"/>
    <w:rsid w:val="079B4BD5"/>
    <w:rsid w:val="079C0E9D"/>
    <w:rsid w:val="07A27B7D"/>
    <w:rsid w:val="07E17967"/>
    <w:rsid w:val="081E6592"/>
    <w:rsid w:val="08376F06"/>
    <w:rsid w:val="085670DA"/>
    <w:rsid w:val="08567FA3"/>
    <w:rsid w:val="08600EA9"/>
    <w:rsid w:val="0864151C"/>
    <w:rsid w:val="088A4EE2"/>
    <w:rsid w:val="088A7F5F"/>
    <w:rsid w:val="08D52927"/>
    <w:rsid w:val="08E44526"/>
    <w:rsid w:val="09167A44"/>
    <w:rsid w:val="09543565"/>
    <w:rsid w:val="09547248"/>
    <w:rsid w:val="09F76546"/>
    <w:rsid w:val="0A19185C"/>
    <w:rsid w:val="0A2E7C4B"/>
    <w:rsid w:val="0A5B6DF9"/>
    <w:rsid w:val="0A681DC6"/>
    <w:rsid w:val="0A85556E"/>
    <w:rsid w:val="0A967038"/>
    <w:rsid w:val="0AAF6746"/>
    <w:rsid w:val="0AB10684"/>
    <w:rsid w:val="0ADB7B00"/>
    <w:rsid w:val="0AFD0854"/>
    <w:rsid w:val="0B177B62"/>
    <w:rsid w:val="0B4229FF"/>
    <w:rsid w:val="0B45780A"/>
    <w:rsid w:val="0B7E35CA"/>
    <w:rsid w:val="0B852F0B"/>
    <w:rsid w:val="0BA809E5"/>
    <w:rsid w:val="0BAA4DC1"/>
    <w:rsid w:val="0BB33069"/>
    <w:rsid w:val="0BB874B0"/>
    <w:rsid w:val="0BC14BEF"/>
    <w:rsid w:val="0C087514"/>
    <w:rsid w:val="0C4116EF"/>
    <w:rsid w:val="0C621C94"/>
    <w:rsid w:val="0C6D2D08"/>
    <w:rsid w:val="0C7E51FF"/>
    <w:rsid w:val="0C8F11C5"/>
    <w:rsid w:val="0CB14435"/>
    <w:rsid w:val="0CC44DA3"/>
    <w:rsid w:val="0CC46410"/>
    <w:rsid w:val="0CCD68A8"/>
    <w:rsid w:val="0CE46B4A"/>
    <w:rsid w:val="0D0954ED"/>
    <w:rsid w:val="0D103128"/>
    <w:rsid w:val="0D2359B5"/>
    <w:rsid w:val="0D3611A8"/>
    <w:rsid w:val="0D6B6659"/>
    <w:rsid w:val="0D760141"/>
    <w:rsid w:val="0D7C5618"/>
    <w:rsid w:val="0DC41E7C"/>
    <w:rsid w:val="0DEA01F9"/>
    <w:rsid w:val="0E1E0880"/>
    <w:rsid w:val="0E382A2F"/>
    <w:rsid w:val="0E5D50B6"/>
    <w:rsid w:val="0E711764"/>
    <w:rsid w:val="0E7E2155"/>
    <w:rsid w:val="0E8C6A6A"/>
    <w:rsid w:val="0E982005"/>
    <w:rsid w:val="0EA70AFA"/>
    <w:rsid w:val="0EC15D74"/>
    <w:rsid w:val="0EC63E70"/>
    <w:rsid w:val="0ECF4153"/>
    <w:rsid w:val="0EE20AF5"/>
    <w:rsid w:val="0F784EFC"/>
    <w:rsid w:val="0F962515"/>
    <w:rsid w:val="0FA16CF7"/>
    <w:rsid w:val="0FCC36B2"/>
    <w:rsid w:val="0FD33D73"/>
    <w:rsid w:val="0FD4429D"/>
    <w:rsid w:val="0FD70ECE"/>
    <w:rsid w:val="0FFF7484"/>
    <w:rsid w:val="100471F3"/>
    <w:rsid w:val="1010681F"/>
    <w:rsid w:val="10526B26"/>
    <w:rsid w:val="10734541"/>
    <w:rsid w:val="10741E80"/>
    <w:rsid w:val="10E01064"/>
    <w:rsid w:val="11956403"/>
    <w:rsid w:val="11E96A0A"/>
    <w:rsid w:val="11F62F69"/>
    <w:rsid w:val="1212232E"/>
    <w:rsid w:val="12380A2C"/>
    <w:rsid w:val="12811792"/>
    <w:rsid w:val="12901FDE"/>
    <w:rsid w:val="129E1F80"/>
    <w:rsid w:val="133712DD"/>
    <w:rsid w:val="1367303F"/>
    <w:rsid w:val="136B65ED"/>
    <w:rsid w:val="13712B92"/>
    <w:rsid w:val="13722A1C"/>
    <w:rsid w:val="13F02215"/>
    <w:rsid w:val="14113A6E"/>
    <w:rsid w:val="141B6BD5"/>
    <w:rsid w:val="1431344B"/>
    <w:rsid w:val="145757D1"/>
    <w:rsid w:val="147D0838"/>
    <w:rsid w:val="14861F22"/>
    <w:rsid w:val="14962614"/>
    <w:rsid w:val="14CD4FA4"/>
    <w:rsid w:val="14E45A99"/>
    <w:rsid w:val="150A3BE5"/>
    <w:rsid w:val="152534E9"/>
    <w:rsid w:val="15440A91"/>
    <w:rsid w:val="155A3E55"/>
    <w:rsid w:val="156103A0"/>
    <w:rsid w:val="15675CB3"/>
    <w:rsid w:val="157D1577"/>
    <w:rsid w:val="158E5347"/>
    <w:rsid w:val="15997A33"/>
    <w:rsid w:val="15AA7E92"/>
    <w:rsid w:val="15B85841"/>
    <w:rsid w:val="15D05756"/>
    <w:rsid w:val="15E92769"/>
    <w:rsid w:val="16391C6D"/>
    <w:rsid w:val="16463207"/>
    <w:rsid w:val="169763DD"/>
    <w:rsid w:val="16CC522C"/>
    <w:rsid w:val="16D76A65"/>
    <w:rsid w:val="171C2F07"/>
    <w:rsid w:val="17232576"/>
    <w:rsid w:val="17E303AE"/>
    <w:rsid w:val="17EB59A3"/>
    <w:rsid w:val="18606A26"/>
    <w:rsid w:val="1864257A"/>
    <w:rsid w:val="186C56F3"/>
    <w:rsid w:val="188E255F"/>
    <w:rsid w:val="189B5DD8"/>
    <w:rsid w:val="18EE0096"/>
    <w:rsid w:val="19230EC0"/>
    <w:rsid w:val="19257F5C"/>
    <w:rsid w:val="192F4389"/>
    <w:rsid w:val="194F0DA5"/>
    <w:rsid w:val="19960E5F"/>
    <w:rsid w:val="19C1584F"/>
    <w:rsid w:val="19EE47F1"/>
    <w:rsid w:val="1A057D8D"/>
    <w:rsid w:val="1A1B4EBB"/>
    <w:rsid w:val="1A4064C6"/>
    <w:rsid w:val="1A861CF3"/>
    <w:rsid w:val="1AC11DD4"/>
    <w:rsid w:val="1ACA01F9"/>
    <w:rsid w:val="1AF661C9"/>
    <w:rsid w:val="1B025787"/>
    <w:rsid w:val="1B4A3CA9"/>
    <w:rsid w:val="1B586C8A"/>
    <w:rsid w:val="1BBB171B"/>
    <w:rsid w:val="1BCB7FB4"/>
    <w:rsid w:val="1BDF3E5D"/>
    <w:rsid w:val="1BE13B2C"/>
    <w:rsid w:val="1C1E6EE4"/>
    <w:rsid w:val="1C1F1542"/>
    <w:rsid w:val="1C317573"/>
    <w:rsid w:val="1C4526C3"/>
    <w:rsid w:val="1C613EAF"/>
    <w:rsid w:val="1C6414A6"/>
    <w:rsid w:val="1C8A33D2"/>
    <w:rsid w:val="1C931680"/>
    <w:rsid w:val="1C9A4AC9"/>
    <w:rsid w:val="1CA30198"/>
    <w:rsid w:val="1CA556C4"/>
    <w:rsid w:val="1CB57848"/>
    <w:rsid w:val="1CDA4DAD"/>
    <w:rsid w:val="1CE73368"/>
    <w:rsid w:val="1D1A6B33"/>
    <w:rsid w:val="1D344C11"/>
    <w:rsid w:val="1E136AF6"/>
    <w:rsid w:val="1E1528F2"/>
    <w:rsid w:val="1E792032"/>
    <w:rsid w:val="1EBA5321"/>
    <w:rsid w:val="1EDA5187"/>
    <w:rsid w:val="1EE763A7"/>
    <w:rsid w:val="1EFB06CC"/>
    <w:rsid w:val="1EFE3ECC"/>
    <w:rsid w:val="1F1911E5"/>
    <w:rsid w:val="1FA10617"/>
    <w:rsid w:val="1FA63241"/>
    <w:rsid w:val="1FD534DE"/>
    <w:rsid w:val="1FF57F9D"/>
    <w:rsid w:val="200E0C66"/>
    <w:rsid w:val="201E16C8"/>
    <w:rsid w:val="20245034"/>
    <w:rsid w:val="20A239B8"/>
    <w:rsid w:val="20C718F8"/>
    <w:rsid w:val="20F568DE"/>
    <w:rsid w:val="210310F2"/>
    <w:rsid w:val="213B2764"/>
    <w:rsid w:val="216B610A"/>
    <w:rsid w:val="216B6728"/>
    <w:rsid w:val="21895C81"/>
    <w:rsid w:val="21B56B27"/>
    <w:rsid w:val="21CB7CE4"/>
    <w:rsid w:val="21D63670"/>
    <w:rsid w:val="21D818E3"/>
    <w:rsid w:val="220A4192"/>
    <w:rsid w:val="22114FB8"/>
    <w:rsid w:val="221970C4"/>
    <w:rsid w:val="222B2E62"/>
    <w:rsid w:val="22475D6F"/>
    <w:rsid w:val="22617B2B"/>
    <w:rsid w:val="226B26F6"/>
    <w:rsid w:val="229879F0"/>
    <w:rsid w:val="22E466E4"/>
    <w:rsid w:val="22FB5817"/>
    <w:rsid w:val="23522BC8"/>
    <w:rsid w:val="23AA58D5"/>
    <w:rsid w:val="23BB3D61"/>
    <w:rsid w:val="23E44BC8"/>
    <w:rsid w:val="23FB6E2D"/>
    <w:rsid w:val="240370EB"/>
    <w:rsid w:val="24050DDB"/>
    <w:rsid w:val="240B055C"/>
    <w:rsid w:val="24202BB1"/>
    <w:rsid w:val="243409DD"/>
    <w:rsid w:val="24520744"/>
    <w:rsid w:val="24B919DE"/>
    <w:rsid w:val="24BF1F78"/>
    <w:rsid w:val="24C0338F"/>
    <w:rsid w:val="24C20FED"/>
    <w:rsid w:val="24C30F4B"/>
    <w:rsid w:val="25434A18"/>
    <w:rsid w:val="25476667"/>
    <w:rsid w:val="25882650"/>
    <w:rsid w:val="25A42208"/>
    <w:rsid w:val="25CD0D54"/>
    <w:rsid w:val="25DE7E50"/>
    <w:rsid w:val="25E42054"/>
    <w:rsid w:val="26667680"/>
    <w:rsid w:val="266C3639"/>
    <w:rsid w:val="26803261"/>
    <w:rsid w:val="26A44E81"/>
    <w:rsid w:val="26F52C1E"/>
    <w:rsid w:val="271B35CC"/>
    <w:rsid w:val="271B5592"/>
    <w:rsid w:val="27406E6F"/>
    <w:rsid w:val="274303DD"/>
    <w:rsid w:val="275B07D3"/>
    <w:rsid w:val="277F0EAE"/>
    <w:rsid w:val="27A23FDD"/>
    <w:rsid w:val="27A34A03"/>
    <w:rsid w:val="27AC6781"/>
    <w:rsid w:val="27C10D74"/>
    <w:rsid w:val="27CE30FC"/>
    <w:rsid w:val="27FD1E16"/>
    <w:rsid w:val="28417CFF"/>
    <w:rsid w:val="287D20C5"/>
    <w:rsid w:val="28B1784B"/>
    <w:rsid w:val="28BA16FD"/>
    <w:rsid w:val="28BC24C5"/>
    <w:rsid w:val="29194CBB"/>
    <w:rsid w:val="294E7F8A"/>
    <w:rsid w:val="29512130"/>
    <w:rsid w:val="298515B1"/>
    <w:rsid w:val="29A82D5A"/>
    <w:rsid w:val="29FB51B7"/>
    <w:rsid w:val="29FF6A30"/>
    <w:rsid w:val="2A285D4C"/>
    <w:rsid w:val="2A650ECF"/>
    <w:rsid w:val="2A9D4B49"/>
    <w:rsid w:val="2AEA2B0D"/>
    <w:rsid w:val="2B0043CD"/>
    <w:rsid w:val="2B0C7864"/>
    <w:rsid w:val="2B156A91"/>
    <w:rsid w:val="2B1C699C"/>
    <w:rsid w:val="2B2D4A4E"/>
    <w:rsid w:val="2B411367"/>
    <w:rsid w:val="2B4955A8"/>
    <w:rsid w:val="2B4D2F44"/>
    <w:rsid w:val="2B512E32"/>
    <w:rsid w:val="2B871ADA"/>
    <w:rsid w:val="2BB807BB"/>
    <w:rsid w:val="2BCB7E65"/>
    <w:rsid w:val="2BD3698C"/>
    <w:rsid w:val="2BF11AF4"/>
    <w:rsid w:val="2C027C88"/>
    <w:rsid w:val="2C282795"/>
    <w:rsid w:val="2C2F1149"/>
    <w:rsid w:val="2C3C3C81"/>
    <w:rsid w:val="2CC75FC7"/>
    <w:rsid w:val="2CE14A35"/>
    <w:rsid w:val="2D185E69"/>
    <w:rsid w:val="2D186A0B"/>
    <w:rsid w:val="2D38610C"/>
    <w:rsid w:val="2D3D21D3"/>
    <w:rsid w:val="2D4C1ECA"/>
    <w:rsid w:val="2D981A9F"/>
    <w:rsid w:val="2E2B5E45"/>
    <w:rsid w:val="2E6C38FC"/>
    <w:rsid w:val="2E797982"/>
    <w:rsid w:val="2E8157DC"/>
    <w:rsid w:val="2E8452CD"/>
    <w:rsid w:val="2EAE5EA6"/>
    <w:rsid w:val="2EC25B1B"/>
    <w:rsid w:val="2ECF534B"/>
    <w:rsid w:val="2EF0544A"/>
    <w:rsid w:val="2EFA1F8A"/>
    <w:rsid w:val="2F1464AB"/>
    <w:rsid w:val="2F575A27"/>
    <w:rsid w:val="2F7418A6"/>
    <w:rsid w:val="2F7A13A5"/>
    <w:rsid w:val="2F7D7A1E"/>
    <w:rsid w:val="2F887EE9"/>
    <w:rsid w:val="2FB356DB"/>
    <w:rsid w:val="2FE9188B"/>
    <w:rsid w:val="2FEA5603"/>
    <w:rsid w:val="30430488"/>
    <w:rsid w:val="30515E47"/>
    <w:rsid w:val="305D23CE"/>
    <w:rsid w:val="306354AE"/>
    <w:rsid w:val="307B2DD5"/>
    <w:rsid w:val="30DE77C6"/>
    <w:rsid w:val="31144860"/>
    <w:rsid w:val="31494B52"/>
    <w:rsid w:val="31566339"/>
    <w:rsid w:val="31A82DB4"/>
    <w:rsid w:val="31C61758"/>
    <w:rsid w:val="32460A89"/>
    <w:rsid w:val="328C64CB"/>
    <w:rsid w:val="32C23C57"/>
    <w:rsid w:val="32CF5540"/>
    <w:rsid w:val="32DB21CB"/>
    <w:rsid w:val="32F43417"/>
    <w:rsid w:val="32FB59E7"/>
    <w:rsid w:val="33484B1B"/>
    <w:rsid w:val="33612653"/>
    <w:rsid w:val="33646061"/>
    <w:rsid w:val="33712786"/>
    <w:rsid w:val="33A2429B"/>
    <w:rsid w:val="33BB58B7"/>
    <w:rsid w:val="340A589B"/>
    <w:rsid w:val="342C311B"/>
    <w:rsid w:val="343706EB"/>
    <w:rsid w:val="34803687"/>
    <w:rsid w:val="34963664"/>
    <w:rsid w:val="34E1376B"/>
    <w:rsid w:val="34ED3756"/>
    <w:rsid w:val="352B0108"/>
    <w:rsid w:val="354731D6"/>
    <w:rsid w:val="35801486"/>
    <w:rsid w:val="359B2D3D"/>
    <w:rsid w:val="35A16764"/>
    <w:rsid w:val="35B244CD"/>
    <w:rsid w:val="35BE598E"/>
    <w:rsid w:val="36173F7A"/>
    <w:rsid w:val="361E6BE0"/>
    <w:rsid w:val="3627797A"/>
    <w:rsid w:val="37232339"/>
    <w:rsid w:val="37591880"/>
    <w:rsid w:val="37C15966"/>
    <w:rsid w:val="37D24618"/>
    <w:rsid w:val="37DC33C2"/>
    <w:rsid w:val="37F76723"/>
    <w:rsid w:val="381D6CD7"/>
    <w:rsid w:val="386261A9"/>
    <w:rsid w:val="38992064"/>
    <w:rsid w:val="389A1AA8"/>
    <w:rsid w:val="38A02D03"/>
    <w:rsid w:val="38EF7596"/>
    <w:rsid w:val="39222A93"/>
    <w:rsid w:val="3923266C"/>
    <w:rsid w:val="39653C7D"/>
    <w:rsid w:val="39916AF0"/>
    <w:rsid w:val="39963C3F"/>
    <w:rsid w:val="399E6532"/>
    <w:rsid w:val="39AF5177"/>
    <w:rsid w:val="39BA46DC"/>
    <w:rsid w:val="39EC0B83"/>
    <w:rsid w:val="3A281202"/>
    <w:rsid w:val="3A4854D0"/>
    <w:rsid w:val="3A6F7581"/>
    <w:rsid w:val="3A747340"/>
    <w:rsid w:val="3A8E78F6"/>
    <w:rsid w:val="3AAC3BE1"/>
    <w:rsid w:val="3AC21656"/>
    <w:rsid w:val="3AD13D09"/>
    <w:rsid w:val="3B251346"/>
    <w:rsid w:val="3B3A2A8C"/>
    <w:rsid w:val="3B3F7C86"/>
    <w:rsid w:val="3B5419A7"/>
    <w:rsid w:val="3B6C1C10"/>
    <w:rsid w:val="3B80141A"/>
    <w:rsid w:val="3BB349D7"/>
    <w:rsid w:val="3BE3534E"/>
    <w:rsid w:val="3BE825D2"/>
    <w:rsid w:val="3C242646"/>
    <w:rsid w:val="3C9A782E"/>
    <w:rsid w:val="3CBF476F"/>
    <w:rsid w:val="3CE24074"/>
    <w:rsid w:val="3CEC29BB"/>
    <w:rsid w:val="3D6C6E61"/>
    <w:rsid w:val="3D6F5EFE"/>
    <w:rsid w:val="3DCC3D3A"/>
    <w:rsid w:val="3DCF6982"/>
    <w:rsid w:val="3DD83CBD"/>
    <w:rsid w:val="3E0D306C"/>
    <w:rsid w:val="3E13127E"/>
    <w:rsid w:val="3E371A14"/>
    <w:rsid w:val="3E4C7D90"/>
    <w:rsid w:val="3E6A76EE"/>
    <w:rsid w:val="3E795CB5"/>
    <w:rsid w:val="3E7A3BDA"/>
    <w:rsid w:val="3EE04BCE"/>
    <w:rsid w:val="3F01224D"/>
    <w:rsid w:val="3F2E1EF3"/>
    <w:rsid w:val="3F37488D"/>
    <w:rsid w:val="3F684DDA"/>
    <w:rsid w:val="3F9C7CB3"/>
    <w:rsid w:val="3F9F3F9D"/>
    <w:rsid w:val="3FB750D6"/>
    <w:rsid w:val="3FC2389D"/>
    <w:rsid w:val="3FEE25A6"/>
    <w:rsid w:val="402473AF"/>
    <w:rsid w:val="40357966"/>
    <w:rsid w:val="40390864"/>
    <w:rsid w:val="4063700D"/>
    <w:rsid w:val="406A4F1B"/>
    <w:rsid w:val="406F1E8A"/>
    <w:rsid w:val="40703D60"/>
    <w:rsid w:val="40766159"/>
    <w:rsid w:val="40A25050"/>
    <w:rsid w:val="41077785"/>
    <w:rsid w:val="410B5475"/>
    <w:rsid w:val="411D243D"/>
    <w:rsid w:val="4134048C"/>
    <w:rsid w:val="4142694C"/>
    <w:rsid w:val="416C5D1E"/>
    <w:rsid w:val="41AC6393"/>
    <w:rsid w:val="41C43F94"/>
    <w:rsid w:val="41D56DAE"/>
    <w:rsid w:val="41DB2B74"/>
    <w:rsid w:val="425953F7"/>
    <w:rsid w:val="427705EA"/>
    <w:rsid w:val="428B71EF"/>
    <w:rsid w:val="42DE2DA6"/>
    <w:rsid w:val="42E20E29"/>
    <w:rsid w:val="431D4FBD"/>
    <w:rsid w:val="43427939"/>
    <w:rsid w:val="435611FD"/>
    <w:rsid w:val="436F6B52"/>
    <w:rsid w:val="437A2A05"/>
    <w:rsid w:val="439C326E"/>
    <w:rsid w:val="43CF7169"/>
    <w:rsid w:val="43EC517E"/>
    <w:rsid w:val="43FF1241"/>
    <w:rsid w:val="44251FDE"/>
    <w:rsid w:val="442904EB"/>
    <w:rsid w:val="44341136"/>
    <w:rsid w:val="446217B4"/>
    <w:rsid w:val="44784FAF"/>
    <w:rsid w:val="44CD03B6"/>
    <w:rsid w:val="451A5BEB"/>
    <w:rsid w:val="4535009F"/>
    <w:rsid w:val="45447DAA"/>
    <w:rsid w:val="455221A5"/>
    <w:rsid w:val="45BA6DAD"/>
    <w:rsid w:val="45F34E7B"/>
    <w:rsid w:val="46230622"/>
    <w:rsid w:val="463E3356"/>
    <w:rsid w:val="46641C54"/>
    <w:rsid w:val="46673CD6"/>
    <w:rsid w:val="46A328BE"/>
    <w:rsid w:val="46C2653A"/>
    <w:rsid w:val="46D2515B"/>
    <w:rsid w:val="46E14D97"/>
    <w:rsid w:val="46FF5CAF"/>
    <w:rsid w:val="470469B2"/>
    <w:rsid w:val="4708647A"/>
    <w:rsid w:val="471B0B48"/>
    <w:rsid w:val="471E1622"/>
    <w:rsid w:val="4755115C"/>
    <w:rsid w:val="47874E32"/>
    <w:rsid w:val="47A65E5C"/>
    <w:rsid w:val="47C5378A"/>
    <w:rsid w:val="47D44777"/>
    <w:rsid w:val="47FE7A46"/>
    <w:rsid w:val="481C49F5"/>
    <w:rsid w:val="48281DF6"/>
    <w:rsid w:val="487A2897"/>
    <w:rsid w:val="487E3620"/>
    <w:rsid w:val="48895562"/>
    <w:rsid w:val="48923A11"/>
    <w:rsid w:val="48B81751"/>
    <w:rsid w:val="492B4506"/>
    <w:rsid w:val="494F5429"/>
    <w:rsid w:val="499A72FA"/>
    <w:rsid w:val="49F711C9"/>
    <w:rsid w:val="4A387870"/>
    <w:rsid w:val="4A59707B"/>
    <w:rsid w:val="4A766712"/>
    <w:rsid w:val="4A783429"/>
    <w:rsid w:val="4A7B7873"/>
    <w:rsid w:val="4A856A0C"/>
    <w:rsid w:val="4A8A736F"/>
    <w:rsid w:val="4A9C1C83"/>
    <w:rsid w:val="4AAE16C7"/>
    <w:rsid w:val="4ABE26EC"/>
    <w:rsid w:val="4AFF1B0B"/>
    <w:rsid w:val="4B1B26BD"/>
    <w:rsid w:val="4B391F09"/>
    <w:rsid w:val="4B441EF4"/>
    <w:rsid w:val="4BA36CEE"/>
    <w:rsid w:val="4BA613FF"/>
    <w:rsid w:val="4BA66EA4"/>
    <w:rsid w:val="4BEA750E"/>
    <w:rsid w:val="4BEF03D7"/>
    <w:rsid w:val="4C0549F6"/>
    <w:rsid w:val="4C15710C"/>
    <w:rsid w:val="4C1B7596"/>
    <w:rsid w:val="4C3C3795"/>
    <w:rsid w:val="4C486D03"/>
    <w:rsid w:val="4C5C7B80"/>
    <w:rsid w:val="4C6F7406"/>
    <w:rsid w:val="4C7B7D5B"/>
    <w:rsid w:val="4CAB7D95"/>
    <w:rsid w:val="4CB66B41"/>
    <w:rsid w:val="4CD47CB4"/>
    <w:rsid w:val="4CD908B9"/>
    <w:rsid w:val="4CE222BA"/>
    <w:rsid w:val="4CF62724"/>
    <w:rsid w:val="4CFF571B"/>
    <w:rsid w:val="4D056806"/>
    <w:rsid w:val="4D576E65"/>
    <w:rsid w:val="4D9A502A"/>
    <w:rsid w:val="4DA339E0"/>
    <w:rsid w:val="4DA812EC"/>
    <w:rsid w:val="4DCD6482"/>
    <w:rsid w:val="4DD17574"/>
    <w:rsid w:val="4DD248AF"/>
    <w:rsid w:val="4DE87D0E"/>
    <w:rsid w:val="4E49406C"/>
    <w:rsid w:val="4E4A5168"/>
    <w:rsid w:val="4E4C7DCB"/>
    <w:rsid w:val="4E6C1A85"/>
    <w:rsid w:val="4E87660F"/>
    <w:rsid w:val="4EAF095C"/>
    <w:rsid w:val="4ED04720"/>
    <w:rsid w:val="4EEC684A"/>
    <w:rsid w:val="4EFC2A8F"/>
    <w:rsid w:val="4F0E3860"/>
    <w:rsid w:val="4F1B745D"/>
    <w:rsid w:val="4F286314"/>
    <w:rsid w:val="4F336442"/>
    <w:rsid w:val="4F602D94"/>
    <w:rsid w:val="4F70405B"/>
    <w:rsid w:val="4F86413E"/>
    <w:rsid w:val="4F9F6DF7"/>
    <w:rsid w:val="4FA66F86"/>
    <w:rsid w:val="4FC16E2C"/>
    <w:rsid w:val="50076249"/>
    <w:rsid w:val="501A2F43"/>
    <w:rsid w:val="503863D2"/>
    <w:rsid w:val="503D056A"/>
    <w:rsid w:val="506D40EC"/>
    <w:rsid w:val="508178A6"/>
    <w:rsid w:val="509B7BAD"/>
    <w:rsid w:val="50BB4D39"/>
    <w:rsid w:val="50BE2F16"/>
    <w:rsid w:val="510F05CE"/>
    <w:rsid w:val="51871DE5"/>
    <w:rsid w:val="518A1B7D"/>
    <w:rsid w:val="51AA02F7"/>
    <w:rsid w:val="51B73DF0"/>
    <w:rsid w:val="51F03EC7"/>
    <w:rsid w:val="52065E75"/>
    <w:rsid w:val="520A5BE6"/>
    <w:rsid w:val="520C2D5F"/>
    <w:rsid w:val="522C737C"/>
    <w:rsid w:val="52402416"/>
    <w:rsid w:val="524A48B8"/>
    <w:rsid w:val="525E63DC"/>
    <w:rsid w:val="527F4D04"/>
    <w:rsid w:val="52927709"/>
    <w:rsid w:val="52A67A5A"/>
    <w:rsid w:val="52D05A18"/>
    <w:rsid w:val="52D53C1F"/>
    <w:rsid w:val="52DC2732"/>
    <w:rsid w:val="52FD274A"/>
    <w:rsid w:val="53177C0E"/>
    <w:rsid w:val="53337DFF"/>
    <w:rsid w:val="53672D76"/>
    <w:rsid w:val="536A13FE"/>
    <w:rsid w:val="53976219"/>
    <w:rsid w:val="539C7476"/>
    <w:rsid w:val="53BC6E35"/>
    <w:rsid w:val="53CC4B22"/>
    <w:rsid w:val="53DB685D"/>
    <w:rsid w:val="53E75735"/>
    <w:rsid w:val="53F72186"/>
    <w:rsid w:val="53F94D76"/>
    <w:rsid w:val="541D3002"/>
    <w:rsid w:val="542B571F"/>
    <w:rsid w:val="543E3D14"/>
    <w:rsid w:val="548F5FD3"/>
    <w:rsid w:val="54906A30"/>
    <w:rsid w:val="54BA4CF5"/>
    <w:rsid w:val="54E42018"/>
    <w:rsid w:val="54EF2BF0"/>
    <w:rsid w:val="551E6CEE"/>
    <w:rsid w:val="553434EC"/>
    <w:rsid w:val="55407863"/>
    <w:rsid w:val="55425416"/>
    <w:rsid w:val="55674E7D"/>
    <w:rsid w:val="558D5B85"/>
    <w:rsid w:val="559B4B26"/>
    <w:rsid w:val="55CC6DDF"/>
    <w:rsid w:val="55EC02DB"/>
    <w:rsid w:val="55EC0DE5"/>
    <w:rsid w:val="55ED0F84"/>
    <w:rsid w:val="55F75F1F"/>
    <w:rsid w:val="55FD5CC8"/>
    <w:rsid w:val="55FE4E10"/>
    <w:rsid w:val="55FF6822"/>
    <w:rsid w:val="5603465B"/>
    <w:rsid w:val="560F076E"/>
    <w:rsid w:val="56511CB3"/>
    <w:rsid w:val="56512F84"/>
    <w:rsid w:val="5669118D"/>
    <w:rsid w:val="567F1752"/>
    <w:rsid w:val="569A3227"/>
    <w:rsid w:val="57051BD6"/>
    <w:rsid w:val="572E606A"/>
    <w:rsid w:val="57304A9B"/>
    <w:rsid w:val="575748A6"/>
    <w:rsid w:val="576D4CF6"/>
    <w:rsid w:val="57815A32"/>
    <w:rsid w:val="57827D4C"/>
    <w:rsid w:val="57A464ED"/>
    <w:rsid w:val="57B143BE"/>
    <w:rsid w:val="57CC1127"/>
    <w:rsid w:val="57D73176"/>
    <w:rsid w:val="58112E7E"/>
    <w:rsid w:val="58202CE7"/>
    <w:rsid w:val="583E0D10"/>
    <w:rsid w:val="58474AF1"/>
    <w:rsid w:val="585B010C"/>
    <w:rsid w:val="587506A6"/>
    <w:rsid w:val="587578B0"/>
    <w:rsid w:val="588F0A5F"/>
    <w:rsid w:val="589A7317"/>
    <w:rsid w:val="58A663F9"/>
    <w:rsid w:val="58CA2EDB"/>
    <w:rsid w:val="58E729C1"/>
    <w:rsid w:val="592858DF"/>
    <w:rsid w:val="5954396A"/>
    <w:rsid w:val="596266DB"/>
    <w:rsid w:val="596D4A2C"/>
    <w:rsid w:val="59771C13"/>
    <w:rsid w:val="59F1758A"/>
    <w:rsid w:val="5A0118E3"/>
    <w:rsid w:val="5A0E6DE8"/>
    <w:rsid w:val="5A6054B1"/>
    <w:rsid w:val="5A9965F4"/>
    <w:rsid w:val="5AD4365E"/>
    <w:rsid w:val="5AD6116C"/>
    <w:rsid w:val="5AF00EA7"/>
    <w:rsid w:val="5AFA3F72"/>
    <w:rsid w:val="5B140BFA"/>
    <w:rsid w:val="5B3B6586"/>
    <w:rsid w:val="5B4F2904"/>
    <w:rsid w:val="5B527CA2"/>
    <w:rsid w:val="5B543C51"/>
    <w:rsid w:val="5B555777"/>
    <w:rsid w:val="5B6156E4"/>
    <w:rsid w:val="5BA91D3D"/>
    <w:rsid w:val="5BB73D3C"/>
    <w:rsid w:val="5BB84D78"/>
    <w:rsid w:val="5BC64949"/>
    <w:rsid w:val="5BE23D1F"/>
    <w:rsid w:val="5BE32F18"/>
    <w:rsid w:val="5BEE4C2F"/>
    <w:rsid w:val="5BF25D5F"/>
    <w:rsid w:val="5BF459A2"/>
    <w:rsid w:val="5C054E2D"/>
    <w:rsid w:val="5C24551E"/>
    <w:rsid w:val="5C3E53E6"/>
    <w:rsid w:val="5C8C51C9"/>
    <w:rsid w:val="5CB353A3"/>
    <w:rsid w:val="5CC14E01"/>
    <w:rsid w:val="5CE60D7D"/>
    <w:rsid w:val="5CFA7B04"/>
    <w:rsid w:val="5D13186E"/>
    <w:rsid w:val="5D4D40FF"/>
    <w:rsid w:val="5DA573FF"/>
    <w:rsid w:val="5DC45C52"/>
    <w:rsid w:val="5DC50992"/>
    <w:rsid w:val="5DC63DC9"/>
    <w:rsid w:val="5E176A61"/>
    <w:rsid w:val="5E1A5CDC"/>
    <w:rsid w:val="5E4B1634"/>
    <w:rsid w:val="5E573EF0"/>
    <w:rsid w:val="5E65631F"/>
    <w:rsid w:val="5EA87A4F"/>
    <w:rsid w:val="5F440EDE"/>
    <w:rsid w:val="5F886355"/>
    <w:rsid w:val="5F9D1CF4"/>
    <w:rsid w:val="5FC829BC"/>
    <w:rsid w:val="5FF514B3"/>
    <w:rsid w:val="5FFE0E79"/>
    <w:rsid w:val="60000729"/>
    <w:rsid w:val="60343BAD"/>
    <w:rsid w:val="605F40E2"/>
    <w:rsid w:val="60901E13"/>
    <w:rsid w:val="60A22632"/>
    <w:rsid w:val="60A66625"/>
    <w:rsid w:val="60C05F64"/>
    <w:rsid w:val="60C5505A"/>
    <w:rsid w:val="60D82B1F"/>
    <w:rsid w:val="61203AA3"/>
    <w:rsid w:val="61583FD1"/>
    <w:rsid w:val="615B464F"/>
    <w:rsid w:val="616217F4"/>
    <w:rsid w:val="616D70FA"/>
    <w:rsid w:val="61A70AD0"/>
    <w:rsid w:val="61A92915"/>
    <w:rsid w:val="61CA2A1B"/>
    <w:rsid w:val="61E45ED2"/>
    <w:rsid w:val="61FF502A"/>
    <w:rsid w:val="629944FE"/>
    <w:rsid w:val="629B0610"/>
    <w:rsid w:val="629F4668"/>
    <w:rsid w:val="62D22A91"/>
    <w:rsid w:val="632C7389"/>
    <w:rsid w:val="63533CC5"/>
    <w:rsid w:val="635B3C3A"/>
    <w:rsid w:val="635E78A1"/>
    <w:rsid w:val="637A0C7D"/>
    <w:rsid w:val="637A256E"/>
    <w:rsid w:val="63A93C90"/>
    <w:rsid w:val="63B85642"/>
    <w:rsid w:val="63BA6ABF"/>
    <w:rsid w:val="63CB5425"/>
    <w:rsid w:val="63D80E28"/>
    <w:rsid w:val="63D8141D"/>
    <w:rsid w:val="63F05DFF"/>
    <w:rsid w:val="64102919"/>
    <w:rsid w:val="64520AA6"/>
    <w:rsid w:val="64540922"/>
    <w:rsid w:val="64547F6B"/>
    <w:rsid w:val="645C5BB2"/>
    <w:rsid w:val="647D7601"/>
    <w:rsid w:val="64ED2AB8"/>
    <w:rsid w:val="64FD297A"/>
    <w:rsid w:val="654523B9"/>
    <w:rsid w:val="654A79CF"/>
    <w:rsid w:val="656A6223"/>
    <w:rsid w:val="65AD68DC"/>
    <w:rsid w:val="65B85259"/>
    <w:rsid w:val="65BD4645"/>
    <w:rsid w:val="65DF6369"/>
    <w:rsid w:val="663653AF"/>
    <w:rsid w:val="666D7E19"/>
    <w:rsid w:val="667B379C"/>
    <w:rsid w:val="66B73C9F"/>
    <w:rsid w:val="66BF3B66"/>
    <w:rsid w:val="66C947F9"/>
    <w:rsid w:val="66C95997"/>
    <w:rsid w:val="66E03D41"/>
    <w:rsid w:val="66EA3218"/>
    <w:rsid w:val="66F41367"/>
    <w:rsid w:val="67064174"/>
    <w:rsid w:val="671430CD"/>
    <w:rsid w:val="674768BC"/>
    <w:rsid w:val="676600A3"/>
    <w:rsid w:val="679158F6"/>
    <w:rsid w:val="67C77E8B"/>
    <w:rsid w:val="67D10581"/>
    <w:rsid w:val="67DB7004"/>
    <w:rsid w:val="681368BA"/>
    <w:rsid w:val="68274185"/>
    <w:rsid w:val="683036E5"/>
    <w:rsid w:val="6870012B"/>
    <w:rsid w:val="687F5BE1"/>
    <w:rsid w:val="68857715"/>
    <w:rsid w:val="688D02FE"/>
    <w:rsid w:val="68B570D6"/>
    <w:rsid w:val="68BA356D"/>
    <w:rsid w:val="68BA5C58"/>
    <w:rsid w:val="68FA7D76"/>
    <w:rsid w:val="68FE7ADE"/>
    <w:rsid w:val="691E52F6"/>
    <w:rsid w:val="6946248A"/>
    <w:rsid w:val="694C1F68"/>
    <w:rsid w:val="69BD71DE"/>
    <w:rsid w:val="69DC4F9C"/>
    <w:rsid w:val="69E01912"/>
    <w:rsid w:val="69F80DB0"/>
    <w:rsid w:val="6A0049A7"/>
    <w:rsid w:val="6A0F5458"/>
    <w:rsid w:val="6A393964"/>
    <w:rsid w:val="6A623473"/>
    <w:rsid w:val="6A633B4C"/>
    <w:rsid w:val="6A6C35FD"/>
    <w:rsid w:val="6A6E6628"/>
    <w:rsid w:val="6A980FF8"/>
    <w:rsid w:val="6A9E078F"/>
    <w:rsid w:val="6AA72E39"/>
    <w:rsid w:val="6AAB10A2"/>
    <w:rsid w:val="6AD4326D"/>
    <w:rsid w:val="6ADF52F4"/>
    <w:rsid w:val="6B1E044D"/>
    <w:rsid w:val="6B2C1B97"/>
    <w:rsid w:val="6B4A5727"/>
    <w:rsid w:val="6B6B38F5"/>
    <w:rsid w:val="6B7A017C"/>
    <w:rsid w:val="6BA2345A"/>
    <w:rsid w:val="6BDB47DD"/>
    <w:rsid w:val="6BE86702"/>
    <w:rsid w:val="6BF051E7"/>
    <w:rsid w:val="6BF55C4E"/>
    <w:rsid w:val="6C2610FB"/>
    <w:rsid w:val="6C44426C"/>
    <w:rsid w:val="6C6B7A4F"/>
    <w:rsid w:val="6C9E66EA"/>
    <w:rsid w:val="6CBA7B30"/>
    <w:rsid w:val="6CC664D5"/>
    <w:rsid w:val="6CDB060D"/>
    <w:rsid w:val="6CF16CAD"/>
    <w:rsid w:val="6D572885"/>
    <w:rsid w:val="6D7234AE"/>
    <w:rsid w:val="6DA77B42"/>
    <w:rsid w:val="6DA85BDA"/>
    <w:rsid w:val="6DB225B5"/>
    <w:rsid w:val="6DC222B2"/>
    <w:rsid w:val="6DE37FB0"/>
    <w:rsid w:val="6DE70AA5"/>
    <w:rsid w:val="6DEE029A"/>
    <w:rsid w:val="6E4944FE"/>
    <w:rsid w:val="6E6E0BD2"/>
    <w:rsid w:val="6E744860"/>
    <w:rsid w:val="6E9817AB"/>
    <w:rsid w:val="6EA32418"/>
    <w:rsid w:val="6EAC6D8C"/>
    <w:rsid w:val="6EF13573"/>
    <w:rsid w:val="6F072579"/>
    <w:rsid w:val="6F285225"/>
    <w:rsid w:val="6F4209F0"/>
    <w:rsid w:val="70112C5B"/>
    <w:rsid w:val="70187047"/>
    <w:rsid w:val="701C7B0B"/>
    <w:rsid w:val="70225C5F"/>
    <w:rsid w:val="7055745A"/>
    <w:rsid w:val="7059220F"/>
    <w:rsid w:val="705E0013"/>
    <w:rsid w:val="706127C4"/>
    <w:rsid w:val="70933A73"/>
    <w:rsid w:val="70947BF2"/>
    <w:rsid w:val="70CE5177"/>
    <w:rsid w:val="70D549F1"/>
    <w:rsid w:val="70E10104"/>
    <w:rsid w:val="71064FC1"/>
    <w:rsid w:val="712129A1"/>
    <w:rsid w:val="716A4F70"/>
    <w:rsid w:val="717577AE"/>
    <w:rsid w:val="71891A4E"/>
    <w:rsid w:val="718F7365"/>
    <w:rsid w:val="71914BEC"/>
    <w:rsid w:val="72011705"/>
    <w:rsid w:val="721818D1"/>
    <w:rsid w:val="722E616F"/>
    <w:rsid w:val="72381C80"/>
    <w:rsid w:val="72754768"/>
    <w:rsid w:val="72E66F89"/>
    <w:rsid w:val="732164A6"/>
    <w:rsid w:val="7355155B"/>
    <w:rsid w:val="738B7D9E"/>
    <w:rsid w:val="73C179F6"/>
    <w:rsid w:val="73E159A2"/>
    <w:rsid w:val="73F21410"/>
    <w:rsid w:val="73F83DCF"/>
    <w:rsid w:val="740022CC"/>
    <w:rsid w:val="742C4AD9"/>
    <w:rsid w:val="7452084D"/>
    <w:rsid w:val="745815F2"/>
    <w:rsid w:val="748D68B0"/>
    <w:rsid w:val="7490488D"/>
    <w:rsid w:val="74C113EE"/>
    <w:rsid w:val="74D316EE"/>
    <w:rsid w:val="74D92400"/>
    <w:rsid w:val="74DA58C4"/>
    <w:rsid w:val="74E60B14"/>
    <w:rsid w:val="74E76FE8"/>
    <w:rsid w:val="75061B64"/>
    <w:rsid w:val="751108EE"/>
    <w:rsid w:val="7534018B"/>
    <w:rsid w:val="754177B6"/>
    <w:rsid w:val="757A19B3"/>
    <w:rsid w:val="7595253C"/>
    <w:rsid w:val="759B1DC6"/>
    <w:rsid w:val="75E97CC5"/>
    <w:rsid w:val="760616F0"/>
    <w:rsid w:val="76400746"/>
    <w:rsid w:val="7662726E"/>
    <w:rsid w:val="768A556E"/>
    <w:rsid w:val="768F1F08"/>
    <w:rsid w:val="76BA0596"/>
    <w:rsid w:val="76BC5F4E"/>
    <w:rsid w:val="76F55CFC"/>
    <w:rsid w:val="770713C2"/>
    <w:rsid w:val="77072943"/>
    <w:rsid w:val="774B2DDD"/>
    <w:rsid w:val="775841CD"/>
    <w:rsid w:val="7762504C"/>
    <w:rsid w:val="77AE0291"/>
    <w:rsid w:val="77B63CFE"/>
    <w:rsid w:val="77C37CB2"/>
    <w:rsid w:val="78291C1D"/>
    <w:rsid w:val="78382C37"/>
    <w:rsid w:val="78564BB1"/>
    <w:rsid w:val="78684186"/>
    <w:rsid w:val="78721190"/>
    <w:rsid w:val="787B561E"/>
    <w:rsid w:val="788342FC"/>
    <w:rsid w:val="78AA0481"/>
    <w:rsid w:val="78BB4832"/>
    <w:rsid w:val="790D5529"/>
    <w:rsid w:val="7911138E"/>
    <w:rsid w:val="79501AEB"/>
    <w:rsid w:val="795433B6"/>
    <w:rsid w:val="79691AB8"/>
    <w:rsid w:val="797D6D2E"/>
    <w:rsid w:val="79A8570D"/>
    <w:rsid w:val="79AA62C9"/>
    <w:rsid w:val="79D74E3D"/>
    <w:rsid w:val="7A120203"/>
    <w:rsid w:val="7A273ED6"/>
    <w:rsid w:val="7A653295"/>
    <w:rsid w:val="7A6C7A06"/>
    <w:rsid w:val="7A943AA7"/>
    <w:rsid w:val="7ADC5C4A"/>
    <w:rsid w:val="7B1A7B88"/>
    <w:rsid w:val="7B6475E5"/>
    <w:rsid w:val="7B85763F"/>
    <w:rsid w:val="7B9D2AF7"/>
    <w:rsid w:val="7BB22C09"/>
    <w:rsid w:val="7C2F41E4"/>
    <w:rsid w:val="7C4250BF"/>
    <w:rsid w:val="7C6A190C"/>
    <w:rsid w:val="7C8F595F"/>
    <w:rsid w:val="7C8F7765"/>
    <w:rsid w:val="7C9A7A0D"/>
    <w:rsid w:val="7CC00CA6"/>
    <w:rsid w:val="7CC17E0E"/>
    <w:rsid w:val="7CC81F31"/>
    <w:rsid w:val="7CF77FE5"/>
    <w:rsid w:val="7CFB628F"/>
    <w:rsid w:val="7D105F93"/>
    <w:rsid w:val="7D2012E9"/>
    <w:rsid w:val="7D5739F5"/>
    <w:rsid w:val="7D772FAD"/>
    <w:rsid w:val="7D964715"/>
    <w:rsid w:val="7D9E2073"/>
    <w:rsid w:val="7E1D3EAB"/>
    <w:rsid w:val="7E71005F"/>
    <w:rsid w:val="7EA35F7C"/>
    <w:rsid w:val="7ECF4FC6"/>
    <w:rsid w:val="7EF33A74"/>
    <w:rsid w:val="7F2841F8"/>
    <w:rsid w:val="7F3A2ED0"/>
    <w:rsid w:val="7F5B0CFF"/>
    <w:rsid w:val="7F75556B"/>
    <w:rsid w:val="7F8246FF"/>
    <w:rsid w:val="7F8E0132"/>
    <w:rsid w:val="7FB34745"/>
    <w:rsid w:val="7FD8255D"/>
    <w:rsid w:val="7FEC777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39" w:semiHidden="0" w:name="toc 1"/>
    <w:lsdException w:qFormat="1" w:uiPriority="0" w:semiHidden="0" w:name="toc 2"/>
    <w:lsdException w:qFormat="1" w:unhideWhenUsed="0" w:uiPriority="39" w:semiHidden="0" w:name="toc 3"/>
    <w:lsdException w:unhideWhenUsed="0" w:uiPriority="0" w:semiHidden="0" w:name="toc 4"/>
    <w:lsdException w:unhideWhenUsed="0" w:uiPriority="0" w:semiHidden="0" w:name="toc 5"/>
    <w:lsdException w:qFormat="1" w:uiPriority="39" w:semiHidden="0" w:name="toc 6"/>
    <w:lsdException w:unhideWhenUsed="0" w:uiPriority="0" w:semiHidden="0" w:name="toc 7"/>
    <w:lsdException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qFormat="1"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99"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67"/>
    <w:qFormat/>
    <w:uiPriority w:val="0"/>
    <w:pPr>
      <w:keepNext/>
      <w:keepLines/>
      <w:spacing w:before="340" w:after="330" w:line="578" w:lineRule="auto"/>
      <w:outlineLvl w:val="0"/>
    </w:pPr>
    <w:rPr>
      <w:b/>
      <w:bCs/>
      <w:kern w:val="44"/>
      <w:sz w:val="44"/>
      <w:szCs w:val="44"/>
    </w:rPr>
  </w:style>
  <w:style w:type="paragraph" w:styleId="2">
    <w:name w:val="heading 2"/>
    <w:basedOn w:val="1"/>
    <w:next w:val="1"/>
    <w:link w:val="68"/>
    <w:qFormat/>
    <w:uiPriority w:val="0"/>
    <w:pPr>
      <w:keepNext/>
      <w:keepLines/>
      <w:spacing w:before="260" w:after="260" w:line="416" w:lineRule="auto"/>
      <w:outlineLvl w:val="1"/>
    </w:pPr>
    <w:rPr>
      <w:rFonts w:ascii="Arial" w:hAnsi="Arial" w:eastAsia="黑体"/>
      <w:b/>
      <w:bCs/>
      <w:kern w:val="0"/>
      <w:sz w:val="32"/>
      <w:szCs w:val="32"/>
    </w:rPr>
  </w:style>
  <w:style w:type="paragraph" w:styleId="4">
    <w:name w:val="heading 3"/>
    <w:basedOn w:val="1"/>
    <w:next w:val="1"/>
    <w:link w:val="69"/>
    <w:qFormat/>
    <w:uiPriority w:val="0"/>
    <w:pPr>
      <w:keepNext/>
      <w:keepLines/>
      <w:spacing w:before="260" w:after="260" w:line="416" w:lineRule="auto"/>
      <w:outlineLvl w:val="2"/>
    </w:pPr>
    <w:rPr>
      <w:b/>
      <w:bCs/>
      <w:sz w:val="32"/>
      <w:szCs w:val="32"/>
    </w:rPr>
  </w:style>
  <w:style w:type="paragraph" w:styleId="5">
    <w:name w:val="heading 4"/>
    <w:basedOn w:val="1"/>
    <w:next w:val="1"/>
    <w:link w:val="70"/>
    <w:qFormat/>
    <w:uiPriority w:val="0"/>
    <w:pPr>
      <w:keepNext/>
      <w:keepLines/>
      <w:spacing w:before="280" w:after="290" w:line="372" w:lineRule="auto"/>
      <w:outlineLvl w:val="3"/>
    </w:pPr>
    <w:rPr>
      <w:rFonts w:ascii="Arial" w:hAnsi="Arial" w:eastAsia="黑体"/>
      <w:b/>
      <w:bCs/>
      <w:sz w:val="28"/>
      <w:szCs w:val="28"/>
    </w:rPr>
  </w:style>
  <w:style w:type="paragraph" w:styleId="6">
    <w:name w:val="heading 5"/>
    <w:basedOn w:val="1"/>
    <w:next w:val="7"/>
    <w:link w:val="71"/>
    <w:qFormat/>
    <w:uiPriority w:val="0"/>
    <w:pPr>
      <w:keepNext/>
      <w:keepLines/>
      <w:spacing w:before="280" w:after="290" w:line="376" w:lineRule="auto"/>
      <w:outlineLvl w:val="4"/>
    </w:pPr>
    <w:rPr>
      <w:b/>
      <w:sz w:val="28"/>
    </w:rPr>
  </w:style>
  <w:style w:type="paragraph" w:styleId="8">
    <w:name w:val="heading 6"/>
    <w:basedOn w:val="1"/>
    <w:next w:val="1"/>
    <w:link w:val="73"/>
    <w:qFormat/>
    <w:uiPriority w:val="0"/>
    <w:pPr>
      <w:keepNext/>
      <w:keepLines/>
      <w:spacing w:before="240" w:after="64" w:line="320" w:lineRule="auto"/>
      <w:outlineLvl w:val="5"/>
    </w:pPr>
    <w:rPr>
      <w:rFonts w:ascii="Arial" w:hAnsi="Arial" w:eastAsia="黑体"/>
      <w:b/>
      <w:bCs/>
      <w:sz w:val="24"/>
    </w:rPr>
  </w:style>
  <w:style w:type="paragraph" w:styleId="9">
    <w:name w:val="heading 7"/>
    <w:basedOn w:val="1"/>
    <w:next w:val="7"/>
    <w:link w:val="74"/>
    <w:qFormat/>
    <w:uiPriority w:val="0"/>
    <w:pPr>
      <w:keepNext/>
      <w:keepLines/>
      <w:spacing w:before="240" w:after="64" w:line="320" w:lineRule="auto"/>
      <w:outlineLvl w:val="6"/>
    </w:pPr>
    <w:rPr>
      <w:b/>
      <w:sz w:val="24"/>
    </w:rPr>
  </w:style>
  <w:style w:type="paragraph" w:styleId="10">
    <w:name w:val="heading 8"/>
    <w:basedOn w:val="1"/>
    <w:next w:val="7"/>
    <w:link w:val="75"/>
    <w:qFormat/>
    <w:uiPriority w:val="0"/>
    <w:pPr>
      <w:keepNext/>
      <w:keepLines/>
      <w:spacing w:before="240" w:after="64" w:line="320" w:lineRule="auto"/>
      <w:outlineLvl w:val="7"/>
    </w:pPr>
    <w:rPr>
      <w:rFonts w:ascii="Arial" w:hAnsi="Arial" w:eastAsia="黑体"/>
      <w:sz w:val="24"/>
    </w:rPr>
  </w:style>
  <w:style w:type="paragraph" w:styleId="11">
    <w:name w:val="heading 9"/>
    <w:basedOn w:val="1"/>
    <w:next w:val="7"/>
    <w:link w:val="76"/>
    <w:qFormat/>
    <w:uiPriority w:val="0"/>
    <w:pPr>
      <w:keepNext/>
      <w:keepLines/>
      <w:spacing w:before="240" w:after="64" w:line="320" w:lineRule="auto"/>
      <w:outlineLvl w:val="8"/>
    </w:pPr>
    <w:rPr>
      <w:rFonts w:ascii="Arial" w:hAnsi="Arial" w:eastAsia="黑体"/>
    </w:rPr>
  </w:style>
  <w:style w:type="character" w:default="1" w:styleId="51">
    <w:name w:val="Default Paragraph Font"/>
    <w:semiHidden/>
    <w:unhideWhenUsed/>
    <w:qFormat/>
    <w:uiPriority w:val="1"/>
  </w:style>
  <w:style w:type="table" w:default="1" w:styleId="49">
    <w:name w:val="Normal Table"/>
    <w:semiHidden/>
    <w:unhideWhenUsed/>
    <w:qFormat/>
    <w:uiPriority w:val="99"/>
    <w:tblPr>
      <w:tblCellMar>
        <w:top w:w="0" w:type="dxa"/>
        <w:left w:w="108" w:type="dxa"/>
        <w:bottom w:w="0" w:type="dxa"/>
        <w:right w:w="108" w:type="dxa"/>
      </w:tblCellMar>
    </w:tblPr>
  </w:style>
  <w:style w:type="paragraph" w:styleId="7">
    <w:name w:val="Normal Indent"/>
    <w:basedOn w:val="1"/>
    <w:link w:val="72"/>
    <w:qFormat/>
    <w:uiPriority w:val="0"/>
    <w:pPr>
      <w:ind w:firstLine="420"/>
    </w:pPr>
    <w:rPr>
      <w:szCs w:val="20"/>
    </w:rPr>
  </w:style>
  <w:style w:type="paragraph" w:styleId="12">
    <w:name w:val="List 3"/>
    <w:basedOn w:val="1"/>
    <w:qFormat/>
    <w:uiPriority w:val="0"/>
    <w:pPr>
      <w:ind w:left="100" w:leftChars="400" w:hanging="200" w:hangingChars="200"/>
    </w:pPr>
    <w:rPr>
      <w:rFonts w:ascii="宋体" w:hAnsi="Courier New"/>
      <w:szCs w:val="20"/>
    </w:rPr>
  </w:style>
  <w:style w:type="paragraph" w:styleId="13">
    <w:name w:val="index 8"/>
    <w:basedOn w:val="1"/>
    <w:next w:val="1"/>
    <w:qFormat/>
    <w:uiPriority w:val="0"/>
    <w:pPr>
      <w:spacing w:line="400" w:lineRule="exact"/>
      <w:ind w:left="2940" w:firstLine="200" w:firstLineChars="200"/>
      <w:jc w:val="left"/>
    </w:pPr>
  </w:style>
  <w:style w:type="paragraph" w:styleId="14">
    <w:name w:val="List Number"/>
    <w:basedOn w:val="1"/>
    <w:qFormat/>
    <w:uiPriority w:val="0"/>
    <w:pPr>
      <w:widowControl/>
      <w:tabs>
        <w:tab w:val="left" w:pos="454"/>
        <w:tab w:val="left" w:pos="720"/>
        <w:tab w:val="left" w:pos="840"/>
      </w:tabs>
      <w:spacing w:afterLines="50"/>
      <w:ind w:left="454" w:hanging="284"/>
      <w:jc w:val="left"/>
    </w:pPr>
    <w:rPr>
      <w:kern w:val="0"/>
      <w:sz w:val="24"/>
      <w:szCs w:val="20"/>
    </w:rPr>
  </w:style>
  <w:style w:type="paragraph" w:styleId="15">
    <w:name w:val="caption"/>
    <w:basedOn w:val="1"/>
    <w:next w:val="1"/>
    <w:qFormat/>
    <w:uiPriority w:val="0"/>
    <w:pPr>
      <w:spacing w:before="152" w:after="160"/>
    </w:pPr>
    <w:rPr>
      <w:rFonts w:ascii="Arial" w:hAnsi="Arial" w:eastAsia="黑体" w:cs="Arial"/>
      <w:sz w:val="20"/>
      <w:szCs w:val="20"/>
    </w:rPr>
  </w:style>
  <w:style w:type="paragraph" w:styleId="16">
    <w:name w:val="Document Map"/>
    <w:basedOn w:val="1"/>
    <w:link w:val="77"/>
    <w:qFormat/>
    <w:uiPriority w:val="0"/>
    <w:pPr>
      <w:shd w:val="clear" w:color="auto" w:fill="000080"/>
    </w:pPr>
  </w:style>
  <w:style w:type="paragraph" w:styleId="17">
    <w:name w:val="toa heading"/>
    <w:basedOn w:val="1"/>
    <w:next w:val="1"/>
    <w:unhideWhenUsed/>
    <w:qFormat/>
    <w:uiPriority w:val="99"/>
    <w:pPr>
      <w:spacing w:before="120"/>
    </w:pPr>
    <w:rPr>
      <w:rFonts w:ascii="Arial" w:hAnsi="Arial"/>
      <w:sz w:val="24"/>
      <w:szCs w:val="22"/>
    </w:rPr>
  </w:style>
  <w:style w:type="paragraph" w:styleId="18">
    <w:name w:val="annotation text"/>
    <w:basedOn w:val="1"/>
    <w:link w:val="78"/>
    <w:qFormat/>
    <w:uiPriority w:val="99"/>
    <w:pPr>
      <w:jc w:val="left"/>
    </w:pPr>
  </w:style>
  <w:style w:type="paragraph" w:styleId="19">
    <w:name w:val="Body Text 3"/>
    <w:basedOn w:val="1"/>
    <w:link w:val="79"/>
    <w:qFormat/>
    <w:uiPriority w:val="0"/>
    <w:pPr>
      <w:spacing w:line="240" w:lineRule="exact"/>
    </w:pPr>
    <w:rPr>
      <w:rFonts w:ascii="宋体" w:hAnsi="宋体"/>
      <w:color w:val="000000"/>
      <w:szCs w:val="21"/>
    </w:rPr>
  </w:style>
  <w:style w:type="paragraph" w:styleId="20">
    <w:name w:val="Body Text"/>
    <w:basedOn w:val="1"/>
    <w:link w:val="66"/>
    <w:qFormat/>
    <w:uiPriority w:val="99"/>
    <w:pPr>
      <w:spacing w:after="120"/>
    </w:pPr>
  </w:style>
  <w:style w:type="paragraph" w:styleId="21">
    <w:name w:val="Body Text Indent"/>
    <w:basedOn w:val="1"/>
    <w:next w:val="22"/>
    <w:link w:val="80"/>
    <w:qFormat/>
    <w:uiPriority w:val="0"/>
    <w:pPr>
      <w:spacing w:after="120"/>
      <w:ind w:left="420" w:leftChars="200"/>
    </w:pPr>
  </w:style>
  <w:style w:type="paragraph" w:customStyle="1" w:styleId="22">
    <w:name w:val="样式 正文文本缩进 + 首行缩进:  2 字符 行距: 1.5 倍行距"/>
    <w:basedOn w:val="21"/>
    <w:qFormat/>
    <w:uiPriority w:val="0"/>
    <w:rPr>
      <w:rFonts w:cs="宋体"/>
    </w:rPr>
  </w:style>
  <w:style w:type="paragraph" w:styleId="23">
    <w:name w:val="List Number 3"/>
    <w:basedOn w:val="1"/>
    <w:qFormat/>
    <w:uiPriority w:val="0"/>
    <w:pPr>
      <w:tabs>
        <w:tab w:val="left" w:pos="284"/>
        <w:tab w:val="left" w:pos="1280"/>
      </w:tabs>
      <w:ind w:left="284" w:hanging="284"/>
    </w:pPr>
  </w:style>
  <w:style w:type="paragraph" w:styleId="24">
    <w:name w:val="List 2"/>
    <w:basedOn w:val="1"/>
    <w:qFormat/>
    <w:uiPriority w:val="0"/>
    <w:pPr>
      <w:ind w:left="100" w:leftChars="200" w:hanging="200" w:hangingChars="200"/>
    </w:pPr>
    <w:rPr>
      <w:szCs w:val="20"/>
    </w:rPr>
  </w:style>
  <w:style w:type="paragraph" w:styleId="25">
    <w:name w:val="Block Text"/>
    <w:basedOn w:val="1"/>
    <w:qFormat/>
    <w:uiPriority w:val="0"/>
    <w:pPr>
      <w:widowControl/>
      <w:tabs>
        <w:tab w:val="left" w:pos="284"/>
      </w:tabs>
      <w:ind w:left="788" w:right="-594"/>
    </w:pPr>
    <w:rPr>
      <w:rFonts w:ascii="创艺繁楷体" w:eastAsia="创艺繁楷体"/>
      <w:kern w:val="0"/>
      <w:sz w:val="24"/>
      <w:szCs w:val="20"/>
      <w:lang w:eastAsia="zh-TW"/>
    </w:rPr>
  </w:style>
  <w:style w:type="paragraph" w:styleId="26">
    <w:name w:val="toc 3"/>
    <w:basedOn w:val="1"/>
    <w:next w:val="1"/>
    <w:qFormat/>
    <w:uiPriority w:val="39"/>
    <w:pPr>
      <w:ind w:left="840" w:leftChars="400"/>
    </w:pPr>
  </w:style>
  <w:style w:type="paragraph" w:styleId="27">
    <w:name w:val="Plain Text"/>
    <w:basedOn w:val="1"/>
    <w:next w:val="5"/>
    <w:link w:val="81"/>
    <w:qFormat/>
    <w:uiPriority w:val="0"/>
    <w:rPr>
      <w:rFonts w:ascii="宋体" w:hAnsi="Courier New"/>
      <w:szCs w:val="20"/>
    </w:rPr>
  </w:style>
  <w:style w:type="paragraph" w:styleId="28">
    <w:name w:val="Date"/>
    <w:basedOn w:val="1"/>
    <w:next w:val="1"/>
    <w:link w:val="82"/>
    <w:qFormat/>
    <w:uiPriority w:val="0"/>
    <w:pPr>
      <w:ind w:left="100" w:leftChars="2500"/>
    </w:pPr>
  </w:style>
  <w:style w:type="paragraph" w:styleId="29">
    <w:name w:val="Body Text Indent 2"/>
    <w:basedOn w:val="1"/>
    <w:link w:val="83"/>
    <w:qFormat/>
    <w:uiPriority w:val="0"/>
    <w:pPr>
      <w:spacing w:line="500" w:lineRule="exact"/>
      <w:ind w:firstLine="442" w:firstLineChars="200"/>
    </w:pPr>
    <w:rPr>
      <w:sz w:val="24"/>
      <w:szCs w:val="20"/>
    </w:rPr>
  </w:style>
  <w:style w:type="paragraph" w:styleId="30">
    <w:name w:val="Balloon Text"/>
    <w:basedOn w:val="1"/>
    <w:link w:val="84"/>
    <w:semiHidden/>
    <w:qFormat/>
    <w:uiPriority w:val="0"/>
    <w:rPr>
      <w:sz w:val="18"/>
      <w:szCs w:val="18"/>
    </w:rPr>
  </w:style>
  <w:style w:type="paragraph" w:styleId="31">
    <w:name w:val="footer"/>
    <w:basedOn w:val="1"/>
    <w:link w:val="85"/>
    <w:qFormat/>
    <w:uiPriority w:val="99"/>
    <w:pPr>
      <w:tabs>
        <w:tab w:val="center" w:pos="4153"/>
        <w:tab w:val="right" w:pos="8306"/>
      </w:tabs>
      <w:snapToGrid w:val="0"/>
      <w:jc w:val="left"/>
    </w:pPr>
    <w:rPr>
      <w:sz w:val="18"/>
      <w:szCs w:val="18"/>
    </w:rPr>
  </w:style>
  <w:style w:type="paragraph" w:styleId="32">
    <w:name w:val="header"/>
    <w:basedOn w:val="1"/>
    <w:link w:val="86"/>
    <w:qFormat/>
    <w:uiPriority w:val="99"/>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style>
  <w:style w:type="paragraph" w:styleId="34">
    <w:name w:val="List"/>
    <w:basedOn w:val="1"/>
    <w:qFormat/>
    <w:uiPriority w:val="0"/>
    <w:pPr>
      <w:ind w:left="200" w:hanging="200" w:hangingChars="200"/>
    </w:pPr>
    <w:rPr>
      <w:sz w:val="28"/>
    </w:rPr>
  </w:style>
  <w:style w:type="paragraph" w:styleId="35">
    <w:name w:val="toc 6"/>
    <w:basedOn w:val="1"/>
    <w:next w:val="1"/>
    <w:unhideWhenUsed/>
    <w:qFormat/>
    <w:uiPriority w:val="39"/>
    <w:pPr>
      <w:widowControl/>
      <w:ind w:left="1000"/>
      <w:jc w:val="left"/>
    </w:pPr>
    <w:rPr>
      <w:kern w:val="0"/>
      <w:sz w:val="18"/>
      <w:szCs w:val="20"/>
    </w:rPr>
  </w:style>
  <w:style w:type="paragraph" w:styleId="36">
    <w:name w:val="Body Text Indent 3"/>
    <w:basedOn w:val="1"/>
    <w:link w:val="87"/>
    <w:qFormat/>
    <w:uiPriority w:val="0"/>
    <w:pPr>
      <w:spacing w:after="120"/>
      <w:ind w:left="420" w:leftChars="200"/>
    </w:pPr>
    <w:rPr>
      <w:kern w:val="0"/>
      <w:sz w:val="16"/>
      <w:szCs w:val="16"/>
    </w:rPr>
  </w:style>
  <w:style w:type="paragraph" w:styleId="37">
    <w:name w:val="toc 2"/>
    <w:basedOn w:val="1"/>
    <w:next w:val="1"/>
    <w:unhideWhenUsed/>
    <w:qFormat/>
    <w:uiPriority w:val="0"/>
    <w:pPr>
      <w:ind w:left="420" w:leftChars="200"/>
    </w:pPr>
  </w:style>
  <w:style w:type="paragraph" w:styleId="38">
    <w:name w:val="toc 9"/>
    <w:basedOn w:val="1"/>
    <w:next w:val="1"/>
    <w:qFormat/>
    <w:uiPriority w:val="0"/>
    <w:pPr>
      <w:ind w:left="3360" w:leftChars="1600"/>
    </w:pPr>
  </w:style>
  <w:style w:type="paragraph" w:styleId="39">
    <w:name w:val="Body Text 2"/>
    <w:basedOn w:val="1"/>
    <w:link w:val="88"/>
    <w:qFormat/>
    <w:uiPriority w:val="0"/>
    <w:pPr>
      <w:spacing w:after="120" w:line="480" w:lineRule="auto"/>
    </w:pPr>
    <w:rPr>
      <w:kern w:val="0"/>
      <w:sz w:val="20"/>
    </w:rPr>
  </w:style>
  <w:style w:type="paragraph" w:styleId="40">
    <w:name w:val="List Continue 2"/>
    <w:basedOn w:val="1"/>
    <w:qFormat/>
    <w:uiPriority w:val="0"/>
    <w:pPr>
      <w:spacing w:after="120"/>
      <w:ind w:left="840" w:leftChars="400"/>
    </w:pPr>
    <w:rPr>
      <w:rFonts w:ascii="宋体" w:hAnsi="Courier New"/>
      <w:szCs w:val="20"/>
    </w:rPr>
  </w:style>
  <w:style w:type="paragraph" w:styleId="41">
    <w:name w:val="HTML Preformatted"/>
    <w:basedOn w:val="1"/>
    <w:link w:val="89"/>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42">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43">
    <w:name w:val="index 1"/>
    <w:basedOn w:val="1"/>
    <w:next w:val="1"/>
    <w:qFormat/>
    <w:uiPriority w:val="0"/>
    <w:pPr>
      <w:spacing w:line="400" w:lineRule="exact"/>
      <w:ind w:firstLine="420" w:firstLineChars="200"/>
    </w:pPr>
    <w:rPr>
      <w:rFonts w:ascii="宋体" w:hAnsi="Courier New"/>
      <w:b/>
      <w:szCs w:val="20"/>
    </w:rPr>
  </w:style>
  <w:style w:type="paragraph" w:styleId="44">
    <w:name w:val="Title"/>
    <w:basedOn w:val="1"/>
    <w:next w:val="1"/>
    <w:link w:val="90"/>
    <w:qFormat/>
    <w:uiPriority w:val="0"/>
    <w:pPr>
      <w:spacing w:before="240" w:after="60"/>
      <w:jc w:val="center"/>
      <w:outlineLvl w:val="0"/>
    </w:pPr>
    <w:rPr>
      <w:rFonts w:ascii="等线 Light" w:hAnsi="等线 Light"/>
      <w:b/>
      <w:bCs/>
      <w:sz w:val="32"/>
      <w:szCs w:val="32"/>
    </w:rPr>
  </w:style>
  <w:style w:type="paragraph" w:styleId="45">
    <w:name w:val="annotation subject"/>
    <w:basedOn w:val="18"/>
    <w:next w:val="18"/>
    <w:link w:val="91"/>
    <w:semiHidden/>
    <w:qFormat/>
    <w:uiPriority w:val="0"/>
    <w:rPr>
      <w:b/>
      <w:bCs/>
    </w:rPr>
  </w:style>
  <w:style w:type="paragraph" w:styleId="46">
    <w:name w:val="Body Text First Indent"/>
    <w:basedOn w:val="20"/>
    <w:next w:val="35"/>
    <w:unhideWhenUsed/>
    <w:qFormat/>
    <w:uiPriority w:val="99"/>
    <w:pPr>
      <w:ind w:firstLine="420" w:firstLineChars="100"/>
    </w:pPr>
  </w:style>
  <w:style w:type="paragraph" w:styleId="47">
    <w:name w:val="Body Text First Indent 2"/>
    <w:basedOn w:val="21"/>
    <w:next w:val="48"/>
    <w:unhideWhenUsed/>
    <w:qFormat/>
    <w:uiPriority w:val="99"/>
    <w:pPr>
      <w:ind w:firstLine="420" w:firstLineChars="200"/>
    </w:pPr>
  </w:style>
  <w:style w:type="paragraph" w:customStyle="1" w:styleId="48">
    <w:name w:val="**正文"/>
    <w:basedOn w:val="1"/>
    <w:qFormat/>
    <w:uiPriority w:val="0"/>
    <w:pPr>
      <w:ind w:firstLine="482"/>
    </w:pPr>
    <w:rPr>
      <w:rFonts w:ascii="宋体" w:hAnsi="宋体"/>
      <w:sz w:val="24"/>
    </w:rPr>
  </w:style>
  <w:style w:type="table" w:styleId="50">
    <w:name w:val="Table Grid"/>
    <w:basedOn w:val="4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2">
    <w:name w:val="Strong"/>
    <w:qFormat/>
    <w:uiPriority w:val="0"/>
    <w:rPr>
      <w:b/>
      <w:bCs/>
    </w:rPr>
  </w:style>
  <w:style w:type="character" w:styleId="53">
    <w:name w:val="page number"/>
    <w:qFormat/>
    <w:uiPriority w:val="0"/>
  </w:style>
  <w:style w:type="character" w:styleId="54">
    <w:name w:val="FollowedHyperlink"/>
    <w:qFormat/>
    <w:uiPriority w:val="0"/>
    <w:rPr>
      <w:color w:val="333333"/>
      <w:u w:val="none"/>
    </w:rPr>
  </w:style>
  <w:style w:type="character" w:styleId="55">
    <w:name w:val="Emphasis"/>
    <w:qFormat/>
    <w:uiPriority w:val="0"/>
  </w:style>
  <w:style w:type="character" w:styleId="56">
    <w:name w:val="line number"/>
    <w:qFormat/>
    <w:uiPriority w:val="0"/>
  </w:style>
  <w:style w:type="character" w:styleId="57">
    <w:name w:val="HTML Definition"/>
    <w:qFormat/>
    <w:uiPriority w:val="0"/>
  </w:style>
  <w:style w:type="character" w:styleId="58">
    <w:name w:val="HTML Acronym"/>
    <w:qFormat/>
    <w:uiPriority w:val="0"/>
  </w:style>
  <w:style w:type="character" w:styleId="59">
    <w:name w:val="HTML Variable"/>
    <w:qFormat/>
    <w:uiPriority w:val="0"/>
  </w:style>
  <w:style w:type="character" w:styleId="60">
    <w:name w:val="Hyperlink"/>
    <w:qFormat/>
    <w:uiPriority w:val="99"/>
    <w:rPr>
      <w:color w:val="0000FF"/>
      <w:u w:val="single"/>
    </w:rPr>
  </w:style>
  <w:style w:type="character" w:styleId="61">
    <w:name w:val="HTML Code"/>
    <w:qFormat/>
    <w:uiPriority w:val="0"/>
    <w:rPr>
      <w:rFonts w:ascii="Courier New" w:hAnsi="Courier New"/>
      <w:color w:val="505050"/>
      <w:sz w:val="24"/>
      <w:szCs w:val="24"/>
    </w:rPr>
  </w:style>
  <w:style w:type="character" w:styleId="62">
    <w:name w:val="annotation reference"/>
    <w:qFormat/>
    <w:uiPriority w:val="99"/>
    <w:rPr>
      <w:sz w:val="21"/>
      <w:szCs w:val="21"/>
    </w:rPr>
  </w:style>
  <w:style w:type="character" w:styleId="63">
    <w:name w:val="HTML Cite"/>
    <w:qFormat/>
    <w:uiPriority w:val="0"/>
  </w:style>
  <w:style w:type="paragraph" w:customStyle="1" w:styleId="64">
    <w:name w:val="style4"/>
    <w:basedOn w:val="1"/>
    <w:next w:val="65"/>
    <w:qFormat/>
    <w:uiPriority w:val="0"/>
    <w:pPr>
      <w:widowControl/>
      <w:spacing w:before="280" w:after="280"/>
    </w:pPr>
    <w:rPr>
      <w:rFonts w:ascii="宋体"/>
      <w:sz w:val="18"/>
    </w:rPr>
  </w:style>
  <w:style w:type="paragraph" w:customStyle="1" w:styleId="65">
    <w:name w:val="2"/>
    <w:next w:val="1"/>
    <w:qFormat/>
    <w:uiPriority w:val="0"/>
    <w:pPr>
      <w:widowControl w:val="0"/>
      <w:jc w:val="both"/>
    </w:pPr>
    <w:rPr>
      <w:rFonts w:ascii="Calibri" w:hAnsi="Calibri" w:eastAsia="宋体" w:cs="Times New Roman"/>
      <w:sz w:val="21"/>
      <w:szCs w:val="22"/>
      <w:lang w:val="en-US" w:eastAsia="zh-CN" w:bidi="ar-SA"/>
    </w:rPr>
  </w:style>
  <w:style w:type="character" w:customStyle="1" w:styleId="66">
    <w:name w:val="正文文本 字符"/>
    <w:link w:val="20"/>
    <w:qFormat/>
    <w:uiPriority w:val="99"/>
    <w:rPr>
      <w:kern w:val="2"/>
      <w:sz w:val="21"/>
      <w:szCs w:val="24"/>
    </w:rPr>
  </w:style>
  <w:style w:type="character" w:customStyle="1" w:styleId="67">
    <w:name w:val="标题 1 字符"/>
    <w:link w:val="3"/>
    <w:qFormat/>
    <w:uiPriority w:val="0"/>
    <w:rPr>
      <w:b/>
      <w:bCs/>
      <w:kern w:val="44"/>
      <w:sz w:val="44"/>
      <w:szCs w:val="44"/>
    </w:rPr>
  </w:style>
  <w:style w:type="character" w:customStyle="1" w:styleId="68">
    <w:name w:val="标题 2 字符"/>
    <w:link w:val="2"/>
    <w:qFormat/>
    <w:uiPriority w:val="0"/>
    <w:rPr>
      <w:rFonts w:ascii="Arial" w:hAnsi="Arial" w:eastAsia="黑体"/>
      <w:b/>
      <w:bCs/>
      <w:sz w:val="32"/>
      <w:szCs w:val="32"/>
    </w:rPr>
  </w:style>
  <w:style w:type="character" w:customStyle="1" w:styleId="69">
    <w:name w:val="标题 3 字符"/>
    <w:link w:val="4"/>
    <w:qFormat/>
    <w:uiPriority w:val="0"/>
    <w:rPr>
      <w:b/>
      <w:bCs/>
      <w:kern w:val="2"/>
      <w:sz w:val="32"/>
      <w:szCs w:val="32"/>
    </w:rPr>
  </w:style>
  <w:style w:type="character" w:customStyle="1" w:styleId="70">
    <w:name w:val="标题 4 字符"/>
    <w:link w:val="5"/>
    <w:qFormat/>
    <w:uiPriority w:val="0"/>
    <w:rPr>
      <w:rFonts w:ascii="Arial" w:hAnsi="Arial" w:eastAsia="黑体"/>
      <w:b/>
      <w:bCs/>
      <w:kern w:val="2"/>
      <w:sz w:val="28"/>
      <w:szCs w:val="28"/>
    </w:rPr>
  </w:style>
  <w:style w:type="character" w:customStyle="1" w:styleId="71">
    <w:name w:val="标题 5 字符"/>
    <w:link w:val="6"/>
    <w:qFormat/>
    <w:uiPriority w:val="0"/>
    <w:rPr>
      <w:rFonts w:ascii="Times New Roman" w:hAnsi="Times New Roman"/>
      <w:b/>
      <w:kern w:val="2"/>
      <w:sz w:val="28"/>
      <w:szCs w:val="24"/>
    </w:rPr>
  </w:style>
  <w:style w:type="character" w:customStyle="1" w:styleId="72">
    <w:name w:val="正文缩进 字符"/>
    <w:link w:val="7"/>
    <w:qFormat/>
    <w:locked/>
    <w:uiPriority w:val="0"/>
    <w:rPr>
      <w:rFonts w:eastAsia="宋体"/>
      <w:kern w:val="2"/>
      <w:sz w:val="21"/>
      <w:lang w:val="en-US" w:eastAsia="zh-CN" w:bidi="ar-SA"/>
    </w:rPr>
  </w:style>
  <w:style w:type="character" w:customStyle="1" w:styleId="73">
    <w:name w:val="标题 6 字符"/>
    <w:link w:val="8"/>
    <w:qFormat/>
    <w:uiPriority w:val="0"/>
    <w:rPr>
      <w:rFonts w:ascii="Arial" w:hAnsi="Arial" w:eastAsia="黑体"/>
      <w:b/>
      <w:bCs/>
      <w:kern w:val="2"/>
      <w:sz w:val="24"/>
      <w:szCs w:val="24"/>
      <w:lang w:val="en-US" w:eastAsia="zh-CN" w:bidi="ar-SA"/>
    </w:rPr>
  </w:style>
  <w:style w:type="character" w:customStyle="1" w:styleId="74">
    <w:name w:val="标题 7 字符"/>
    <w:link w:val="9"/>
    <w:qFormat/>
    <w:uiPriority w:val="0"/>
    <w:rPr>
      <w:rFonts w:ascii="Times New Roman" w:hAnsi="Times New Roman"/>
      <w:b/>
      <w:kern w:val="2"/>
      <w:sz w:val="24"/>
      <w:szCs w:val="24"/>
    </w:rPr>
  </w:style>
  <w:style w:type="character" w:customStyle="1" w:styleId="75">
    <w:name w:val="标题 8 字符"/>
    <w:link w:val="10"/>
    <w:qFormat/>
    <w:uiPriority w:val="0"/>
    <w:rPr>
      <w:rFonts w:ascii="Arial" w:hAnsi="Arial" w:eastAsia="黑体"/>
      <w:kern w:val="2"/>
      <w:sz w:val="24"/>
      <w:szCs w:val="24"/>
    </w:rPr>
  </w:style>
  <w:style w:type="character" w:customStyle="1" w:styleId="76">
    <w:name w:val="标题 9 字符"/>
    <w:link w:val="11"/>
    <w:qFormat/>
    <w:uiPriority w:val="0"/>
    <w:rPr>
      <w:rFonts w:ascii="Arial" w:hAnsi="Arial" w:eastAsia="黑体"/>
      <w:kern w:val="2"/>
      <w:sz w:val="21"/>
      <w:szCs w:val="24"/>
    </w:rPr>
  </w:style>
  <w:style w:type="character" w:customStyle="1" w:styleId="77">
    <w:name w:val="文档结构图 字符"/>
    <w:link w:val="16"/>
    <w:qFormat/>
    <w:uiPriority w:val="0"/>
    <w:rPr>
      <w:kern w:val="2"/>
      <w:sz w:val="21"/>
      <w:szCs w:val="24"/>
      <w:shd w:val="clear" w:color="auto" w:fill="000080"/>
    </w:rPr>
  </w:style>
  <w:style w:type="character" w:customStyle="1" w:styleId="78">
    <w:name w:val="批注文字 字符"/>
    <w:link w:val="18"/>
    <w:qFormat/>
    <w:uiPriority w:val="99"/>
    <w:rPr>
      <w:rFonts w:eastAsia="宋体"/>
      <w:kern w:val="2"/>
      <w:sz w:val="21"/>
      <w:szCs w:val="24"/>
      <w:lang w:val="en-US" w:eastAsia="zh-CN" w:bidi="ar-SA"/>
    </w:rPr>
  </w:style>
  <w:style w:type="character" w:customStyle="1" w:styleId="79">
    <w:name w:val="正文文本 3 字符"/>
    <w:link w:val="19"/>
    <w:qFormat/>
    <w:uiPriority w:val="0"/>
    <w:rPr>
      <w:rFonts w:ascii="宋体" w:hAnsi="宋体"/>
      <w:color w:val="000000"/>
      <w:kern w:val="2"/>
      <w:sz w:val="21"/>
      <w:szCs w:val="21"/>
    </w:rPr>
  </w:style>
  <w:style w:type="character" w:customStyle="1" w:styleId="80">
    <w:name w:val="正文文本缩进 字符"/>
    <w:link w:val="21"/>
    <w:qFormat/>
    <w:uiPriority w:val="0"/>
    <w:rPr>
      <w:rFonts w:eastAsia="宋体"/>
      <w:kern w:val="2"/>
      <w:sz w:val="21"/>
      <w:szCs w:val="24"/>
      <w:lang w:val="en-US" w:eastAsia="zh-CN" w:bidi="ar-SA"/>
    </w:rPr>
  </w:style>
  <w:style w:type="character" w:customStyle="1" w:styleId="81">
    <w:name w:val="纯文本 字符2"/>
    <w:link w:val="27"/>
    <w:qFormat/>
    <w:uiPriority w:val="0"/>
    <w:rPr>
      <w:rFonts w:ascii="宋体" w:hAnsi="Courier New" w:eastAsia="宋体" w:cs="Courier New"/>
      <w:szCs w:val="21"/>
    </w:rPr>
  </w:style>
  <w:style w:type="character" w:customStyle="1" w:styleId="82">
    <w:name w:val="日期 字符"/>
    <w:link w:val="28"/>
    <w:qFormat/>
    <w:uiPriority w:val="0"/>
    <w:rPr>
      <w:kern w:val="2"/>
      <w:sz w:val="21"/>
      <w:szCs w:val="24"/>
    </w:rPr>
  </w:style>
  <w:style w:type="character" w:customStyle="1" w:styleId="83">
    <w:name w:val="正文文本缩进 2 字符"/>
    <w:link w:val="29"/>
    <w:qFormat/>
    <w:uiPriority w:val="0"/>
    <w:rPr>
      <w:kern w:val="2"/>
      <w:sz w:val="24"/>
    </w:rPr>
  </w:style>
  <w:style w:type="character" w:customStyle="1" w:styleId="84">
    <w:name w:val="批注框文本 字符"/>
    <w:link w:val="30"/>
    <w:semiHidden/>
    <w:qFormat/>
    <w:uiPriority w:val="0"/>
    <w:rPr>
      <w:kern w:val="2"/>
      <w:sz w:val="18"/>
      <w:szCs w:val="18"/>
    </w:rPr>
  </w:style>
  <w:style w:type="character" w:customStyle="1" w:styleId="85">
    <w:name w:val="页脚 字符"/>
    <w:link w:val="31"/>
    <w:qFormat/>
    <w:uiPriority w:val="0"/>
    <w:rPr>
      <w:rFonts w:eastAsia="宋体"/>
      <w:kern w:val="2"/>
      <w:sz w:val="18"/>
      <w:szCs w:val="18"/>
      <w:lang w:val="en-US" w:eastAsia="zh-CN" w:bidi="ar-SA"/>
    </w:rPr>
  </w:style>
  <w:style w:type="character" w:customStyle="1" w:styleId="86">
    <w:name w:val="页眉 字符"/>
    <w:link w:val="32"/>
    <w:qFormat/>
    <w:uiPriority w:val="0"/>
    <w:rPr>
      <w:kern w:val="2"/>
      <w:sz w:val="18"/>
      <w:szCs w:val="18"/>
    </w:rPr>
  </w:style>
  <w:style w:type="character" w:customStyle="1" w:styleId="87">
    <w:name w:val="正文文本缩进 3 字符"/>
    <w:link w:val="36"/>
    <w:qFormat/>
    <w:uiPriority w:val="0"/>
    <w:rPr>
      <w:sz w:val="16"/>
      <w:szCs w:val="16"/>
    </w:rPr>
  </w:style>
  <w:style w:type="character" w:customStyle="1" w:styleId="88">
    <w:name w:val="正文文本 2 字符"/>
    <w:link w:val="39"/>
    <w:qFormat/>
    <w:uiPriority w:val="0"/>
    <w:rPr>
      <w:szCs w:val="24"/>
    </w:rPr>
  </w:style>
  <w:style w:type="character" w:customStyle="1" w:styleId="89">
    <w:name w:val="HTML 预设格式 字符"/>
    <w:link w:val="41"/>
    <w:qFormat/>
    <w:uiPriority w:val="0"/>
    <w:rPr>
      <w:rFonts w:ascii="黑体" w:hAnsi="Courier New" w:eastAsia="黑体" w:cs="Courier New"/>
    </w:rPr>
  </w:style>
  <w:style w:type="character" w:customStyle="1" w:styleId="90">
    <w:name w:val="标题 字符"/>
    <w:link w:val="44"/>
    <w:qFormat/>
    <w:uiPriority w:val="0"/>
    <w:rPr>
      <w:rFonts w:ascii="等线 Light" w:hAnsi="等线 Light" w:cs="Times New Roman"/>
      <w:b/>
      <w:bCs/>
      <w:kern w:val="2"/>
      <w:sz w:val="32"/>
      <w:szCs w:val="32"/>
    </w:rPr>
  </w:style>
  <w:style w:type="character" w:customStyle="1" w:styleId="91">
    <w:name w:val="批注主题 字符"/>
    <w:link w:val="45"/>
    <w:semiHidden/>
    <w:qFormat/>
    <w:uiPriority w:val="0"/>
    <w:rPr>
      <w:b/>
      <w:bCs/>
      <w:kern w:val="2"/>
      <w:sz w:val="21"/>
      <w:szCs w:val="24"/>
    </w:rPr>
  </w:style>
  <w:style w:type="character" w:customStyle="1" w:styleId="92">
    <w:name w:val="unnamed11"/>
    <w:qFormat/>
    <w:uiPriority w:val="0"/>
    <w:rPr>
      <w:color w:val="000000"/>
      <w:sz w:val="20"/>
      <w:szCs w:val="20"/>
    </w:rPr>
  </w:style>
  <w:style w:type="character" w:customStyle="1" w:styleId="93">
    <w:name w:val="font21"/>
    <w:qFormat/>
    <w:uiPriority w:val="0"/>
    <w:rPr>
      <w:rFonts w:ascii="宋体" w:hAnsi="宋体" w:eastAsia="宋体" w:cs="宋体"/>
      <w:color w:val="000000"/>
      <w:sz w:val="20"/>
      <w:szCs w:val="20"/>
      <w:u w:val="none"/>
      <w:vertAlign w:val="superscript"/>
    </w:rPr>
  </w:style>
  <w:style w:type="character" w:customStyle="1" w:styleId="94">
    <w:name w:val="Normal Char"/>
    <w:qFormat/>
    <w:uiPriority w:val="0"/>
    <w:rPr>
      <w:rFonts w:ascii="Arial" w:hAnsi="Arial" w:eastAsia="幼圆"/>
      <w:sz w:val="24"/>
      <w:lang w:val="en-US" w:eastAsia="zh-CN" w:bidi="ar-SA"/>
    </w:rPr>
  </w:style>
  <w:style w:type="character" w:customStyle="1" w:styleId="95">
    <w:name w:val="Char Char"/>
    <w:qFormat/>
    <w:locked/>
    <w:uiPriority w:val="0"/>
    <w:rPr>
      <w:rFonts w:ascii="宋体" w:hAnsi="宋体" w:eastAsia="宋体"/>
      <w:kern w:val="2"/>
      <w:sz w:val="21"/>
      <w:szCs w:val="24"/>
      <w:lang w:val="en-US" w:eastAsia="zh-CN" w:bidi="ar-SA"/>
    </w:rPr>
  </w:style>
  <w:style w:type="character" w:customStyle="1" w:styleId="96">
    <w:name w:val="text"/>
    <w:qFormat/>
    <w:uiPriority w:val="0"/>
    <w:rPr>
      <w:rFonts w:cs="Times New Roman"/>
    </w:rPr>
  </w:style>
  <w:style w:type="character" w:customStyle="1" w:styleId="97">
    <w:name w:val="日期 Char1"/>
    <w:qFormat/>
    <w:uiPriority w:val="0"/>
    <w:rPr>
      <w:kern w:val="2"/>
      <w:sz w:val="21"/>
      <w:szCs w:val="24"/>
    </w:rPr>
  </w:style>
  <w:style w:type="character" w:customStyle="1" w:styleId="98">
    <w:name w:val="s2"/>
    <w:qFormat/>
    <w:uiPriority w:val="0"/>
    <w:rPr>
      <w:sz w:val="18"/>
      <w:szCs w:val="18"/>
    </w:rPr>
  </w:style>
  <w:style w:type="character" w:customStyle="1" w:styleId="99">
    <w:name w:val="font_biao_141"/>
    <w:qFormat/>
    <w:uiPriority w:val="0"/>
    <w:rPr>
      <w:b/>
      <w:bCs/>
      <w:color w:val="FF6600"/>
    </w:rPr>
  </w:style>
  <w:style w:type="character" w:customStyle="1" w:styleId="100">
    <w:name w:val="纯文本 Char1"/>
    <w:qFormat/>
    <w:uiPriority w:val="0"/>
    <w:rPr>
      <w:rFonts w:ascii="宋体" w:hAnsi="Courier New"/>
      <w:kern w:val="2"/>
      <w:sz w:val="21"/>
    </w:rPr>
  </w:style>
  <w:style w:type="character" w:customStyle="1" w:styleId="101">
    <w:name w:val="apple-style-span"/>
    <w:qFormat/>
    <w:uiPriority w:val="0"/>
    <w:rPr>
      <w:rFonts w:cs="Times New Roman"/>
    </w:rPr>
  </w:style>
  <w:style w:type="character" w:customStyle="1" w:styleId="102">
    <w:name w:val="font71"/>
    <w:qFormat/>
    <w:uiPriority w:val="0"/>
    <w:rPr>
      <w:rFonts w:hint="eastAsia" w:ascii="宋体" w:hAnsi="宋体" w:eastAsia="宋体" w:cs="宋体"/>
      <w:color w:val="000000"/>
      <w:sz w:val="21"/>
      <w:szCs w:val="21"/>
      <w:u w:val="none"/>
    </w:rPr>
  </w:style>
  <w:style w:type="character" w:customStyle="1" w:styleId="103">
    <w:name w:val="批注文字 Char"/>
    <w:qFormat/>
    <w:uiPriority w:val="0"/>
    <w:rPr>
      <w:rFonts w:eastAsia="宋体"/>
      <w:kern w:val="2"/>
      <w:sz w:val="21"/>
      <w:szCs w:val="24"/>
      <w:lang w:val="en-US" w:eastAsia="zh-CN" w:bidi="ar-SA"/>
    </w:rPr>
  </w:style>
  <w:style w:type="character" w:customStyle="1" w:styleId="104">
    <w:name w:val="hei16b"/>
    <w:qFormat/>
    <w:uiPriority w:val="0"/>
  </w:style>
  <w:style w:type="character" w:customStyle="1" w:styleId="105">
    <w:name w:val="Char Char12"/>
    <w:qFormat/>
    <w:uiPriority w:val="0"/>
    <w:rPr>
      <w:rFonts w:ascii="宋体" w:hAnsi="Courier New" w:eastAsia="宋体"/>
      <w:szCs w:val="21"/>
      <w:lang w:bidi="ar-SA"/>
    </w:rPr>
  </w:style>
  <w:style w:type="character" w:customStyle="1" w:styleId="106">
    <w:name w:val="graytext1"/>
    <w:qFormat/>
    <w:uiPriority w:val="0"/>
    <w:rPr>
      <w:color w:val="666666"/>
    </w:rPr>
  </w:style>
  <w:style w:type="character" w:customStyle="1" w:styleId="107">
    <w:name w:val="纯文本 字符1"/>
    <w:qFormat/>
    <w:uiPriority w:val="0"/>
    <w:rPr>
      <w:rFonts w:ascii="宋体" w:hAnsi="Courier New" w:eastAsia="宋体"/>
      <w:kern w:val="2"/>
      <w:sz w:val="21"/>
      <w:lang w:val="en-US" w:eastAsia="zh-CN" w:bidi="ar-SA"/>
    </w:rPr>
  </w:style>
  <w:style w:type="character" w:customStyle="1" w:styleId="108">
    <w:name w:val="Char Char1"/>
    <w:qFormat/>
    <w:uiPriority w:val="0"/>
    <w:rPr>
      <w:rFonts w:eastAsia="宋体"/>
      <w:kern w:val="2"/>
      <w:sz w:val="21"/>
      <w:szCs w:val="24"/>
      <w:lang w:val="en-US" w:eastAsia="zh-CN" w:bidi="ar-SA"/>
    </w:rPr>
  </w:style>
  <w:style w:type="character" w:customStyle="1" w:styleId="109">
    <w:name w:val="style18"/>
    <w:qFormat/>
    <w:uiPriority w:val="0"/>
  </w:style>
  <w:style w:type="character" w:customStyle="1" w:styleId="110">
    <w:name w:val="body1"/>
    <w:qFormat/>
    <w:uiPriority w:val="0"/>
    <w:rPr>
      <w:rFonts w:hint="default" w:ascii="Verdana" w:hAnsi="Verdana"/>
      <w:color w:val="000000"/>
      <w:sz w:val="19"/>
      <w:szCs w:val="19"/>
    </w:rPr>
  </w:style>
  <w:style w:type="character" w:customStyle="1" w:styleId="111">
    <w:name w:val="Char Char15"/>
    <w:qFormat/>
    <w:uiPriority w:val="0"/>
    <w:rPr>
      <w:rFonts w:ascii="Arial" w:hAnsi="Arial" w:eastAsia="黑体"/>
      <w:kern w:val="2"/>
      <w:sz w:val="24"/>
      <w:szCs w:val="24"/>
      <w:lang w:val="en-US" w:eastAsia="zh-CN" w:bidi="ar-SA"/>
    </w:rPr>
  </w:style>
  <w:style w:type="character" w:customStyle="1" w:styleId="112">
    <w:name w:val="Char Char20"/>
    <w:qFormat/>
    <w:uiPriority w:val="0"/>
    <w:rPr>
      <w:rFonts w:ascii="宋体" w:hAnsi="Courier New" w:eastAsia="宋体"/>
      <w:b/>
      <w:bCs/>
      <w:kern w:val="2"/>
      <w:sz w:val="28"/>
      <w:szCs w:val="28"/>
      <w:lang w:val="en-US" w:eastAsia="zh-CN" w:bidi="ar-SA"/>
    </w:rPr>
  </w:style>
  <w:style w:type="character" w:customStyle="1" w:styleId="113">
    <w:name w:val="small"/>
    <w:qFormat/>
    <w:uiPriority w:val="0"/>
  </w:style>
  <w:style w:type="character" w:customStyle="1" w:styleId="114">
    <w:name w:val="页眉 Char"/>
    <w:qFormat/>
    <w:uiPriority w:val="99"/>
    <w:rPr>
      <w:rFonts w:eastAsia="宋体"/>
      <w:kern w:val="2"/>
      <w:sz w:val="18"/>
      <w:szCs w:val="18"/>
      <w:lang w:val="en-US" w:eastAsia="zh-CN" w:bidi="ar-SA"/>
    </w:rPr>
  </w:style>
  <w:style w:type="character" w:customStyle="1" w:styleId="115">
    <w:name w:val="样式 标题 2 + 仿宋_GB2312 Char"/>
    <w:qFormat/>
    <w:uiPriority w:val="0"/>
    <w:rPr>
      <w:rFonts w:ascii="仿宋_GB2312" w:hAnsi="仿宋_GB2312" w:eastAsia="仿宋_GB2312"/>
      <w:kern w:val="2"/>
      <w:sz w:val="24"/>
      <w:szCs w:val="32"/>
      <w:lang w:val="en-US" w:eastAsia="zh-CN" w:bidi="ar-SA"/>
    </w:rPr>
  </w:style>
  <w:style w:type="character" w:customStyle="1" w:styleId="116">
    <w:name w:val="文档结构图 Char1"/>
    <w:qFormat/>
    <w:uiPriority w:val="0"/>
    <w:rPr>
      <w:rFonts w:ascii="宋体"/>
      <w:kern w:val="2"/>
      <w:sz w:val="18"/>
      <w:szCs w:val="18"/>
    </w:rPr>
  </w:style>
  <w:style w:type="character" w:customStyle="1" w:styleId="117">
    <w:name w:val="普通文字 Char Char5"/>
    <w:qFormat/>
    <w:uiPriority w:val="0"/>
    <w:rPr>
      <w:rFonts w:ascii="宋体" w:hAnsi="Courier New" w:eastAsia="宋体"/>
      <w:szCs w:val="21"/>
      <w:lang w:bidi="ar-SA"/>
    </w:rPr>
  </w:style>
  <w:style w:type="character" w:customStyle="1" w:styleId="118">
    <w:name w:val="Char Char16"/>
    <w:qFormat/>
    <w:uiPriority w:val="0"/>
    <w:rPr>
      <w:rFonts w:ascii="Arial" w:hAnsi="Arial" w:eastAsia="黑体"/>
      <w:kern w:val="2"/>
      <w:sz w:val="21"/>
      <w:lang w:val="en-US" w:eastAsia="zh-CN" w:bidi="ar-SA"/>
    </w:rPr>
  </w:style>
  <w:style w:type="character" w:customStyle="1" w:styleId="119">
    <w:name w:val="普通文字 Char Char2"/>
    <w:qFormat/>
    <w:uiPriority w:val="0"/>
    <w:rPr>
      <w:rFonts w:ascii="宋体" w:hAnsi="Courier New" w:eastAsia="宋体" w:cs="Courier New"/>
      <w:szCs w:val="21"/>
    </w:rPr>
  </w:style>
  <w:style w:type="character" w:customStyle="1" w:styleId="120">
    <w:name w:val="Char Char18"/>
    <w:qFormat/>
    <w:uiPriority w:val="0"/>
    <w:rPr>
      <w:rFonts w:ascii="宋体" w:hAnsi="Courier New" w:eastAsia="宋体"/>
      <w:b/>
      <w:bCs/>
      <w:kern w:val="2"/>
      <w:sz w:val="24"/>
      <w:szCs w:val="24"/>
      <w:lang w:val="en-US" w:eastAsia="zh-CN" w:bidi="ar-SA"/>
    </w:rPr>
  </w:style>
  <w:style w:type="character" w:customStyle="1" w:styleId="121">
    <w:name w:val="文档结构图 字符1"/>
    <w:qFormat/>
    <w:uiPriority w:val="0"/>
    <w:rPr>
      <w:rFonts w:ascii="Microsoft YaHei UI" w:eastAsia="Microsoft YaHei UI"/>
      <w:kern w:val="2"/>
      <w:sz w:val="18"/>
      <w:szCs w:val="18"/>
    </w:rPr>
  </w:style>
  <w:style w:type="character" w:customStyle="1" w:styleId="122">
    <w:name w:val="textcontents"/>
    <w:qFormat/>
    <w:uiPriority w:val="0"/>
  </w:style>
  <w:style w:type="character" w:customStyle="1" w:styleId="123">
    <w:name w:val="Char Char6"/>
    <w:qFormat/>
    <w:uiPriority w:val="0"/>
    <w:rPr>
      <w:rFonts w:eastAsia="宋体"/>
      <w:kern w:val="2"/>
      <w:sz w:val="21"/>
      <w:szCs w:val="24"/>
      <w:lang w:val="en-US" w:eastAsia="zh-CN" w:bidi="ar-SA"/>
    </w:rPr>
  </w:style>
  <w:style w:type="character" w:customStyle="1" w:styleId="124">
    <w:name w:val="Char Char2"/>
    <w:qFormat/>
    <w:uiPriority w:val="0"/>
    <w:rPr>
      <w:b/>
      <w:bCs/>
      <w:kern w:val="2"/>
      <w:sz w:val="32"/>
      <w:szCs w:val="32"/>
    </w:rPr>
  </w:style>
  <w:style w:type="character" w:customStyle="1" w:styleId="125">
    <w:name w:val="链接"/>
    <w:qFormat/>
    <w:uiPriority w:val="0"/>
    <w:rPr>
      <w:rFonts w:ascii="Times New Roman" w:eastAsia="宋体"/>
      <w:color w:val="0000FF"/>
      <w:sz w:val="21"/>
      <w:u w:val="single" w:color="0000FF"/>
      <w:vertAlign w:val="baseline"/>
      <w:lang w:val="en-US" w:eastAsia="zh-CN"/>
    </w:rPr>
  </w:style>
  <w:style w:type="character" w:customStyle="1" w:styleId="126">
    <w:name w:val="arr"/>
    <w:qFormat/>
    <w:uiPriority w:val="0"/>
  </w:style>
  <w:style w:type="character" w:customStyle="1" w:styleId="127">
    <w:name w:val="列表段落 字符"/>
    <w:link w:val="128"/>
    <w:qFormat/>
    <w:locked/>
    <w:uiPriority w:val="0"/>
    <w:rPr>
      <w:rFonts w:ascii="Arial" w:hAnsi="Arial"/>
      <w:kern w:val="2"/>
      <w:sz w:val="22"/>
      <w:lang w:bidi="ar-SA"/>
    </w:rPr>
  </w:style>
  <w:style w:type="paragraph" w:styleId="128">
    <w:name w:val="List Paragraph"/>
    <w:basedOn w:val="1"/>
    <w:link w:val="127"/>
    <w:qFormat/>
    <w:uiPriority w:val="34"/>
    <w:pPr>
      <w:ind w:firstLine="420"/>
    </w:pPr>
    <w:rPr>
      <w:rFonts w:ascii="Arial" w:hAnsi="Arial"/>
      <w:sz w:val="22"/>
      <w:szCs w:val="20"/>
    </w:rPr>
  </w:style>
  <w:style w:type="character" w:customStyle="1" w:styleId="129">
    <w:name w:val="HTML 预设格式 字符1"/>
    <w:qFormat/>
    <w:uiPriority w:val="0"/>
    <w:rPr>
      <w:rFonts w:ascii="Courier New" w:hAnsi="Courier New" w:cs="Courier New"/>
      <w:kern w:val="2"/>
    </w:rPr>
  </w:style>
  <w:style w:type="character" w:customStyle="1" w:styleId="130">
    <w:name w:val="页脚 Char"/>
    <w:qFormat/>
    <w:uiPriority w:val="99"/>
    <w:rPr>
      <w:kern w:val="2"/>
      <w:sz w:val="18"/>
      <w:szCs w:val="18"/>
    </w:rPr>
  </w:style>
  <w:style w:type="character" w:customStyle="1" w:styleId="131">
    <w:name w:val="Char Char9"/>
    <w:qFormat/>
    <w:uiPriority w:val="0"/>
    <w:rPr>
      <w:rFonts w:eastAsia="宋体"/>
      <w:b/>
      <w:bCs/>
      <w:kern w:val="2"/>
      <w:sz w:val="21"/>
      <w:szCs w:val="24"/>
      <w:lang w:val="en-US" w:eastAsia="zh-CN" w:bidi="ar-SA"/>
    </w:rPr>
  </w:style>
  <w:style w:type="character" w:customStyle="1" w:styleId="132">
    <w:name w:val="content1"/>
    <w:qFormat/>
    <w:uiPriority w:val="0"/>
    <w:rPr>
      <w:rFonts w:hint="default" w:ascii="Ђˎ̥" w:hAnsi="Ђˎ̥"/>
      <w:sz w:val="21"/>
      <w:szCs w:val="21"/>
    </w:rPr>
  </w:style>
  <w:style w:type="character" w:customStyle="1" w:styleId="133">
    <w:name w:val="Char Char17"/>
    <w:qFormat/>
    <w:uiPriority w:val="0"/>
    <w:rPr>
      <w:rFonts w:ascii="Arial" w:hAnsi="Arial" w:eastAsia="黑体"/>
      <w:kern w:val="2"/>
      <w:sz w:val="24"/>
      <w:lang w:val="en-US" w:eastAsia="zh-CN" w:bidi="ar-SA"/>
    </w:rPr>
  </w:style>
  <w:style w:type="character" w:customStyle="1" w:styleId="134">
    <w:name w:val="Char Char61"/>
    <w:qFormat/>
    <w:uiPriority w:val="0"/>
    <w:rPr>
      <w:rFonts w:eastAsia="宋体"/>
      <w:kern w:val="2"/>
      <w:sz w:val="21"/>
      <w:szCs w:val="24"/>
      <w:lang w:val="en-US" w:eastAsia="zh-CN" w:bidi="ar-SA"/>
    </w:rPr>
  </w:style>
  <w:style w:type="character" w:customStyle="1" w:styleId="135">
    <w:name w:val="正文文本 2 字符1"/>
    <w:qFormat/>
    <w:uiPriority w:val="0"/>
    <w:rPr>
      <w:kern w:val="2"/>
      <w:sz w:val="21"/>
      <w:szCs w:val="24"/>
    </w:rPr>
  </w:style>
  <w:style w:type="character" w:customStyle="1" w:styleId="136">
    <w:name w:val="px141"/>
    <w:qFormat/>
    <w:uiPriority w:val="0"/>
    <w:rPr>
      <w:sz w:val="21"/>
      <w:szCs w:val="21"/>
    </w:rPr>
  </w:style>
  <w:style w:type="character" w:customStyle="1" w:styleId="137">
    <w:name w:val="contentheaderrev1"/>
    <w:qFormat/>
    <w:uiPriority w:val="0"/>
    <w:rPr>
      <w:rFonts w:hint="default" w:ascii="Arial" w:hAnsi="Arial" w:cs="Arial"/>
      <w:b/>
      <w:bCs/>
      <w:color w:val="FFFFFF"/>
      <w:sz w:val="18"/>
      <w:szCs w:val="18"/>
      <w:u w:val="none"/>
    </w:rPr>
  </w:style>
  <w:style w:type="character" w:customStyle="1" w:styleId="138">
    <w:name w:val="Char Char24"/>
    <w:qFormat/>
    <w:uiPriority w:val="0"/>
    <w:rPr>
      <w:rFonts w:eastAsia="宋体"/>
      <w:b/>
      <w:kern w:val="2"/>
      <w:sz w:val="21"/>
      <w:szCs w:val="24"/>
      <w:lang w:val="en-US" w:eastAsia="zh-CN" w:bidi="ar-SA"/>
    </w:rPr>
  </w:style>
  <w:style w:type="character" w:customStyle="1" w:styleId="139">
    <w:name w:val="style41"/>
    <w:qFormat/>
    <w:uiPriority w:val="0"/>
  </w:style>
  <w:style w:type="character" w:customStyle="1" w:styleId="140">
    <w:name w:val="apple-converted-space"/>
    <w:qFormat/>
    <w:uiPriority w:val="0"/>
  </w:style>
  <w:style w:type="character" w:customStyle="1" w:styleId="141">
    <w:name w:val="正文文本缩进 2 字符1"/>
    <w:qFormat/>
    <w:uiPriority w:val="0"/>
    <w:rPr>
      <w:kern w:val="2"/>
      <w:sz w:val="21"/>
      <w:szCs w:val="24"/>
    </w:rPr>
  </w:style>
  <w:style w:type="character" w:customStyle="1" w:styleId="142">
    <w:name w:val="_Style 135"/>
    <w:unhideWhenUsed/>
    <w:qFormat/>
    <w:uiPriority w:val="99"/>
    <w:rPr>
      <w:color w:val="605E5C"/>
      <w:shd w:val="clear" w:color="auto" w:fill="E1DFDD"/>
    </w:rPr>
  </w:style>
  <w:style w:type="character" w:customStyle="1" w:styleId="143">
    <w:name w:val="正文文本 2 Char1"/>
    <w:qFormat/>
    <w:uiPriority w:val="0"/>
    <w:rPr>
      <w:kern w:val="2"/>
      <w:sz w:val="21"/>
      <w:szCs w:val="24"/>
    </w:rPr>
  </w:style>
  <w:style w:type="character" w:customStyle="1" w:styleId="144">
    <w:name w:val="正文文本 Char1"/>
    <w:qFormat/>
    <w:uiPriority w:val="0"/>
    <w:rPr>
      <w:kern w:val="2"/>
      <w:sz w:val="21"/>
      <w:szCs w:val="24"/>
    </w:rPr>
  </w:style>
  <w:style w:type="character" w:customStyle="1" w:styleId="145">
    <w:name w:val="close8"/>
    <w:qFormat/>
    <w:uiPriority w:val="0"/>
  </w:style>
  <w:style w:type="character" w:customStyle="1" w:styleId="146">
    <w:name w:val="hei16b1"/>
    <w:qFormat/>
    <w:uiPriority w:val="0"/>
    <w:rPr>
      <w:rFonts w:hint="default" w:ascii="Arial" w:hAnsi="Arial" w:cs="Arial"/>
      <w:b/>
      <w:bCs/>
      <w:color w:val="000000"/>
      <w:sz w:val="24"/>
      <w:szCs w:val="24"/>
    </w:rPr>
  </w:style>
  <w:style w:type="character" w:customStyle="1" w:styleId="147">
    <w:name w:val="close"/>
    <w:qFormat/>
    <w:uiPriority w:val="0"/>
  </w:style>
  <w:style w:type="character" w:customStyle="1" w:styleId="148">
    <w:name w:val="style9"/>
    <w:qFormat/>
    <w:uiPriority w:val="0"/>
  </w:style>
  <w:style w:type="character" w:customStyle="1" w:styleId="149">
    <w:name w:val="正文文本缩进 2 Char1"/>
    <w:qFormat/>
    <w:uiPriority w:val="0"/>
    <w:rPr>
      <w:kern w:val="2"/>
      <w:sz w:val="21"/>
      <w:szCs w:val="24"/>
    </w:rPr>
  </w:style>
  <w:style w:type="character" w:customStyle="1" w:styleId="150">
    <w:name w:val="已访问的超链接1"/>
    <w:unhideWhenUsed/>
    <w:qFormat/>
    <w:uiPriority w:val="99"/>
    <w:rPr>
      <w:color w:val="800080"/>
      <w:u w:val="single"/>
    </w:rPr>
  </w:style>
  <w:style w:type="character" w:customStyle="1" w:styleId="151">
    <w:name w:val="f16b1"/>
    <w:qFormat/>
    <w:uiPriority w:val="0"/>
    <w:rPr>
      <w:b/>
      <w:bCs/>
      <w:color w:val="333333"/>
      <w:sz w:val="22"/>
      <w:szCs w:val="22"/>
    </w:rPr>
  </w:style>
  <w:style w:type="character" w:customStyle="1" w:styleId="152">
    <w:name w:val="纯文本 Char"/>
    <w:qFormat/>
    <w:uiPriority w:val="0"/>
    <w:rPr>
      <w:rFonts w:ascii="宋体" w:hAnsi="Courier New" w:eastAsia="宋体" w:cs="Courier New"/>
      <w:szCs w:val="21"/>
    </w:rPr>
  </w:style>
  <w:style w:type="character" w:customStyle="1" w:styleId="153">
    <w:name w:val="font31"/>
    <w:basedOn w:val="51"/>
    <w:qFormat/>
    <w:uiPriority w:val="0"/>
    <w:rPr>
      <w:rFonts w:hint="default" w:ascii="Arial Narrow" w:hAnsi="Arial Narrow" w:eastAsia="Arial Narrow" w:cs="Arial Narrow"/>
      <w:color w:val="FF0000"/>
      <w:sz w:val="22"/>
      <w:szCs w:val="22"/>
      <w:u w:val="none"/>
    </w:rPr>
  </w:style>
  <w:style w:type="character" w:customStyle="1" w:styleId="154">
    <w:name w:val="正文文本缩进 3 字符1"/>
    <w:qFormat/>
    <w:uiPriority w:val="0"/>
    <w:rPr>
      <w:kern w:val="2"/>
      <w:sz w:val="16"/>
      <w:szCs w:val="16"/>
    </w:rPr>
  </w:style>
  <w:style w:type="character" w:customStyle="1" w:styleId="155">
    <w:name w:val="普通文字 Char Char1 Char"/>
    <w:qFormat/>
    <w:locked/>
    <w:uiPriority w:val="0"/>
    <w:rPr>
      <w:rFonts w:ascii="宋体" w:hAnsi="Courier New" w:eastAsia="宋体" w:cs="宋体"/>
      <w:kern w:val="2"/>
      <w:sz w:val="21"/>
      <w:szCs w:val="21"/>
      <w:lang w:val="en-US" w:eastAsia="zh-CN"/>
    </w:rPr>
  </w:style>
  <w:style w:type="character" w:customStyle="1" w:styleId="156">
    <w:name w:val="font141"/>
    <w:qFormat/>
    <w:uiPriority w:val="0"/>
    <w:rPr>
      <w:rFonts w:hint="default" w:ascii="Verdana" w:hAnsi="Verdana"/>
      <w:b/>
      <w:bCs/>
      <w:color w:val="585858"/>
      <w:sz w:val="18"/>
      <w:szCs w:val="18"/>
      <w:u w:val="none"/>
    </w:rPr>
  </w:style>
  <w:style w:type="character" w:customStyle="1" w:styleId="157">
    <w:name w:val="font51"/>
    <w:basedOn w:val="51"/>
    <w:qFormat/>
    <w:uiPriority w:val="0"/>
    <w:rPr>
      <w:rFonts w:hint="eastAsia" w:ascii="宋体" w:hAnsi="宋体" w:eastAsia="宋体" w:cs="宋体"/>
      <w:color w:val="000000"/>
      <w:sz w:val="21"/>
      <w:szCs w:val="21"/>
      <w:u w:val="none"/>
      <w:vertAlign w:val="superscript"/>
    </w:rPr>
  </w:style>
  <w:style w:type="character" w:customStyle="1" w:styleId="158">
    <w:name w:val="font01"/>
    <w:qFormat/>
    <w:uiPriority w:val="0"/>
    <w:rPr>
      <w:rFonts w:ascii="宋体" w:hAnsi="宋体" w:eastAsia="宋体" w:cs="宋体"/>
      <w:color w:val="000000"/>
      <w:sz w:val="20"/>
      <w:szCs w:val="20"/>
      <w:u w:val="none"/>
    </w:rPr>
  </w:style>
  <w:style w:type="character" w:customStyle="1" w:styleId="159">
    <w:name w:val="页眉 字符1"/>
    <w:qFormat/>
    <w:uiPriority w:val="99"/>
    <w:rPr>
      <w:kern w:val="2"/>
      <w:sz w:val="18"/>
      <w:szCs w:val="18"/>
    </w:rPr>
  </w:style>
  <w:style w:type="character" w:customStyle="1" w:styleId="160">
    <w:name w:val="正文文本缩进 3 Char1"/>
    <w:qFormat/>
    <w:uiPriority w:val="0"/>
    <w:rPr>
      <w:kern w:val="2"/>
      <w:sz w:val="16"/>
      <w:szCs w:val="16"/>
    </w:rPr>
  </w:style>
  <w:style w:type="character" w:customStyle="1" w:styleId="161">
    <w:name w:val="Char Char10"/>
    <w:qFormat/>
    <w:uiPriority w:val="0"/>
    <w:rPr>
      <w:rFonts w:eastAsia="宋体"/>
      <w:kern w:val="2"/>
      <w:sz w:val="21"/>
      <w:szCs w:val="24"/>
      <w:lang w:val="en-US" w:eastAsia="zh-CN" w:bidi="ar-SA"/>
    </w:rPr>
  </w:style>
  <w:style w:type="character" w:customStyle="1" w:styleId="162">
    <w:name w:val="Char Char121"/>
    <w:qFormat/>
    <w:locked/>
    <w:uiPriority w:val="0"/>
    <w:rPr>
      <w:rFonts w:ascii="宋体" w:hAnsi="Courier New" w:eastAsia="宋体"/>
      <w:szCs w:val="21"/>
      <w:lang w:bidi="ar-SA"/>
    </w:rPr>
  </w:style>
  <w:style w:type="character" w:customStyle="1" w:styleId="163">
    <w:name w:val="Char Char13"/>
    <w:qFormat/>
    <w:uiPriority w:val="0"/>
    <w:rPr>
      <w:rFonts w:ascii="Calibri" w:hAnsi="Calibri" w:eastAsia="宋体"/>
      <w:kern w:val="2"/>
      <w:sz w:val="18"/>
      <w:szCs w:val="18"/>
      <w:lang w:val="en-US" w:eastAsia="zh-CN" w:bidi="ar-SA"/>
    </w:rPr>
  </w:style>
  <w:style w:type="character" w:customStyle="1" w:styleId="164">
    <w:name w:val="font-title-blue-021"/>
    <w:qFormat/>
    <w:uiPriority w:val="0"/>
    <w:rPr>
      <w:b/>
      <w:bCs/>
      <w:color w:val="005DC4"/>
      <w:sz w:val="21"/>
      <w:szCs w:val="21"/>
    </w:rPr>
  </w:style>
  <w:style w:type="character" w:customStyle="1" w:styleId="165">
    <w:name w:val="HTML 预设格式 Char1"/>
    <w:qFormat/>
    <w:uiPriority w:val="0"/>
    <w:rPr>
      <w:rFonts w:ascii="Courier New" w:hAnsi="Courier New" w:cs="Courier New"/>
      <w:kern w:val="2"/>
    </w:rPr>
  </w:style>
  <w:style w:type="character" w:customStyle="1" w:styleId="166">
    <w:name w:val="font61"/>
    <w:qFormat/>
    <w:uiPriority w:val="0"/>
    <w:rPr>
      <w:rFonts w:hint="default" w:ascii="Times New Roman" w:hAnsi="Times New Roman" w:cs="Times New Roman"/>
      <w:color w:val="000000"/>
      <w:sz w:val="21"/>
      <w:szCs w:val="21"/>
      <w:u w:val="none"/>
    </w:rPr>
  </w:style>
  <w:style w:type="character" w:customStyle="1" w:styleId="167">
    <w:name w:val="text11"/>
    <w:qFormat/>
    <w:uiPriority w:val="0"/>
    <w:rPr>
      <w:rFonts w:hint="default" w:ascii="Verdana" w:hAnsi="Verdana"/>
      <w:color w:val="4E4E4E"/>
      <w:sz w:val="18"/>
    </w:rPr>
  </w:style>
  <w:style w:type="character" w:customStyle="1" w:styleId="168">
    <w:name w:val="pricing1"/>
    <w:qFormat/>
    <w:uiPriority w:val="0"/>
    <w:rPr>
      <w:rFonts w:hint="default" w:ascii="Helvetica" w:hAnsi="Helvetica"/>
      <w:color w:val="000000"/>
      <w:sz w:val="17"/>
      <w:szCs w:val="17"/>
    </w:rPr>
  </w:style>
  <w:style w:type="character" w:customStyle="1" w:styleId="169">
    <w:name w:val="List Paragraph Char"/>
    <w:link w:val="170"/>
    <w:qFormat/>
    <w:uiPriority w:val="0"/>
  </w:style>
  <w:style w:type="paragraph" w:customStyle="1" w:styleId="170">
    <w:name w:val="列出段落2"/>
    <w:basedOn w:val="1"/>
    <w:link w:val="169"/>
    <w:qFormat/>
    <w:uiPriority w:val="0"/>
    <w:pPr>
      <w:ind w:firstLine="420" w:firstLineChars="200"/>
    </w:pPr>
    <w:rPr>
      <w:kern w:val="0"/>
      <w:sz w:val="20"/>
      <w:szCs w:val="20"/>
    </w:rPr>
  </w:style>
  <w:style w:type="character" w:customStyle="1" w:styleId="171">
    <w:name w:val="纯文本 字符3"/>
    <w:qFormat/>
    <w:uiPriority w:val="0"/>
    <w:rPr>
      <w:rFonts w:ascii="宋体" w:hAnsi="Courier New" w:eastAsia="宋体"/>
      <w:kern w:val="2"/>
      <w:sz w:val="21"/>
      <w:szCs w:val="20"/>
      <w:lang w:val="en-US" w:eastAsia="zh-CN" w:bidi="ar-SA"/>
    </w:rPr>
  </w:style>
  <w:style w:type="character" w:customStyle="1" w:styleId="172">
    <w:name w:val="huei12b1"/>
    <w:qFormat/>
    <w:uiPriority w:val="0"/>
    <w:rPr>
      <w:b/>
      <w:bCs/>
      <w:color w:val="333333"/>
      <w:sz w:val="18"/>
      <w:szCs w:val="18"/>
    </w:rPr>
  </w:style>
  <w:style w:type="character" w:customStyle="1" w:styleId="173">
    <w:name w:val="case31"/>
    <w:qFormat/>
    <w:uiPriority w:val="0"/>
    <w:rPr>
      <w:rFonts w:hint="default" w:ascii="_x000B__x000C_" w:hAnsi="_x000B__x000C_"/>
      <w:sz w:val="21"/>
      <w:szCs w:val="21"/>
    </w:rPr>
  </w:style>
  <w:style w:type="character" w:customStyle="1" w:styleId="174">
    <w:name w:val="Char Char23"/>
    <w:qFormat/>
    <w:uiPriority w:val="0"/>
    <w:rPr>
      <w:rFonts w:ascii="Arial" w:hAnsi="Arial" w:eastAsia="黑体"/>
      <w:b/>
      <w:bCs/>
      <w:kern w:val="2"/>
      <w:sz w:val="32"/>
      <w:szCs w:val="32"/>
      <w:lang w:val="en-US" w:eastAsia="zh-CN" w:bidi="ar-SA"/>
    </w:rPr>
  </w:style>
  <w:style w:type="character" w:customStyle="1" w:styleId="175">
    <w:name w:val="Char Char101"/>
    <w:qFormat/>
    <w:locked/>
    <w:uiPriority w:val="0"/>
    <w:rPr>
      <w:rFonts w:ascii="宋体" w:hAnsi="宋体" w:eastAsia="宋体"/>
      <w:kern w:val="2"/>
      <w:sz w:val="21"/>
      <w:szCs w:val="24"/>
      <w:lang w:val="en-US" w:eastAsia="zh-CN" w:bidi="ar-SA"/>
    </w:rPr>
  </w:style>
  <w:style w:type="character" w:customStyle="1" w:styleId="176">
    <w:name w:val="qowt-font4"/>
    <w:qFormat/>
    <w:uiPriority w:val="0"/>
  </w:style>
  <w:style w:type="character" w:customStyle="1" w:styleId="177">
    <w:name w:val="Char Char14"/>
    <w:qFormat/>
    <w:uiPriority w:val="0"/>
    <w:rPr>
      <w:rFonts w:ascii="Calibri" w:hAnsi="Calibri" w:eastAsia="宋体"/>
      <w:kern w:val="2"/>
      <w:sz w:val="18"/>
      <w:szCs w:val="18"/>
      <w:lang w:val="en-US" w:eastAsia="zh-CN" w:bidi="ar-SA"/>
    </w:rPr>
  </w:style>
  <w:style w:type="character" w:customStyle="1" w:styleId="178">
    <w:name w:val="s22"/>
    <w:qFormat/>
    <w:uiPriority w:val="0"/>
    <w:rPr>
      <w:color w:val="666666"/>
      <w:sz w:val="18"/>
      <w:szCs w:val="18"/>
    </w:rPr>
  </w:style>
  <w:style w:type="character" w:customStyle="1" w:styleId="179">
    <w:name w:val="daohang style17"/>
    <w:qFormat/>
    <w:uiPriority w:val="0"/>
  </w:style>
  <w:style w:type="character" w:customStyle="1" w:styleId="180">
    <w:name w:val="font41"/>
    <w:basedOn w:val="51"/>
    <w:qFormat/>
    <w:uiPriority w:val="0"/>
    <w:rPr>
      <w:rFonts w:hint="eastAsia" w:ascii="宋体" w:hAnsi="宋体" w:eastAsia="宋体" w:cs="宋体"/>
      <w:color w:val="FF0000"/>
      <w:sz w:val="22"/>
      <w:szCs w:val="22"/>
      <w:u w:val="none"/>
    </w:rPr>
  </w:style>
  <w:style w:type="character" w:customStyle="1" w:styleId="181">
    <w:name w:val="style61"/>
    <w:qFormat/>
    <w:uiPriority w:val="0"/>
    <w:rPr>
      <w:color w:val="FAB420"/>
    </w:rPr>
  </w:style>
  <w:style w:type="character" w:customStyle="1" w:styleId="182">
    <w:name w:val="Char Char22"/>
    <w:qFormat/>
    <w:uiPriority w:val="0"/>
    <w:rPr>
      <w:rFonts w:eastAsia="宋体"/>
      <w:b/>
      <w:bCs/>
      <w:kern w:val="2"/>
      <w:sz w:val="32"/>
      <w:szCs w:val="32"/>
      <w:lang w:val="en-US" w:eastAsia="zh-CN" w:bidi="ar-SA"/>
    </w:rPr>
  </w:style>
  <w:style w:type="character" w:customStyle="1" w:styleId="183">
    <w:name w:val="Char Char19"/>
    <w:qFormat/>
    <w:uiPriority w:val="0"/>
    <w:rPr>
      <w:rFonts w:ascii="Arial" w:hAnsi="Arial" w:eastAsia="黑体"/>
      <w:b/>
      <w:bCs/>
      <w:kern w:val="2"/>
      <w:sz w:val="24"/>
      <w:szCs w:val="24"/>
      <w:lang w:val="en-US" w:eastAsia="zh-CN" w:bidi="ar-SA"/>
    </w:rPr>
  </w:style>
  <w:style w:type="character" w:customStyle="1" w:styleId="184">
    <w:name w:val="纯文本 字符"/>
    <w:qFormat/>
    <w:uiPriority w:val="0"/>
    <w:rPr>
      <w:rFonts w:ascii="宋体" w:hAnsi="Courier New" w:eastAsia="宋体"/>
      <w:kern w:val="2"/>
      <w:sz w:val="21"/>
      <w:lang w:val="en-US" w:eastAsia="zh-CN" w:bidi="ar-SA"/>
    </w:rPr>
  </w:style>
  <w:style w:type="character" w:customStyle="1" w:styleId="185">
    <w:name w:val="Char Char5"/>
    <w:qFormat/>
    <w:locked/>
    <w:uiPriority w:val="0"/>
    <w:rPr>
      <w:rFonts w:cs="Times New Roman"/>
      <w:sz w:val="21"/>
      <w:szCs w:val="21"/>
    </w:rPr>
  </w:style>
  <w:style w:type="character" w:customStyle="1" w:styleId="186">
    <w:name w:val="批注文字 Char1"/>
    <w:semiHidden/>
    <w:qFormat/>
    <w:locked/>
    <w:uiPriority w:val="0"/>
    <w:rPr>
      <w:kern w:val="2"/>
      <w:sz w:val="21"/>
      <w:szCs w:val="24"/>
    </w:rPr>
  </w:style>
  <w:style w:type="character" w:customStyle="1" w:styleId="187">
    <w:name w:val="s23"/>
    <w:qFormat/>
    <w:uiPriority w:val="0"/>
    <w:rPr>
      <w:sz w:val="18"/>
      <w:szCs w:val="18"/>
    </w:rPr>
  </w:style>
  <w:style w:type="character" w:customStyle="1" w:styleId="188">
    <w:name w:val="s21"/>
    <w:qFormat/>
    <w:uiPriority w:val="0"/>
    <w:rPr>
      <w:sz w:val="18"/>
      <w:szCs w:val="18"/>
    </w:rPr>
  </w:style>
  <w:style w:type="character" w:customStyle="1" w:styleId="189">
    <w:name w:val="正文文本缩进 Char1"/>
    <w:qFormat/>
    <w:uiPriority w:val="0"/>
    <w:rPr>
      <w:kern w:val="2"/>
      <w:sz w:val="21"/>
      <w:szCs w:val="24"/>
    </w:rPr>
  </w:style>
  <w:style w:type="character" w:customStyle="1" w:styleId="190">
    <w:name w:val="font12-blue-bold1"/>
    <w:qFormat/>
    <w:uiPriority w:val="0"/>
    <w:rPr>
      <w:b/>
      <w:bCs/>
      <w:color w:val="0249A5"/>
      <w:sz w:val="18"/>
      <w:szCs w:val="18"/>
      <w:u w:val="none"/>
    </w:rPr>
  </w:style>
  <w:style w:type="character" w:customStyle="1" w:styleId="191">
    <w:name w:val="h31"/>
    <w:qFormat/>
    <w:uiPriority w:val="0"/>
    <w:rPr>
      <w:sz w:val="21"/>
      <w:szCs w:val="21"/>
    </w:rPr>
  </w:style>
  <w:style w:type="character" w:customStyle="1" w:styleId="192">
    <w:name w:val="Char Char11"/>
    <w:qFormat/>
    <w:uiPriority w:val="0"/>
    <w:rPr>
      <w:rFonts w:eastAsia="宋体"/>
      <w:kern w:val="2"/>
      <w:sz w:val="21"/>
      <w:szCs w:val="24"/>
      <w:lang w:val="en-US" w:eastAsia="zh-CN" w:bidi="ar-SA"/>
    </w:rPr>
  </w:style>
  <w:style w:type="character" w:customStyle="1" w:styleId="193">
    <w:name w:val="页脚 字符1"/>
    <w:qFormat/>
    <w:uiPriority w:val="99"/>
    <w:rPr>
      <w:kern w:val="2"/>
      <w:sz w:val="18"/>
      <w:szCs w:val="18"/>
    </w:rPr>
  </w:style>
  <w:style w:type="paragraph" w:customStyle="1" w:styleId="194">
    <w:name w:val="xl334"/>
    <w:basedOn w:val="1"/>
    <w:qFormat/>
    <w:uiPriority w:val="0"/>
    <w:pPr>
      <w:widowControl/>
      <w:spacing w:before="100" w:beforeAutospacing="1" w:after="100" w:afterAutospacing="1"/>
      <w:jc w:val="center"/>
    </w:pPr>
    <w:rPr>
      <w:rFonts w:ascii="微软雅黑" w:hAnsi="微软雅黑" w:eastAsia="微软雅黑" w:cs="宋体"/>
      <w:kern w:val="0"/>
      <w:sz w:val="20"/>
      <w:szCs w:val="20"/>
    </w:rPr>
  </w:style>
  <w:style w:type="paragraph" w:customStyle="1" w:styleId="195">
    <w:name w:val="_Style 29"/>
    <w:basedOn w:val="1"/>
    <w:qFormat/>
    <w:uiPriority w:val="0"/>
    <w:rPr>
      <w:rFonts w:ascii="Tahoma" w:hAnsi="Tahoma"/>
      <w:sz w:val="24"/>
      <w:szCs w:val="20"/>
    </w:rPr>
  </w:style>
  <w:style w:type="paragraph" w:customStyle="1" w:styleId="196">
    <w:name w:val="Char Char Char"/>
    <w:basedOn w:val="1"/>
    <w:qFormat/>
    <w:uiPriority w:val="0"/>
    <w:rPr>
      <w:rFonts w:ascii="Tahoma" w:hAnsi="Tahoma"/>
      <w:sz w:val="24"/>
      <w:szCs w:val="20"/>
    </w:rPr>
  </w:style>
  <w:style w:type="paragraph" w:customStyle="1" w:styleId="197">
    <w:name w:val="Char Char8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98">
    <w:name w:val="无间隔1"/>
    <w:qFormat/>
    <w:uiPriority w:val="1"/>
    <w:pPr>
      <w:widowControl w:val="0"/>
      <w:spacing w:line="360" w:lineRule="auto"/>
      <w:jc w:val="both"/>
    </w:pPr>
    <w:rPr>
      <w:rFonts w:ascii="Times New Roman" w:hAnsi="Times New Roman" w:eastAsia="宋体" w:cs="Times New Roman"/>
      <w:kern w:val="2"/>
      <w:sz w:val="21"/>
      <w:szCs w:val="22"/>
      <w:lang w:val="en-US" w:eastAsia="zh-CN" w:bidi="ar-SA"/>
    </w:rPr>
  </w:style>
  <w:style w:type="paragraph" w:customStyle="1" w:styleId="199">
    <w:name w:val="xl304"/>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微软雅黑" w:hAnsi="微软雅黑" w:eastAsia="微软雅黑" w:cs="宋体"/>
      <w:kern w:val="0"/>
      <w:sz w:val="20"/>
      <w:szCs w:val="20"/>
    </w:rPr>
  </w:style>
  <w:style w:type="paragraph" w:customStyle="1" w:styleId="200">
    <w:name w:val="List Paragraph1"/>
    <w:basedOn w:val="1"/>
    <w:qFormat/>
    <w:uiPriority w:val="0"/>
    <w:pPr>
      <w:ind w:firstLine="420" w:firstLineChars="200"/>
    </w:pPr>
    <w:rPr>
      <w:szCs w:val="22"/>
    </w:rPr>
  </w:style>
  <w:style w:type="paragraph" w:customStyle="1" w:styleId="201">
    <w:name w:val="xl3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微软雅黑" w:hAnsi="微软雅黑" w:eastAsia="微软雅黑" w:cs="宋体"/>
      <w:kern w:val="0"/>
      <w:sz w:val="20"/>
      <w:szCs w:val="20"/>
    </w:rPr>
  </w:style>
  <w:style w:type="paragraph" w:customStyle="1" w:styleId="202">
    <w:name w:val="样式1"/>
    <w:basedOn w:val="1"/>
    <w:qFormat/>
    <w:uiPriority w:val="0"/>
    <w:pPr>
      <w:tabs>
        <w:tab w:val="left" w:pos="570"/>
      </w:tabs>
      <w:autoSpaceDE w:val="0"/>
      <w:autoSpaceDN w:val="0"/>
      <w:adjustRightInd w:val="0"/>
      <w:spacing w:line="360" w:lineRule="auto"/>
      <w:ind w:left="570" w:hanging="570"/>
      <w:jc w:val="center"/>
      <w:textAlignment w:val="baseline"/>
    </w:pPr>
    <w:rPr>
      <w:rFonts w:ascii="黑体" w:hAnsi="宋体" w:eastAsia="黑体"/>
      <w:kern w:val="0"/>
      <w:sz w:val="32"/>
      <w:szCs w:val="20"/>
    </w:rPr>
  </w:style>
  <w:style w:type="paragraph" w:customStyle="1" w:styleId="203">
    <w:name w:val="默认段落字体 Para Char Char Char Char"/>
    <w:basedOn w:val="1"/>
    <w:qFormat/>
    <w:uiPriority w:val="0"/>
  </w:style>
  <w:style w:type="paragraph" w:customStyle="1" w:styleId="204">
    <w:name w:val="简单回函地址"/>
    <w:basedOn w:val="1"/>
    <w:qFormat/>
    <w:uiPriority w:val="0"/>
    <w:rPr>
      <w:rFonts w:ascii="宋体" w:hAnsi="Courier New"/>
      <w:szCs w:val="20"/>
    </w:rPr>
  </w:style>
  <w:style w:type="paragraph" w:customStyle="1" w:styleId="205">
    <w:name w:val="xl2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微软雅黑" w:hAnsi="微软雅黑" w:eastAsia="微软雅黑" w:cs="宋体"/>
      <w:kern w:val="0"/>
      <w:sz w:val="20"/>
      <w:szCs w:val="20"/>
    </w:rPr>
  </w:style>
  <w:style w:type="paragraph" w:customStyle="1" w:styleId="206">
    <w:name w:val="(1)编号"/>
    <w:basedOn w:val="1"/>
    <w:qFormat/>
    <w:uiPriority w:val="0"/>
    <w:pPr>
      <w:tabs>
        <w:tab w:val="left" w:pos="3261"/>
      </w:tabs>
      <w:spacing w:line="400" w:lineRule="exact"/>
      <w:ind w:left="1247" w:hanging="567"/>
    </w:pPr>
    <w:rPr>
      <w:rFonts w:ascii="宋体" w:hAnsi="宋体"/>
      <w:spacing w:val="5"/>
      <w:sz w:val="24"/>
      <w:szCs w:val="20"/>
    </w:rPr>
  </w:style>
  <w:style w:type="paragraph" w:customStyle="1" w:styleId="207">
    <w:name w:val="xl33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微软雅黑" w:hAnsi="微软雅黑" w:eastAsia="微软雅黑" w:cs="宋体"/>
      <w:kern w:val="0"/>
      <w:sz w:val="20"/>
      <w:szCs w:val="20"/>
    </w:rPr>
  </w:style>
  <w:style w:type="paragraph" w:customStyle="1" w:styleId="208">
    <w:name w:val="xl32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top"/>
    </w:pPr>
    <w:rPr>
      <w:rFonts w:ascii="微软雅黑" w:hAnsi="微软雅黑" w:eastAsia="微软雅黑" w:cs="宋体"/>
      <w:kern w:val="0"/>
      <w:sz w:val="20"/>
      <w:szCs w:val="20"/>
    </w:rPr>
  </w:style>
  <w:style w:type="paragraph" w:customStyle="1" w:styleId="209">
    <w:name w:val="xl31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微软雅黑" w:hAnsi="微软雅黑" w:eastAsia="微软雅黑" w:cs="宋体"/>
      <w:kern w:val="0"/>
      <w:sz w:val="20"/>
      <w:szCs w:val="20"/>
    </w:rPr>
  </w:style>
  <w:style w:type="paragraph" w:customStyle="1" w:styleId="210">
    <w:name w:val="xl29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微软雅黑" w:hAnsi="微软雅黑" w:eastAsia="微软雅黑" w:cs="宋体"/>
      <w:b/>
      <w:bCs/>
      <w:kern w:val="0"/>
      <w:sz w:val="20"/>
      <w:szCs w:val="20"/>
    </w:rPr>
  </w:style>
  <w:style w:type="paragraph" w:customStyle="1" w:styleId="211">
    <w:name w:val="xl3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微软雅黑" w:hAnsi="微软雅黑" w:eastAsia="微软雅黑" w:cs="宋体"/>
      <w:kern w:val="0"/>
      <w:sz w:val="20"/>
      <w:szCs w:val="20"/>
    </w:rPr>
  </w:style>
  <w:style w:type="paragraph" w:customStyle="1" w:styleId="212">
    <w:name w:val="xl28"/>
    <w:basedOn w:val="1"/>
    <w:qFormat/>
    <w:uiPriority w:val="0"/>
    <w:pPr>
      <w:widowControl/>
      <w:pBdr>
        <w:left w:val="single" w:color="auto" w:sz="4" w:space="0"/>
        <w:right w:val="single" w:color="auto" w:sz="4" w:space="0"/>
      </w:pBdr>
      <w:spacing w:before="100" w:beforeAutospacing="1" w:after="100" w:afterAutospacing="1"/>
      <w:jc w:val="left"/>
      <w:textAlignment w:val="center"/>
    </w:pPr>
    <w:rPr>
      <w:kern w:val="0"/>
      <w:szCs w:val="21"/>
    </w:rPr>
  </w:style>
  <w:style w:type="paragraph" w:customStyle="1" w:styleId="213">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214">
    <w:name w:val="_Style 207"/>
    <w:qFormat/>
    <w:uiPriority w:val="0"/>
    <w:rPr>
      <w:rFonts w:ascii="Times New Roman" w:hAnsi="Times New Roman" w:eastAsia="宋体" w:cs="Times New Roman"/>
      <w:kern w:val="2"/>
      <w:sz w:val="21"/>
      <w:szCs w:val="24"/>
      <w:lang w:val="en-US" w:eastAsia="zh-CN" w:bidi="ar-SA"/>
    </w:rPr>
  </w:style>
  <w:style w:type="paragraph" w:customStyle="1" w:styleId="215">
    <w:name w:val="样式2"/>
    <w:basedOn w:val="1"/>
    <w:next w:val="7"/>
    <w:qFormat/>
    <w:uiPriority w:val="0"/>
    <w:pPr>
      <w:tabs>
        <w:tab w:val="left" w:pos="720"/>
      </w:tabs>
      <w:autoSpaceDE w:val="0"/>
      <w:autoSpaceDN w:val="0"/>
      <w:adjustRightInd w:val="0"/>
      <w:spacing w:line="360" w:lineRule="auto"/>
      <w:ind w:left="720" w:hanging="720"/>
      <w:jc w:val="left"/>
      <w:textAlignment w:val="baseline"/>
    </w:pPr>
    <w:rPr>
      <w:rFonts w:ascii="楷体" w:eastAsia="楷体"/>
      <w:kern w:val="0"/>
      <w:sz w:val="28"/>
      <w:szCs w:val="20"/>
    </w:rPr>
  </w:style>
  <w:style w:type="paragraph" w:customStyle="1" w:styleId="216">
    <w:name w:val="xl66"/>
    <w:basedOn w:val="1"/>
    <w:qFormat/>
    <w:uiPriority w:val="0"/>
    <w:pPr>
      <w:widowControl/>
      <w:spacing w:before="100" w:beforeAutospacing="1" w:after="100" w:afterAutospacing="1"/>
      <w:jc w:val="center"/>
    </w:pPr>
    <w:rPr>
      <w:rFonts w:ascii="宋体" w:hAnsi="宋体" w:cs="宋体"/>
      <w:kern w:val="0"/>
      <w:sz w:val="24"/>
    </w:rPr>
  </w:style>
  <w:style w:type="paragraph" w:customStyle="1" w:styleId="217">
    <w:name w:val="样式 标题 2 + Times New Roman 四号 非加粗 段前: 5 磅 段后: 0 磅 行距: 固定值 20..."/>
    <w:basedOn w:val="2"/>
    <w:qFormat/>
    <w:uiPriority w:val="0"/>
    <w:pPr>
      <w:spacing w:before="100" w:after="0" w:line="400" w:lineRule="exact"/>
    </w:pPr>
    <w:rPr>
      <w:rFonts w:ascii="Times New Roman" w:hAnsi="Times New Roman" w:cs="宋体"/>
      <w:b w:val="0"/>
      <w:bCs w:val="0"/>
      <w:sz w:val="28"/>
      <w:szCs w:val="20"/>
    </w:rPr>
  </w:style>
  <w:style w:type="paragraph" w:customStyle="1" w:styleId="218">
    <w:name w:val="正文缩进1"/>
    <w:basedOn w:val="1"/>
    <w:qFormat/>
    <w:uiPriority w:val="0"/>
    <w:pPr>
      <w:spacing w:line="300" w:lineRule="auto"/>
      <w:ind w:firstLine="482"/>
    </w:pPr>
    <w:rPr>
      <w:sz w:val="24"/>
    </w:rPr>
  </w:style>
  <w:style w:type="paragraph" w:customStyle="1" w:styleId="219">
    <w:name w:val="xl3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微软雅黑" w:hAnsi="微软雅黑" w:eastAsia="微软雅黑" w:cs="宋体"/>
      <w:kern w:val="0"/>
      <w:sz w:val="20"/>
      <w:szCs w:val="20"/>
    </w:rPr>
  </w:style>
  <w:style w:type="paragraph" w:customStyle="1" w:styleId="220">
    <w:name w:val="font9"/>
    <w:basedOn w:val="1"/>
    <w:qFormat/>
    <w:uiPriority w:val="0"/>
    <w:pPr>
      <w:widowControl/>
      <w:spacing w:before="100" w:beforeAutospacing="1" w:after="100" w:afterAutospacing="1"/>
      <w:jc w:val="left"/>
    </w:pPr>
    <w:rPr>
      <w:rFonts w:ascii="微软雅黑" w:hAnsi="微软雅黑" w:eastAsia="微软雅黑" w:cs="宋体"/>
      <w:kern w:val="0"/>
      <w:sz w:val="20"/>
      <w:szCs w:val="20"/>
    </w:rPr>
  </w:style>
  <w:style w:type="paragraph" w:customStyle="1" w:styleId="221">
    <w:name w:val="tabletextchar"/>
    <w:basedOn w:val="1"/>
    <w:qFormat/>
    <w:uiPriority w:val="0"/>
    <w:pPr>
      <w:widowControl/>
      <w:spacing w:before="100" w:beforeAutospacing="1" w:after="100" w:afterAutospacing="1"/>
      <w:jc w:val="left"/>
    </w:pPr>
    <w:rPr>
      <w:rFonts w:ascii="宋体" w:hAnsi="宋体" w:cs="宋体"/>
      <w:kern w:val="0"/>
      <w:sz w:val="24"/>
    </w:rPr>
  </w:style>
  <w:style w:type="paragraph" w:customStyle="1" w:styleId="222">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23">
    <w:name w:val="xl65"/>
    <w:basedOn w:val="1"/>
    <w:qFormat/>
    <w:uiPriority w:val="0"/>
    <w:pPr>
      <w:widowControl/>
      <w:spacing w:before="100" w:beforeAutospacing="1" w:after="100" w:afterAutospacing="1"/>
      <w:jc w:val="center"/>
    </w:pPr>
    <w:rPr>
      <w:rFonts w:ascii="宋体" w:hAnsi="宋体" w:cs="宋体"/>
      <w:kern w:val="0"/>
      <w:sz w:val="24"/>
    </w:rPr>
  </w:style>
  <w:style w:type="paragraph" w:customStyle="1" w:styleId="224">
    <w:name w:val="节标题"/>
    <w:basedOn w:val="1"/>
    <w:qFormat/>
    <w:uiPriority w:val="0"/>
    <w:pPr>
      <w:keepNext/>
      <w:keepLines/>
      <w:widowControl/>
      <w:overflowPunct w:val="0"/>
      <w:autoSpaceDE w:val="0"/>
      <w:autoSpaceDN w:val="0"/>
      <w:adjustRightInd w:val="0"/>
      <w:spacing w:before="240" w:after="120" w:line="360" w:lineRule="exact"/>
      <w:jc w:val="left"/>
      <w:textAlignment w:val="baseline"/>
    </w:pPr>
    <w:rPr>
      <w:rFonts w:ascii="Arial" w:hAnsi="Arial"/>
      <w:b/>
      <w:kern w:val="28"/>
      <w:sz w:val="28"/>
      <w:szCs w:val="20"/>
    </w:rPr>
  </w:style>
  <w:style w:type="paragraph" w:customStyle="1" w:styleId="225">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C0504D"/>
      <w:kern w:val="0"/>
      <w:sz w:val="24"/>
    </w:rPr>
  </w:style>
  <w:style w:type="paragraph" w:customStyle="1" w:styleId="226">
    <w:name w:val="xl3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微软雅黑" w:hAnsi="微软雅黑" w:eastAsia="微软雅黑" w:cs="宋体"/>
      <w:kern w:val="0"/>
      <w:sz w:val="20"/>
      <w:szCs w:val="20"/>
    </w:rPr>
  </w:style>
  <w:style w:type="paragraph" w:customStyle="1" w:styleId="227">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4"/>
    </w:rPr>
  </w:style>
  <w:style w:type="paragraph" w:customStyle="1" w:styleId="228">
    <w:name w:val="font0"/>
    <w:basedOn w:val="1"/>
    <w:qFormat/>
    <w:uiPriority w:val="0"/>
    <w:pPr>
      <w:widowControl/>
      <w:spacing w:before="100" w:beforeAutospacing="1" w:after="100" w:afterAutospacing="1"/>
      <w:jc w:val="left"/>
    </w:pPr>
    <w:rPr>
      <w:rFonts w:hint="eastAsia" w:ascii="宋体" w:hAnsi="宋体"/>
      <w:kern w:val="0"/>
      <w:sz w:val="24"/>
    </w:rPr>
  </w:style>
  <w:style w:type="paragraph" w:customStyle="1" w:styleId="229">
    <w:name w:val="样式 标题 3 + (中文) 黑体 小四 非加粗 段前: 7.8 磅 段后: 0 磅 行距: 固定值 20 磅"/>
    <w:basedOn w:val="4"/>
    <w:qFormat/>
    <w:uiPriority w:val="0"/>
    <w:pPr>
      <w:numPr>
        <w:ilvl w:val="0"/>
        <w:numId w:val="1"/>
      </w:numPr>
      <w:tabs>
        <w:tab w:val="left" w:pos="1915"/>
      </w:tabs>
      <w:spacing w:before="0" w:after="0" w:line="400" w:lineRule="exact"/>
    </w:pPr>
    <w:rPr>
      <w:rFonts w:eastAsia="黑体" w:cs="宋体"/>
      <w:b w:val="0"/>
      <w:bCs w:val="0"/>
      <w:kern w:val="0"/>
      <w:sz w:val="24"/>
      <w:szCs w:val="20"/>
    </w:rPr>
  </w:style>
  <w:style w:type="paragraph" w:customStyle="1" w:styleId="230">
    <w:name w:val="p15"/>
    <w:basedOn w:val="1"/>
    <w:qFormat/>
    <w:uiPriority w:val="0"/>
    <w:pPr>
      <w:widowControl/>
      <w:spacing w:before="100" w:beforeAutospacing="1" w:after="100" w:afterAutospacing="1"/>
      <w:jc w:val="left"/>
    </w:pPr>
    <w:rPr>
      <w:rFonts w:ascii="宋体" w:hAnsi="宋体" w:cs="宋体"/>
      <w:kern w:val="0"/>
      <w:sz w:val="24"/>
    </w:rPr>
  </w:style>
  <w:style w:type="paragraph" w:customStyle="1" w:styleId="231">
    <w:name w:val="unnamed2"/>
    <w:basedOn w:val="1"/>
    <w:qFormat/>
    <w:uiPriority w:val="0"/>
    <w:pPr>
      <w:widowControl/>
      <w:spacing w:before="60" w:after="60" w:line="300" w:lineRule="atLeast"/>
      <w:ind w:left="15" w:right="15" w:firstLine="400"/>
      <w:jc w:val="left"/>
    </w:pPr>
    <w:rPr>
      <w:rFonts w:ascii="宋体" w:hAnsi="宋体" w:cs="宋体"/>
      <w:color w:val="000000"/>
      <w:kern w:val="0"/>
      <w:szCs w:val="21"/>
    </w:rPr>
  </w:style>
  <w:style w:type="paragraph" w:customStyle="1" w:styleId="232">
    <w:name w:val="Char Char1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33">
    <w:name w:val="xl327"/>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top"/>
    </w:pPr>
    <w:rPr>
      <w:rFonts w:ascii="微软雅黑" w:hAnsi="微软雅黑" w:eastAsia="微软雅黑" w:cs="宋体"/>
      <w:kern w:val="0"/>
      <w:sz w:val="20"/>
      <w:szCs w:val="20"/>
    </w:rPr>
  </w:style>
  <w:style w:type="paragraph" w:customStyle="1" w:styleId="234">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FF0000"/>
      <w:kern w:val="0"/>
      <w:sz w:val="24"/>
    </w:rPr>
  </w:style>
  <w:style w:type="paragraph" w:customStyle="1" w:styleId="235">
    <w:name w:val="font11"/>
    <w:basedOn w:val="1"/>
    <w:qFormat/>
    <w:uiPriority w:val="0"/>
    <w:pPr>
      <w:widowControl/>
      <w:spacing w:before="100" w:beforeAutospacing="1" w:after="100" w:afterAutospacing="1"/>
      <w:jc w:val="left"/>
    </w:pPr>
    <w:rPr>
      <w:rFonts w:ascii="微软雅黑" w:hAnsi="微软雅黑" w:eastAsia="微软雅黑" w:cs="宋体"/>
      <w:b/>
      <w:bCs/>
      <w:kern w:val="0"/>
      <w:sz w:val="20"/>
      <w:szCs w:val="20"/>
    </w:rPr>
  </w:style>
  <w:style w:type="paragraph" w:customStyle="1" w:styleId="236">
    <w:name w:val="WPS Plain"/>
    <w:qFormat/>
    <w:uiPriority w:val="0"/>
    <w:rPr>
      <w:rFonts w:ascii="Times New Roman" w:hAnsi="Times New Roman" w:eastAsia="宋体" w:cs="Times New Roman"/>
      <w:lang w:val="en-US" w:eastAsia="zh-CN" w:bidi="ar-SA"/>
    </w:rPr>
  </w:style>
  <w:style w:type="paragraph" w:customStyle="1" w:styleId="237">
    <w:name w:val="_Style 37"/>
    <w:basedOn w:val="1"/>
    <w:qFormat/>
    <w:uiPriority w:val="0"/>
    <w:rPr>
      <w:rFonts w:ascii="Tahoma" w:hAnsi="Tahoma"/>
      <w:sz w:val="24"/>
      <w:szCs w:val="20"/>
    </w:rPr>
  </w:style>
  <w:style w:type="paragraph" w:customStyle="1" w:styleId="238">
    <w:name w:val="Char1 Char Char Char Char Char Char"/>
    <w:basedOn w:val="1"/>
    <w:qFormat/>
    <w:uiPriority w:val="0"/>
    <w:rPr>
      <w:rFonts w:ascii="Tahoma" w:hAnsi="Tahoma"/>
      <w:sz w:val="24"/>
      <w:szCs w:val="20"/>
    </w:rPr>
  </w:style>
  <w:style w:type="paragraph" w:customStyle="1" w:styleId="239">
    <w:name w:val="Char Char Char Char"/>
    <w:basedOn w:val="1"/>
    <w:qFormat/>
    <w:uiPriority w:val="0"/>
    <w:rPr>
      <w:rFonts w:ascii="Tahoma" w:hAnsi="Tahoma"/>
      <w:sz w:val="24"/>
      <w:szCs w:val="20"/>
    </w:rPr>
  </w:style>
  <w:style w:type="paragraph" w:customStyle="1" w:styleId="240">
    <w:name w:val="xl3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微软雅黑" w:hAnsi="微软雅黑" w:eastAsia="微软雅黑" w:cs="宋体"/>
      <w:kern w:val="0"/>
      <w:sz w:val="20"/>
      <w:szCs w:val="20"/>
    </w:rPr>
  </w:style>
  <w:style w:type="paragraph" w:customStyle="1" w:styleId="241">
    <w:name w:val="xl3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微软雅黑" w:hAnsi="微软雅黑" w:eastAsia="微软雅黑" w:cs="宋体"/>
      <w:kern w:val="0"/>
      <w:sz w:val="20"/>
      <w:szCs w:val="20"/>
    </w:rPr>
  </w:style>
  <w:style w:type="paragraph" w:customStyle="1" w:styleId="242">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Cs w:val="21"/>
    </w:rPr>
  </w:style>
  <w:style w:type="paragraph" w:customStyle="1" w:styleId="243">
    <w:name w:val="Char1"/>
    <w:basedOn w:val="1"/>
    <w:qFormat/>
    <w:uiPriority w:val="0"/>
    <w:rPr>
      <w:szCs w:val="21"/>
    </w:rPr>
  </w:style>
  <w:style w:type="paragraph" w:customStyle="1" w:styleId="244">
    <w:name w:val="表内文字"/>
    <w:basedOn w:val="1"/>
    <w:qFormat/>
    <w:uiPriority w:val="0"/>
    <w:pPr>
      <w:snapToGrid w:val="0"/>
      <w:spacing w:before="50" w:after="50"/>
    </w:pPr>
    <w:rPr>
      <w:rFonts w:ascii="仿宋_GB2312" w:hAnsi="宋体" w:eastAsia="仿宋_GB2312"/>
      <w:b/>
      <w:color w:val="000000"/>
      <w:sz w:val="32"/>
      <w:szCs w:val="32"/>
    </w:rPr>
  </w:style>
  <w:style w:type="paragraph" w:customStyle="1" w:styleId="245">
    <w:name w:val="font7"/>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46">
    <w:name w:val="1"/>
    <w:basedOn w:val="1"/>
    <w:next w:val="27"/>
    <w:qFormat/>
    <w:uiPriority w:val="0"/>
    <w:rPr>
      <w:rFonts w:ascii="宋体" w:hAnsi="Courier New"/>
      <w:szCs w:val="20"/>
    </w:rPr>
  </w:style>
  <w:style w:type="paragraph" w:customStyle="1" w:styleId="247">
    <w:name w:val="_Style 9"/>
    <w:basedOn w:val="1"/>
    <w:qFormat/>
    <w:uiPriority w:val="0"/>
    <w:rPr>
      <w:rFonts w:ascii="Tahoma" w:hAnsi="Tahoma"/>
      <w:sz w:val="24"/>
      <w:szCs w:val="20"/>
    </w:rPr>
  </w:style>
  <w:style w:type="paragraph" w:customStyle="1" w:styleId="248">
    <w:name w:val="4"/>
    <w:basedOn w:val="1"/>
    <w:next w:val="27"/>
    <w:qFormat/>
    <w:uiPriority w:val="0"/>
    <w:rPr>
      <w:rFonts w:ascii="宋体" w:hAnsi="Courier New"/>
      <w:szCs w:val="20"/>
    </w:rPr>
  </w:style>
  <w:style w:type="paragraph" w:customStyle="1" w:styleId="249">
    <w:name w:val="xl319"/>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微软雅黑" w:hAnsi="微软雅黑" w:eastAsia="微软雅黑" w:cs="宋体"/>
      <w:color w:val="000000"/>
      <w:kern w:val="0"/>
      <w:sz w:val="20"/>
      <w:szCs w:val="20"/>
    </w:rPr>
  </w:style>
  <w:style w:type="paragraph" w:customStyle="1" w:styleId="250">
    <w:name w:val="Table Paragraph"/>
    <w:basedOn w:val="1"/>
    <w:qFormat/>
    <w:uiPriority w:val="1"/>
    <w:pPr>
      <w:autoSpaceDE w:val="0"/>
      <w:autoSpaceDN w:val="0"/>
      <w:adjustRightInd w:val="0"/>
      <w:jc w:val="left"/>
    </w:pPr>
    <w:rPr>
      <w:rFonts w:cs="宋体"/>
      <w:kern w:val="0"/>
      <w:sz w:val="24"/>
    </w:rPr>
  </w:style>
  <w:style w:type="paragraph" w:customStyle="1" w:styleId="251">
    <w:name w:val="xl31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微软雅黑" w:hAnsi="微软雅黑" w:eastAsia="微软雅黑" w:cs="宋体"/>
      <w:kern w:val="0"/>
      <w:sz w:val="20"/>
      <w:szCs w:val="20"/>
    </w:rPr>
  </w:style>
  <w:style w:type="paragraph" w:customStyle="1" w:styleId="252">
    <w:name w:val="xl36"/>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4"/>
    </w:rPr>
  </w:style>
  <w:style w:type="paragraph" w:customStyle="1" w:styleId="253">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254">
    <w:name w:val="xl32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top"/>
    </w:pPr>
    <w:rPr>
      <w:rFonts w:ascii="微软雅黑" w:hAnsi="微软雅黑" w:eastAsia="微软雅黑" w:cs="宋体"/>
      <w:kern w:val="0"/>
      <w:sz w:val="20"/>
      <w:szCs w:val="20"/>
    </w:rPr>
  </w:style>
  <w:style w:type="paragraph" w:customStyle="1" w:styleId="255">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56">
    <w:name w:val="xl31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微软雅黑" w:hAnsi="微软雅黑" w:eastAsia="微软雅黑" w:cs="宋体"/>
      <w:kern w:val="0"/>
      <w:sz w:val="20"/>
      <w:szCs w:val="20"/>
    </w:rPr>
  </w:style>
  <w:style w:type="paragraph" w:customStyle="1" w:styleId="257">
    <w:name w:val="xl3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微软雅黑" w:hAnsi="微软雅黑" w:eastAsia="微软雅黑" w:cs="宋体"/>
      <w:kern w:val="0"/>
      <w:sz w:val="20"/>
      <w:szCs w:val="20"/>
    </w:rPr>
  </w:style>
  <w:style w:type="paragraph" w:customStyle="1" w:styleId="258">
    <w:name w:val="xl31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微软雅黑" w:hAnsi="微软雅黑" w:eastAsia="微软雅黑" w:cs="宋体"/>
      <w:kern w:val="0"/>
      <w:sz w:val="20"/>
      <w:szCs w:val="20"/>
    </w:rPr>
  </w:style>
  <w:style w:type="paragraph" w:customStyle="1" w:styleId="259">
    <w:name w:val="样式 首行缩进:  2 字符"/>
    <w:basedOn w:val="1"/>
    <w:qFormat/>
    <w:uiPriority w:val="0"/>
    <w:pPr>
      <w:spacing w:line="400" w:lineRule="exact"/>
      <w:ind w:firstLine="200" w:firstLineChars="200"/>
    </w:pPr>
    <w:rPr>
      <w:rFonts w:cs="宋体"/>
      <w:sz w:val="24"/>
    </w:rPr>
  </w:style>
  <w:style w:type="paragraph" w:customStyle="1" w:styleId="260">
    <w:name w:val="Table Text"/>
    <w:qFormat/>
    <w:uiPriority w:val="0"/>
    <w:pPr>
      <w:snapToGrid w:val="0"/>
      <w:spacing w:before="80" w:after="80"/>
    </w:pPr>
    <w:rPr>
      <w:rFonts w:ascii="Arial" w:hAnsi="Arial" w:eastAsia="宋体" w:cs="Times New Roman"/>
      <w:sz w:val="18"/>
      <w:lang w:val="en-US" w:eastAsia="en-US" w:bidi="ar-SA"/>
    </w:rPr>
  </w:style>
  <w:style w:type="paragraph" w:customStyle="1" w:styleId="261">
    <w:name w:val="样式4"/>
    <w:basedOn w:val="215"/>
    <w:qFormat/>
    <w:uiPriority w:val="0"/>
    <w:pPr>
      <w:tabs>
        <w:tab w:val="left" w:pos="360"/>
        <w:tab w:val="clear" w:pos="720"/>
      </w:tabs>
    </w:pPr>
  </w:style>
  <w:style w:type="paragraph" w:customStyle="1" w:styleId="262">
    <w:name w:val="三角"/>
    <w:basedOn w:val="1"/>
    <w:qFormat/>
    <w:uiPriority w:val="0"/>
    <w:pPr>
      <w:numPr>
        <w:ilvl w:val="0"/>
        <w:numId w:val="2"/>
      </w:numPr>
      <w:tabs>
        <w:tab w:val="left" w:pos="855"/>
        <w:tab w:val="left" w:pos="1089"/>
      </w:tabs>
      <w:spacing w:before="40" w:after="40" w:line="240" w:lineRule="exact"/>
    </w:pPr>
    <w:rPr>
      <w:rFonts w:ascii="Calibri" w:hAnsi="Calibri" w:eastAsia="幼圆" w:cs="Calibri"/>
      <w:sz w:val="15"/>
      <w:szCs w:val="15"/>
    </w:rPr>
  </w:style>
  <w:style w:type="paragraph" w:customStyle="1" w:styleId="263">
    <w:name w:val="Default"/>
    <w:basedOn w:val="44"/>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64">
    <w:name w:val="xl299"/>
    <w:basedOn w:val="1"/>
    <w:qFormat/>
    <w:uiPriority w:val="0"/>
    <w:pPr>
      <w:widowControl/>
      <w:pBdr>
        <w:top w:val="single" w:color="auto" w:sz="4" w:space="0"/>
        <w:right w:val="single" w:color="auto" w:sz="4" w:space="0"/>
      </w:pBdr>
      <w:spacing w:before="100" w:beforeAutospacing="1" w:after="100" w:afterAutospacing="1"/>
      <w:jc w:val="center"/>
    </w:pPr>
    <w:rPr>
      <w:rFonts w:ascii="微软雅黑" w:hAnsi="微软雅黑" w:eastAsia="微软雅黑" w:cs="宋体"/>
      <w:kern w:val="0"/>
      <w:sz w:val="20"/>
      <w:szCs w:val="20"/>
    </w:rPr>
  </w:style>
  <w:style w:type="paragraph" w:customStyle="1" w:styleId="265">
    <w:name w:val="font8"/>
    <w:basedOn w:val="1"/>
    <w:qFormat/>
    <w:uiPriority w:val="0"/>
    <w:pPr>
      <w:widowControl/>
      <w:spacing w:before="100" w:beforeAutospacing="1" w:after="100" w:afterAutospacing="1"/>
      <w:jc w:val="left"/>
    </w:pPr>
    <w:rPr>
      <w:rFonts w:ascii="微软雅黑" w:hAnsi="微软雅黑" w:eastAsia="微软雅黑" w:cs="宋体"/>
      <w:kern w:val="0"/>
      <w:sz w:val="20"/>
      <w:szCs w:val="20"/>
    </w:rPr>
  </w:style>
  <w:style w:type="paragraph" w:customStyle="1" w:styleId="266">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b/>
      <w:bCs/>
      <w:kern w:val="0"/>
      <w:sz w:val="24"/>
    </w:rPr>
  </w:style>
  <w:style w:type="paragraph" w:customStyle="1" w:styleId="267">
    <w:name w:val="xl3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微软雅黑" w:hAnsi="微软雅黑" w:eastAsia="微软雅黑" w:cs="宋体"/>
      <w:kern w:val="0"/>
      <w:sz w:val="20"/>
      <w:szCs w:val="20"/>
    </w:rPr>
  </w:style>
  <w:style w:type="paragraph" w:customStyle="1" w:styleId="268">
    <w:name w:val="正文首行缩进两字符"/>
    <w:basedOn w:val="1"/>
    <w:qFormat/>
    <w:uiPriority w:val="0"/>
    <w:pPr>
      <w:spacing w:line="360" w:lineRule="auto"/>
      <w:ind w:firstLine="200" w:firstLineChars="200"/>
    </w:pPr>
  </w:style>
  <w:style w:type="paragraph" w:customStyle="1" w:styleId="269">
    <w:name w:val="xl3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微软雅黑" w:hAnsi="微软雅黑" w:eastAsia="微软雅黑" w:cs="宋体"/>
      <w:kern w:val="0"/>
      <w:sz w:val="20"/>
      <w:szCs w:val="20"/>
    </w:rPr>
  </w:style>
  <w:style w:type="paragraph" w:customStyle="1" w:styleId="270">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271">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72">
    <w:name w:val="正文1"/>
    <w:qFormat/>
    <w:uiPriority w:val="0"/>
    <w:pPr>
      <w:widowControl w:val="0"/>
      <w:tabs>
        <w:tab w:val="left" w:pos="-720"/>
      </w:tabs>
      <w:autoSpaceDE w:val="0"/>
      <w:autoSpaceDN w:val="0"/>
      <w:adjustRightInd w:val="0"/>
      <w:spacing w:line="240" w:lineRule="exact"/>
      <w:textAlignment w:val="bottom"/>
    </w:pPr>
    <w:rPr>
      <w:rFonts w:ascii="Arial" w:hAnsi="Arial" w:eastAsia="幼圆" w:cs="Times New Roman"/>
      <w:sz w:val="24"/>
      <w:lang w:val="en-US" w:eastAsia="zh-CN" w:bidi="ar-SA"/>
    </w:rPr>
  </w:style>
  <w:style w:type="paragraph" w:customStyle="1" w:styleId="273">
    <w:name w:val="xl3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微软雅黑" w:hAnsi="微软雅黑" w:eastAsia="微软雅黑" w:cs="宋体"/>
      <w:kern w:val="0"/>
      <w:sz w:val="20"/>
      <w:szCs w:val="20"/>
    </w:rPr>
  </w:style>
  <w:style w:type="paragraph" w:customStyle="1" w:styleId="274">
    <w:name w:val="默认段落字体 Para Char Char Char Char Char Char Char Char Char1 Char Char Char Char"/>
    <w:basedOn w:val="1"/>
    <w:qFormat/>
    <w:uiPriority w:val="0"/>
    <w:rPr>
      <w:rFonts w:ascii="Tahoma" w:hAnsi="Tahoma"/>
      <w:sz w:val="24"/>
      <w:szCs w:val="20"/>
    </w:rPr>
  </w:style>
  <w:style w:type="paragraph" w:customStyle="1" w:styleId="275">
    <w:name w:val="xl33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微软雅黑" w:hAnsi="微软雅黑" w:eastAsia="微软雅黑" w:cs="宋体"/>
      <w:kern w:val="0"/>
      <w:sz w:val="20"/>
      <w:szCs w:val="20"/>
    </w:rPr>
  </w:style>
  <w:style w:type="paragraph" w:customStyle="1" w:styleId="276">
    <w:name w:val="xl302"/>
    <w:basedOn w:val="1"/>
    <w:qFormat/>
    <w:uiPriority w:val="0"/>
    <w:pPr>
      <w:widowControl/>
      <w:spacing w:before="100" w:beforeAutospacing="1" w:after="100" w:afterAutospacing="1"/>
      <w:jc w:val="left"/>
    </w:pPr>
    <w:rPr>
      <w:rFonts w:ascii="微软雅黑" w:hAnsi="微软雅黑" w:eastAsia="微软雅黑" w:cs="宋体"/>
      <w:kern w:val="0"/>
      <w:sz w:val="24"/>
    </w:rPr>
  </w:style>
  <w:style w:type="paragraph" w:customStyle="1" w:styleId="277">
    <w:name w:val="_Style 36"/>
    <w:basedOn w:val="1"/>
    <w:qFormat/>
    <w:uiPriority w:val="0"/>
    <w:rPr>
      <w:rFonts w:ascii="Tahoma" w:hAnsi="Tahoma"/>
      <w:sz w:val="24"/>
      <w:szCs w:val="20"/>
    </w:rPr>
  </w:style>
  <w:style w:type="paragraph" w:customStyle="1" w:styleId="278">
    <w:name w:val="_Style 361"/>
    <w:basedOn w:val="1"/>
    <w:next w:val="128"/>
    <w:qFormat/>
    <w:uiPriority w:val="34"/>
    <w:pPr>
      <w:ind w:firstLine="420" w:firstLineChars="200"/>
    </w:pPr>
  </w:style>
  <w:style w:type="paragraph" w:customStyle="1" w:styleId="279">
    <w:name w:val="gray"/>
    <w:basedOn w:val="1"/>
    <w:qFormat/>
    <w:uiPriority w:val="0"/>
    <w:pPr>
      <w:widowControl/>
      <w:spacing w:after="100" w:afterAutospacing="1"/>
    </w:pPr>
    <w:rPr>
      <w:rFonts w:ascii="宋体" w:hAnsi="宋体" w:cs="宋体"/>
      <w:kern w:val="0"/>
      <w:sz w:val="24"/>
    </w:rPr>
  </w:style>
  <w:style w:type="paragraph" w:customStyle="1" w:styleId="280">
    <w:name w:val="xl3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微软雅黑" w:hAnsi="微软雅黑" w:eastAsia="微软雅黑" w:cs="宋体"/>
      <w:kern w:val="0"/>
      <w:sz w:val="20"/>
      <w:szCs w:val="20"/>
    </w:rPr>
  </w:style>
  <w:style w:type="paragraph" w:customStyle="1" w:styleId="281">
    <w:name w:val="_Style 125"/>
    <w:basedOn w:val="1"/>
    <w:next w:val="128"/>
    <w:qFormat/>
    <w:uiPriority w:val="34"/>
    <w:pPr>
      <w:ind w:firstLine="420" w:firstLineChars="200"/>
    </w:pPr>
  </w:style>
  <w:style w:type="paragraph" w:customStyle="1" w:styleId="282">
    <w:name w:val="表格"/>
    <w:basedOn w:val="1"/>
    <w:qFormat/>
    <w:uiPriority w:val="0"/>
    <w:pPr>
      <w:spacing w:line="400" w:lineRule="exact"/>
    </w:pPr>
    <w:rPr>
      <w:sz w:val="24"/>
    </w:rPr>
  </w:style>
  <w:style w:type="paragraph" w:customStyle="1" w:styleId="283">
    <w:name w:val="Body text|1"/>
    <w:basedOn w:val="1"/>
    <w:qFormat/>
    <w:uiPriority w:val="0"/>
    <w:pPr>
      <w:spacing w:line="350" w:lineRule="auto"/>
      <w:ind w:firstLine="400"/>
      <w:jc w:val="left"/>
    </w:pPr>
    <w:rPr>
      <w:rFonts w:ascii="宋体" w:hAnsi="宋体" w:cs="宋体"/>
      <w:kern w:val="0"/>
      <w:sz w:val="30"/>
      <w:szCs w:val="30"/>
    </w:rPr>
  </w:style>
  <w:style w:type="paragraph" w:customStyle="1" w:styleId="284">
    <w:name w:val="xl33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top"/>
    </w:pPr>
    <w:rPr>
      <w:rFonts w:ascii="微软雅黑" w:hAnsi="微软雅黑" w:eastAsia="微软雅黑" w:cs="宋体"/>
      <w:kern w:val="0"/>
      <w:sz w:val="20"/>
      <w:szCs w:val="20"/>
    </w:rPr>
  </w:style>
  <w:style w:type="paragraph" w:customStyle="1" w:styleId="285">
    <w:name w:val="font14"/>
    <w:basedOn w:val="1"/>
    <w:qFormat/>
    <w:uiPriority w:val="0"/>
    <w:pPr>
      <w:widowControl/>
      <w:spacing w:before="100" w:beforeAutospacing="1" w:after="100" w:afterAutospacing="1"/>
      <w:jc w:val="left"/>
    </w:pPr>
    <w:rPr>
      <w:rFonts w:hint="eastAsia" w:ascii="宋体" w:hAnsi="宋体"/>
      <w:color w:val="000000"/>
      <w:kern w:val="0"/>
      <w:sz w:val="18"/>
      <w:szCs w:val="18"/>
    </w:rPr>
  </w:style>
  <w:style w:type="paragraph" w:customStyle="1" w:styleId="286">
    <w:name w:val="Char Char8"/>
    <w:basedOn w:val="1"/>
    <w:qFormat/>
    <w:uiPriority w:val="0"/>
    <w:rPr>
      <w:rFonts w:ascii="Tahoma" w:hAnsi="Tahoma" w:eastAsia="Times New Roman"/>
      <w:kern w:val="0"/>
      <w:sz w:val="24"/>
      <w:szCs w:val="20"/>
    </w:rPr>
  </w:style>
  <w:style w:type="paragraph" w:customStyle="1" w:styleId="287">
    <w:name w:val="font6"/>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88">
    <w:name w:val="font12"/>
    <w:basedOn w:val="1"/>
    <w:qFormat/>
    <w:uiPriority w:val="0"/>
    <w:pPr>
      <w:widowControl/>
      <w:spacing w:before="100" w:beforeAutospacing="1" w:after="100" w:afterAutospacing="1"/>
      <w:jc w:val="left"/>
    </w:pPr>
    <w:rPr>
      <w:rFonts w:hint="eastAsia" w:ascii="宋体" w:hAnsi="宋体"/>
      <w:color w:val="000000"/>
      <w:kern w:val="0"/>
      <w:sz w:val="18"/>
      <w:szCs w:val="18"/>
    </w:rPr>
  </w:style>
  <w:style w:type="paragraph" w:customStyle="1" w:styleId="289">
    <w:name w:val="xl3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微软雅黑" w:hAnsi="微软雅黑" w:eastAsia="微软雅黑" w:cs="宋体"/>
      <w:kern w:val="0"/>
      <w:sz w:val="20"/>
      <w:szCs w:val="20"/>
    </w:rPr>
  </w:style>
  <w:style w:type="paragraph" w:customStyle="1" w:styleId="290">
    <w:name w:val="xl31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微软雅黑" w:hAnsi="微软雅黑" w:eastAsia="微软雅黑" w:cs="宋体"/>
      <w:kern w:val="0"/>
      <w:sz w:val="20"/>
      <w:szCs w:val="20"/>
    </w:rPr>
  </w:style>
  <w:style w:type="paragraph" w:customStyle="1" w:styleId="291">
    <w:name w:val="xl32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top"/>
    </w:pPr>
    <w:rPr>
      <w:rFonts w:ascii="微软雅黑" w:hAnsi="微软雅黑" w:eastAsia="微软雅黑" w:cs="宋体"/>
      <w:kern w:val="0"/>
      <w:sz w:val="20"/>
      <w:szCs w:val="20"/>
    </w:rPr>
  </w:style>
  <w:style w:type="paragraph" w:customStyle="1" w:styleId="292">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C0504D"/>
      <w:kern w:val="0"/>
      <w:sz w:val="24"/>
    </w:rPr>
  </w:style>
  <w:style w:type="paragraph" w:customStyle="1" w:styleId="293">
    <w:name w:val="_Style 1"/>
    <w:basedOn w:val="1"/>
    <w:qFormat/>
    <w:uiPriority w:val="0"/>
    <w:pPr>
      <w:ind w:firstLine="420" w:firstLineChars="200"/>
    </w:pPr>
  </w:style>
  <w:style w:type="paragraph" w:customStyle="1" w:styleId="294">
    <w:name w:val="Char Char8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95">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96">
    <w:name w:val="Char Char Char1 Char"/>
    <w:basedOn w:val="1"/>
    <w:qFormat/>
    <w:uiPriority w:val="0"/>
    <w:rPr>
      <w:rFonts w:ascii="Tahoma" w:hAnsi="Tahoma"/>
      <w:sz w:val="24"/>
    </w:rPr>
  </w:style>
  <w:style w:type="paragraph" w:customStyle="1" w:styleId="297">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4"/>
    </w:rPr>
  </w:style>
  <w:style w:type="paragraph" w:customStyle="1" w:styleId="298">
    <w:name w:val="style2"/>
    <w:basedOn w:val="1"/>
    <w:qFormat/>
    <w:uiPriority w:val="0"/>
    <w:pPr>
      <w:widowControl/>
      <w:spacing w:before="100" w:beforeAutospacing="1" w:after="100" w:afterAutospacing="1"/>
      <w:jc w:val="left"/>
    </w:pPr>
    <w:rPr>
      <w:rFonts w:ascii="宋体" w:hAnsi="宋体" w:cs="宋体"/>
      <w:kern w:val="0"/>
      <w:sz w:val="24"/>
    </w:rPr>
  </w:style>
  <w:style w:type="paragraph" w:customStyle="1" w:styleId="299">
    <w:name w:val="font10"/>
    <w:basedOn w:val="1"/>
    <w:qFormat/>
    <w:uiPriority w:val="0"/>
    <w:pPr>
      <w:widowControl/>
      <w:spacing w:before="100" w:beforeAutospacing="1" w:after="100" w:afterAutospacing="1"/>
      <w:jc w:val="left"/>
    </w:pPr>
    <w:rPr>
      <w:rFonts w:ascii="微软雅黑" w:hAnsi="微软雅黑" w:eastAsia="微软雅黑" w:cs="宋体"/>
      <w:color w:val="000000"/>
      <w:kern w:val="0"/>
      <w:sz w:val="20"/>
      <w:szCs w:val="20"/>
    </w:rPr>
  </w:style>
  <w:style w:type="paragraph" w:customStyle="1" w:styleId="300">
    <w:name w:val="xl30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微软雅黑" w:hAnsi="微软雅黑" w:eastAsia="微软雅黑" w:cs="宋体"/>
      <w:kern w:val="0"/>
      <w:sz w:val="20"/>
      <w:szCs w:val="20"/>
    </w:rPr>
  </w:style>
  <w:style w:type="paragraph" w:customStyle="1" w:styleId="301">
    <w:name w:val="Char1 Char Char Char Char Char Char1"/>
    <w:basedOn w:val="1"/>
    <w:qFormat/>
    <w:uiPriority w:val="0"/>
    <w:rPr>
      <w:rFonts w:ascii="Tahoma" w:hAnsi="Tahoma"/>
      <w:sz w:val="24"/>
      <w:szCs w:val="20"/>
    </w:rPr>
  </w:style>
  <w:style w:type="paragraph" w:customStyle="1" w:styleId="302">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303">
    <w:name w:val="xl300"/>
    <w:basedOn w:val="1"/>
    <w:qFormat/>
    <w:uiPriority w:val="0"/>
    <w:pPr>
      <w:widowControl/>
      <w:spacing w:before="100" w:beforeAutospacing="1" w:after="100" w:afterAutospacing="1"/>
      <w:jc w:val="left"/>
    </w:pPr>
    <w:rPr>
      <w:rFonts w:ascii="微软雅黑" w:hAnsi="微软雅黑" w:eastAsia="微软雅黑" w:cs="宋体"/>
      <w:kern w:val="0"/>
      <w:sz w:val="20"/>
      <w:szCs w:val="20"/>
    </w:rPr>
  </w:style>
  <w:style w:type="paragraph" w:customStyle="1" w:styleId="304">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305">
    <w:name w:val="正文段"/>
    <w:basedOn w:val="1"/>
    <w:qFormat/>
    <w:uiPriority w:val="0"/>
    <w:pPr>
      <w:widowControl/>
      <w:snapToGrid w:val="0"/>
      <w:spacing w:afterLines="50"/>
      <w:ind w:firstLine="200" w:firstLineChars="200"/>
    </w:pPr>
    <w:rPr>
      <w:kern w:val="0"/>
      <w:sz w:val="24"/>
      <w:szCs w:val="20"/>
    </w:rPr>
  </w:style>
  <w:style w:type="paragraph" w:customStyle="1" w:styleId="306">
    <w:name w:val="xl31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top"/>
    </w:pPr>
    <w:rPr>
      <w:rFonts w:ascii="微软雅黑" w:hAnsi="微软雅黑" w:eastAsia="微软雅黑" w:cs="宋体"/>
      <w:kern w:val="0"/>
      <w:sz w:val="20"/>
      <w:szCs w:val="20"/>
    </w:rPr>
  </w:style>
  <w:style w:type="paragraph" w:customStyle="1" w:styleId="307">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308">
    <w:name w:val="xl3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微软雅黑" w:hAnsi="微软雅黑" w:eastAsia="微软雅黑" w:cs="宋体"/>
      <w:kern w:val="0"/>
      <w:sz w:val="20"/>
      <w:szCs w:val="20"/>
    </w:rPr>
  </w:style>
  <w:style w:type="paragraph" w:customStyle="1" w:styleId="309">
    <w:name w:val="xl333"/>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top"/>
    </w:pPr>
    <w:rPr>
      <w:rFonts w:ascii="微软雅黑" w:hAnsi="微软雅黑" w:eastAsia="微软雅黑" w:cs="宋体"/>
      <w:kern w:val="0"/>
      <w:sz w:val="20"/>
      <w:szCs w:val="20"/>
    </w:rPr>
  </w:style>
  <w:style w:type="paragraph" w:customStyle="1" w:styleId="310">
    <w:name w:val="_Style 303"/>
    <w:basedOn w:val="3"/>
    <w:next w:val="1"/>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311">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B050"/>
      <w:kern w:val="0"/>
      <w:sz w:val="32"/>
      <w:szCs w:val="32"/>
    </w:rPr>
  </w:style>
  <w:style w:type="paragraph" w:customStyle="1" w:styleId="312">
    <w:name w:val="Char"/>
    <w:basedOn w:val="1"/>
    <w:qFormat/>
    <w:uiPriority w:val="0"/>
  </w:style>
  <w:style w:type="paragraph" w:customStyle="1" w:styleId="313">
    <w:name w:val="Char Char8 Char Char 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314">
    <w:name w:val="xl29"/>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kern w:val="0"/>
      <w:szCs w:val="21"/>
    </w:rPr>
  </w:style>
  <w:style w:type="paragraph" w:customStyle="1" w:styleId="315">
    <w:name w:val="font13"/>
    <w:basedOn w:val="1"/>
    <w:qFormat/>
    <w:uiPriority w:val="0"/>
    <w:pPr>
      <w:widowControl/>
      <w:spacing w:before="100" w:beforeAutospacing="1" w:after="100" w:afterAutospacing="1"/>
      <w:jc w:val="left"/>
    </w:pPr>
    <w:rPr>
      <w:rFonts w:hint="eastAsia" w:ascii="宋体" w:hAnsi="宋体"/>
      <w:b/>
      <w:bCs/>
      <w:color w:val="000000"/>
      <w:kern w:val="0"/>
      <w:sz w:val="18"/>
      <w:szCs w:val="18"/>
    </w:rPr>
  </w:style>
  <w:style w:type="paragraph" w:customStyle="1" w:styleId="316">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317">
    <w:name w:val="xl32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微软雅黑" w:hAnsi="微软雅黑" w:eastAsia="微软雅黑" w:cs="宋体"/>
      <w:kern w:val="0"/>
      <w:sz w:val="20"/>
      <w:szCs w:val="20"/>
    </w:rPr>
  </w:style>
  <w:style w:type="paragraph" w:customStyle="1" w:styleId="318">
    <w:name w:val="列出段落1"/>
    <w:basedOn w:val="1"/>
    <w:qFormat/>
    <w:uiPriority w:val="34"/>
    <w:pPr>
      <w:ind w:firstLine="420" w:firstLineChars="200"/>
    </w:pPr>
  </w:style>
  <w:style w:type="paragraph" w:customStyle="1" w:styleId="319">
    <w:name w:val="_Style 18"/>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0">
    <w:name w:val="xl27"/>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kern w:val="0"/>
      <w:szCs w:val="21"/>
    </w:rPr>
  </w:style>
  <w:style w:type="paragraph" w:customStyle="1" w:styleId="321">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4"/>
    </w:rPr>
  </w:style>
  <w:style w:type="paragraph" w:customStyle="1" w:styleId="322">
    <w:name w:val="缺省文本"/>
    <w:basedOn w:val="1"/>
    <w:qFormat/>
    <w:uiPriority w:val="0"/>
    <w:pPr>
      <w:autoSpaceDE w:val="0"/>
      <w:autoSpaceDN w:val="0"/>
      <w:adjustRightInd w:val="0"/>
      <w:spacing w:line="360" w:lineRule="auto"/>
      <w:jc w:val="left"/>
    </w:pPr>
    <w:rPr>
      <w:kern w:val="0"/>
      <w:sz w:val="24"/>
      <w:szCs w:val="20"/>
    </w:rPr>
  </w:style>
  <w:style w:type="paragraph" w:customStyle="1" w:styleId="323">
    <w:name w:val="xl3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微软雅黑" w:hAnsi="微软雅黑" w:eastAsia="微软雅黑" w:cs="宋体"/>
      <w:kern w:val="0"/>
      <w:sz w:val="20"/>
      <w:szCs w:val="20"/>
    </w:rPr>
  </w:style>
  <w:style w:type="paragraph" w:customStyle="1" w:styleId="324">
    <w:name w:val="xl29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微软雅黑" w:hAnsi="微软雅黑" w:eastAsia="微软雅黑" w:cs="宋体"/>
      <w:kern w:val="0"/>
      <w:sz w:val="20"/>
      <w:szCs w:val="20"/>
    </w:rPr>
  </w:style>
  <w:style w:type="paragraph" w:customStyle="1" w:styleId="325">
    <w:name w:val="xl22"/>
    <w:basedOn w:val="1"/>
    <w:qFormat/>
    <w:uiPriority w:val="0"/>
    <w:pPr>
      <w:widowControl/>
      <w:spacing w:before="100" w:beforeAutospacing="1" w:after="100" w:afterAutospacing="1"/>
      <w:jc w:val="left"/>
    </w:pPr>
    <w:rPr>
      <w:rFonts w:ascii="Arial Unicode MS" w:hAnsi="Arial Unicode MS" w:eastAsia="Arial Unicode MS" w:cs="Arial Unicode MS"/>
      <w:kern w:val="0"/>
      <w:sz w:val="20"/>
      <w:szCs w:val="20"/>
    </w:rPr>
  </w:style>
  <w:style w:type="paragraph" w:customStyle="1" w:styleId="326">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b/>
      <w:bCs/>
      <w:kern w:val="0"/>
      <w:sz w:val="24"/>
    </w:rPr>
  </w:style>
  <w:style w:type="paragraph" w:customStyle="1" w:styleId="327">
    <w:name w:val="样式3"/>
    <w:basedOn w:val="1"/>
    <w:qFormat/>
    <w:uiPriority w:val="0"/>
    <w:pPr>
      <w:tabs>
        <w:tab w:val="left" w:pos="900"/>
      </w:tabs>
      <w:autoSpaceDE w:val="0"/>
      <w:autoSpaceDN w:val="0"/>
      <w:adjustRightInd w:val="0"/>
      <w:spacing w:line="360" w:lineRule="auto"/>
      <w:ind w:left="720" w:hanging="720"/>
      <w:textAlignment w:val="baseline"/>
    </w:pPr>
    <w:rPr>
      <w:rFonts w:ascii="宋体" w:hAnsi="宋体"/>
      <w:kern w:val="0"/>
      <w:sz w:val="24"/>
      <w:szCs w:val="20"/>
    </w:rPr>
  </w:style>
  <w:style w:type="paragraph" w:customStyle="1" w:styleId="328">
    <w:name w:val="xl298"/>
    <w:basedOn w:val="1"/>
    <w:qFormat/>
    <w:uiPriority w:val="0"/>
    <w:pPr>
      <w:widowControl/>
      <w:pBdr>
        <w:top w:val="single" w:color="auto" w:sz="4" w:space="0"/>
        <w:left w:val="single" w:color="auto" w:sz="4" w:space="0"/>
      </w:pBdr>
      <w:spacing w:before="100" w:beforeAutospacing="1" w:after="100" w:afterAutospacing="1"/>
      <w:jc w:val="center"/>
    </w:pPr>
    <w:rPr>
      <w:rFonts w:ascii="微软雅黑" w:hAnsi="微软雅黑" w:eastAsia="微软雅黑" w:cs="宋体"/>
      <w:kern w:val="0"/>
      <w:sz w:val="20"/>
      <w:szCs w:val="20"/>
    </w:rPr>
  </w:style>
  <w:style w:type="paragraph" w:customStyle="1" w:styleId="329">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30">
    <w:name w:val="xl30"/>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Cs w:val="21"/>
    </w:rPr>
  </w:style>
  <w:style w:type="paragraph" w:customStyle="1" w:styleId="331">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332">
    <w:name w:val="cleft"/>
    <w:basedOn w:val="1"/>
    <w:qFormat/>
    <w:uiPriority w:val="0"/>
    <w:pPr>
      <w:widowControl/>
      <w:jc w:val="left"/>
    </w:pPr>
    <w:rPr>
      <w:rFonts w:ascii="宋体" w:hAnsi="宋体" w:cs="宋体"/>
      <w:b/>
      <w:bCs/>
      <w:kern w:val="0"/>
      <w:sz w:val="24"/>
    </w:rPr>
  </w:style>
  <w:style w:type="paragraph" w:customStyle="1" w:styleId="333">
    <w:name w:val="表格文字"/>
    <w:basedOn w:val="1"/>
    <w:qFormat/>
    <w:uiPriority w:val="99"/>
    <w:pPr>
      <w:spacing w:before="25" w:after="25"/>
      <w:jc w:val="left"/>
    </w:pPr>
    <w:rPr>
      <w:bCs/>
      <w:spacing w:val="10"/>
      <w:kern w:val="0"/>
      <w:sz w:val="24"/>
    </w:rPr>
  </w:style>
  <w:style w:type="character" w:customStyle="1" w:styleId="334">
    <w:name w:val="Other|1_"/>
    <w:link w:val="335"/>
    <w:qFormat/>
    <w:uiPriority w:val="0"/>
    <w:rPr>
      <w:rFonts w:ascii="宋体" w:hAnsi="宋体" w:cs="宋体"/>
    </w:rPr>
  </w:style>
  <w:style w:type="paragraph" w:customStyle="1" w:styleId="335">
    <w:name w:val="Other|1"/>
    <w:basedOn w:val="1"/>
    <w:link w:val="334"/>
    <w:qFormat/>
    <w:uiPriority w:val="0"/>
    <w:pPr>
      <w:ind w:firstLine="140"/>
      <w:jc w:val="left"/>
    </w:pPr>
    <w:rPr>
      <w:rFonts w:ascii="宋体" w:hAnsi="宋体" w:cs="宋体"/>
      <w:kern w:val="0"/>
      <w:sz w:val="20"/>
      <w:szCs w:val="20"/>
    </w:rPr>
  </w:style>
  <w:style w:type="character" w:customStyle="1" w:styleId="336">
    <w:name w:val="列表段落 字符2"/>
    <w:qFormat/>
    <w:locked/>
    <w:uiPriority w:val="34"/>
    <w:rPr>
      <w:rFonts w:ascii="Calibri" w:hAnsi="Calibri" w:eastAsia="宋体" w:cs="Times New Roman"/>
      <w:kern w:val="2"/>
      <w:sz w:val="21"/>
      <w:szCs w:val="22"/>
    </w:rPr>
  </w:style>
  <w:style w:type="paragraph" w:customStyle="1" w:styleId="337">
    <w:name w:val="p17"/>
    <w:basedOn w:val="1"/>
    <w:qFormat/>
    <w:uiPriority w:val="0"/>
    <w:pPr>
      <w:widowControl/>
    </w:pPr>
    <w:rPr>
      <w:rFonts w:ascii="宋体" w:hAnsi="宋体" w:cs="宋体"/>
      <w:kern w:val="0"/>
      <w:szCs w:val="21"/>
    </w:rPr>
  </w:style>
  <w:style w:type="paragraph" w:customStyle="1" w:styleId="338">
    <w:name w:val="列出段落3"/>
    <w:basedOn w:val="1"/>
    <w:qFormat/>
    <w:uiPriority w:val="0"/>
    <w:pPr>
      <w:ind w:firstLine="420" w:firstLineChars="200"/>
    </w:pPr>
  </w:style>
  <w:style w:type="paragraph" w:customStyle="1" w:styleId="339">
    <w:name w:val="列表段落1"/>
    <w:basedOn w:val="1"/>
    <w:qFormat/>
    <w:uiPriority w:val="34"/>
    <w:pPr>
      <w:ind w:firstLine="420" w:firstLineChars="200"/>
    </w:pPr>
  </w:style>
  <w:style w:type="paragraph" w:customStyle="1" w:styleId="340">
    <w:name w:val="HtmlNormal"/>
    <w:basedOn w:val="1"/>
    <w:qFormat/>
    <w:uiPriority w:val="0"/>
    <w:pPr>
      <w:widowControl/>
      <w:spacing w:before="100" w:beforeAutospacing="1" w:after="100" w:afterAutospacing="1"/>
      <w:jc w:val="left"/>
      <w:textAlignment w:val="baseline"/>
    </w:pPr>
    <w:rPr>
      <w:rFonts w:ascii="宋体" w:hAnsi="宋体"/>
      <w:kern w:val="0"/>
      <w:sz w:val="24"/>
    </w:rPr>
  </w:style>
  <w:style w:type="character" w:customStyle="1" w:styleId="341">
    <w:name w:val="NormalCharacter"/>
    <w:qFormat/>
    <w:uiPriority w:val="0"/>
  </w:style>
  <w:style w:type="paragraph" w:customStyle="1" w:styleId="342">
    <w:name w:val="List Paragraph2"/>
    <w:basedOn w:val="1"/>
    <w:qFormat/>
    <w:uiPriority w:val="0"/>
    <w:pPr>
      <w:ind w:firstLine="420" w:firstLineChars="200"/>
    </w:pPr>
    <w:rPr>
      <w:rFonts w:ascii="Calibri" w:hAnsi="Calibri"/>
      <w:szCs w:val="22"/>
    </w:rPr>
  </w:style>
  <w:style w:type="paragraph" w:styleId="343">
    <w:name w:val="No Spacing"/>
    <w:qFormat/>
    <w:uiPriority w:val="1"/>
    <w:pPr>
      <w:widowControl w:val="0"/>
      <w:jc w:val="both"/>
    </w:pPr>
    <w:rPr>
      <w:rFonts w:ascii="Calibri" w:hAnsi="Calibri" w:eastAsia="宋体" w:cs="Times New Roman"/>
      <w:kern w:val="2"/>
      <w:sz w:val="21"/>
      <w:szCs w:val="22"/>
      <w:lang w:val="en-US" w:eastAsia="zh-CN" w:bidi="ar-SA"/>
    </w:rPr>
  </w:style>
  <w:style w:type="table" w:customStyle="1" w:styleId="344">
    <w:name w:val="Table Normal"/>
    <w:unhideWhenUsed/>
    <w:qFormat/>
    <w:uiPriority w:val="0"/>
    <w:tblPr>
      <w:tblCellMar>
        <w:top w:w="0" w:type="dxa"/>
        <w:left w:w="0" w:type="dxa"/>
        <w:bottom w:w="0" w:type="dxa"/>
        <w:right w:w="0" w:type="dxa"/>
      </w:tblCellMar>
    </w:tblPr>
  </w:style>
  <w:style w:type="paragraph" w:customStyle="1" w:styleId="345">
    <w:name w:val="目录 81"/>
    <w:basedOn w:val="1"/>
    <w:next w:val="1"/>
    <w:qFormat/>
    <w:uiPriority w:val="0"/>
    <w:pPr>
      <w:widowControl w:val="0"/>
      <w:autoSpaceDE/>
      <w:autoSpaceDN/>
      <w:spacing w:before="0" w:after="0" w:line="240" w:lineRule="auto"/>
      <w:ind w:left="1470" w:firstLine="0"/>
    </w:pPr>
    <w:rPr>
      <w:rFonts w:ascii="Times New Roman" w:hAnsi="Times New Roman" w:eastAsia="宋体" w:cs="Times New Roman"/>
      <w:sz w:val="18"/>
    </w:rPr>
  </w:style>
  <w:style w:type="paragraph" w:customStyle="1" w:styleId="346">
    <w:name w:val="Normal_0"/>
    <w:qFormat/>
    <w:uiPriority w:val="0"/>
    <w:rPr>
      <w:rFonts w:ascii="Times New Roman" w:hAnsi="Times New Roman" w:eastAsia="Times New Roman" w:cs="Times New Roman"/>
      <w:sz w:val="24"/>
      <w:szCs w:val="24"/>
      <w:lang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file:///C:\Users\timor\AppData\Local\Temp\ksohtml18696\wps24.jpg" TargetMode="External"/><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E:\2018&#24180;&#39033;&#30446;\&#37319;&#36141;&#21150;\&#26816;&#23519;&#20869;&#22806;&#32593;&#30828;&#20214;&#24314;&#35774;&#12289;&#26816;&#23519;&#20869;&#22806;&#32593;&#36719;&#20214;&#24314;&#35774;&#12289;&#26426;&#25151;&#22522;&#30784;&#35774;&#22791;&#21450;&#20809;&#32420;&#32508;&#21512;&#24067;&#32447;&#24314;&#35774;&#37319;&#36141;%20&#25307;&#26631;&#25991;&#20214;.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检察内外网硬件建设、检察内外网软件建设、机房基础设备及光纤综合布线建设采购 招标文件.dot</Template>
  <Company>CHINA</Company>
  <Pages>80</Pages>
  <Words>15243</Words>
  <Characters>16661</Characters>
  <Lines>1</Lines>
  <Paragraphs>1</Paragraphs>
  <TotalTime>6</TotalTime>
  <ScaleCrop>false</ScaleCrop>
  <LinksUpToDate>false</LinksUpToDate>
  <CharactersWithSpaces>16796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2022-08-07T02:33:00Z</dcterms:created>
  <dc:creator>user</dc:creator>
  <cp:lastModifiedBy>Timor</cp:lastModifiedBy>
  <cp:lastPrinted>2022-11-30T03:29:00Z</cp:lastPrinted>
  <dcterms:modified xsi:type="dcterms:W3CDTF">2026-08-26T03:30:14Z</dcterms:modified>
  <dc:title>医疗设备采购</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C4E190CC6A4B4BDD9EBD1441F2EE14DB_13</vt:lpwstr>
  </property>
  <property fmtid="{D5CDD505-2E9C-101B-9397-08002B2CF9AE}" pid="4" name="commondata">
    <vt:lpwstr>eyJoZGlkIjoiMzA4MDBlOTMyNDBiYTIwZGVjMDQ3ODZjMjJiYTc4MWMifQ==</vt:lpwstr>
  </property>
  <property fmtid="{D5CDD505-2E9C-101B-9397-08002B2CF9AE}" pid="5" name="KSOTemplateDocerSaveRecord">
    <vt:lpwstr>eyJoZGlkIjoiY2UwODkyZjQ2OGU5MTY3MDdjNzdlNWQ1YTE1MjM1NjUiLCJ1c2VySWQiOiI1NjA5NTk0OTEifQ==</vt:lpwstr>
  </property>
</Properties>
</file>