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EDDC182">
      <w:pPr>
        <w:jc w:val="center"/>
        <w:rPr>
          <w:rFonts w:hint="eastAsia" w:ascii="宋体" w:hAnsi="宋体" w:cs="宋体"/>
          <w:b/>
          <w:bCs/>
          <w:color w:val="auto"/>
          <w:sz w:val="48"/>
          <w:szCs w:val="48"/>
          <w:highlight w:val="none"/>
        </w:rPr>
      </w:pPr>
      <w:bookmarkStart w:id="0" w:name="OLE_LINK15"/>
      <w:bookmarkStart w:id="1" w:name="OLE_LINK7"/>
      <w:bookmarkStart w:id="2" w:name="OLE_LINK10"/>
      <w:bookmarkStart w:id="3" w:name="OLE_LINK8"/>
      <w:bookmarkStart w:id="4" w:name="OLE_LINK11"/>
    </w:p>
    <w:p w14:paraId="05F6934F">
      <w:pPr>
        <w:jc w:val="center"/>
        <w:rPr>
          <w:rFonts w:hint="eastAsia" w:ascii="宋体" w:hAnsi="宋体" w:cs="宋体"/>
          <w:b/>
          <w:bCs/>
          <w:color w:val="auto"/>
          <w:sz w:val="48"/>
          <w:szCs w:val="48"/>
          <w:highlight w:val="none"/>
        </w:rPr>
      </w:pPr>
    </w:p>
    <w:p w14:paraId="279FED1D">
      <w:pPr>
        <w:jc w:val="center"/>
        <w:rPr>
          <w:rFonts w:hint="eastAsia" w:ascii="宋体" w:hAnsi="宋体" w:cs="宋体"/>
          <w:b/>
          <w:bCs/>
          <w:color w:val="auto"/>
          <w:sz w:val="48"/>
          <w:szCs w:val="48"/>
          <w:highlight w:val="none"/>
        </w:rPr>
      </w:pPr>
      <w:r>
        <w:rPr>
          <w:rFonts w:hAnsi="宋体"/>
          <w:color w:val="auto"/>
          <w:kern w:val="0"/>
          <w:szCs w:val="21"/>
          <w:highlight w:val="none"/>
        </w:rPr>
        <w:drawing>
          <wp:anchor distT="0" distB="0" distL="114300" distR="114300" simplePos="0" relativeHeight="251662336" behindDoc="0" locked="0" layoutInCell="1" allowOverlap="1">
            <wp:simplePos x="0" y="0"/>
            <wp:positionH relativeFrom="column">
              <wp:posOffset>-342900</wp:posOffset>
            </wp:positionH>
            <wp:positionV relativeFrom="paragraph">
              <wp:posOffset>-373380</wp:posOffset>
            </wp:positionV>
            <wp:extent cx="6395085" cy="1416685"/>
            <wp:effectExtent l="0" t="0" r="0" b="0"/>
            <wp:wrapNone/>
            <wp:docPr id="2" name="图片 2" descr="I:\03★工作★（硬盘）\2018年项目-2022年项目-招标\5、2022年项目\（2.28投标入库）南宁轨道地产集团有限责任公司2022-2025年招标代理服务\招标公司-名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03★工作★（硬盘）\2018年项目-2022年项目-招标\5、2022年项目\（2.28投标入库）南宁轨道地产集团有限责任公司2022-2025年招标代理服务\招标公司-名称.png"/>
                    <pic:cNvPicPr>
                      <a:picLocks noChangeAspect="1"/>
                    </pic:cNvPicPr>
                  </pic:nvPicPr>
                  <pic:blipFill>
                    <a:blip r:embed="rId18"/>
                    <a:srcRect r="6451"/>
                    <a:stretch>
                      <a:fillRect/>
                    </a:stretch>
                  </pic:blipFill>
                  <pic:spPr>
                    <a:xfrm>
                      <a:off x="654685" y="1099820"/>
                      <a:ext cx="6395085" cy="1416685"/>
                    </a:xfrm>
                    <a:prstGeom prst="rect">
                      <a:avLst/>
                    </a:prstGeom>
                    <a:noFill/>
                    <a:ln>
                      <a:noFill/>
                    </a:ln>
                  </pic:spPr>
                </pic:pic>
              </a:graphicData>
            </a:graphic>
          </wp:anchor>
        </w:drawing>
      </w:r>
    </w:p>
    <w:p w14:paraId="67E03E4F">
      <w:pPr>
        <w:jc w:val="center"/>
        <w:rPr>
          <w:rFonts w:hint="eastAsia" w:ascii="宋体" w:hAnsi="宋体" w:cs="宋体"/>
          <w:b/>
          <w:bCs/>
          <w:color w:val="auto"/>
          <w:sz w:val="48"/>
          <w:szCs w:val="48"/>
          <w:highlight w:val="none"/>
        </w:rPr>
      </w:pPr>
    </w:p>
    <w:bookmarkEnd w:id="0"/>
    <w:p w14:paraId="5EBB50FD">
      <w:pPr>
        <w:spacing w:line="360" w:lineRule="auto"/>
        <w:jc w:val="center"/>
        <w:rPr>
          <w:rFonts w:hint="eastAsia" w:ascii="宋体" w:hAnsi="宋体" w:cs="宋体"/>
          <w:b/>
          <w:color w:val="auto"/>
          <w:sz w:val="36"/>
          <w:szCs w:val="36"/>
          <w:highlight w:val="none"/>
        </w:rPr>
      </w:pPr>
      <w:r>
        <w:rPr>
          <w:rFonts w:hint="eastAsia" w:ascii="宋体" w:hAnsi="宋体" w:cs="宋体"/>
          <w:color w:val="auto"/>
          <w:sz w:val="20"/>
          <w:highlight w:val="none"/>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169545</wp:posOffset>
                </wp:positionV>
                <wp:extent cx="5944235" cy="8255"/>
                <wp:effectExtent l="0" t="0" r="0" b="0"/>
                <wp:wrapNone/>
                <wp:docPr id="1" name="直线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0.65pt;margin-top:13.35pt;height:0.65pt;width:468.05pt;z-index:251659264;mso-width-relative:page;mso-height-relative:page;" filled="f" stroked="t" coordsize="21600,21600" o:gfxdata="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UZ+Ad1wAAAAgBAAAPAAAAAAAAAAEAIAAAACIAAABkcnMvZG93bnJldi54bWxQSwEC&#10;FAAUAAAACACHTuJACkhh9fUBAAD3AwAADgAAAAAAAAABACAAAAAmAQAAZHJzL2Uyb0RvYy54bWxQ&#10;SwUGAAAAAAYABgBZAQAAjQUAAAAA&#10;">
                <v:fill on="f" focussize="0,0"/>
                <v:stroke weight="2.25pt" color="#000000" joinstyle="round"/>
                <v:imagedata o:title=""/>
                <o:lock v:ext="edit" aspectratio="f"/>
              </v:line>
            </w:pict>
          </mc:Fallback>
        </mc:AlternateContent>
      </w:r>
      <w:r>
        <w:rPr>
          <w:rFonts w:hint="eastAsia" w:ascii="宋体" w:hAnsi="宋体" w:cs="宋体"/>
          <w:b/>
          <w:bCs/>
          <w:color w:val="auto"/>
          <w:sz w:val="10"/>
          <w:highlight w:val="none"/>
        </w:rPr>
        <w:t xml:space="preserve">                                                                         </w:t>
      </w:r>
    </w:p>
    <w:p w14:paraId="38FCDD92">
      <w:pPr>
        <w:pStyle w:val="20"/>
        <w:jc w:val="center"/>
        <w:rPr>
          <w:rFonts w:hint="eastAsia" w:hAnsi="宋体" w:cs="宋体"/>
          <w:color w:val="auto"/>
          <w:sz w:val="72"/>
          <w:szCs w:val="72"/>
          <w:highlight w:val="none"/>
        </w:rPr>
      </w:pPr>
    </w:p>
    <w:p w14:paraId="43A2F79F">
      <w:pPr>
        <w:pStyle w:val="20"/>
        <w:jc w:val="center"/>
        <w:rPr>
          <w:rFonts w:hint="eastAsia" w:hAnsi="宋体" w:cs="宋体"/>
          <w:b/>
          <w:bCs/>
          <w:color w:val="auto"/>
          <w:sz w:val="110"/>
          <w:szCs w:val="110"/>
          <w:highlight w:val="none"/>
        </w:rPr>
      </w:pPr>
      <w:r>
        <w:rPr>
          <w:rFonts w:hint="eastAsia" w:hAnsi="宋体" w:cs="宋体"/>
          <w:color w:val="auto"/>
          <w:sz w:val="110"/>
          <w:szCs w:val="110"/>
          <w:highlight w:val="none"/>
        </w:rPr>
        <w:t>招 标 文 件</w:t>
      </w:r>
    </w:p>
    <w:p w14:paraId="04C491F4">
      <w:pPr>
        <w:jc w:val="center"/>
        <w:rPr>
          <w:rFonts w:hint="eastAsia" w:ascii="宋体" w:hAnsi="宋体" w:cs="宋体"/>
          <w:b/>
          <w:color w:val="auto"/>
          <w:sz w:val="36"/>
          <w:szCs w:val="36"/>
          <w:highlight w:val="none"/>
        </w:rPr>
      </w:pPr>
    </w:p>
    <w:p w14:paraId="347C6FF5">
      <w:pPr>
        <w:pStyle w:val="20"/>
        <w:spacing w:line="360" w:lineRule="auto"/>
        <w:ind w:firstLine="753" w:firstLineChars="250"/>
        <w:jc w:val="left"/>
        <w:rPr>
          <w:rFonts w:hint="eastAsia" w:hAnsi="宋体" w:cs="宋体"/>
          <w:b/>
          <w:color w:val="auto"/>
          <w:sz w:val="30"/>
          <w:szCs w:val="30"/>
          <w:highlight w:val="none"/>
        </w:rPr>
      </w:pPr>
      <w:bookmarkStart w:id="205" w:name="_GoBack"/>
      <w:bookmarkEnd w:id="205"/>
    </w:p>
    <w:p w14:paraId="09CF7C68">
      <w:pPr>
        <w:snapToGrid w:val="0"/>
        <w:spacing w:before="120" w:beforeLines="50" w:line="360" w:lineRule="auto"/>
        <w:jc w:val="center"/>
        <w:rPr>
          <w:rFonts w:hint="eastAsia" w:ascii="宋体" w:hAnsi="宋体" w:cs="宋体"/>
          <w:b/>
          <w:color w:val="auto"/>
          <w:sz w:val="48"/>
          <w:szCs w:val="48"/>
          <w:highlight w:val="none"/>
        </w:rPr>
      </w:pPr>
      <w:r>
        <w:rPr>
          <w:rFonts w:hint="eastAsia" w:ascii="宋体" w:hAnsi="宋体" w:cs="宋体"/>
          <w:b/>
          <w:color w:val="auto"/>
          <w:sz w:val="48"/>
          <w:szCs w:val="48"/>
          <w:highlight w:val="none"/>
        </w:rPr>
        <w:t>（全流程电子化采购）</w:t>
      </w:r>
    </w:p>
    <w:p w14:paraId="06DCD170">
      <w:pPr>
        <w:pStyle w:val="20"/>
        <w:spacing w:line="360" w:lineRule="auto"/>
        <w:ind w:left="2556" w:leftChars="500" w:hanging="1506" w:hangingChars="500"/>
        <w:jc w:val="left"/>
        <w:rPr>
          <w:rFonts w:hint="eastAsia" w:hAnsi="宋体" w:eastAsia="宋体" w:cs="宋体"/>
          <w:b/>
          <w:color w:val="auto"/>
          <w:sz w:val="32"/>
          <w:szCs w:val="32"/>
          <w:highlight w:val="none"/>
          <w:lang w:eastAsia="zh-CN"/>
        </w:rPr>
      </w:pPr>
      <w:r>
        <w:rPr>
          <w:rFonts w:hint="eastAsia" w:hAnsi="宋体" w:cs="宋体"/>
          <w:b/>
          <w:color w:val="auto"/>
          <w:sz w:val="30"/>
          <w:szCs w:val="30"/>
          <w:highlight w:val="none"/>
        </w:rPr>
        <w:t>项目名称：</w:t>
      </w:r>
      <w:r>
        <w:rPr>
          <w:rFonts w:hint="eastAsia" w:hAnsi="宋体" w:cs="宋体"/>
          <w:b/>
          <w:color w:val="auto"/>
          <w:sz w:val="30"/>
          <w:szCs w:val="30"/>
          <w:highlight w:val="none"/>
          <w:u w:val="none"/>
          <w:lang w:eastAsia="zh-CN"/>
        </w:rPr>
        <w:t>广西壮族自治区2026年度计划生育特殊家庭综合保险项目</w:t>
      </w:r>
    </w:p>
    <w:p w14:paraId="586EE92A">
      <w:pPr>
        <w:pStyle w:val="20"/>
        <w:spacing w:line="360" w:lineRule="auto"/>
        <w:ind w:firstLine="1054" w:firstLineChars="350"/>
        <w:jc w:val="left"/>
        <w:rPr>
          <w:rFonts w:hint="default" w:hAnsi="宋体" w:eastAsia="宋体" w:cs="宋体"/>
          <w:b/>
          <w:color w:val="auto"/>
          <w:sz w:val="30"/>
          <w:szCs w:val="30"/>
          <w:highlight w:val="none"/>
          <w:lang w:val="en-US" w:eastAsia="zh-CN"/>
        </w:rPr>
      </w:pPr>
      <w:r>
        <w:rPr>
          <w:rFonts w:hint="eastAsia" w:hAnsi="宋体" w:cs="宋体"/>
          <w:b/>
          <w:color w:val="auto"/>
          <w:sz w:val="30"/>
          <w:szCs w:val="30"/>
          <w:highlight w:val="none"/>
        </w:rPr>
        <w:t>项目编号：</w:t>
      </w:r>
      <w:r>
        <w:rPr>
          <w:rFonts w:hint="eastAsia" w:hAnsi="宋体" w:cs="宋体"/>
          <w:b/>
          <w:color w:val="auto"/>
          <w:sz w:val="30"/>
          <w:szCs w:val="30"/>
          <w:highlight w:val="none"/>
          <w:lang w:val="en-US" w:eastAsia="zh-CN"/>
        </w:rPr>
        <w:t>GXZC2026-G3-002390-JGJD</w:t>
      </w:r>
    </w:p>
    <w:p w14:paraId="42D6C4F7">
      <w:pPr>
        <w:spacing w:line="600" w:lineRule="exact"/>
        <w:ind w:left="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-89535</wp:posOffset>
                </wp:positionH>
                <wp:positionV relativeFrom="paragraph">
                  <wp:posOffset>144145</wp:posOffset>
                </wp:positionV>
                <wp:extent cx="5944235" cy="8255"/>
                <wp:effectExtent l="0" t="0" r="0" b="0"/>
                <wp:wrapNone/>
                <wp:docPr id="3" name="直线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7.05pt;margin-top:11.35pt;height:0.65pt;width:468.05pt;z-index:251660288;mso-width-relative:page;mso-height-relative:page;" filled="f" stroked="t" coordsize="21600,21600" o:gfxdata="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vzFLNcAAAAJAQAADwAAAAAAAAABACAAAAAiAAAAZHJzL2Rvd25yZXYueG1sUEsB&#10;AhQAFAAAAAgAh07iQNV1L+72AQAA9wMAAA4AAAAAAAAAAQAgAAAAJgEAAGRycy9lMm9Eb2MueG1s&#10;UEsFBgAAAAAGAAYAWQEAAI4FAAAAAA==&#10;">
                <v:fill on="f" focussize="0,0"/>
                <v:stroke weight="2.25pt" color="#000000" joinstyle="round"/>
                <v:imagedata o:title=""/>
                <o:lock v:ext="edit" aspectratio="f"/>
              </v:line>
            </w:pict>
          </mc:Fallback>
        </mc:AlternateContent>
      </w:r>
    </w:p>
    <w:p w14:paraId="7787EEBB">
      <w:pPr>
        <w:pStyle w:val="20"/>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采购人：</w:t>
      </w:r>
      <w:r>
        <w:rPr>
          <w:rFonts w:hint="eastAsia" w:hAnsi="宋体" w:cs="宋体"/>
          <w:b/>
          <w:color w:val="auto"/>
          <w:sz w:val="30"/>
          <w:szCs w:val="30"/>
          <w:highlight w:val="none"/>
          <w:lang w:eastAsia="zh-CN"/>
        </w:rPr>
        <w:t>广西壮族自治区计划生育协会</w:t>
      </w:r>
    </w:p>
    <w:p w14:paraId="128EE3DC">
      <w:pPr>
        <w:pStyle w:val="20"/>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采购代理机构：</w:t>
      </w:r>
      <w:r>
        <w:rPr>
          <w:rFonts w:hint="eastAsia" w:hAnsi="宋体" w:cs="宋体"/>
          <w:b/>
          <w:color w:val="auto"/>
          <w:sz w:val="30"/>
          <w:szCs w:val="30"/>
          <w:highlight w:val="none"/>
          <w:lang w:eastAsia="zh-CN"/>
        </w:rPr>
        <w:t>广西建设工程机电设备招标中心有限公司</w:t>
      </w:r>
    </w:p>
    <w:p w14:paraId="7F564FED">
      <w:pPr>
        <w:pStyle w:val="20"/>
        <w:spacing w:line="360" w:lineRule="auto"/>
        <w:jc w:val="center"/>
        <w:rPr>
          <w:rFonts w:hint="eastAsia" w:hAnsi="宋体" w:cs="宋体"/>
          <w:b/>
          <w:color w:val="auto"/>
          <w:sz w:val="30"/>
          <w:szCs w:val="30"/>
          <w:highlight w:val="none"/>
        </w:rPr>
      </w:pPr>
    </w:p>
    <w:p w14:paraId="1CA1768F">
      <w:pPr>
        <w:pStyle w:val="20"/>
        <w:spacing w:line="360" w:lineRule="auto"/>
        <w:jc w:val="center"/>
        <w:rPr>
          <w:rFonts w:hint="default" w:hAnsi="宋体" w:eastAsia="宋体" w:cs="宋体"/>
          <w:b/>
          <w:bCs/>
          <w:color w:val="auto"/>
          <w:spacing w:val="-27"/>
          <w:sz w:val="60"/>
          <w:szCs w:val="60"/>
          <w:highlight w:val="none"/>
          <w:lang w:val="en-US" w:eastAsia="zh-CN"/>
        </w:rPr>
      </w:pPr>
      <w:r>
        <w:rPr>
          <w:rFonts w:hint="eastAsia" w:hAnsi="宋体" w:cs="宋体"/>
          <w:b/>
          <w:color w:val="auto"/>
          <w:sz w:val="30"/>
          <w:szCs w:val="30"/>
          <w:highlight w:val="none"/>
        </w:rPr>
        <w:t>202</w:t>
      </w:r>
      <w:r>
        <w:rPr>
          <w:rFonts w:hint="eastAsia" w:hAnsi="宋体" w:cs="宋体"/>
          <w:b/>
          <w:color w:val="auto"/>
          <w:sz w:val="30"/>
          <w:szCs w:val="30"/>
          <w:highlight w:val="none"/>
          <w:lang w:val="en-US" w:eastAsia="zh-CN"/>
        </w:rPr>
        <w:t>6</w:t>
      </w:r>
      <w:r>
        <w:rPr>
          <w:rFonts w:hint="eastAsia" w:hAnsi="宋体" w:cs="宋体"/>
          <w:b/>
          <w:color w:val="auto"/>
          <w:sz w:val="30"/>
          <w:szCs w:val="30"/>
          <w:highlight w:val="none"/>
        </w:rPr>
        <w:t>年</w:t>
      </w:r>
      <w:r>
        <w:rPr>
          <w:rFonts w:hint="eastAsia" w:hAnsi="宋体" w:cs="宋体"/>
          <w:b/>
          <w:color w:val="auto"/>
          <w:sz w:val="30"/>
          <w:szCs w:val="30"/>
          <w:highlight w:val="none"/>
          <w:lang w:val="en-US" w:eastAsia="zh-CN"/>
        </w:rPr>
        <w:t>7</w:t>
      </w:r>
      <w:r>
        <w:rPr>
          <w:rFonts w:hint="eastAsia" w:hAnsi="宋体" w:cs="宋体"/>
          <w:b/>
          <w:color w:val="auto"/>
          <w:sz w:val="30"/>
          <w:szCs w:val="30"/>
          <w:highlight w:val="none"/>
        </w:rPr>
        <w:t>月</w:t>
      </w:r>
    </w:p>
    <w:p w14:paraId="7B251527">
      <w:pPr>
        <w:pStyle w:val="20"/>
        <w:spacing w:before="120" w:after="120" w:line="360" w:lineRule="auto"/>
        <w:jc w:val="center"/>
        <w:rPr>
          <w:rFonts w:hint="eastAsia" w:hAnsi="宋体" w:cs="宋体"/>
          <w:b/>
          <w:color w:val="auto"/>
          <w:sz w:val="44"/>
          <w:szCs w:val="44"/>
          <w:highlight w:val="none"/>
        </w:rPr>
        <w:sectPr>
          <w:footerReference r:id="rId6" w:type="first"/>
          <w:headerReference r:id="rId3" w:type="default"/>
          <w:footerReference r:id="rId4" w:type="default"/>
          <w:footerReference r:id="rId5" w:type="even"/>
          <w:pgSz w:w="11906" w:h="16838"/>
          <w:pgMar w:top="1440" w:right="1757" w:bottom="1440" w:left="1803" w:header="850" w:footer="850" w:gutter="0"/>
          <w:pgNumType w:start="0"/>
          <w:cols w:space="720" w:num="1"/>
          <w:titlePg/>
          <w:docGrid w:linePitch="312" w:charSpace="0"/>
        </w:sectPr>
      </w:pPr>
    </w:p>
    <w:p w14:paraId="2FB478FB">
      <w:pPr>
        <w:pStyle w:val="20"/>
        <w:keepNext w:val="0"/>
        <w:keepLines w:val="0"/>
        <w:pageBreakBefore w:val="0"/>
        <w:widowControl w:val="0"/>
        <w:kinsoku/>
        <w:wordWrap/>
        <w:overflowPunct/>
        <w:topLinePunct w:val="0"/>
        <w:autoSpaceDE/>
        <w:autoSpaceDN/>
        <w:bidi w:val="0"/>
        <w:adjustRightInd/>
        <w:spacing w:before="120" w:after="120" w:line="360" w:lineRule="auto"/>
        <w:jc w:val="center"/>
        <w:textAlignment w:val="auto"/>
        <w:rPr>
          <w:rFonts w:hint="eastAsia" w:hAnsi="宋体" w:cs="宋体"/>
          <w:b/>
          <w:color w:val="auto"/>
          <w:sz w:val="44"/>
          <w:szCs w:val="44"/>
          <w:highlight w:val="none"/>
        </w:rPr>
      </w:pPr>
      <w:r>
        <w:rPr>
          <w:rFonts w:hint="eastAsia" w:hAnsi="宋体" w:cs="宋体"/>
          <w:b/>
          <w:color w:val="auto"/>
          <w:sz w:val="44"/>
          <w:szCs w:val="44"/>
          <w:highlight w:val="none"/>
        </w:rPr>
        <w:t>目  录</w:t>
      </w:r>
    </w:p>
    <w:p w14:paraId="5B4398F3">
      <w:pPr>
        <w:pStyle w:val="27"/>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bookmarkStart w:id="5" w:name="OLE_LINK6"/>
      <w:bookmarkStart w:id="6" w:name="OLE_LINK9"/>
      <w:r>
        <w:rPr>
          <w:rFonts w:hint="eastAsia" w:cs="宋体"/>
          <w:b w:val="0"/>
          <w:bCs w:val="0"/>
          <w:color w:val="auto"/>
          <w:highlight w:val="none"/>
        </w:rPr>
        <w:fldChar w:fldCharType="begin"/>
      </w:r>
      <w:r>
        <w:rPr>
          <w:rFonts w:hint="eastAsia" w:cs="宋体"/>
          <w:b w:val="0"/>
          <w:bCs w:val="0"/>
          <w:color w:val="auto"/>
          <w:highlight w:val="none"/>
        </w:rPr>
        <w:instrText xml:space="preserve">TOC \o "1-3" \h \u </w:instrText>
      </w:r>
      <w:r>
        <w:rPr>
          <w:rFonts w:hint="eastAsia" w:cs="宋体"/>
          <w:b w:val="0"/>
          <w:bCs w:val="0"/>
          <w:color w:val="auto"/>
          <w:highlight w:val="none"/>
        </w:rPr>
        <w:fldChar w:fldCharType="separate"/>
      </w:r>
      <w:r>
        <w:rPr>
          <w:rFonts w:hint="eastAsia" w:cs="宋体"/>
          <w:bCs w:val="0"/>
          <w:color w:val="auto"/>
          <w:highlight w:val="none"/>
        </w:rPr>
        <w:fldChar w:fldCharType="begin"/>
      </w:r>
      <w:r>
        <w:rPr>
          <w:rFonts w:hint="eastAsia" w:cs="宋体"/>
          <w:bCs w:val="0"/>
          <w:color w:val="auto"/>
          <w:highlight w:val="none"/>
        </w:rPr>
        <w:instrText xml:space="preserve"> HYPERLINK \l _Toc21030 </w:instrText>
      </w:r>
      <w:r>
        <w:rPr>
          <w:rFonts w:hint="eastAsia" w:cs="宋体"/>
          <w:bCs w:val="0"/>
          <w:color w:val="auto"/>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_Toc21030 \h </w:instrText>
      </w:r>
      <w:r>
        <w:rPr>
          <w:color w:val="auto"/>
          <w:highlight w:val="none"/>
        </w:rPr>
        <w:fldChar w:fldCharType="separate"/>
      </w:r>
      <w:r>
        <w:rPr>
          <w:color w:val="auto"/>
          <w:highlight w:val="none"/>
        </w:rPr>
        <w:t>2</w:t>
      </w:r>
      <w:r>
        <w:rPr>
          <w:color w:val="auto"/>
          <w:highlight w:val="none"/>
        </w:rPr>
        <w:fldChar w:fldCharType="end"/>
      </w:r>
      <w:r>
        <w:rPr>
          <w:rFonts w:hint="eastAsia" w:cs="宋体"/>
          <w:bCs w:val="0"/>
          <w:color w:val="auto"/>
          <w:highlight w:val="none"/>
        </w:rPr>
        <w:fldChar w:fldCharType="end"/>
      </w:r>
    </w:p>
    <w:p w14:paraId="0ED6B3C6">
      <w:pPr>
        <w:pStyle w:val="27"/>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_Toc12941 </w:instrText>
      </w:r>
      <w:r>
        <w:rPr>
          <w:rFonts w:hint="eastAsia" w:ascii="宋体" w:hAnsi="宋体" w:cs="宋体"/>
          <w:color w:val="auto"/>
          <w:highlight w:val="none"/>
        </w:rPr>
        <w:fldChar w:fldCharType="separate"/>
      </w:r>
      <w:r>
        <w:rPr>
          <w:rFonts w:hint="eastAsia" w:ascii="宋体"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_Toc12941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cs="宋体"/>
          <w:color w:val="auto"/>
          <w:highlight w:val="none"/>
        </w:rPr>
        <w:fldChar w:fldCharType="end"/>
      </w:r>
    </w:p>
    <w:p w14:paraId="2194CCE0">
      <w:pPr>
        <w:pStyle w:val="27"/>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_Toc24453 </w:instrText>
      </w:r>
      <w:r>
        <w:rPr>
          <w:rFonts w:hint="eastAsia" w:ascii="宋体" w:hAnsi="宋体" w:cs="宋体"/>
          <w:color w:val="auto"/>
          <w:highlight w:val="none"/>
        </w:rPr>
        <w:fldChar w:fldCharType="separate"/>
      </w:r>
      <w:r>
        <w:rPr>
          <w:rFonts w:hint="eastAsia" w:ascii="宋体"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_Toc24453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cs="宋体"/>
          <w:color w:val="auto"/>
          <w:highlight w:val="none"/>
        </w:rPr>
        <w:fldChar w:fldCharType="end"/>
      </w:r>
    </w:p>
    <w:p w14:paraId="710FFD81">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_Toc3016 </w:instrText>
      </w:r>
      <w:r>
        <w:rPr>
          <w:rFonts w:hint="eastAsia" w:ascii="宋体" w:hAnsi="宋体" w:cs="宋体"/>
          <w:color w:val="auto"/>
          <w:highlight w:val="none"/>
        </w:rPr>
        <w:fldChar w:fldCharType="separate"/>
      </w:r>
      <w:r>
        <w:rPr>
          <w:rFonts w:hint="eastAsia" w:ascii="宋体" w:hAnsi="宋体" w:cs="宋体"/>
          <w:color w:val="auto"/>
          <w:szCs w:val="36"/>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_Toc3016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highlight w:val="none"/>
        </w:rPr>
        <w:fldChar w:fldCharType="end"/>
      </w:r>
    </w:p>
    <w:p w14:paraId="609F2921">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_Toc21607 </w:instrText>
      </w:r>
      <w:r>
        <w:rPr>
          <w:rFonts w:hint="eastAsia" w:ascii="宋体" w:hAnsi="宋体" w:cs="宋体"/>
          <w:color w:val="auto"/>
          <w:highlight w:val="none"/>
        </w:rPr>
        <w:fldChar w:fldCharType="separate"/>
      </w:r>
      <w:r>
        <w:rPr>
          <w:rFonts w:hint="eastAsia" w:ascii="宋体" w:hAnsi="宋体" w:cs="宋体"/>
          <w:color w:val="auto"/>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_Toc21607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cs="宋体"/>
          <w:color w:val="auto"/>
          <w:highlight w:val="none"/>
        </w:rPr>
        <w:fldChar w:fldCharType="end"/>
      </w:r>
    </w:p>
    <w:p w14:paraId="11FF211D">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_Toc7551 </w:instrText>
      </w:r>
      <w:r>
        <w:rPr>
          <w:rFonts w:hint="eastAsia" w:ascii="宋体" w:hAnsi="宋体" w:cs="宋体"/>
          <w:color w:val="auto"/>
          <w:highlight w:val="none"/>
        </w:rPr>
        <w:fldChar w:fldCharType="separate"/>
      </w:r>
      <w:r>
        <w:rPr>
          <w:rFonts w:hint="eastAsia" w:ascii="宋体" w:hAnsi="宋体" w:cs="宋体"/>
          <w:color w:val="auto"/>
          <w:highlight w:val="none"/>
        </w:rPr>
        <w:t>一、总  则</w:t>
      </w:r>
      <w:r>
        <w:rPr>
          <w:color w:val="auto"/>
          <w:highlight w:val="none"/>
        </w:rPr>
        <w:tab/>
      </w:r>
      <w:r>
        <w:rPr>
          <w:color w:val="auto"/>
          <w:highlight w:val="none"/>
        </w:rPr>
        <w:fldChar w:fldCharType="begin"/>
      </w:r>
      <w:r>
        <w:rPr>
          <w:color w:val="auto"/>
          <w:highlight w:val="none"/>
        </w:rPr>
        <w:instrText xml:space="preserve"> PAGEREF _Toc7551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cs="宋体"/>
          <w:color w:val="auto"/>
          <w:highlight w:val="none"/>
        </w:rPr>
        <w:fldChar w:fldCharType="end"/>
      </w:r>
    </w:p>
    <w:p w14:paraId="784D50D9">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_Toc30666 </w:instrText>
      </w:r>
      <w:r>
        <w:rPr>
          <w:rFonts w:hint="eastAsia" w:ascii="宋体" w:hAnsi="宋体" w:cs="宋体"/>
          <w:color w:val="auto"/>
          <w:highlight w:val="none"/>
        </w:rPr>
        <w:fldChar w:fldCharType="separate"/>
      </w:r>
      <w:r>
        <w:rPr>
          <w:rFonts w:hint="eastAsia" w:ascii="宋体" w:hAnsi="宋体" w:cs="宋体"/>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_Toc30666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cs="宋体"/>
          <w:color w:val="auto"/>
          <w:highlight w:val="none"/>
        </w:rPr>
        <w:fldChar w:fldCharType="end"/>
      </w:r>
    </w:p>
    <w:p w14:paraId="731AF487">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_Toc11493 </w:instrText>
      </w:r>
      <w:r>
        <w:rPr>
          <w:rFonts w:hint="eastAsia" w:ascii="宋体" w:hAnsi="宋体" w:cs="宋体"/>
          <w:color w:val="auto"/>
          <w:highlight w:val="none"/>
        </w:rPr>
        <w:fldChar w:fldCharType="separate"/>
      </w:r>
      <w:r>
        <w:rPr>
          <w:rFonts w:hint="eastAsia" w:ascii="宋体" w:hAnsi="宋体" w:cs="宋体"/>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_Toc11493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cs="宋体"/>
          <w:color w:val="auto"/>
          <w:highlight w:val="none"/>
        </w:rPr>
        <w:fldChar w:fldCharType="end"/>
      </w:r>
    </w:p>
    <w:p w14:paraId="6009961E">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_Toc21393 </w:instrText>
      </w:r>
      <w:r>
        <w:rPr>
          <w:rFonts w:hint="eastAsia" w:ascii="宋体" w:hAnsi="宋体" w:cs="宋体"/>
          <w:color w:val="auto"/>
          <w:highlight w:val="none"/>
        </w:rPr>
        <w:fldChar w:fldCharType="separate"/>
      </w:r>
      <w:r>
        <w:rPr>
          <w:rFonts w:hint="eastAsia" w:ascii="宋体" w:hAnsi="宋体" w:cs="宋体"/>
          <w:color w:val="auto"/>
          <w:highlight w:val="none"/>
        </w:rPr>
        <w:t>四、开  标</w:t>
      </w:r>
      <w:r>
        <w:rPr>
          <w:color w:val="auto"/>
          <w:highlight w:val="none"/>
        </w:rPr>
        <w:tab/>
      </w:r>
      <w:r>
        <w:rPr>
          <w:color w:val="auto"/>
          <w:highlight w:val="none"/>
        </w:rPr>
        <w:fldChar w:fldCharType="begin"/>
      </w:r>
      <w:r>
        <w:rPr>
          <w:color w:val="auto"/>
          <w:highlight w:val="none"/>
        </w:rPr>
        <w:instrText xml:space="preserve"> PAGEREF _Toc21393 \h </w:instrText>
      </w:r>
      <w:r>
        <w:rPr>
          <w:color w:val="auto"/>
          <w:highlight w:val="none"/>
        </w:rPr>
        <w:fldChar w:fldCharType="separate"/>
      </w:r>
      <w:r>
        <w:rPr>
          <w:color w:val="auto"/>
          <w:highlight w:val="none"/>
        </w:rPr>
        <w:t>30</w:t>
      </w:r>
      <w:r>
        <w:rPr>
          <w:color w:val="auto"/>
          <w:highlight w:val="none"/>
        </w:rPr>
        <w:fldChar w:fldCharType="end"/>
      </w:r>
      <w:r>
        <w:rPr>
          <w:rFonts w:hint="eastAsia" w:ascii="宋体" w:hAnsi="宋体" w:cs="宋体"/>
          <w:color w:val="auto"/>
          <w:highlight w:val="none"/>
        </w:rPr>
        <w:fldChar w:fldCharType="end"/>
      </w:r>
    </w:p>
    <w:p w14:paraId="4D53D721">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_Toc6086 </w:instrText>
      </w:r>
      <w:r>
        <w:rPr>
          <w:rFonts w:hint="eastAsia" w:ascii="宋体" w:hAnsi="宋体" w:cs="宋体"/>
          <w:color w:val="auto"/>
          <w:highlight w:val="none"/>
        </w:rPr>
        <w:fldChar w:fldCharType="separate"/>
      </w:r>
      <w:r>
        <w:rPr>
          <w:rFonts w:hint="eastAsia" w:ascii="宋体" w:hAnsi="宋体" w:cs="宋体"/>
          <w:color w:val="auto"/>
          <w:highlight w:val="none"/>
        </w:rPr>
        <w:t>五、资格审查</w:t>
      </w:r>
      <w:r>
        <w:rPr>
          <w:color w:val="auto"/>
          <w:highlight w:val="none"/>
        </w:rPr>
        <w:tab/>
      </w:r>
      <w:r>
        <w:rPr>
          <w:color w:val="auto"/>
          <w:highlight w:val="none"/>
        </w:rPr>
        <w:fldChar w:fldCharType="begin"/>
      </w:r>
      <w:r>
        <w:rPr>
          <w:color w:val="auto"/>
          <w:highlight w:val="none"/>
        </w:rPr>
        <w:instrText xml:space="preserve"> PAGEREF _Toc6086 \h </w:instrText>
      </w:r>
      <w:r>
        <w:rPr>
          <w:color w:val="auto"/>
          <w:highlight w:val="none"/>
        </w:rPr>
        <w:fldChar w:fldCharType="separate"/>
      </w:r>
      <w:r>
        <w:rPr>
          <w:color w:val="auto"/>
          <w:highlight w:val="none"/>
        </w:rPr>
        <w:t>31</w:t>
      </w:r>
      <w:r>
        <w:rPr>
          <w:color w:val="auto"/>
          <w:highlight w:val="none"/>
        </w:rPr>
        <w:fldChar w:fldCharType="end"/>
      </w:r>
      <w:r>
        <w:rPr>
          <w:rFonts w:hint="eastAsia" w:ascii="宋体" w:hAnsi="宋体" w:cs="宋体"/>
          <w:color w:val="auto"/>
          <w:highlight w:val="none"/>
        </w:rPr>
        <w:fldChar w:fldCharType="end"/>
      </w:r>
    </w:p>
    <w:p w14:paraId="2DDC0F5B">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_Toc17386 </w:instrText>
      </w:r>
      <w:r>
        <w:rPr>
          <w:rFonts w:hint="eastAsia" w:ascii="宋体" w:hAnsi="宋体" w:cs="宋体"/>
          <w:color w:val="auto"/>
          <w:highlight w:val="none"/>
        </w:rPr>
        <w:fldChar w:fldCharType="separate"/>
      </w:r>
      <w:r>
        <w:rPr>
          <w:rFonts w:hint="eastAsia" w:ascii="宋体" w:hAnsi="宋体" w:cs="宋体"/>
          <w:color w:val="auto"/>
          <w:highlight w:val="none"/>
        </w:rPr>
        <w:t>六、评  标</w:t>
      </w:r>
      <w:r>
        <w:rPr>
          <w:color w:val="auto"/>
          <w:highlight w:val="none"/>
        </w:rPr>
        <w:tab/>
      </w:r>
      <w:r>
        <w:rPr>
          <w:color w:val="auto"/>
          <w:highlight w:val="none"/>
        </w:rPr>
        <w:fldChar w:fldCharType="begin"/>
      </w:r>
      <w:r>
        <w:rPr>
          <w:color w:val="auto"/>
          <w:highlight w:val="none"/>
        </w:rPr>
        <w:instrText xml:space="preserve"> PAGEREF _Toc17386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cs="宋体"/>
          <w:color w:val="auto"/>
          <w:highlight w:val="none"/>
        </w:rPr>
        <w:fldChar w:fldCharType="end"/>
      </w:r>
    </w:p>
    <w:p w14:paraId="6194D2A4">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_Toc12517 </w:instrText>
      </w:r>
      <w:r>
        <w:rPr>
          <w:rFonts w:hint="eastAsia" w:ascii="宋体" w:hAnsi="宋体" w:cs="宋体"/>
          <w:color w:val="auto"/>
          <w:highlight w:val="none"/>
        </w:rPr>
        <w:fldChar w:fldCharType="separate"/>
      </w:r>
      <w:r>
        <w:rPr>
          <w:rFonts w:hint="eastAsia" w:ascii="宋体" w:hAnsi="宋体" w:cs="宋体"/>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_Toc12517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cs="宋体"/>
          <w:color w:val="auto"/>
          <w:highlight w:val="none"/>
        </w:rPr>
        <w:fldChar w:fldCharType="end"/>
      </w:r>
    </w:p>
    <w:p w14:paraId="5C012B23">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_Toc17072 </w:instrText>
      </w:r>
      <w:r>
        <w:rPr>
          <w:rFonts w:hint="eastAsia" w:ascii="宋体" w:hAnsi="宋体" w:cs="宋体"/>
          <w:color w:val="auto"/>
          <w:highlight w:val="none"/>
        </w:rPr>
        <w:fldChar w:fldCharType="separate"/>
      </w:r>
      <w:r>
        <w:rPr>
          <w:rFonts w:hint="eastAsia" w:ascii="宋体" w:hAnsi="宋体" w:cs="宋体"/>
          <w:color w:val="auto"/>
          <w:highlight w:val="none"/>
        </w:rPr>
        <w:t>八、其他事项</w:t>
      </w:r>
      <w:r>
        <w:rPr>
          <w:color w:val="auto"/>
          <w:highlight w:val="none"/>
        </w:rPr>
        <w:tab/>
      </w:r>
      <w:r>
        <w:rPr>
          <w:color w:val="auto"/>
          <w:highlight w:val="none"/>
        </w:rPr>
        <w:fldChar w:fldCharType="begin"/>
      </w:r>
      <w:r>
        <w:rPr>
          <w:color w:val="auto"/>
          <w:highlight w:val="none"/>
        </w:rPr>
        <w:instrText xml:space="preserve"> PAGEREF _Toc17072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cs="宋体"/>
          <w:color w:val="auto"/>
          <w:highlight w:val="none"/>
        </w:rPr>
        <w:fldChar w:fldCharType="end"/>
      </w:r>
    </w:p>
    <w:p w14:paraId="5E903FA2">
      <w:pPr>
        <w:pStyle w:val="27"/>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_Toc15433 </w:instrText>
      </w:r>
      <w:r>
        <w:rPr>
          <w:rFonts w:hint="eastAsia" w:ascii="宋体" w:hAnsi="宋体" w:cs="宋体"/>
          <w:color w:val="auto"/>
          <w:highlight w:val="none"/>
        </w:rPr>
        <w:fldChar w:fldCharType="separate"/>
      </w:r>
      <w:r>
        <w:rPr>
          <w:rFonts w:hint="eastAsia" w:ascii="宋体" w:hAnsi="宋体" w:cs="宋体"/>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_Toc15433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cs="宋体"/>
          <w:color w:val="auto"/>
          <w:highlight w:val="none"/>
        </w:rPr>
        <w:fldChar w:fldCharType="end"/>
      </w:r>
    </w:p>
    <w:p w14:paraId="53C66872">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_Toc22273 </w:instrText>
      </w:r>
      <w:r>
        <w:rPr>
          <w:rFonts w:hint="eastAsia" w:ascii="宋体" w:hAnsi="宋体" w:cs="宋体"/>
          <w:color w:val="auto"/>
          <w:highlight w:val="none"/>
        </w:rPr>
        <w:fldChar w:fldCharType="separate"/>
      </w:r>
      <w:r>
        <w:rPr>
          <w:rFonts w:hint="eastAsia" w:ascii="宋体" w:hAnsi="宋体" w:cs="宋体"/>
          <w:color w:val="auto"/>
          <w:highlight w:val="none"/>
        </w:rPr>
        <w:t>一、评标方法</w:t>
      </w:r>
      <w:r>
        <w:rPr>
          <w:color w:val="auto"/>
          <w:highlight w:val="none"/>
        </w:rPr>
        <w:tab/>
      </w:r>
      <w:r>
        <w:rPr>
          <w:color w:val="auto"/>
          <w:highlight w:val="none"/>
        </w:rPr>
        <w:fldChar w:fldCharType="begin"/>
      </w:r>
      <w:r>
        <w:rPr>
          <w:color w:val="auto"/>
          <w:highlight w:val="none"/>
        </w:rPr>
        <w:instrText xml:space="preserve"> PAGEREF _Toc22273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cs="宋体"/>
          <w:color w:val="auto"/>
          <w:highlight w:val="none"/>
        </w:rPr>
        <w:fldChar w:fldCharType="end"/>
      </w:r>
    </w:p>
    <w:p w14:paraId="14F0401E">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_Toc29445 </w:instrText>
      </w:r>
      <w:r>
        <w:rPr>
          <w:rFonts w:hint="eastAsia" w:ascii="宋体" w:hAnsi="宋体" w:cs="宋体"/>
          <w:color w:val="auto"/>
          <w:highlight w:val="none"/>
        </w:rPr>
        <w:fldChar w:fldCharType="separate"/>
      </w:r>
      <w:r>
        <w:rPr>
          <w:rFonts w:hint="eastAsia" w:ascii="宋体" w:hAnsi="宋体" w:cs="宋体"/>
          <w:color w:val="auto"/>
          <w:highlight w:val="none"/>
        </w:rPr>
        <w:t>二、评标程序</w:t>
      </w:r>
      <w:r>
        <w:rPr>
          <w:color w:val="auto"/>
          <w:highlight w:val="none"/>
        </w:rPr>
        <w:tab/>
      </w:r>
      <w:r>
        <w:rPr>
          <w:color w:val="auto"/>
          <w:highlight w:val="none"/>
        </w:rPr>
        <w:fldChar w:fldCharType="begin"/>
      </w:r>
      <w:r>
        <w:rPr>
          <w:color w:val="auto"/>
          <w:highlight w:val="none"/>
        </w:rPr>
        <w:instrText xml:space="preserve"> PAGEREF _Toc29445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cs="宋体"/>
          <w:color w:val="auto"/>
          <w:highlight w:val="none"/>
        </w:rPr>
        <w:fldChar w:fldCharType="end"/>
      </w:r>
    </w:p>
    <w:p w14:paraId="197A2AFB">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_Toc4705 </w:instrText>
      </w:r>
      <w:r>
        <w:rPr>
          <w:rFonts w:hint="eastAsia" w:ascii="宋体" w:hAnsi="宋体" w:cs="宋体"/>
          <w:color w:val="auto"/>
          <w:highlight w:val="none"/>
        </w:rPr>
        <w:fldChar w:fldCharType="separate"/>
      </w:r>
      <w:r>
        <w:rPr>
          <w:rFonts w:hint="eastAsia" w:ascii="宋体" w:hAnsi="宋体" w:cs="宋体"/>
          <w:color w:val="auto"/>
          <w:highlight w:val="none"/>
        </w:rPr>
        <w:t>三、评标标准</w:t>
      </w:r>
      <w:r>
        <w:rPr>
          <w:color w:val="auto"/>
          <w:highlight w:val="none"/>
        </w:rPr>
        <w:tab/>
      </w:r>
      <w:r>
        <w:rPr>
          <w:color w:val="auto"/>
          <w:highlight w:val="none"/>
        </w:rPr>
        <w:fldChar w:fldCharType="begin"/>
      </w:r>
      <w:r>
        <w:rPr>
          <w:color w:val="auto"/>
          <w:highlight w:val="none"/>
        </w:rPr>
        <w:instrText xml:space="preserve"> PAGEREF _Toc4705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cs="宋体"/>
          <w:color w:val="auto"/>
          <w:highlight w:val="none"/>
        </w:rPr>
        <w:fldChar w:fldCharType="end"/>
      </w:r>
    </w:p>
    <w:p w14:paraId="764F9C04">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_Toc29253 </w:instrText>
      </w:r>
      <w:r>
        <w:rPr>
          <w:rFonts w:hint="eastAsia" w:ascii="宋体" w:hAnsi="宋体" w:cs="宋体"/>
          <w:color w:val="auto"/>
          <w:highlight w:val="none"/>
        </w:rPr>
        <w:fldChar w:fldCharType="separate"/>
      </w:r>
      <w:r>
        <w:rPr>
          <w:rFonts w:hint="eastAsia" w:ascii="宋体" w:hAnsi="宋体" w:cs="宋体"/>
          <w:color w:val="auto"/>
          <w:highlight w:val="none"/>
        </w:rPr>
        <w:t>评分标准（综合评分法）</w:t>
      </w:r>
      <w:r>
        <w:rPr>
          <w:color w:val="auto"/>
          <w:highlight w:val="none"/>
        </w:rPr>
        <w:tab/>
      </w:r>
      <w:r>
        <w:rPr>
          <w:color w:val="auto"/>
          <w:highlight w:val="none"/>
        </w:rPr>
        <w:fldChar w:fldCharType="begin"/>
      </w:r>
      <w:r>
        <w:rPr>
          <w:color w:val="auto"/>
          <w:highlight w:val="none"/>
        </w:rPr>
        <w:instrText xml:space="preserve"> PAGEREF _Toc29253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cs="宋体"/>
          <w:color w:val="auto"/>
          <w:highlight w:val="none"/>
        </w:rPr>
        <w:fldChar w:fldCharType="end"/>
      </w:r>
    </w:p>
    <w:p w14:paraId="4E60CDDC">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_Toc4130 </w:instrText>
      </w:r>
      <w:r>
        <w:rPr>
          <w:rFonts w:hint="eastAsia" w:ascii="宋体" w:hAnsi="宋体" w:cs="宋体"/>
          <w:color w:val="auto"/>
          <w:highlight w:val="none"/>
        </w:rPr>
        <w:fldChar w:fldCharType="separate"/>
      </w:r>
      <w:r>
        <w:rPr>
          <w:rFonts w:hint="eastAsia" w:ascii="宋体" w:hAnsi="宋体" w:cs="宋体"/>
          <w:color w:val="auto"/>
          <w:highlight w:val="none"/>
        </w:rPr>
        <w:t>四、中标候选人推荐原则</w:t>
      </w:r>
      <w:r>
        <w:rPr>
          <w:color w:val="auto"/>
          <w:highlight w:val="none"/>
        </w:rPr>
        <w:tab/>
      </w:r>
      <w:r>
        <w:rPr>
          <w:color w:val="auto"/>
          <w:highlight w:val="none"/>
        </w:rPr>
        <w:fldChar w:fldCharType="begin"/>
      </w:r>
      <w:r>
        <w:rPr>
          <w:color w:val="auto"/>
          <w:highlight w:val="none"/>
        </w:rPr>
        <w:instrText xml:space="preserve"> PAGEREF _Toc4130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cs="宋体"/>
          <w:color w:val="auto"/>
          <w:highlight w:val="none"/>
        </w:rPr>
        <w:fldChar w:fldCharType="end"/>
      </w:r>
    </w:p>
    <w:p w14:paraId="6EC7C6BA">
      <w:pPr>
        <w:pStyle w:val="27"/>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_Toc22428 </w:instrText>
      </w:r>
      <w:r>
        <w:rPr>
          <w:rFonts w:hint="eastAsia" w:ascii="宋体" w:hAnsi="宋体" w:cs="宋体"/>
          <w:color w:val="auto"/>
          <w:highlight w:val="none"/>
        </w:rPr>
        <w:fldChar w:fldCharType="separate"/>
      </w:r>
      <w:r>
        <w:rPr>
          <w:rFonts w:hint="eastAsia" w:ascii="宋体"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_Toc22428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cs="宋体"/>
          <w:color w:val="auto"/>
          <w:highlight w:val="none"/>
        </w:rPr>
        <w:fldChar w:fldCharType="end"/>
      </w:r>
    </w:p>
    <w:p w14:paraId="512D7111">
      <w:pPr>
        <w:pStyle w:val="27"/>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_Toc20718 </w:instrText>
      </w:r>
      <w:r>
        <w:rPr>
          <w:rFonts w:hint="eastAsia" w:ascii="宋体" w:hAnsi="宋体" w:cs="宋体"/>
          <w:color w:val="auto"/>
          <w:highlight w:val="none"/>
        </w:rPr>
        <w:fldChar w:fldCharType="separate"/>
      </w:r>
      <w:r>
        <w:rPr>
          <w:rFonts w:hint="eastAsia" w:ascii="宋体"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_Toc20718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cs="宋体"/>
          <w:color w:val="auto"/>
          <w:highlight w:val="none"/>
        </w:rPr>
        <w:fldChar w:fldCharType="end"/>
      </w:r>
    </w:p>
    <w:p w14:paraId="526D6CA7">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_Toc7400 </w:instrText>
      </w:r>
      <w:r>
        <w:rPr>
          <w:rFonts w:hint="eastAsia" w:ascii="宋体" w:hAnsi="宋体" w:cs="宋体"/>
          <w:color w:val="auto"/>
          <w:highlight w:val="none"/>
        </w:rPr>
        <w:fldChar w:fldCharType="separate"/>
      </w:r>
      <w:r>
        <w:rPr>
          <w:rFonts w:hint="eastAsia" w:ascii="宋体" w:hAnsi="宋体" w:cs="宋体"/>
          <w:color w:val="auto"/>
          <w:szCs w:val="28"/>
          <w:highlight w:val="none"/>
        </w:rPr>
        <w:t>一、报价文件格式</w:t>
      </w:r>
      <w:r>
        <w:rPr>
          <w:color w:val="auto"/>
          <w:highlight w:val="none"/>
        </w:rPr>
        <w:tab/>
      </w:r>
      <w:r>
        <w:rPr>
          <w:color w:val="auto"/>
          <w:highlight w:val="none"/>
        </w:rPr>
        <w:fldChar w:fldCharType="begin"/>
      </w:r>
      <w:r>
        <w:rPr>
          <w:color w:val="auto"/>
          <w:highlight w:val="none"/>
        </w:rPr>
        <w:instrText xml:space="preserve"> PAGEREF _Toc7400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cs="宋体"/>
          <w:color w:val="auto"/>
          <w:highlight w:val="none"/>
        </w:rPr>
        <w:fldChar w:fldCharType="end"/>
      </w:r>
    </w:p>
    <w:p w14:paraId="3981F8C7">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_Toc23452 </w:instrText>
      </w:r>
      <w:r>
        <w:rPr>
          <w:rFonts w:hint="eastAsia" w:ascii="宋体" w:hAnsi="宋体" w:cs="宋体"/>
          <w:color w:val="auto"/>
          <w:highlight w:val="none"/>
        </w:rPr>
        <w:fldChar w:fldCharType="separate"/>
      </w:r>
      <w:r>
        <w:rPr>
          <w:rFonts w:hint="eastAsia"/>
          <w:color w:val="auto"/>
          <w:highlight w:val="none"/>
        </w:rPr>
        <w:t>二、资格证明文件格式</w:t>
      </w:r>
      <w:r>
        <w:rPr>
          <w:color w:val="auto"/>
          <w:highlight w:val="none"/>
        </w:rPr>
        <w:tab/>
      </w:r>
      <w:r>
        <w:rPr>
          <w:color w:val="auto"/>
          <w:highlight w:val="none"/>
        </w:rPr>
        <w:fldChar w:fldCharType="begin"/>
      </w:r>
      <w:r>
        <w:rPr>
          <w:color w:val="auto"/>
          <w:highlight w:val="none"/>
        </w:rPr>
        <w:instrText xml:space="preserve"> PAGEREF _Toc23452 \h </w:instrText>
      </w:r>
      <w:r>
        <w:rPr>
          <w:color w:val="auto"/>
          <w:highlight w:val="none"/>
        </w:rPr>
        <w:fldChar w:fldCharType="separate"/>
      </w:r>
      <w:r>
        <w:rPr>
          <w:color w:val="auto"/>
          <w:highlight w:val="none"/>
        </w:rPr>
        <w:t>65</w:t>
      </w:r>
      <w:r>
        <w:rPr>
          <w:color w:val="auto"/>
          <w:highlight w:val="none"/>
        </w:rPr>
        <w:fldChar w:fldCharType="end"/>
      </w:r>
      <w:r>
        <w:rPr>
          <w:rFonts w:hint="eastAsia" w:ascii="宋体" w:hAnsi="宋体" w:cs="宋体"/>
          <w:color w:val="auto"/>
          <w:highlight w:val="none"/>
        </w:rPr>
        <w:fldChar w:fldCharType="end"/>
      </w:r>
    </w:p>
    <w:p w14:paraId="0B6CA5B9">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_Toc6222 </w:instrText>
      </w:r>
      <w:r>
        <w:rPr>
          <w:rFonts w:hint="eastAsia" w:ascii="宋体" w:hAnsi="宋体" w:cs="宋体"/>
          <w:color w:val="auto"/>
          <w:highlight w:val="none"/>
        </w:rPr>
        <w:fldChar w:fldCharType="separate"/>
      </w:r>
      <w:r>
        <w:rPr>
          <w:rFonts w:hint="eastAsia" w:ascii="宋体" w:hAnsi="宋体" w:cs="宋体"/>
          <w:color w:val="auto"/>
          <w:szCs w:val="28"/>
          <w:highlight w:val="none"/>
        </w:rPr>
        <w:t>三、商务及技术文件格式</w:t>
      </w:r>
      <w:r>
        <w:rPr>
          <w:color w:val="auto"/>
          <w:highlight w:val="none"/>
        </w:rPr>
        <w:tab/>
      </w:r>
      <w:r>
        <w:rPr>
          <w:color w:val="auto"/>
          <w:highlight w:val="none"/>
        </w:rPr>
        <w:fldChar w:fldCharType="begin"/>
      </w:r>
      <w:r>
        <w:rPr>
          <w:color w:val="auto"/>
          <w:highlight w:val="none"/>
        </w:rPr>
        <w:instrText xml:space="preserve"> PAGEREF _Toc6222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cs="宋体"/>
          <w:color w:val="auto"/>
          <w:highlight w:val="none"/>
        </w:rPr>
        <w:fldChar w:fldCharType="end"/>
      </w:r>
    </w:p>
    <w:p w14:paraId="58AAEF1D">
      <w:pPr>
        <w:pStyle w:val="3"/>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textAlignment w:val="auto"/>
        <w:rPr>
          <w:rFonts w:hint="eastAsia" w:ascii="宋体" w:hAnsi="宋体" w:cs="宋体"/>
          <w:color w:val="auto"/>
          <w:highlight w:val="none"/>
        </w:rPr>
        <w:sectPr>
          <w:footerReference r:id="rId7" w:type="default"/>
          <w:pgSz w:w="11906" w:h="16838"/>
          <w:pgMar w:top="1440" w:right="1800" w:bottom="1440" w:left="1800" w:header="851" w:footer="992" w:gutter="0"/>
          <w:pgNumType w:fmt="decimal" w:start="1"/>
          <w:cols w:space="720" w:num="1"/>
          <w:docGrid w:type="lines" w:linePitch="312" w:charSpace="0"/>
        </w:sectPr>
      </w:pPr>
    </w:p>
    <w:p w14:paraId="3C60C5DD">
      <w:pPr>
        <w:pStyle w:val="3"/>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textAlignment w:val="auto"/>
        <w:rPr>
          <w:rFonts w:hint="eastAsia" w:ascii="宋体" w:hAnsi="宋体" w:cs="宋体"/>
          <w:color w:val="auto"/>
          <w:highlight w:val="none"/>
        </w:rPr>
      </w:pPr>
      <w:r>
        <w:rPr>
          <w:rFonts w:hint="eastAsia" w:ascii="宋体" w:hAnsi="宋体" w:cs="宋体"/>
          <w:color w:val="auto"/>
          <w:highlight w:val="none"/>
        </w:rPr>
        <w:fldChar w:fldCharType="end"/>
      </w:r>
      <w:bookmarkEnd w:id="5"/>
      <w:bookmarkEnd w:id="6"/>
      <w:bookmarkStart w:id="7" w:name="_Toc254970489"/>
      <w:bookmarkStart w:id="8" w:name="_Toc254970630"/>
      <w:bookmarkStart w:id="9" w:name="_Toc5452"/>
      <w:bookmarkStart w:id="10" w:name="_Toc16993"/>
      <w:bookmarkStart w:id="11" w:name="_Toc21030"/>
      <w:r>
        <w:rPr>
          <w:rFonts w:hint="eastAsia" w:ascii="宋体" w:hAnsi="宋体" w:cs="宋体"/>
          <w:color w:val="auto"/>
          <w:highlight w:val="none"/>
        </w:rPr>
        <w:t>第一章</w:t>
      </w:r>
      <w:bookmarkEnd w:id="7"/>
      <w:bookmarkEnd w:id="8"/>
      <w:bookmarkStart w:id="12" w:name="_Toc35393789"/>
      <w:bookmarkStart w:id="13" w:name="_Toc28359001"/>
      <w:r>
        <w:rPr>
          <w:rFonts w:hint="eastAsia" w:ascii="宋体" w:hAnsi="宋体" w:cs="宋体"/>
          <w:color w:val="auto"/>
          <w:highlight w:val="none"/>
        </w:rPr>
        <w:t xml:space="preserve">  招标公告</w:t>
      </w:r>
      <w:bookmarkEnd w:id="9"/>
      <w:bookmarkEnd w:id="10"/>
      <w:bookmarkEnd w:id="11"/>
      <w:bookmarkEnd w:id="12"/>
      <w:bookmarkEnd w:id="13"/>
    </w:p>
    <w:p w14:paraId="0B46F65A">
      <w:pPr>
        <w:keepNext w:val="0"/>
        <w:keepLines w:val="0"/>
        <w:pageBreakBefore w:val="0"/>
        <w:kinsoku/>
        <w:overflowPunct/>
        <w:topLinePunct w:val="0"/>
        <w:bidi w:val="0"/>
        <w:spacing w:line="400" w:lineRule="exact"/>
        <w:jc w:val="center"/>
        <w:textAlignment w:val="auto"/>
        <w:rPr>
          <w:rFonts w:hint="eastAsia" w:ascii="宋体" w:hAnsi="宋体" w:cs="宋体"/>
          <w:b/>
          <w:bCs/>
          <w:color w:val="auto"/>
          <w:sz w:val="24"/>
          <w:highlight w:val="none"/>
          <w:lang w:eastAsia="zh-CN"/>
        </w:rPr>
      </w:pPr>
      <w:r>
        <w:rPr>
          <w:rFonts w:hint="eastAsia" w:ascii="宋体" w:hAnsi="宋体" w:cs="宋体"/>
          <w:b/>
          <w:bCs/>
          <w:color w:val="auto"/>
          <w:sz w:val="24"/>
          <w:highlight w:val="none"/>
          <w:lang w:eastAsia="zh-CN"/>
        </w:rPr>
        <w:t>广西建设工程机电设备招标中心有限公司</w:t>
      </w:r>
    </w:p>
    <w:p w14:paraId="6E840DB9">
      <w:pPr>
        <w:keepNext w:val="0"/>
        <w:keepLines w:val="0"/>
        <w:pageBreakBefore w:val="0"/>
        <w:kinsoku/>
        <w:overflowPunct/>
        <w:topLinePunct w:val="0"/>
        <w:bidi w:val="0"/>
        <w:spacing w:line="400" w:lineRule="exact"/>
        <w:jc w:val="center"/>
        <w:textAlignment w:val="auto"/>
        <w:rPr>
          <w:rFonts w:hint="eastAsia" w:ascii="宋体" w:hAnsi="宋体" w:cs="宋体"/>
          <w:b/>
          <w:color w:val="auto"/>
          <w:sz w:val="24"/>
          <w:highlight w:val="none"/>
          <w:lang w:eastAsia="zh-CN"/>
        </w:rPr>
      </w:pPr>
      <w:r>
        <w:rPr>
          <w:rFonts w:hint="eastAsia" w:ascii="宋体" w:hAnsi="宋体" w:cs="宋体"/>
          <w:b/>
          <w:bCs/>
          <w:color w:val="auto"/>
          <w:sz w:val="24"/>
          <w:highlight w:val="none"/>
        </w:rPr>
        <w:t>关于</w:t>
      </w:r>
      <w:r>
        <w:rPr>
          <w:rFonts w:hint="eastAsia" w:ascii="宋体" w:hAnsi="宋体" w:cs="宋体"/>
          <w:b/>
          <w:color w:val="auto"/>
          <w:sz w:val="24"/>
          <w:highlight w:val="none"/>
          <w:lang w:eastAsia="zh-CN"/>
        </w:rPr>
        <w:t>广西壮族自治区2026年度计划生育特殊家庭综合保险项目</w:t>
      </w:r>
    </w:p>
    <w:p w14:paraId="7CBF8206">
      <w:pPr>
        <w:keepNext w:val="0"/>
        <w:keepLines w:val="0"/>
        <w:pageBreakBefore w:val="0"/>
        <w:kinsoku/>
        <w:overflowPunct/>
        <w:topLinePunct w:val="0"/>
        <w:bidi w:val="0"/>
        <w:spacing w:line="400" w:lineRule="exact"/>
        <w:jc w:val="center"/>
        <w:textAlignment w:val="auto"/>
        <w:rPr>
          <w:rFonts w:hint="eastAsia" w:ascii="宋体" w:hAnsi="宋体" w:cs="宋体"/>
          <w:color w:val="auto"/>
          <w:sz w:val="24"/>
          <w:highlight w:val="none"/>
        </w:rPr>
      </w:pPr>
      <w:r>
        <w:rPr>
          <w:rFonts w:hint="eastAsia" w:ascii="宋体" w:hAnsi="宋体" w:cs="宋体"/>
          <w:b/>
          <w:color w:val="auto"/>
          <w:sz w:val="24"/>
          <w:highlight w:val="none"/>
          <w:lang w:eastAsia="zh-CN"/>
        </w:rPr>
        <w:t>（</w:t>
      </w:r>
      <w:r>
        <w:rPr>
          <w:rFonts w:hint="eastAsia" w:ascii="宋体" w:hAnsi="宋体" w:cs="宋体"/>
          <w:b/>
          <w:bCs/>
          <w:color w:val="auto"/>
          <w:sz w:val="24"/>
          <w:highlight w:val="none"/>
        </w:rPr>
        <w:t>项目编号：</w:t>
      </w:r>
      <w:r>
        <w:rPr>
          <w:rFonts w:hint="eastAsia" w:ascii="宋体" w:hAnsi="宋体" w:cs="宋体"/>
          <w:b/>
          <w:bCs/>
          <w:color w:val="auto"/>
          <w:sz w:val="24"/>
          <w:highlight w:val="none"/>
          <w:lang w:eastAsia="zh-CN"/>
        </w:rPr>
        <w:t>GXZC2026-G3-002390-JGJD）</w:t>
      </w:r>
      <w:r>
        <w:rPr>
          <w:rFonts w:hint="eastAsia" w:ascii="宋体" w:hAnsi="宋体" w:cs="宋体"/>
          <w:b/>
          <w:bCs/>
          <w:color w:val="auto"/>
          <w:sz w:val="24"/>
          <w:highlight w:val="none"/>
        </w:rPr>
        <w:t>公开招标公告</w:t>
      </w:r>
    </w:p>
    <w:p w14:paraId="6D04BA5C">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项目概况</w:t>
      </w:r>
    </w:p>
    <w:p w14:paraId="3154575B">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u w:val="single"/>
          <w:lang w:eastAsia="zh-CN"/>
        </w:rPr>
        <w:t xml:space="preserve">广西壮族自治区2026年度计划生育特殊家庭综合保险项目 </w:t>
      </w:r>
      <w:r>
        <w:rPr>
          <w:rFonts w:hint="eastAsia" w:ascii="宋体" w:hAnsi="宋体" w:cs="宋体"/>
          <w:color w:val="auto"/>
          <w:szCs w:val="21"/>
          <w:highlight w:val="none"/>
        </w:rPr>
        <w:t>招标项目的潜在投标人应在广西政府采购云平台（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）获取招标文件，并于</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bCs/>
          <w:color w:val="auto"/>
          <w:szCs w:val="21"/>
          <w:highlight w:val="none"/>
          <w:u w:val="single"/>
        </w:rPr>
        <w:t>年月日9时30分（</w:t>
      </w:r>
      <w:r>
        <w:rPr>
          <w:rFonts w:hint="eastAsia" w:ascii="宋体" w:hAnsi="宋体" w:cs="宋体"/>
          <w:bCs/>
          <w:color w:val="auto"/>
          <w:szCs w:val="21"/>
          <w:highlight w:val="none"/>
        </w:rPr>
        <w:t>北京时间）前递交投标文件</w:t>
      </w:r>
      <w:r>
        <w:rPr>
          <w:rFonts w:hint="eastAsia" w:ascii="宋体" w:hAnsi="宋体" w:cs="宋体"/>
          <w:color w:val="auto"/>
          <w:szCs w:val="21"/>
          <w:highlight w:val="none"/>
        </w:rPr>
        <w:t>。</w:t>
      </w:r>
    </w:p>
    <w:p w14:paraId="68B08054">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14" w:name="_Toc35393790"/>
      <w:bookmarkStart w:id="15" w:name="_Toc35393621"/>
      <w:bookmarkStart w:id="16" w:name="_Toc28359079"/>
      <w:bookmarkStart w:id="17" w:name="_Toc28359002"/>
      <w:bookmarkStart w:id="18" w:name="_Hlk24379207"/>
      <w:r>
        <w:rPr>
          <w:rFonts w:hint="eastAsia" w:ascii="宋体" w:hAnsi="宋体" w:cs="宋体"/>
          <w:b/>
          <w:bCs/>
          <w:color w:val="auto"/>
          <w:sz w:val="24"/>
          <w:highlight w:val="none"/>
        </w:rPr>
        <w:t>一、项目基本情况</w:t>
      </w:r>
      <w:bookmarkEnd w:id="14"/>
      <w:bookmarkEnd w:id="15"/>
      <w:bookmarkEnd w:id="16"/>
      <w:bookmarkEnd w:id="17"/>
    </w:p>
    <w:bookmarkEnd w:id="18"/>
    <w:p w14:paraId="10E72752">
      <w:pPr>
        <w:keepNext w:val="0"/>
        <w:keepLines w:val="0"/>
        <w:pageBreakBefore w:val="0"/>
        <w:kinsoku/>
        <w:overflowPunct/>
        <w:topLinePunct w:val="0"/>
        <w:bidi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val="en-US" w:eastAsia="zh-CN"/>
        </w:rPr>
        <w:t>GXZC2026-G3-002390-JGJD</w:t>
      </w:r>
    </w:p>
    <w:p w14:paraId="575D6618">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lang w:eastAsia="zh-CN"/>
        </w:rPr>
        <w:t xml:space="preserve">广西壮族自治区2026年度计划生育特殊家庭综合保险项目 </w:t>
      </w:r>
    </w:p>
    <w:p w14:paraId="76B30432">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u w:val="single"/>
          <w:lang w:eastAsia="zh-CN"/>
        </w:rPr>
      </w:pPr>
      <w:r>
        <w:rPr>
          <w:rFonts w:hint="eastAsia" w:ascii="宋体" w:hAnsi="宋体" w:cs="宋体"/>
          <w:color w:val="auto"/>
          <w:highlight w:val="none"/>
        </w:rPr>
        <w:t>预算总金额</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1700万元</w:t>
      </w:r>
    </w:p>
    <w:p w14:paraId="472B458C">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采购需求：</w:t>
      </w:r>
    </w:p>
    <w:p w14:paraId="5201F654">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标项名称：</w:t>
      </w:r>
      <w:r>
        <w:rPr>
          <w:rFonts w:hint="eastAsia" w:ascii="宋体" w:hAnsi="宋体" w:cs="宋体"/>
          <w:color w:val="auto"/>
          <w:szCs w:val="21"/>
          <w:highlight w:val="none"/>
          <w:u w:val="single"/>
          <w:lang w:eastAsia="zh-CN"/>
        </w:rPr>
        <w:t xml:space="preserve">广西壮族自治区2026年度计划生育特殊家庭综合保险项目 </w:t>
      </w:r>
    </w:p>
    <w:p w14:paraId="25B077EE">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数量：1</w:t>
      </w:r>
    </w:p>
    <w:p w14:paraId="5E57AE9B">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w:t>
      </w:r>
      <w:r>
        <w:rPr>
          <w:rFonts w:hint="eastAsia" w:ascii="宋体" w:hAnsi="宋体" w:cs="宋体"/>
          <w:color w:val="auto"/>
          <w:szCs w:val="21"/>
          <w:highlight w:val="none"/>
          <w:lang w:val="en-US" w:eastAsia="zh-CN"/>
        </w:rPr>
        <w:t>1700万元</w:t>
      </w:r>
    </w:p>
    <w:p w14:paraId="50FE4DDA">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bookmarkStart w:id="19" w:name="_Hlk199265269"/>
      <w:r>
        <w:rPr>
          <w:rFonts w:hint="eastAsia" w:ascii="宋体" w:hAnsi="宋体" w:cs="宋体"/>
          <w:color w:val="auto"/>
          <w:szCs w:val="21"/>
          <w:highlight w:val="none"/>
          <w:lang w:eastAsia="zh-CN"/>
        </w:rPr>
        <w:t xml:space="preserve">广西壮族自治区2026年度计划生育特殊家庭综合保险项目 </w:t>
      </w:r>
      <w:r>
        <w:rPr>
          <w:rFonts w:hint="eastAsia" w:ascii="宋体" w:hAnsi="宋体" w:cs="宋体"/>
          <w:color w:val="auto"/>
          <w:szCs w:val="21"/>
          <w:highlight w:val="none"/>
          <w:lang w:val="en-US" w:eastAsia="zh-CN"/>
        </w:rPr>
        <w:t>一项</w:t>
      </w:r>
      <w:bookmarkEnd w:id="19"/>
      <w:r>
        <w:rPr>
          <w:rFonts w:hint="eastAsia" w:ascii="宋体" w:hAnsi="宋体" w:cs="宋体"/>
          <w:color w:val="auto"/>
          <w:szCs w:val="21"/>
          <w:highlight w:val="none"/>
          <w:lang w:val="en-US" w:eastAsia="zh-CN"/>
        </w:rPr>
        <w:t>，具体</w:t>
      </w:r>
      <w:r>
        <w:rPr>
          <w:rFonts w:hint="eastAsia" w:ascii="宋体" w:hAnsi="宋体" w:cs="宋体"/>
          <w:color w:val="auto"/>
          <w:szCs w:val="21"/>
          <w:highlight w:val="none"/>
        </w:rPr>
        <w:t>详见招标文件第二章采购需求。</w:t>
      </w:r>
    </w:p>
    <w:p w14:paraId="1625341A">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1700万元</w:t>
      </w:r>
    </w:p>
    <w:p w14:paraId="5230C62D">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cs="宋体"/>
          <w:color w:val="auto"/>
          <w:szCs w:val="21"/>
          <w:highlight w:val="none"/>
          <w:lang w:val="en-US" w:eastAsia="zh-CN"/>
        </w:rPr>
        <w:t>详见采购需求</w:t>
      </w:r>
      <w:r>
        <w:rPr>
          <w:rFonts w:hint="eastAsia" w:ascii="宋体" w:hAnsi="宋体" w:cs="宋体"/>
          <w:color w:val="auto"/>
          <w:szCs w:val="21"/>
          <w:highlight w:val="none"/>
        </w:rPr>
        <w:t>。</w:t>
      </w:r>
    </w:p>
    <w:p w14:paraId="3B6794B3">
      <w:pPr>
        <w:keepNext w:val="0"/>
        <w:keepLines w:val="0"/>
        <w:pageBreakBefore w:val="0"/>
        <w:kinsoku/>
        <w:overflowPunct/>
        <w:topLinePunct w:val="0"/>
        <w:bidi w:val="0"/>
        <w:spacing w:line="400" w:lineRule="exact"/>
        <w:ind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本标项</w:t>
      </w:r>
      <w:r>
        <w:rPr>
          <w:rFonts w:hint="eastAsia" w:ascii="宋体" w:hAnsi="宋体" w:cs="宋体"/>
          <w:b/>
          <w:bCs/>
          <w:color w:val="auto"/>
          <w:szCs w:val="21"/>
          <w:highlight w:val="none"/>
          <w:lang w:eastAsia="zh-CN"/>
        </w:rPr>
        <w:t>不</w:t>
      </w:r>
      <w:r>
        <w:rPr>
          <w:rFonts w:hint="eastAsia" w:ascii="宋体" w:hAnsi="宋体" w:cs="宋体"/>
          <w:b/>
          <w:bCs/>
          <w:color w:val="auto"/>
          <w:szCs w:val="21"/>
          <w:highlight w:val="none"/>
        </w:rPr>
        <w:t>接受联合体投标。</w:t>
      </w:r>
    </w:p>
    <w:p w14:paraId="0BB1BE47">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备注：无</w:t>
      </w:r>
    </w:p>
    <w:p w14:paraId="36AC3FA1">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20" w:name="_Toc35393791"/>
      <w:bookmarkStart w:id="21" w:name="_Toc35393622"/>
      <w:bookmarkStart w:id="22" w:name="_Toc28359003"/>
      <w:bookmarkStart w:id="23" w:name="_Toc28359080"/>
      <w:r>
        <w:rPr>
          <w:rFonts w:hint="eastAsia" w:ascii="宋体" w:hAnsi="宋体" w:cs="宋体"/>
          <w:b/>
          <w:bCs/>
          <w:color w:val="auto"/>
          <w:sz w:val="24"/>
          <w:highlight w:val="none"/>
        </w:rPr>
        <w:t>二、申请人的资格要求：</w:t>
      </w:r>
      <w:bookmarkEnd w:id="20"/>
      <w:bookmarkEnd w:id="21"/>
      <w:bookmarkEnd w:id="22"/>
      <w:bookmarkEnd w:id="23"/>
    </w:p>
    <w:p w14:paraId="054344D8">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bookmarkStart w:id="24" w:name="_Hlk51746371"/>
      <w:bookmarkStart w:id="25" w:name="_Toc28359004"/>
      <w:bookmarkStart w:id="26" w:name="_Toc35393792"/>
      <w:bookmarkStart w:id="27" w:name="_Toc28359081"/>
      <w:bookmarkStart w:id="28" w:name="_Toc35393623"/>
      <w:r>
        <w:rPr>
          <w:rFonts w:hint="eastAsia" w:ascii="宋体" w:hAnsi="宋体" w:cs="宋体"/>
          <w:color w:val="auto"/>
          <w:szCs w:val="21"/>
          <w:highlight w:val="none"/>
        </w:rPr>
        <w:t>1.满足《中华人民共和国政府采购法》第二十二条规定；</w:t>
      </w:r>
    </w:p>
    <w:p w14:paraId="01552816">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2.落实政府采购政策需满足的资格要求：本项目非专门面向中小企业采购的项目；</w:t>
      </w:r>
    </w:p>
    <w:p w14:paraId="05B0E7B1">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3.本项目的特定资格要求：</w:t>
      </w:r>
    </w:p>
    <w:p w14:paraId="1BC2CF23">
      <w:pPr>
        <w:keepNext w:val="0"/>
        <w:keepLines w:val="0"/>
        <w:pageBreakBefore w:val="0"/>
        <w:kinsoku/>
        <w:overflowPunct/>
        <w:topLinePunct w:val="0"/>
        <w:bidi w:val="0"/>
        <w:spacing w:line="36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olor w:val="auto"/>
          <w:szCs w:val="21"/>
          <w:highlight w:val="none"/>
          <w:lang w:val="en-US" w:eastAsia="zh-CN"/>
        </w:rPr>
        <w:t>（1）</w:t>
      </w:r>
      <w:r>
        <w:rPr>
          <w:rFonts w:hint="eastAsia" w:ascii="宋体" w:hAnsi="宋体" w:cs="宋体"/>
          <w:color w:val="auto"/>
          <w:szCs w:val="21"/>
          <w:highlight w:val="none"/>
          <w:lang w:val="en-US" w:eastAsia="zh-CN"/>
        </w:rPr>
        <w:t>资质要求：具有有效的“保险许可证”或具备该项许可证的投标人授权其分公司参与项目投标。</w:t>
      </w:r>
    </w:p>
    <w:p w14:paraId="026A2A1F">
      <w:pPr>
        <w:keepNext w:val="0"/>
        <w:keepLines w:val="0"/>
        <w:pageBreakBefore w:val="0"/>
        <w:kinsoku/>
        <w:overflowPunct/>
        <w:topLinePunct w:val="0"/>
        <w:bidi w:val="0"/>
        <w:spacing w:line="360" w:lineRule="exac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注：同一总公司只允许自身或授权一家分支机构参与本项目。保险公司的分支机构不得跨省、自治区、直辖市经营保险业务，国家金融监督管理总局有另行规定或法规规定特殊的情形除外。</w:t>
      </w:r>
    </w:p>
    <w:p w14:paraId="7B1FC9C8">
      <w:pPr>
        <w:adjustRightInd w:val="0"/>
        <w:snapToGrid w:val="0"/>
        <w:spacing w:line="360" w:lineRule="auto"/>
        <w:ind w:firstLine="420" w:firstLineChars="200"/>
        <w:jc w:val="left"/>
        <w:rPr>
          <w:rFonts w:ascii="Arial" w:hAnsi="Arial" w:cs="Arial"/>
          <w:color w:val="auto"/>
          <w:kern w:val="0"/>
          <w:szCs w:val="21"/>
          <w:highlight w:val="none"/>
        </w:rPr>
      </w:pPr>
      <w:r>
        <w:rPr>
          <w:rFonts w:hint="eastAsia" w:ascii="宋体" w:hAnsi="宋体"/>
          <w:color w:val="auto"/>
          <w:szCs w:val="21"/>
          <w:highlight w:val="none"/>
          <w:lang w:val="en-US" w:eastAsia="zh-CN"/>
        </w:rPr>
        <w:t>（2）</w:t>
      </w:r>
      <w:r>
        <w:rPr>
          <w:rFonts w:ascii="Arial" w:hAnsi="Arial" w:cs="Arial"/>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73FDE715">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6412BCA3">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）按照招标公告规定获得招标文件。</w:t>
      </w:r>
    </w:p>
    <w:bookmarkEnd w:id="24"/>
    <w:p w14:paraId="552AE55E">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三、获取招标文件</w:t>
      </w:r>
      <w:bookmarkEnd w:id="25"/>
      <w:bookmarkEnd w:id="26"/>
      <w:bookmarkEnd w:id="27"/>
      <w:bookmarkEnd w:id="28"/>
    </w:p>
    <w:p w14:paraId="3BC7B9E4">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日至202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日，每天上午00:00至12:00，下午12:00至23:59（北京时间，法定节假日除外）</w:t>
      </w:r>
    </w:p>
    <w:p w14:paraId="7287CB5D">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2.地点：</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p>
    <w:p w14:paraId="5067784D">
      <w:pPr>
        <w:widowControl/>
        <w:spacing w:line="36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3.方式：网上下载。本项目不提供纸质文件，潜在供应商需在</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r>
        <w:rPr>
          <w:rFonts w:hint="eastAsia" w:ascii="宋体" w:hAnsi="宋体" w:cs="宋体"/>
          <w:bCs/>
          <w:color w:val="auto"/>
          <w:kern w:val="0"/>
          <w:szCs w:val="21"/>
          <w:highlight w:val="none"/>
        </w:rPr>
        <w:t>-进入“项目采购”应用，在获取采购文件菜单中选择项目，获取招标文件。</w:t>
      </w:r>
      <w:r>
        <w:rPr>
          <w:rFonts w:hint="eastAsia" w:ascii="宋体" w:hAnsi="宋体" w:cs="宋体"/>
          <w:color w:val="auto"/>
          <w:szCs w:val="21"/>
          <w:highlight w:val="none"/>
        </w:rPr>
        <w:t>电子投标文件制作需要基于广西政府采购云平台获取的招标文件编制，</w:t>
      </w:r>
      <w:r>
        <w:rPr>
          <w:rFonts w:hint="eastAsia" w:ascii="宋体" w:hAnsi="宋体" w:cs="宋体"/>
          <w:bCs/>
          <w:color w:val="auto"/>
          <w:kern w:val="0"/>
          <w:szCs w:val="21"/>
          <w:highlight w:val="none"/>
        </w:rPr>
        <w:t>通过其他方式获取招标文件的，将有可能导致供应商无法在</w:t>
      </w:r>
      <w:r>
        <w:rPr>
          <w:rFonts w:hint="eastAsia" w:ascii="宋体" w:hAnsi="宋体" w:cs="宋体"/>
          <w:color w:val="auto"/>
          <w:szCs w:val="21"/>
          <w:highlight w:val="none"/>
        </w:rPr>
        <w:t>广西政府采购云平台</w:t>
      </w:r>
      <w:r>
        <w:rPr>
          <w:rFonts w:hint="eastAsia" w:ascii="宋体" w:hAnsi="宋体" w:cs="宋体"/>
          <w:bCs/>
          <w:color w:val="auto"/>
          <w:kern w:val="0"/>
          <w:szCs w:val="21"/>
          <w:highlight w:val="none"/>
        </w:rPr>
        <w:t>编制及上传投标文件。</w:t>
      </w:r>
    </w:p>
    <w:p w14:paraId="280EE82C">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4.售价（元）：</w:t>
      </w:r>
      <w:r>
        <w:rPr>
          <w:rFonts w:hint="eastAsia" w:ascii="宋体" w:hAnsi="宋体" w:cs="宋体"/>
          <w:color w:val="auto"/>
          <w:szCs w:val="21"/>
          <w:highlight w:val="none"/>
        </w:rPr>
        <w:t>0</w:t>
      </w:r>
    </w:p>
    <w:p w14:paraId="6A986920">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29" w:name="_Toc28359005"/>
      <w:bookmarkStart w:id="30" w:name="_Toc28359082"/>
      <w:bookmarkStart w:id="31" w:name="_Toc35393793"/>
      <w:bookmarkStart w:id="32" w:name="_Toc35393624"/>
      <w:r>
        <w:rPr>
          <w:rFonts w:hint="eastAsia" w:ascii="宋体" w:hAnsi="宋体" w:cs="宋体"/>
          <w:b/>
          <w:bCs/>
          <w:color w:val="auto"/>
          <w:sz w:val="24"/>
          <w:highlight w:val="none"/>
        </w:rPr>
        <w:t>四、提交投标文件</w:t>
      </w:r>
      <w:bookmarkEnd w:id="29"/>
      <w:bookmarkEnd w:id="30"/>
      <w:r>
        <w:rPr>
          <w:rFonts w:hint="eastAsia" w:ascii="宋体" w:hAnsi="宋体" w:cs="宋体"/>
          <w:b/>
          <w:bCs/>
          <w:color w:val="auto"/>
          <w:sz w:val="24"/>
          <w:highlight w:val="none"/>
        </w:rPr>
        <w:t>截止时间、开标时间和地点</w:t>
      </w:r>
      <w:bookmarkEnd w:id="31"/>
      <w:bookmarkEnd w:id="32"/>
    </w:p>
    <w:p w14:paraId="06038D0B">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kern w:val="0"/>
          <w:szCs w:val="21"/>
          <w:highlight w:val="none"/>
        </w:rPr>
      </w:pPr>
      <w:bookmarkStart w:id="33" w:name="_Toc28359084"/>
      <w:bookmarkStart w:id="34" w:name="_Toc35393625"/>
      <w:bookmarkStart w:id="35" w:name="_Toc28359007"/>
      <w:bookmarkStart w:id="36" w:name="_Toc35393794"/>
      <w:r>
        <w:rPr>
          <w:rFonts w:hint="eastAsia" w:ascii="宋体" w:hAnsi="宋体" w:cs="宋体"/>
          <w:bCs/>
          <w:color w:val="auto"/>
          <w:kern w:val="0"/>
          <w:szCs w:val="21"/>
          <w:highlight w:val="none"/>
        </w:rPr>
        <w:t>1.提交投标文件截止时间：202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日9时30分（北京时间）</w:t>
      </w:r>
    </w:p>
    <w:p w14:paraId="4EBADBDB">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2.投标地点（网址）：广西政府采购云平台（https://www.gcy.zfcg.gxzf.gov.cn/）</w:t>
      </w:r>
    </w:p>
    <w:p w14:paraId="121B9480">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3.开标时间：</w:t>
      </w: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日</w:t>
      </w:r>
      <w:r>
        <w:rPr>
          <w:rFonts w:hint="eastAsia" w:ascii="宋体" w:hAnsi="宋体" w:cs="宋体"/>
          <w:bCs/>
          <w:color w:val="auto"/>
          <w:szCs w:val="21"/>
          <w:highlight w:val="none"/>
        </w:rPr>
        <w:t>9时30分</w:t>
      </w:r>
    </w:p>
    <w:p w14:paraId="6E989B77">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bCs/>
          <w:color w:val="auto"/>
          <w:szCs w:val="21"/>
          <w:highlight w:val="none"/>
        </w:rPr>
        <w:t>4.开标地点：广西政府采购云平台电子开标大厅开标。</w:t>
      </w:r>
    </w:p>
    <w:p w14:paraId="63ED0720">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五、公告期限</w:t>
      </w:r>
      <w:bookmarkEnd w:id="33"/>
      <w:bookmarkEnd w:id="34"/>
      <w:bookmarkEnd w:id="35"/>
      <w:bookmarkEnd w:id="36"/>
    </w:p>
    <w:p w14:paraId="49020609">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FB6471E">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37" w:name="_Toc35393626"/>
      <w:bookmarkStart w:id="38" w:name="_Toc35393795"/>
      <w:r>
        <w:rPr>
          <w:rFonts w:hint="eastAsia" w:ascii="宋体" w:hAnsi="宋体" w:cs="宋体"/>
          <w:b/>
          <w:bCs/>
          <w:color w:val="auto"/>
          <w:sz w:val="24"/>
          <w:highlight w:val="none"/>
        </w:rPr>
        <w:t>六、其他补充事宜</w:t>
      </w:r>
      <w:bookmarkEnd w:id="37"/>
      <w:bookmarkEnd w:id="38"/>
    </w:p>
    <w:p w14:paraId="03E8438A">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bookmarkStart w:id="39" w:name="_Hlk37429585"/>
      <w:bookmarkStart w:id="40" w:name="_Hlk37429595"/>
      <w:bookmarkStart w:id="41" w:name="_Toc35393627"/>
      <w:bookmarkStart w:id="42" w:name="_Toc35393796"/>
      <w:bookmarkStart w:id="43" w:name="_Toc28359085"/>
      <w:bookmarkStart w:id="44" w:name="_Toc28359008"/>
      <w:r>
        <w:rPr>
          <w:rFonts w:hint="eastAsia" w:ascii="宋体" w:hAnsi="宋体" w:cs="宋体"/>
          <w:color w:val="auto"/>
          <w:kern w:val="0"/>
          <w:szCs w:val="21"/>
          <w:highlight w:val="none"/>
        </w:rPr>
        <w:t>1.投标保证金（人民币）：</w:t>
      </w:r>
      <w:r>
        <w:rPr>
          <w:rFonts w:hint="eastAsia" w:ascii="宋体" w:hAnsi="宋体" w:cs="宋体"/>
          <w:color w:val="auto"/>
          <w:kern w:val="0"/>
          <w:szCs w:val="21"/>
          <w:highlight w:val="none"/>
          <w:lang w:val="en-US" w:eastAsia="zh-CN"/>
        </w:rPr>
        <w:t>17万</w:t>
      </w:r>
      <w:r>
        <w:rPr>
          <w:rFonts w:hint="eastAsia" w:ascii="宋体" w:hAnsi="宋体" w:cs="宋体"/>
          <w:color w:val="auto"/>
          <w:kern w:val="0"/>
          <w:szCs w:val="21"/>
          <w:highlight w:val="none"/>
        </w:rPr>
        <w:t>元。</w:t>
      </w:r>
    </w:p>
    <w:p w14:paraId="73E5FEA3">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投标保证金的缴纳方式：以银行转账、支票、汇票、本票或者金融机构、担保机构出具的保函等非现金形式提交。采用银行转账方式的，在投标截止时间前交至采购代理机构指定账户并且到账。汇款时投标人的汇款单据应注明“</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项目编号）</w:t>
      </w:r>
      <w:r>
        <w:rPr>
          <w:rFonts w:hint="eastAsia" w:ascii="宋体" w:hAnsi="宋体" w:cs="宋体"/>
          <w:color w:val="auto"/>
          <w:kern w:val="0"/>
          <w:szCs w:val="21"/>
          <w:highlight w:val="none"/>
        </w:rPr>
        <w:t>投标保证金”。</w:t>
      </w:r>
    </w:p>
    <w:p w14:paraId="43A4BDB2">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2.网上查询地址</w:t>
      </w:r>
    </w:p>
    <w:bookmarkEnd w:id="39"/>
    <w:p w14:paraId="50221001">
      <w:pPr>
        <w:keepNext w:val="0"/>
        <w:keepLines w:val="0"/>
        <w:pageBreakBefore w:val="0"/>
        <w:kinsoku/>
        <w:wordWrap w:val="0"/>
        <w:overflowPunct/>
        <w:topLinePunct w:val="0"/>
        <w:bidi w:val="0"/>
        <w:spacing w:line="400" w:lineRule="exact"/>
        <w:ind w:firstLine="424" w:firstLineChars="202"/>
        <w:textAlignment w:val="auto"/>
        <w:rPr>
          <w:rFonts w:hint="eastAsia" w:ascii="宋体" w:hAnsi="宋体" w:cs="宋体"/>
          <w:i/>
          <w:color w:val="auto"/>
          <w:kern w:val="0"/>
          <w:szCs w:val="21"/>
          <w:highlight w:val="none"/>
        </w:rPr>
      </w:pPr>
      <w:r>
        <w:rPr>
          <w:rFonts w:hint="eastAsia" w:ascii="宋体" w:hAnsi="宋体" w:cs="宋体"/>
          <w:color w:val="auto"/>
          <w:kern w:val="0"/>
          <w:szCs w:val="21"/>
          <w:highlight w:val="none"/>
        </w:rPr>
        <w:t>http://www.ccgp.gov.cn（中国政府采购网）、http://zfcg.gxzf.gov.cn（广西壮族自治区政府采购网）、http://gxggzy.gxzf.gov.cn/（广西壮族自治区公共资源交易中心）</w:t>
      </w:r>
      <w:r>
        <w:rPr>
          <w:rFonts w:hint="eastAsia" w:ascii="宋体" w:hAnsi="宋体" w:cs="宋体"/>
          <w:color w:val="auto"/>
          <w:kern w:val="0"/>
          <w:szCs w:val="21"/>
          <w:highlight w:val="none"/>
          <w:lang w:eastAsia="zh-CN"/>
        </w:rPr>
        <w:t>、http://www.guangxibid.com.cn/</w:t>
      </w:r>
      <w:r>
        <w:rPr>
          <w:rFonts w:hint="eastAsia" w:ascii="宋体" w:hAnsi="宋体" w:cs="宋体"/>
          <w:color w:val="auto"/>
          <w:kern w:val="0"/>
          <w:szCs w:val="21"/>
          <w:highlight w:val="none"/>
          <w:lang w:val="en-US" w:eastAsia="zh-CN"/>
        </w:rPr>
        <w:t>（广西招标网）</w:t>
      </w:r>
      <w:r>
        <w:rPr>
          <w:rFonts w:hint="eastAsia" w:ascii="宋体" w:hAnsi="宋体" w:cs="宋体"/>
          <w:color w:val="auto"/>
          <w:kern w:val="0"/>
          <w:szCs w:val="21"/>
          <w:highlight w:val="none"/>
        </w:rPr>
        <w:t>。</w:t>
      </w:r>
    </w:p>
    <w:bookmarkEnd w:id="40"/>
    <w:p w14:paraId="0F2EC7B1">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kern w:val="0"/>
          <w:szCs w:val="21"/>
          <w:highlight w:val="none"/>
        </w:rPr>
      </w:pPr>
      <w:bookmarkStart w:id="45" w:name="_Hlk37429674"/>
      <w:r>
        <w:rPr>
          <w:rFonts w:hint="eastAsia" w:ascii="宋体" w:hAnsi="宋体" w:cs="宋体"/>
          <w:color w:val="auto"/>
          <w:szCs w:val="21"/>
          <w:highlight w:val="none"/>
        </w:rPr>
        <w:t>3.</w:t>
      </w:r>
      <w:r>
        <w:rPr>
          <w:rFonts w:hint="eastAsia" w:ascii="宋体" w:hAnsi="宋体" w:cs="宋体"/>
          <w:color w:val="auto"/>
          <w:kern w:val="0"/>
          <w:szCs w:val="21"/>
          <w:highlight w:val="none"/>
        </w:rPr>
        <w:t>本项目需要落实的政府采购政策</w:t>
      </w:r>
    </w:p>
    <w:bookmarkEnd w:id="45"/>
    <w:p w14:paraId="38255521">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20B8F498">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（2）政府采购促进残疾人就业政策。</w:t>
      </w:r>
    </w:p>
    <w:p w14:paraId="5380DDE4">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（3）政府采购支持监狱企业发展。</w:t>
      </w:r>
    </w:p>
    <w:p w14:paraId="278E918D">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（4）强制采购节能产品；优先采购节能产品、环境标志产品。</w:t>
      </w:r>
    </w:p>
    <w:p w14:paraId="4A95189A">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（5）扶持不发达地区和少数民族地区政策。</w:t>
      </w:r>
    </w:p>
    <w:p w14:paraId="075910E0">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80F10A6">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7B2D37A">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6.投标人</w:t>
      </w:r>
      <w:r>
        <w:rPr>
          <w:rFonts w:hint="eastAsia" w:ascii="宋体" w:hAnsi="宋体" w:cs="宋体"/>
          <w:color w:val="auto"/>
          <w:szCs w:val="21"/>
          <w:highlight w:val="none"/>
        </w:rPr>
        <w:t>投标注意事项</w:t>
      </w:r>
    </w:p>
    <w:p w14:paraId="50E07744">
      <w:pPr>
        <w:keepNext w:val="0"/>
        <w:keepLines w:val="0"/>
        <w:pageBreakBefore w:val="0"/>
        <w:widowControl/>
        <w:kinsoku/>
        <w:wordWrap w:val="0"/>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ascii="宋体" w:hAnsi="宋体" w:cs="宋体"/>
          <w:color w:val="auto"/>
          <w:highlight w:val="none"/>
        </w:rPr>
        <w:t>后缀名为“jmbs”的文件</w:t>
      </w:r>
      <w:r>
        <w:rPr>
          <w:rFonts w:hint="eastAsia" w:ascii="宋体" w:hAnsi="宋体" w:cs="宋体"/>
          <w:color w:val="auto"/>
          <w:szCs w:val="21"/>
          <w:highlight w:val="none"/>
        </w:rPr>
        <w:t>），</w:t>
      </w:r>
      <w:r>
        <w:rPr>
          <w:rFonts w:hint="eastAsia" w:ascii="宋体" w:hAnsi="宋体" w:cs="宋体"/>
          <w:b/>
          <w:color w:val="auto"/>
          <w:szCs w:val="21"/>
          <w:highlight w:val="none"/>
        </w:rPr>
        <w:t>投标人在</w:t>
      </w:r>
      <w:r>
        <w:rPr>
          <w:rFonts w:hint="eastAsia" w:ascii="宋体" w:hAnsi="宋体" w:cs="宋体"/>
          <w:color w:val="auto"/>
          <w:szCs w:val="21"/>
          <w:highlight w:val="none"/>
        </w:rPr>
        <w:t>广西政府采购云平台</w:t>
      </w:r>
      <w:r>
        <w:rPr>
          <w:rFonts w:hint="eastAsia" w:ascii="宋体" w:hAnsi="宋体" w:cs="宋体"/>
          <w:b/>
          <w:color w:val="auto"/>
          <w:szCs w:val="21"/>
          <w:highlight w:val="none"/>
        </w:rPr>
        <w:t>提交电子投标文件时，请填写参加远程开标活动经办人联系方式。</w:t>
      </w:r>
      <w:r>
        <w:rPr>
          <w:rFonts w:hint="eastAsia" w:ascii="宋体" w:hAnsi="宋体" w:cs="宋体"/>
          <w:color w:val="auto"/>
          <w:szCs w:val="21"/>
          <w:highlight w:val="none"/>
        </w:rPr>
        <w:t>投标人登录广西政府采购云平台，依次进入“服务中心</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项目采购</w:t>
      </w:r>
      <w:r>
        <w:rPr>
          <w:rFonts w:hint="eastAsia" w:ascii="宋体" w:hAnsi="宋体" w:cs="宋体"/>
          <w:color w:val="auto"/>
          <w:szCs w:val="21"/>
          <w:highlight w:val="none"/>
          <w:lang w:eastAsia="zh-CN"/>
        </w:rPr>
        <w:t>－</w:t>
      </w:r>
      <w:r>
        <w:rPr>
          <w:rFonts w:hint="eastAsia" w:ascii="宋体" w:hAnsi="宋体" w:cs="宋体"/>
          <w:color w:val="auto"/>
          <w:szCs w:val="21"/>
          <w:highlight w:val="none"/>
        </w:rPr>
        <w:t>操作流程</w:t>
      </w:r>
      <w:r>
        <w:rPr>
          <w:rFonts w:hint="eastAsia" w:ascii="宋体" w:hAnsi="宋体" w:cs="宋体"/>
          <w:color w:val="auto"/>
          <w:szCs w:val="21"/>
          <w:highlight w:val="none"/>
          <w:lang w:eastAsia="zh-CN"/>
        </w:rPr>
        <w:t>－</w:t>
      </w:r>
      <w:r>
        <w:rPr>
          <w:rFonts w:hint="eastAsia" w:ascii="宋体" w:hAnsi="宋体" w:cs="宋体"/>
          <w:color w:val="auto"/>
          <w:szCs w:val="21"/>
          <w:highlight w:val="none"/>
        </w:rPr>
        <w:t>电子招投标</w:t>
      </w:r>
      <w:r>
        <w:rPr>
          <w:rFonts w:hint="eastAsia" w:ascii="宋体" w:hAnsi="宋体" w:cs="宋体"/>
          <w:color w:val="auto"/>
          <w:szCs w:val="21"/>
          <w:highlight w:val="none"/>
          <w:lang w:eastAsia="zh-CN"/>
        </w:rPr>
        <w:t>－</w:t>
      </w:r>
      <w:r>
        <w:rPr>
          <w:rFonts w:hint="eastAsia" w:ascii="宋体" w:hAnsi="宋体" w:cs="宋体"/>
          <w:color w:val="auto"/>
          <w:highlight w:val="none"/>
        </w:rPr>
        <w:t>政府采购项目电子交易管理操作指南</w:t>
      </w:r>
      <w:r>
        <w:rPr>
          <w:rFonts w:hint="eastAsia" w:ascii="宋体" w:hAnsi="宋体" w:cs="宋体"/>
          <w:color w:val="auto"/>
          <w:highlight w:val="none"/>
          <w:lang w:eastAsia="zh-CN"/>
        </w:rPr>
        <w:t>－</w:t>
      </w:r>
      <w:r>
        <w:rPr>
          <w:rFonts w:hint="eastAsia" w:ascii="宋体" w:hAnsi="宋体" w:cs="宋体"/>
          <w:color w:val="auto"/>
          <w:highlight w:val="none"/>
        </w:rPr>
        <w:t>供应商</w:t>
      </w:r>
      <w:r>
        <w:rPr>
          <w:rFonts w:hint="eastAsia" w:ascii="宋体" w:hAnsi="宋体" w:cs="宋体"/>
          <w:color w:val="auto"/>
          <w:szCs w:val="21"/>
          <w:highlight w:val="none"/>
        </w:rPr>
        <w:t>”查看电子投标具体操作流程。</w:t>
      </w:r>
    </w:p>
    <w:p w14:paraId="30A2DB33">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w:t>
      </w:r>
      <w:r>
        <w:rPr>
          <w:rFonts w:hint="eastAsia" w:ascii="宋体" w:hAnsi="宋体" w:cs="宋体"/>
          <w:color w:val="auto"/>
          <w:szCs w:val="21"/>
          <w:highlight w:val="none"/>
          <w:lang w:eastAsia="zh-CN"/>
        </w:rPr>
        <w:t>－</w:t>
      </w:r>
      <w:r>
        <w:rPr>
          <w:rFonts w:hint="eastAsia" w:ascii="宋体" w:hAnsi="宋体" w:cs="宋体"/>
          <w:color w:val="auto"/>
          <w:szCs w:val="21"/>
          <w:highlight w:val="none"/>
        </w:rPr>
        <w:t>下载专区”或者登录广西政府采购云平台</w:t>
      </w:r>
      <w:r>
        <w:rPr>
          <w:rFonts w:hint="eastAsia" w:ascii="宋体" w:hAnsi="宋体" w:cs="宋体"/>
          <w:color w:val="auto"/>
          <w:kern w:val="0"/>
          <w:szCs w:val="21"/>
          <w:highlight w:val="none"/>
        </w:rPr>
        <w:t>，</w:t>
      </w:r>
      <w:r>
        <w:rPr>
          <w:rFonts w:hint="eastAsia" w:ascii="宋体" w:hAnsi="宋体" w:cs="宋体"/>
          <w:color w:val="auto"/>
          <w:szCs w:val="21"/>
          <w:highlight w:val="none"/>
        </w:rPr>
        <w:t>依次进入“服务中心</w:t>
      </w:r>
      <w:r>
        <w:rPr>
          <w:rFonts w:hint="eastAsia" w:ascii="宋体" w:hAnsi="宋体" w:cs="宋体"/>
          <w:color w:val="auto"/>
          <w:szCs w:val="21"/>
          <w:highlight w:val="none"/>
          <w:lang w:eastAsia="zh-CN"/>
        </w:rPr>
        <w:t>－</w:t>
      </w:r>
      <w:r>
        <w:rPr>
          <w:rFonts w:hint="eastAsia" w:ascii="宋体" w:hAnsi="宋体" w:cs="宋体"/>
          <w:color w:val="auto"/>
          <w:szCs w:val="21"/>
          <w:highlight w:val="none"/>
        </w:rPr>
        <w:t>入驻与配置”中查看CA数字证书办理操作流程。</w:t>
      </w:r>
      <w:r>
        <w:rPr>
          <w:rFonts w:hint="eastAsia" w:ascii="宋体" w:hAnsi="宋体" w:cs="宋体"/>
          <w:bCs/>
          <w:color w:val="auto"/>
          <w:kern w:val="0"/>
          <w:szCs w:val="21"/>
          <w:highlight w:val="none"/>
        </w:rPr>
        <w:t>如在操作过程中遇到问题或者需要技术支持，请致电客服热线：95763</w:t>
      </w:r>
      <w:r>
        <w:rPr>
          <w:rFonts w:hint="eastAsia" w:ascii="宋体" w:hAnsi="宋体" w:cs="宋体"/>
          <w:color w:val="auto"/>
          <w:szCs w:val="21"/>
          <w:highlight w:val="none"/>
        </w:rPr>
        <w:t>）。</w:t>
      </w:r>
    </w:p>
    <w:p w14:paraId="63B6264B">
      <w:pPr>
        <w:keepNext w:val="0"/>
        <w:keepLines w:val="0"/>
        <w:pageBreakBefore w:val="0"/>
        <w:kinsoku/>
        <w:overflowPunct/>
        <w:topLinePunct w:val="0"/>
        <w:bidi w:val="0"/>
        <w:snapToGrid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（3）CA证书在线解密：投标人投标时，需凭制作投标文件时用来加密的有效数字证书（CA认证）登录</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电子开标大厅现场按规定时间对加密的投标文件进行解密，否则后果自负。</w:t>
      </w:r>
    </w:p>
    <w:p w14:paraId="415E5A89">
      <w:pPr>
        <w:keepNext w:val="0"/>
        <w:keepLines w:val="0"/>
        <w:pageBreakBefore w:val="0"/>
        <w:kinsoku/>
        <w:wordWrap w:val="0"/>
        <w:overflowPunct/>
        <w:topLinePunct w:val="0"/>
        <w:bidi w:val="0"/>
        <w:spacing w:line="400" w:lineRule="exact"/>
        <w:ind w:firstLine="424" w:firstLineChars="202"/>
        <w:textAlignment w:val="auto"/>
        <w:rPr>
          <w:rFonts w:hint="eastAsia" w:ascii="宋体" w:hAnsi="宋体" w:cs="宋体"/>
          <w:bCs/>
          <w:color w:val="auto"/>
          <w:szCs w:val="21"/>
          <w:highlight w:val="none"/>
        </w:rPr>
      </w:pPr>
      <w:r>
        <w:rPr>
          <w:rFonts w:hint="eastAsia" w:ascii="宋体" w:hAnsi="宋体" w:cs="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p>
    <w:p w14:paraId="46821A7E">
      <w:pPr>
        <w:keepNext w:val="0"/>
        <w:keepLines w:val="0"/>
        <w:pageBreakBefore w:val="0"/>
        <w:kinsoku/>
        <w:wordWrap w:val="0"/>
        <w:overflowPunct/>
        <w:topLinePunct w:val="0"/>
        <w:bidi w:val="0"/>
        <w:spacing w:line="400" w:lineRule="exact"/>
        <w:ind w:firstLine="424" w:firstLineChars="202"/>
        <w:textAlignment w:val="auto"/>
        <w:rPr>
          <w:rFonts w:ascii="宋体" w:hAnsi="宋体" w:cs="宋体"/>
          <w:bCs/>
          <w:color w:val="auto"/>
          <w:szCs w:val="21"/>
          <w:highlight w:val="none"/>
        </w:rPr>
      </w:pPr>
      <w:r>
        <w:rPr>
          <w:rFonts w:hint="eastAsia" w:ascii="宋体" w:hAnsi="宋体" w:cs="宋体"/>
          <w:bCs/>
          <w:color w:val="auto"/>
          <w:szCs w:val="21"/>
          <w:highlight w:val="none"/>
        </w:rPr>
        <w:t>7.采购意向公开链接：https://zfcg.gxzf.gov.cn/site/detail?parentId=66485&amp;articleId=3Mnz7N3yKLqdCPKTYF7zKQ==</w:t>
      </w:r>
    </w:p>
    <w:p w14:paraId="666AB75D">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bookmarkEnd w:id="41"/>
      <w:bookmarkEnd w:id="42"/>
      <w:bookmarkEnd w:id="43"/>
      <w:bookmarkEnd w:id="44"/>
    </w:p>
    <w:p w14:paraId="4D3B56F7">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9A7A395">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eastAsia="宋体" w:cs="宋体"/>
          <w:color w:val="auto"/>
          <w:szCs w:val="21"/>
          <w:highlight w:val="none"/>
          <w:lang w:eastAsia="zh-CN"/>
        </w:rPr>
      </w:pPr>
      <w:bookmarkStart w:id="46" w:name="_Toc28359009"/>
      <w:bookmarkStart w:id="47" w:name="_Toc28359086"/>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广西壮族自治区计划生育协会</w:t>
      </w:r>
    </w:p>
    <w:p w14:paraId="381E8881">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南宁市桃源路3号</w:t>
      </w:r>
    </w:p>
    <w:p w14:paraId="54A755A5">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卢华</w:t>
      </w:r>
    </w:p>
    <w:p w14:paraId="53B61A5A">
      <w:pPr>
        <w:keepNext w:val="0"/>
        <w:keepLines w:val="0"/>
        <w:pageBreakBefore w:val="0"/>
        <w:kinsoku/>
        <w:overflowPunct/>
        <w:topLinePunct w:val="0"/>
        <w:bidi w:val="0"/>
        <w:spacing w:line="400" w:lineRule="exact"/>
        <w:ind w:firstLine="424" w:firstLineChars="202"/>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val="en-US" w:eastAsia="zh-CN"/>
        </w:rPr>
        <w:t>0771-5865080</w:t>
      </w:r>
    </w:p>
    <w:bookmarkEnd w:id="46"/>
    <w:bookmarkEnd w:id="47"/>
    <w:p w14:paraId="3E76A5FF">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5ECA2F2D">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广西建设工程机电设备招标中心有限公司</w:t>
      </w:r>
    </w:p>
    <w:p w14:paraId="0022C391">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广西南宁市青秀区枫林路18号广西国控大厦（枫林路办公区）裙楼三楼</w:t>
      </w:r>
    </w:p>
    <w:p w14:paraId="62F90C43">
      <w:pPr>
        <w:keepNext w:val="0"/>
        <w:keepLines w:val="0"/>
        <w:pageBreakBefore w:val="0"/>
        <w:kinsoku/>
        <w:overflowPunct/>
        <w:topLinePunct w:val="0"/>
        <w:bidi w:val="0"/>
        <w:spacing w:line="400" w:lineRule="exact"/>
        <w:ind w:firstLine="424" w:firstLineChars="202"/>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eastAsia="zh-CN"/>
        </w:rPr>
        <w:t>0771-</w:t>
      </w:r>
      <w:r>
        <w:rPr>
          <w:rFonts w:hint="eastAsia" w:ascii="宋体" w:hAnsi="宋体" w:cs="宋体"/>
          <w:color w:val="auto"/>
          <w:szCs w:val="21"/>
          <w:highlight w:val="none"/>
          <w:lang w:val="en-US" w:eastAsia="zh-CN"/>
        </w:rPr>
        <w:t>2807659</w:t>
      </w:r>
    </w:p>
    <w:p w14:paraId="3FEB6BB8">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3E71B93B">
      <w:pPr>
        <w:keepNext w:val="0"/>
        <w:keepLines w:val="0"/>
        <w:pageBreakBefore w:val="0"/>
        <w:kinsoku/>
        <w:overflowPunct/>
        <w:topLinePunct w:val="0"/>
        <w:bidi w:val="0"/>
        <w:spacing w:line="400" w:lineRule="exact"/>
        <w:ind w:firstLine="424" w:firstLineChars="202"/>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val="en-US" w:eastAsia="zh-CN"/>
        </w:rPr>
        <w:t>黄天懿、吴兴红、刘风、黄振宁</w:t>
      </w:r>
    </w:p>
    <w:p w14:paraId="211F60F7">
      <w:pPr>
        <w:keepNext w:val="0"/>
        <w:keepLines w:val="0"/>
        <w:pageBreakBefore w:val="0"/>
        <w:kinsoku/>
        <w:overflowPunct/>
        <w:topLinePunct w:val="0"/>
        <w:bidi w:val="0"/>
        <w:spacing w:line="400" w:lineRule="exact"/>
        <w:ind w:firstLine="424" w:firstLineChars="202"/>
        <w:textAlignment w:val="auto"/>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0771-</w:t>
      </w:r>
      <w:r>
        <w:rPr>
          <w:rFonts w:hint="eastAsia" w:ascii="宋体" w:hAnsi="宋体" w:cs="宋体"/>
          <w:color w:val="auto"/>
          <w:szCs w:val="21"/>
          <w:highlight w:val="none"/>
          <w:lang w:val="en-US" w:eastAsia="zh-CN"/>
        </w:rPr>
        <w:t>2807659</w:t>
      </w:r>
    </w:p>
    <w:p w14:paraId="29E62B32">
      <w:pPr>
        <w:keepNext w:val="0"/>
        <w:keepLines w:val="0"/>
        <w:pageBreakBefore w:val="0"/>
        <w:kinsoku/>
        <w:overflowPunct/>
        <w:topLinePunct w:val="0"/>
        <w:bidi w:val="0"/>
        <w:spacing w:line="400" w:lineRule="exact"/>
        <w:textAlignment w:val="auto"/>
        <w:rPr>
          <w:rFonts w:hint="eastAsia" w:ascii="宋体" w:hAnsi="宋体" w:cs="宋体"/>
          <w:color w:val="auto"/>
          <w:szCs w:val="21"/>
          <w:highlight w:val="none"/>
        </w:rPr>
      </w:pPr>
    </w:p>
    <w:p w14:paraId="459F2C0C">
      <w:pPr>
        <w:keepNext w:val="0"/>
        <w:keepLines w:val="0"/>
        <w:pageBreakBefore w:val="0"/>
        <w:kinsoku/>
        <w:overflowPunct/>
        <w:topLinePunct w:val="0"/>
        <w:bidi w:val="0"/>
        <w:spacing w:line="400" w:lineRule="exact"/>
        <w:jc w:val="right"/>
        <w:textAlignment w:val="auto"/>
        <w:rPr>
          <w:rFonts w:hint="eastAsia" w:ascii="宋体" w:hAnsi="宋体" w:cs="宋体"/>
          <w:b/>
          <w:bCs/>
          <w:color w:val="auto"/>
          <w:highlight w:val="none"/>
        </w:rPr>
      </w:pPr>
      <w:r>
        <w:rPr>
          <w:rFonts w:hint="eastAsia" w:ascii="宋体" w:hAnsi="宋体" w:cs="宋体"/>
          <w:color w:val="auto"/>
          <w:szCs w:val="21"/>
          <w:highlight w:val="none"/>
        </w:rPr>
        <w:t>采购代理机构：</w:t>
      </w:r>
      <w:r>
        <w:rPr>
          <w:rFonts w:hint="eastAsia" w:ascii="宋体" w:hAnsi="宋体" w:cs="宋体"/>
          <w:color w:val="auto"/>
          <w:szCs w:val="21"/>
          <w:highlight w:val="none"/>
          <w:lang w:eastAsia="zh-CN"/>
        </w:rPr>
        <w:t>广西建设工程机电设备招标中心有限公司</w:t>
      </w:r>
      <w:r>
        <w:rPr>
          <w:rFonts w:hint="eastAsia" w:ascii="宋体" w:hAnsi="宋体" w:cs="宋体"/>
          <w:b/>
          <w:bCs/>
          <w:color w:val="auto"/>
          <w:highlight w:val="none"/>
        </w:rPr>
        <w:t xml:space="preserve"> </w:t>
      </w:r>
    </w:p>
    <w:p w14:paraId="1D5D10AD">
      <w:pPr>
        <w:keepNext w:val="0"/>
        <w:keepLines w:val="0"/>
        <w:pageBreakBefore w:val="0"/>
        <w:kinsoku/>
        <w:overflowPunct/>
        <w:topLinePunct w:val="0"/>
        <w:bidi w:val="0"/>
        <w:spacing w:line="400" w:lineRule="exact"/>
        <w:ind w:firstLine="4095" w:firstLineChars="1950"/>
        <w:jc w:val="right"/>
        <w:textAlignment w:val="auto"/>
        <w:rPr>
          <w:rFonts w:hint="eastAsia" w:ascii="宋体" w:hAnsi="宋体" w:cs="宋体"/>
          <w:b/>
          <w:bCs/>
          <w:color w:val="auto"/>
          <w:highlight w:val="none"/>
        </w:rPr>
      </w:pP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日</w:t>
      </w:r>
    </w:p>
    <w:p w14:paraId="383FDB68">
      <w:pPr>
        <w:pStyle w:val="3"/>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highlight w:val="none"/>
        </w:rPr>
      </w:pPr>
      <w:r>
        <w:rPr>
          <w:rFonts w:hint="eastAsia" w:ascii="宋体" w:hAnsi="宋体" w:cs="宋体"/>
          <w:color w:val="auto"/>
          <w:sz w:val="24"/>
          <w:szCs w:val="20"/>
          <w:highlight w:val="none"/>
        </w:rPr>
        <w:br w:type="page"/>
      </w:r>
      <w:bookmarkStart w:id="48" w:name="_Toc12941"/>
      <w:bookmarkStart w:id="49" w:name="_Toc29892"/>
      <w:bookmarkStart w:id="50" w:name="_Toc28054"/>
      <w:r>
        <w:rPr>
          <w:rFonts w:hint="eastAsia" w:ascii="宋体" w:hAnsi="宋体" w:cs="宋体"/>
          <w:color w:val="auto"/>
          <w:highlight w:val="none"/>
        </w:rPr>
        <w:t>第二章  采购需求</w:t>
      </w:r>
      <w:bookmarkEnd w:id="48"/>
      <w:bookmarkEnd w:id="49"/>
      <w:bookmarkEnd w:id="50"/>
    </w:p>
    <w:p w14:paraId="01BAD59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一、说明：</w:t>
      </w:r>
    </w:p>
    <w:p w14:paraId="3F0514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1.为落实政府采购政策需满足的要求</w:t>
      </w:r>
    </w:p>
    <w:p w14:paraId="6EBEBD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本招标文件所称中小企业必须符合《政府采购促进中小企业发展管理办法》（财库〔2020〕46号）的规定。</w:t>
      </w:r>
    </w:p>
    <w:p w14:paraId="18A20E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3651CD2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3.投标人必须自行为其投标产品侵犯他人的知识产权或者专利成果的行为承担相应法律责任。</w:t>
      </w:r>
    </w:p>
    <w:p w14:paraId="5534B3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.采购需求要求未尽事宜由采购人与中标供应商在采购合同中约定。</w:t>
      </w:r>
    </w:p>
    <w:p w14:paraId="2D9C089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5</w:t>
      </w:r>
      <w:r>
        <w:rPr>
          <w:rFonts w:hint="eastAsia" w:ascii="宋体" w:hAnsi="宋体" w:eastAsia="宋体" w:cs="宋体"/>
          <w:b/>
          <w:bCs/>
          <w:color w:val="auto"/>
          <w:szCs w:val="21"/>
          <w:highlight w:val="none"/>
          <w:lang w:val="en-US" w:eastAsia="zh-CN"/>
        </w:rPr>
        <w:t>.</w:t>
      </w:r>
      <w:r>
        <w:rPr>
          <w:rFonts w:hint="eastAsia" w:ascii="宋体" w:hAnsi="宋体" w:cs="宋体"/>
          <w:b/>
          <w:bCs w:val="0"/>
          <w:color w:val="auto"/>
          <w:kern w:val="0"/>
          <w:szCs w:val="21"/>
          <w:highlight w:val="none"/>
          <w:lang w:val="en-US" w:eastAsia="zh-CN"/>
        </w:rPr>
        <w:t>投标人的报价出现《财政部关于推动解决政府采购异常低价问题的通知》（财库〔2026〕2号）规定的异常低价情形（具体详见招标文件第四章评标方法及评标标准二、评标程序6.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r>
        <w:rPr>
          <w:rFonts w:hint="eastAsia" w:ascii="宋体" w:hAnsi="宋体" w:eastAsia="宋体" w:cs="宋体"/>
          <w:b/>
          <w:bCs/>
          <w:color w:val="auto"/>
          <w:szCs w:val="21"/>
          <w:highlight w:val="none"/>
          <w:lang w:val="en-US" w:eastAsia="zh-CN"/>
        </w:rPr>
        <w:t xml:space="preserve"> </w:t>
      </w:r>
    </w:p>
    <w:p w14:paraId="58F4C26A">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rPr>
      </w:pPr>
    </w:p>
    <w:p w14:paraId="49BBBF0A">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 w:val="24"/>
          <w:highlight w:val="none"/>
        </w:rPr>
      </w:pPr>
      <w:r>
        <w:rPr>
          <w:rFonts w:hint="eastAsia" w:ascii="宋体" w:hAnsi="宋体" w:cs="宋体"/>
          <w:b/>
          <w:color w:val="auto"/>
          <w:szCs w:val="21"/>
          <w:highlight w:val="none"/>
        </w:rPr>
        <w:t>二、技术及商务要求：</w:t>
      </w:r>
    </w:p>
    <w:tbl>
      <w:tblPr>
        <w:tblStyle w:val="39"/>
        <w:tblW w:w="97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76"/>
        <w:gridCol w:w="983"/>
        <w:gridCol w:w="577"/>
        <w:gridCol w:w="605"/>
        <w:gridCol w:w="5893"/>
        <w:gridCol w:w="1137"/>
      </w:tblGrid>
      <w:tr w14:paraId="3DD79A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771" w:type="dxa"/>
            <w:gridSpan w:val="6"/>
            <w:tcBorders>
              <w:top w:val="single" w:color="auto" w:sz="4" w:space="0"/>
              <w:left w:val="single" w:color="auto" w:sz="4" w:space="0"/>
              <w:right w:val="single" w:color="auto" w:sz="4" w:space="0"/>
            </w:tcBorders>
            <w:noWrap w:val="0"/>
            <w:vAlign w:val="center"/>
          </w:tcPr>
          <w:p w14:paraId="1A87C44A">
            <w:pPr>
              <w:keepNext w:val="0"/>
              <w:keepLines w:val="0"/>
              <w:suppressLineNumbers w:val="0"/>
              <w:spacing w:before="0" w:beforeAutospacing="0" w:after="0" w:afterAutospacing="0" w:line="360" w:lineRule="exact"/>
              <w:ind w:left="0" w:right="0"/>
              <w:jc w:val="center"/>
              <w:rPr>
                <w:rFonts w:hint="eastAsia" w:ascii="宋体" w:hAnsi="宋体" w:cs="宋体"/>
                <w:b/>
                <w:color w:val="auto"/>
                <w:szCs w:val="21"/>
                <w:highlight w:val="none"/>
              </w:rPr>
            </w:pPr>
            <w:r>
              <w:rPr>
                <w:rFonts w:hint="eastAsia" w:ascii="宋体" w:hAnsi="宋体" w:cs="宋体"/>
                <w:b/>
                <w:color w:val="auto"/>
                <w:szCs w:val="21"/>
                <w:highlight w:val="none"/>
              </w:rPr>
              <w:t>服务需求一览表</w:t>
            </w:r>
          </w:p>
        </w:tc>
      </w:tr>
      <w:tr w14:paraId="1B3744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753" w:type="dxa"/>
            <w:gridSpan w:val="2"/>
            <w:tcBorders>
              <w:top w:val="single" w:color="auto" w:sz="4" w:space="0"/>
              <w:left w:val="single" w:color="auto" w:sz="4" w:space="0"/>
              <w:right w:val="single" w:color="auto" w:sz="4" w:space="0"/>
            </w:tcBorders>
            <w:noWrap w:val="0"/>
            <w:vAlign w:val="center"/>
          </w:tcPr>
          <w:p w14:paraId="784BB389">
            <w:pPr>
              <w:keepNext w:val="0"/>
              <w:keepLines w:val="0"/>
              <w:suppressLineNumbers w:val="0"/>
              <w:spacing w:before="0" w:beforeAutospacing="0" w:after="0" w:afterAutospacing="0" w:line="360" w:lineRule="exact"/>
              <w:ind w:left="0" w:right="0"/>
              <w:jc w:val="center"/>
              <w:rPr>
                <w:rFonts w:hint="default" w:ascii="宋体" w:hAnsi="宋体" w:cs="Arial"/>
                <w:color w:val="auto"/>
                <w:szCs w:val="21"/>
                <w:highlight w:val="none"/>
              </w:rPr>
            </w:pPr>
            <w:r>
              <w:rPr>
                <w:rFonts w:hint="eastAsia" w:ascii="宋体" w:hAnsi="宋体" w:cs="Arial"/>
                <w:color w:val="auto"/>
                <w:szCs w:val="21"/>
                <w:highlight w:val="none"/>
              </w:rPr>
              <w:t>标段</w:t>
            </w:r>
          </w:p>
        </w:tc>
        <w:tc>
          <w:tcPr>
            <w:tcW w:w="8018" w:type="dxa"/>
            <w:gridSpan w:val="4"/>
            <w:tcBorders>
              <w:top w:val="single" w:color="auto" w:sz="4" w:space="0"/>
              <w:left w:val="single" w:color="auto" w:sz="4" w:space="0"/>
              <w:right w:val="single" w:color="auto" w:sz="4" w:space="0"/>
            </w:tcBorders>
            <w:noWrap w:val="0"/>
            <w:vAlign w:val="center"/>
          </w:tcPr>
          <w:p w14:paraId="608A49E0">
            <w:pPr>
              <w:keepNext w:val="0"/>
              <w:keepLines w:val="0"/>
              <w:suppressLineNumbers w:val="0"/>
              <w:spacing w:before="0" w:beforeAutospacing="0" w:after="0" w:afterAutospacing="0" w:line="360" w:lineRule="exact"/>
              <w:ind w:left="0" w:right="0"/>
              <w:jc w:val="left"/>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r>
      <w:tr w14:paraId="1E810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635" w:type="dxa"/>
            <w:tcBorders>
              <w:top w:val="single" w:color="auto" w:sz="4" w:space="0"/>
              <w:left w:val="single" w:color="auto" w:sz="4" w:space="0"/>
              <w:right w:val="single" w:color="auto" w:sz="4" w:space="0"/>
            </w:tcBorders>
            <w:noWrap w:val="0"/>
            <w:vAlign w:val="center"/>
          </w:tcPr>
          <w:p w14:paraId="14FAFC26">
            <w:pPr>
              <w:keepNext w:val="0"/>
              <w:keepLines w:val="0"/>
              <w:suppressLineNumbers w:val="0"/>
              <w:spacing w:before="0" w:beforeAutospacing="0" w:after="0" w:afterAutospacing="0" w:line="360" w:lineRule="exact"/>
              <w:ind w:left="0" w:right="0"/>
              <w:jc w:val="center"/>
              <w:rPr>
                <w:rFonts w:hint="eastAsia" w:ascii="宋体" w:hAnsi="宋体" w:cs="Arial"/>
                <w:color w:val="auto"/>
                <w:szCs w:val="21"/>
                <w:highlight w:val="none"/>
              </w:rPr>
            </w:pPr>
            <w:r>
              <w:rPr>
                <w:rFonts w:hint="eastAsia" w:ascii="宋体" w:hAnsi="宋体" w:cs="宋体"/>
                <w:color w:val="auto"/>
                <w:szCs w:val="21"/>
                <w:highlight w:val="none"/>
              </w:rPr>
              <w:t>序号</w:t>
            </w:r>
          </w:p>
        </w:tc>
        <w:tc>
          <w:tcPr>
            <w:tcW w:w="1118" w:type="dxa"/>
            <w:tcBorders>
              <w:top w:val="single" w:color="auto" w:sz="4" w:space="0"/>
              <w:left w:val="single" w:color="auto" w:sz="4" w:space="0"/>
              <w:right w:val="single" w:color="auto" w:sz="4" w:space="0"/>
            </w:tcBorders>
            <w:noWrap w:val="0"/>
            <w:vAlign w:val="center"/>
          </w:tcPr>
          <w:p w14:paraId="78D30B4F">
            <w:pPr>
              <w:keepNext w:val="0"/>
              <w:keepLines w:val="0"/>
              <w:suppressLineNumbers w:val="0"/>
              <w:spacing w:before="0" w:beforeAutospacing="0" w:after="0" w:afterAutospacing="0" w:line="360" w:lineRule="exact"/>
              <w:ind w:left="0" w:right="0"/>
              <w:jc w:val="center"/>
              <w:rPr>
                <w:rFonts w:hint="eastAsia" w:ascii="宋体" w:hAnsi="宋体" w:cs="Arial"/>
                <w:color w:val="auto"/>
                <w:szCs w:val="21"/>
                <w:highlight w:val="none"/>
              </w:rPr>
            </w:pPr>
            <w:r>
              <w:rPr>
                <w:rFonts w:hint="eastAsia" w:ascii="宋体" w:hAnsi="宋体" w:cs="宋体"/>
                <w:color w:val="auto"/>
                <w:szCs w:val="21"/>
                <w:highlight w:val="none"/>
              </w:rPr>
              <w:t>标的名称</w:t>
            </w:r>
          </w:p>
        </w:tc>
        <w:tc>
          <w:tcPr>
            <w:tcW w:w="636" w:type="dxa"/>
            <w:tcBorders>
              <w:top w:val="single" w:color="auto" w:sz="4" w:space="0"/>
              <w:left w:val="single" w:color="auto" w:sz="4" w:space="0"/>
              <w:right w:val="single" w:color="auto" w:sz="4" w:space="0"/>
            </w:tcBorders>
            <w:noWrap w:val="0"/>
            <w:vAlign w:val="center"/>
          </w:tcPr>
          <w:p w14:paraId="1E2BB720">
            <w:pPr>
              <w:keepNext w:val="0"/>
              <w:keepLines w:val="0"/>
              <w:suppressLineNumbers w:val="0"/>
              <w:spacing w:before="0" w:beforeAutospacing="0" w:after="0" w:afterAutospacing="0" w:line="360" w:lineRule="exact"/>
              <w:ind w:left="0" w:right="0"/>
              <w:jc w:val="center"/>
              <w:rPr>
                <w:rFonts w:hint="eastAsia" w:ascii="宋体" w:hAnsi="宋体"/>
                <w:color w:val="auto"/>
                <w:szCs w:val="21"/>
                <w:highlight w:val="none"/>
              </w:rPr>
            </w:pPr>
            <w:r>
              <w:rPr>
                <w:rFonts w:hint="eastAsia" w:ascii="宋体" w:hAnsi="宋体" w:cs="宋体"/>
                <w:color w:val="auto"/>
                <w:szCs w:val="21"/>
                <w:highlight w:val="none"/>
              </w:rPr>
              <w:t>单位</w:t>
            </w:r>
          </w:p>
        </w:tc>
        <w:tc>
          <w:tcPr>
            <w:tcW w:w="675" w:type="dxa"/>
            <w:tcBorders>
              <w:top w:val="single" w:color="auto" w:sz="4" w:space="0"/>
              <w:left w:val="single" w:color="auto" w:sz="4" w:space="0"/>
              <w:right w:val="single" w:color="auto" w:sz="4" w:space="0"/>
            </w:tcBorders>
            <w:noWrap w:val="0"/>
            <w:vAlign w:val="center"/>
          </w:tcPr>
          <w:p w14:paraId="310A3643">
            <w:pPr>
              <w:keepNext w:val="0"/>
              <w:keepLines w:val="0"/>
              <w:suppressLineNumbers w:val="0"/>
              <w:spacing w:before="0" w:beforeAutospacing="0" w:after="0" w:afterAutospacing="0" w:line="360" w:lineRule="exact"/>
              <w:ind w:left="0" w:right="0"/>
              <w:jc w:val="center"/>
              <w:rPr>
                <w:rFonts w:hint="eastAsia" w:ascii="宋体" w:hAnsi="宋体"/>
                <w:color w:val="auto"/>
                <w:szCs w:val="21"/>
                <w:highlight w:val="none"/>
              </w:rPr>
            </w:pPr>
            <w:r>
              <w:rPr>
                <w:rFonts w:hint="eastAsia" w:ascii="宋体" w:hAnsi="宋体" w:cs="宋体"/>
                <w:color w:val="auto"/>
                <w:szCs w:val="21"/>
                <w:highlight w:val="none"/>
              </w:rPr>
              <w:t>数量</w:t>
            </w:r>
          </w:p>
        </w:tc>
        <w:tc>
          <w:tcPr>
            <w:tcW w:w="5293" w:type="dxa"/>
            <w:tcBorders>
              <w:top w:val="single" w:color="auto" w:sz="4" w:space="0"/>
              <w:left w:val="single" w:color="auto" w:sz="4" w:space="0"/>
              <w:right w:val="single" w:color="auto" w:sz="4" w:space="0"/>
            </w:tcBorders>
            <w:noWrap w:val="0"/>
            <w:vAlign w:val="center"/>
          </w:tcPr>
          <w:p w14:paraId="5D02190F">
            <w:pPr>
              <w:keepNext w:val="0"/>
              <w:keepLines w:val="0"/>
              <w:suppressLineNumbers w:val="0"/>
              <w:spacing w:before="0" w:beforeAutospacing="0" w:after="0" w:afterAutospacing="0" w:line="360" w:lineRule="exact"/>
              <w:ind w:left="0" w:right="0"/>
              <w:jc w:val="center"/>
              <w:rPr>
                <w:rFonts w:hint="eastAsia" w:ascii="宋体" w:hAnsi="宋体"/>
                <w:color w:val="auto"/>
                <w:szCs w:val="21"/>
                <w:highlight w:val="none"/>
              </w:rPr>
            </w:pPr>
            <w:r>
              <w:rPr>
                <w:rFonts w:hint="eastAsia" w:ascii="宋体" w:hAnsi="宋体" w:cs="宋体"/>
                <w:color w:val="auto"/>
                <w:szCs w:val="21"/>
                <w:highlight w:val="none"/>
              </w:rPr>
              <w:t>服务参数</w:t>
            </w:r>
          </w:p>
        </w:tc>
        <w:tc>
          <w:tcPr>
            <w:tcW w:w="1408" w:type="dxa"/>
            <w:tcBorders>
              <w:top w:val="single" w:color="auto" w:sz="4" w:space="0"/>
              <w:left w:val="single" w:color="auto" w:sz="4" w:space="0"/>
              <w:right w:val="single" w:color="auto" w:sz="4" w:space="0"/>
            </w:tcBorders>
            <w:noWrap w:val="0"/>
            <w:vAlign w:val="center"/>
          </w:tcPr>
          <w:p w14:paraId="7DB12CA2">
            <w:pPr>
              <w:keepNext w:val="0"/>
              <w:keepLines w:val="0"/>
              <w:suppressLineNumbers w:val="0"/>
              <w:spacing w:before="0" w:beforeAutospacing="0" w:after="0" w:afterAutospacing="0" w:line="360" w:lineRule="exact"/>
              <w:ind w:left="0" w:right="0"/>
              <w:jc w:val="center"/>
              <w:rPr>
                <w:rFonts w:hint="eastAsia" w:ascii="宋体" w:hAnsi="宋体"/>
                <w:color w:val="auto"/>
                <w:szCs w:val="21"/>
                <w:highlight w:val="none"/>
              </w:rPr>
            </w:pPr>
            <w:r>
              <w:rPr>
                <w:rFonts w:hint="eastAsia" w:ascii="宋体" w:hAnsi="宋体"/>
                <w:color w:val="auto"/>
                <w:szCs w:val="21"/>
                <w:highlight w:val="none"/>
              </w:rPr>
              <w:t>采购标的对应的中小企业划准所属行业</w:t>
            </w:r>
          </w:p>
        </w:tc>
      </w:tr>
      <w:tr w14:paraId="17BE71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635" w:type="dxa"/>
            <w:tcBorders>
              <w:top w:val="single" w:color="auto" w:sz="4" w:space="0"/>
              <w:left w:val="single" w:color="auto" w:sz="4" w:space="0"/>
              <w:right w:val="single" w:color="auto" w:sz="4" w:space="0"/>
            </w:tcBorders>
            <w:noWrap w:val="0"/>
            <w:vAlign w:val="center"/>
          </w:tcPr>
          <w:p w14:paraId="2CAAC0C2">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18" w:type="dxa"/>
            <w:tcBorders>
              <w:top w:val="single" w:color="auto" w:sz="4" w:space="0"/>
              <w:left w:val="single" w:color="auto" w:sz="4" w:space="0"/>
              <w:right w:val="single" w:color="auto" w:sz="4" w:space="0"/>
            </w:tcBorders>
            <w:noWrap w:val="0"/>
            <w:vAlign w:val="center"/>
          </w:tcPr>
          <w:p w14:paraId="5F485C49">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 xml:space="preserve">广西壮族自治区2026年度计划生育特殊家庭综合保险项目 </w:t>
            </w:r>
          </w:p>
        </w:tc>
        <w:tc>
          <w:tcPr>
            <w:tcW w:w="636" w:type="dxa"/>
            <w:tcBorders>
              <w:top w:val="single" w:color="auto" w:sz="4" w:space="0"/>
              <w:left w:val="single" w:color="auto" w:sz="4" w:space="0"/>
              <w:right w:val="single" w:color="auto" w:sz="4" w:space="0"/>
            </w:tcBorders>
            <w:noWrap w:val="0"/>
            <w:vAlign w:val="center"/>
          </w:tcPr>
          <w:p w14:paraId="6ADD9F77">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675" w:type="dxa"/>
            <w:tcBorders>
              <w:top w:val="single" w:color="auto" w:sz="4" w:space="0"/>
              <w:left w:val="single" w:color="auto" w:sz="4" w:space="0"/>
              <w:right w:val="single" w:color="auto" w:sz="4" w:space="0"/>
            </w:tcBorders>
            <w:noWrap w:val="0"/>
            <w:vAlign w:val="center"/>
          </w:tcPr>
          <w:p w14:paraId="0D29692F">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w:t>
            </w:r>
          </w:p>
        </w:tc>
        <w:tc>
          <w:tcPr>
            <w:tcW w:w="5293" w:type="dxa"/>
            <w:tcBorders>
              <w:top w:val="single" w:color="auto" w:sz="4" w:space="0"/>
              <w:left w:val="single" w:color="auto" w:sz="4" w:space="0"/>
              <w:right w:val="single" w:color="auto" w:sz="4" w:space="0"/>
            </w:tcBorders>
            <w:noWrap w:val="0"/>
            <w:vAlign w:val="top"/>
          </w:tcPr>
          <w:p w14:paraId="5E7DAF1C">
            <w:pPr>
              <w:keepNext w:val="0"/>
              <w:keepLines w:val="0"/>
              <w:suppressLineNumbers w:val="0"/>
              <w:spacing w:before="0" w:beforeAutospacing="0" w:after="0" w:afterAutospacing="0" w:line="360" w:lineRule="exact"/>
              <w:ind w:left="0" w:right="0"/>
              <w:jc w:val="left"/>
              <w:rPr>
                <w:rFonts w:hint="eastAsia" w:ascii="宋体" w:hAnsi="宋体" w:cs="宋体"/>
                <w:color w:val="auto"/>
                <w:szCs w:val="21"/>
                <w:highlight w:val="none"/>
              </w:rPr>
            </w:pPr>
            <w:r>
              <w:rPr>
                <w:rFonts w:hint="eastAsia" w:ascii="宋体" w:hAnsi="宋体" w:cs="宋体"/>
                <w:b/>
                <w:bCs/>
                <w:color w:val="auto"/>
                <w:szCs w:val="21"/>
                <w:highlight w:val="none"/>
              </w:rPr>
              <w:t>一</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项目概况</w:t>
            </w:r>
          </w:p>
          <w:p w14:paraId="724A7CEE">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为构建失独家庭、独生子女伤残家庭全面保障体系，促进社会和谐稳定,广西壮族自治区计划生育协会从2017年9月起连续9年每年为全区符合条件的计划生育特殊家庭购买计划生育特殊家庭综合保险。</w:t>
            </w:r>
          </w:p>
          <w:p w14:paraId="3E0CDDA8">
            <w:pPr>
              <w:keepNext w:val="0"/>
              <w:keepLines w:val="0"/>
              <w:suppressLineNumbers w:val="0"/>
              <w:spacing w:before="0" w:beforeAutospacing="0" w:after="0" w:afterAutospacing="0" w:line="36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项目覆盖的设区市、县（市、区）如下：</w:t>
            </w:r>
          </w:p>
          <w:p w14:paraId="5C2F43DA">
            <w:pPr>
              <w:keepNext w:val="0"/>
              <w:keepLines w:val="0"/>
              <w:suppressLineNumbers w:val="0"/>
              <w:spacing w:before="0" w:beforeAutospacing="0" w:after="0" w:afterAutospacing="0" w:line="360" w:lineRule="exact"/>
              <w:ind w:left="0" w:right="0"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广西壮族自治区设区市是指南宁市、柳州市、桂林市、梧州市、北海市、防城港市、钦州市、贵港市、玉林市、百色市、河池市、贺州市、来宾市、崇左市14个。</w:t>
            </w:r>
          </w:p>
          <w:p w14:paraId="38E0F531">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南宁市——兴宁区、江南区、青秀区、西乡塘区、邕宁区、良庆区、武鸣区7个市辖区和横州市、宾阳县、上林县、马山县、隆安县5个县（市、区），建有南宁高新技术产业开发区、南宁经济技术开发区、广西—东盟经济技术开发区3个国家级开发区；共15个。</w:t>
            </w:r>
          </w:p>
          <w:p w14:paraId="42FC8748">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柳州市——城中区、鱼峰区、柳南区、柳北区、柳江区5个市辖区，柳城县、鹿寨县、融安县、融水县、三江县5个县（市、区）；共10个。</w:t>
            </w:r>
          </w:p>
          <w:p w14:paraId="552F296E">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桂林市——秀峰区、七星区、象山区、叠彩区、雁山区、临桂区6个市辖区，阳朔县、灵川县、全州县、兴安县、永福县、灌阳县、龙胜县、资源县、平乐县、荔浦市、恭城县11个县（市、区）；共17个。</w:t>
            </w:r>
          </w:p>
          <w:p w14:paraId="1F6FF1F2">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梧州市——万秀区、长洲区、龙圩区3个市辖区，藤县、岑溪市、苍梧县、蒙山县4个县（市、区）；共7个。</w:t>
            </w:r>
          </w:p>
          <w:p w14:paraId="173B0F44">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北海市——海城区、银海区、铁山港区3个市辖区，合浦县1个县（市、区）；共4个。</w:t>
            </w:r>
          </w:p>
          <w:p w14:paraId="3DEABA5D">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防城港市——港口区、防城区2个市辖区，上思县、东兴市2个县（市、区）；共4个。</w:t>
            </w:r>
          </w:p>
          <w:p w14:paraId="1FDDACAD">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钦州市——钦南区、钦北2个市辖区、灵山县、浦北县2个县（市、区）；共4个。</w:t>
            </w:r>
          </w:p>
          <w:p w14:paraId="043BB4EF">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贵港市——港北区、港南区、覃塘区3个市辖区，平南县、桂平市2个县（市、区）；共5个。</w:t>
            </w:r>
          </w:p>
          <w:p w14:paraId="0660D7EB">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玉林市——玉州区、福绵区2个市辖区，容县、陆川县、博白县、兴业县、北流市5个县（市、区）；共7个。</w:t>
            </w:r>
          </w:p>
          <w:p w14:paraId="549D1EAB">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百色市——右江区、田阳区2个市辖区，田东县、平果县、德保县、靖西市、那坡县、凌云县、乐业县、田林县、西林县、隆林县10个县（市、区）；共12个。</w:t>
            </w:r>
          </w:p>
          <w:p w14:paraId="5A27D3D0">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河池市——金城江区、宜州区2个市辖区，天峨县、南丹县、凤山县、东兰县、罗城县、环江县、巴马县、都安县、大化县9个县（市、区）；共11个..</w:t>
            </w:r>
          </w:p>
          <w:p w14:paraId="3B2B3188">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贺州市——八步区、平桂区2个市辖区，昭平县、钟山县、富川县3个县（市、区）；共5个。</w:t>
            </w:r>
          </w:p>
          <w:p w14:paraId="3B53C630">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来宾市——兴宾1个市辖区，忻城县、象州县、武宣县、金秀县、合山市5个县（市、区）；共6个。</w:t>
            </w:r>
          </w:p>
          <w:p w14:paraId="14392AE6">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崇左市——江州区1个市辖区、扶绥县、大新县、天等县、宁明县、龙州县、凭祥市6个县（市、区）；共7个。</w:t>
            </w:r>
          </w:p>
          <w:p w14:paraId="113A5069">
            <w:pPr>
              <w:keepNext w:val="0"/>
              <w:keepLines w:val="0"/>
              <w:suppressLineNumbers w:val="0"/>
              <w:spacing w:before="0" w:beforeAutospacing="0" w:after="0" w:afterAutospacing="0" w:line="360" w:lineRule="exact"/>
              <w:ind w:left="0" w:right="0" w:firstLine="210" w:firstLineChars="1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以上共有14个设区市， 市辖区41个， 县(市、区)70个，3个开发区。</w:t>
            </w:r>
          </w:p>
          <w:p w14:paraId="0840FEE7">
            <w:pPr>
              <w:keepNext w:val="0"/>
              <w:keepLines w:val="0"/>
              <w:suppressLineNumbers w:val="0"/>
              <w:spacing w:before="0" w:beforeAutospacing="0" w:after="0" w:afterAutospacing="0" w:line="360" w:lineRule="exact"/>
              <w:ind w:left="0" w:right="0"/>
              <w:jc w:val="left"/>
              <w:rPr>
                <w:rFonts w:hint="eastAsia" w:ascii="宋体" w:hAnsi="宋体" w:cs="宋体"/>
                <w:b/>
                <w:bCs/>
                <w:color w:val="auto"/>
                <w:szCs w:val="21"/>
                <w:highlight w:val="none"/>
              </w:rPr>
            </w:pPr>
            <w:r>
              <w:rPr>
                <w:rFonts w:hint="eastAsia" w:ascii="宋体" w:hAnsi="宋体" w:cs="宋体"/>
                <w:b/>
                <w:bCs/>
                <w:color w:val="auto"/>
                <w:szCs w:val="21"/>
                <w:highlight w:val="none"/>
              </w:rPr>
              <w:t>二、保险对象</w:t>
            </w:r>
          </w:p>
          <w:p w14:paraId="59C58B62">
            <w:pPr>
              <w:keepNext w:val="0"/>
              <w:keepLines w:val="0"/>
              <w:suppressLineNumbers w:val="0"/>
              <w:spacing w:before="0" w:beforeAutospacing="0" w:after="0" w:afterAutospacing="0" w:line="36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2026年全区计划生育特殊家庭扶助对象（以自治区计划生育协会核定的名单为准），每人每年投保一份。</w:t>
            </w:r>
          </w:p>
          <w:p w14:paraId="10759BE1">
            <w:pPr>
              <w:keepNext w:val="0"/>
              <w:keepLines w:val="0"/>
              <w:suppressLineNumbers w:val="0"/>
              <w:spacing w:before="0" w:beforeAutospacing="0" w:after="0" w:afterAutospacing="0" w:line="360" w:lineRule="exact"/>
              <w:ind w:left="0" w:right="0"/>
              <w:jc w:val="left"/>
              <w:rPr>
                <w:rFonts w:hint="eastAsia" w:ascii="宋体" w:hAnsi="宋体" w:cs="宋体"/>
                <w:color w:val="auto"/>
                <w:szCs w:val="21"/>
                <w:highlight w:val="none"/>
              </w:rPr>
            </w:pPr>
            <w:r>
              <w:rPr>
                <w:rFonts w:hint="eastAsia" w:ascii="宋体" w:hAnsi="宋体" w:cs="宋体"/>
                <w:b/>
                <w:bCs/>
                <w:color w:val="auto"/>
                <w:szCs w:val="21"/>
                <w:highlight w:val="none"/>
              </w:rPr>
              <w:t>三、保险期限</w:t>
            </w:r>
          </w:p>
          <w:p w14:paraId="28D776EC">
            <w:pPr>
              <w:keepNext w:val="0"/>
              <w:keepLines w:val="0"/>
              <w:suppressLineNumbers w:val="0"/>
              <w:spacing w:before="0" w:beforeAutospacing="0" w:after="0" w:afterAutospacing="0" w:line="360" w:lineRule="exact"/>
              <w:ind w:left="0" w:right="0"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（一）中标人将获得保险期限为1年的计划生育特殊家庭综合保险项目，保险期限为自2026年9月1日零时起至2027年8月31日24时止。</w:t>
            </w:r>
          </w:p>
          <w:p w14:paraId="5AB0015D">
            <w:pPr>
              <w:keepNext w:val="0"/>
              <w:keepLines w:val="0"/>
              <w:suppressLineNumbers w:val="0"/>
              <w:spacing w:before="0" w:beforeAutospacing="0" w:after="0" w:afterAutospacing="0" w:line="360" w:lineRule="exact"/>
              <w:ind w:left="0" w:right="0"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（二）投标人一旦中标，将追溯保险合同效力</w:t>
            </w:r>
            <w:r>
              <w:rPr>
                <w:rFonts w:hint="eastAsia" w:ascii="宋体" w:hAnsi="宋体" w:cs="宋体"/>
                <w:b w:val="0"/>
                <w:bCs w:val="0"/>
                <w:color w:val="auto"/>
                <w:szCs w:val="21"/>
                <w:highlight w:val="none"/>
                <w:lang w:val="en-US" w:eastAsia="zh-CN"/>
              </w:rPr>
              <w:t>此始时间</w:t>
            </w:r>
            <w:r>
              <w:rPr>
                <w:rFonts w:hint="eastAsia" w:ascii="宋体" w:hAnsi="宋体" w:cs="宋体"/>
                <w:b w:val="0"/>
                <w:bCs w:val="0"/>
                <w:color w:val="auto"/>
                <w:szCs w:val="21"/>
                <w:highlight w:val="none"/>
              </w:rPr>
              <w:t>为2026年9月1日零时。</w:t>
            </w:r>
          </w:p>
          <w:p w14:paraId="52B1EB04">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四、保险费、保险责任及保险金额</w:t>
            </w:r>
          </w:p>
          <w:p w14:paraId="7346E128">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（一）保险费：计划生育特殊家庭综合保险项目保险费定额标准为500元 / 人・份・年，年度预算34000份，总预算约1700万元，具体按实际核定参保人数计算。</w:t>
            </w:r>
          </w:p>
          <w:p w14:paraId="15FA383D">
            <w:pPr>
              <w:keepNext w:val="0"/>
              <w:keepLines w:val="0"/>
              <w:widowControl/>
              <w:suppressLineNumbers w:val="0"/>
              <w:spacing w:before="0" w:beforeAutospacing="0" w:after="0" w:afterAutospacing="0" w:line="360" w:lineRule="exact"/>
              <w:ind w:left="0" w:right="0" w:firstLine="420" w:firstLineChars="200"/>
              <w:jc w:val="left"/>
              <w:rPr>
                <w:rFonts w:hint="default" w:ascii="宋体" w:hAnsi="宋体" w:eastAsia="宋体" w:cs="宋体"/>
                <w:b w:val="0"/>
                <w:bCs w:val="0"/>
                <w:color w:val="auto"/>
                <w:kern w:val="2"/>
                <w:sz w:val="21"/>
                <w:szCs w:val="21"/>
                <w:highlight w:val="none"/>
                <w:lang w:val="en-US"/>
              </w:rPr>
            </w:pPr>
            <w:r>
              <w:rPr>
                <w:rFonts w:hint="eastAsia" w:ascii="宋体" w:hAnsi="宋体" w:eastAsia="宋体" w:cs="宋体"/>
                <w:b w:val="0"/>
                <w:bCs w:val="0"/>
                <w:color w:val="auto"/>
                <w:kern w:val="2"/>
                <w:sz w:val="21"/>
                <w:szCs w:val="21"/>
                <w:highlight w:val="none"/>
                <w:lang w:val="en-US" w:eastAsia="zh-CN" w:bidi="ar"/>
              </w:rPr>
              <w:t>（二）保险责任及保险金额</w:t>
            </w:r>
          </w:p>
          <w:p w14:paraId="2182967D">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本项目为政策性保险，不设立等待期且追溯保险合同效力至2026年9月1日零时,投标人不得设立任何拒保条款。投标人必须提供的保险责任及保险金额包括但不限于：</w:t>
            </w:r>
          </w:p>
          <w:tbl>
            <w:tblPr>
              <w:tblStyle w:val="39"/>
              <w:tblW w:w="56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1"/>
              <w:gridCol w:w="1659"/>
              <w:gridCol w:w="1887"/>
              <w:gridCol w:w="659"/>
              <w:gridCol w:w="731"/>
            </w:tblGrid>
            <w:tr w14:paraId="15394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6417929">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序号</w:t>
                  </w:r>
                </w:p>
              </w:tc>
              <w:tc>
                <w:tcPr>
                  <w:tcW w:w="1680" w:type="dxa"/>
                  <w:tcBorders>
                    <w:top w:val="single" w:color="auto" w:sz="4" w:space="0"/>
                    <w:left w:val="nil"/>
                    <w:bottom w:val="single" w:color="auto" w:sz="4" w:space="0"/>
                    <w:right w:val="single" w:color="auto" w:sz="4" w:space="0"/>
                  </w:tcBorders>
                  <w:shd w:val="clear" w:color="auto" w:fill="auto"/>
                  <w:vAlign w:val="center"/>
                </w:tcPr>
                <w:p w14:paraId="0B3AAE73">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保险责任</w:t>
                  </w:r>
                </w:p>
              </w:tc>
              <w:tc>
                <w:tcPr>
                  <w:tcW w:w="1906" w:type="dxa"/>
                  <w:tcBorders>
                    <w:top w:val="single" w:color="auto" w:sz="4" w:space="0"/>
                    <w:left w:val="nil"/>
                    <w:bottom w:val="single" w:color="auto" w:sz="4" w:space="0"/>
                    <w:right w:val="single" w:color="auto" w:sz="4" w:space="0"/>
                  </w:tcBorders>
                  <w:shd w:val="clear" w:color="auto" w:fill="auto"/>
                  <w:vAlign w:val="center"/>
                </w:tcPr>
                <w:p w14:paraId="0EA9F656">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保险金额</w:t>
                  </w:r>
                </w:p>
              </w:tc>
              <w:tc>
                <w:tcPr>
                  <w:tcW w:w="665" w:type="dxa"/>
                  <w:tcBorders>
                    <w:top w:val="single" w:color="auto" w:sz="4" w:space="0"/>
                    <w:left w:val="nil"/>
                    <w:bottom w:val="single" w:color="auto" w:sz="4" w:space="0"/>
                    <w:right w:val="single" w:color="auto" w:sz="4" w:space="0"/>
                  </w:tcBorders>
                  <w:shd w:val="clear" w:color="auto" w:fill="auto"/>
                  <w:vAlign w:val="center"/>
                </w:tcPr>
                <w:p w14:paraId="5C7E844A">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保险期间</w:t>
                  </w:r>
                </w:p>
              </w:tc>
              <w:tc>
                <w:tcPr>
                  <w:tcW w:w="736" w:type="dxa"/>
                  <w:tcBorders>
                    <w:top w:val="single" w:color="auto" w:sz="4" w:space="0"/>
                    <w:left w:val="nil"/>
                    <w:bottom w:val="single" w:color="auto" w:sz="4" w:space="0"/>
                    <w:right w:val="single" w:color="auto" w:sz="4" w:space="0"/>
                  </w:tcBorders>
                  <w:shd w:val="clear" w:color="auto" w:fill="auto"/>
                  <w:vAlign w:val="center"/>
                </w:tcPr>
                <w:p w14:paraId="35BB9A5D">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保费</w:t>
                  </w:r>
                </w:p>
              </w:tc>
            </w:tr>
            <w:tr w14:paraId="73FF1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98A82AC">
                  <w:pPr>
                    <w:keepNext w:val="0"/>
                    <w:keepLines w:val="0"/>
                    <w:widowControl/>
                    <w:suppressLineNumbers w:val="0"/>
                    <w:spacing w:before="0" w:beforeAutospacing="0" w:after="0" w:afterAutospacing="0" w:line="3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w:t>
                  </w:r>
                </w:p>
              </w:tc>
              <w:tc>
                <w:tcPr>
                  <w:tcW w:w="1680" w:type="dxa"/>
                  <w:tcBorders>
                    <w:top w:val="single" w:color="auto" w:sz="4" w:space="0"/>
                    <w:left w:val="nil"/>
                    <w:bottom w:val="single" w:color="auto" w:sz="4" w:space="0"/>
                    <w:right w:val="single" w:color="auto" w:sz="4" w:space="0"/>
                  </w:tcBorders>
                  <w:shd w:val="clear" w:color="auto" w:fill="auto"/>
                  <w:vAlign w:val="center"/>
                </w:tcPr>
                <w:p w14:paraId="2038C2DB">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意外身故</w:t>
                  </w:r>
                </w:p>
              </w:tc>
              <w:tc>
                <w:tcPr>
                  <w:tcW w:w="1906" w:type="dxa"/>
                  <w:tcBorders>
                    <w:top w:val="single" w:color="auto" w:sz="4" w:space="0"/>
                    <w:left w:val="nil"/>
                    <w:bottom w:val="single" w:color="auto" w:sz="4" w:space="0"/>
                    <w:right w:val="single" w:color="auto" w:sz="4" w:space="0"/>
                  </w:tcBorders>
                  <w:shd w:val="clear" w:color="auto" w:fill="auto"/>
                  <w:vAlign w:val="center"/>
                </w:tcPr>
                <w:p w14:paraId="733BB272">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5000元/份</w:t>
                  </w:r>
                </w:p>
              </w:tc>
              <w:tc>
                <w:tcPr>
                  <w:tcW w:w="665" w:type="dxa"/>
                  <w:vMerge w:val="restart"/>
                  <w:tcBorders>
                    <w:top w:val="nil"/>
                    <w:left w:val="nil"/>
                    <w:bottom w:val="single" w:color="auto" w:sz="4" w:space="0"/>
                    <w:right w:val="single" w:color="auto" w:sz="4" w:space="0"/>
                  </w:tcBorders>
                  <w:shd w:val="clear" w:color="auto" w:fill="auto"/>
                  <w:vAlign w:val="center"/>
                </w:tcPr>
                <w:p w14:paraId="3092FF2E">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一年</w:t>
                  </w:r>
                </w:p>
              </w:tc>
              <w:tc>
                <w:tcPr>
                  <w:tcW w:w="736" w:type="dxa"/>
                  <w:vMerge w:val="restart"/>
                  <w:tcBorders>
                    <w:top w:val="nil"/>
                    <w:left w:val="nil"/>
                    <w:bottom w:val="single" w:color="auto" w:sz="4" w:space="0"/>
                    <w:right w:val="single" w:color="auto" w:sz="4" w:space="0"/>
                  </w:tcBorders>
                  <w:shd w:val="clear" w:color="auto" w:fill="auto"/>
                  <w:vAlign w:val="center"/>
                </w:tcPr>
                <w:p w14:paraId="6A41CC83">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500元/人.份</w:t>
                  </w:r>
                </w:p>
              </w:tc>
            </w:tr>
            <w:tr w14:paraId="0F5A7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2CC36D43">
                  <w:pPr>
                    <w:keepNext w:val="0"/>
                    <w:keepLines w:val="0"/>
                    <w:widowControl/>
                    <w:suppressLineNumbers w:val="0"/>
                    <w:spacing w:before="0" w:beforeAutospacing="0" w:after="0" w:afterAutospacing="0" w:line="360" w:lineRule="exact"/>
                    <w:ind w:left="0" w:right="0"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w:t>
                  </w:r>
                </w:p>
              </w:tc>
              <w:tc>
                <w:tcPr>
                  <w:tcW w:w="1680" w:type="dxa"/>
                  <w:tcBorders>
                    <w:top w:val="single" w:color="auto" w:sz="4" w:space="0"/>
                    <w:left w:val="nil"/>
                    <w:bottom w:val="single" w:color="auto" w:sz="4" w:space="0"/>
                    <w:right w:val="single" w:color="auto" w:sz="4" w:space="0"/>
                  </w:tcBorders>
                  <w:shd w:val="clear" w:color="auto" w:fill="auto"/>
                  <w:vAlign w:val="center"/>
                </w:tcPr>
                <w:p w14:paraId="1A70CA49">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疾病身故</w:t>
                  </w:r>
                </w:p>
              </w:tc>
              <w:tc>
                <w:tcPr>
                  <w:tcW w:w="1906" w:type="dxa"/>
                  <w:tcBorders>
                    <w:top w:val="single" w:color="auto" w:sz="4" w:space="0"/>
                    <w:left w:val="nil"/>
                    <w:bottom w:val="single" w:color="auto" w:sz="4" w:space="0"/>
                    <w:right w:val="single" w:color="auto" w:sz="4" w:space="0"/>
                  </w:tcBorders>
                  <w:shd w:val="clear" w:color="auto" w:fill="auto"/>
                  <w:vAlign w:val="center"/>
                </w:tcPr>
                <w:p w14:paraId="6A19CC68">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5000元/份</w:t>
                  </w:r>
                </w:p>
              </w:tc>
              <w:tc>
                <w:tcPr>
                  <w:tcW w:w="665" w:type="dxa"/>
                  <w:vMerge w:val="continue"/>
                  <w:tcBorders>
                    <w:top w:val="nil"/>
                    <w:left w:val="nil"/>
                    <w:bottom w:val="single" w:color="auto" w:sz="4" w:space="0"/>
                    <w:right w:val="single" w:color="auto" w:sz="4" w:space="0"/>
                  </w:tcBorders>
                  <w:shd w:val="clear" w:color="auto" w:fill="auto"/>
                  <w:vAlign w:val="center"/>
                </w:tcPr>
                <w:p w14:paraId="214337A1">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736" w:type="dxa"/>
                  <w:vMerge w:val="continue"/>
                  <w:tcBorders>
                    <w:top w:val="nil"/>
                    <w:left w:val="nil"/>
                    <w:bottom w:val="single" w:color="auto" w:sz="4" w:space="0"/>
                    <w:right w:val="single" w:color="auto" w:sz="4" w:space="0"/>
                  </w:tcBorders>
                  <w:shd w:val="clear" w:color="auto" w:fill="auto"/>
                  <w:vAlign w:val="center"/>
                </w:tcPr>
                <w:p w14:paraId="67FAB57E">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5D2F2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974F358">
                  <w:pPr>
                    <w:keepNext w:val="0"/>
                    <w:keepLines w:val="0"/>
                    <w:widowControl/>
                    <w:suppressLineNumbers w:val="0"/>
                    <w:spacing w:before="0" w:beforeAutospacing="0" w:after="0" w:afterAutospacing="0" w:line="360" w:lineRule="exact"/>
                    <w:ind w:left="0" w:right="0"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w:t>
                  </w:r>
                </w:p>
              </w:tc>
              <w:tc>
                <w:tcPr>
                  <w:tcW w:w="1680" w:type="dxa"/>
                  <w:tcBorders>
                    <w:top w:val="single" w:color="auto" w:sz="4" w:space="0"/>
                    <w:left w:val="nil"/>
                    <w:bottom w:val="single" w:color="auto" w:sz="4" w:space="0"/>
                    <w:right w:val="single" w:color="auto" w:sz="4" w:space="0"/>
                  </w:tcBorders>
                  <w:shd w:val="clear" w:color="auto" w:fill="auto"/>
                  <w:vAlign w:val="center"/>
                </w:tcPr>
                <w:p w14:paraId="587046F4">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因意外伤害住院治疗费用补偿</w:t>
                  </w:r>
                </w:p>
              </w:tc>
              <w:tc>
                <w:tcPr>
                  <w:tcW w:w="1906" w:type="dxa"/>
                  <w:tcBorders>
                    <w:top w:val="single" w:color="auto" w:sz="4" w:space="0"/>
                    <w:left w:val="nil"/>
                    <w:bottom w:val="single" w:color="auto" w:sz="4" w:space="0"/>
                    <w:right w:val="single" w:color="auto" w:sz="4" w:space="0"/>
                  </w:tcBorders>
                  <w:shd w:val="clear" w:color="auto" w:fill="auto"/>
                  <w:vAlign w:val="center"/>
                </w:tcPr>
                <w:p w14:paraId="0F2667D1">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10000元/份</w:t>
                  </w:r>
                </w:p>
              </w:tc>
              <w:tc>
                <w:tcPr>
                  <w:tcW w:w="665" w:type="dxa"/>
                  <w:vMerge w:val="continue"/>
                  <w:tcBorders>
                    <w:top w:val="nil"/>
                    <w:left w:val="nil"/>
                    <w:bottom w:val="single" w:color="auto" w:sz="4" w:space="0"/>
                    <w:right w:val="single" w:color="auto" w:sz="4" w:space="0"/>
                  </w:tcBorders>
                  <w:shd w:val="clear" w:color="auto" w:fill="auto"/>
                  <w:vAlign w:val="center"/>
                </w:tcPr>
                <w:p w14:paraId="706BFC1C">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736" w:type="dxa"/>
                  <w:vMerge w:val="continue"/>
                  <w:tcBorders>
                    <w:top w:val="nil"/>
                    <w:left w:val="nil"/>
                    <w:bottom w:val="single" w:color="auto" w:sz="4" w:space="0"/>
                    <w:right w:val="single" w:color="auto" w:sz="4" w:space="0"/>
                  </w:tcBorders>
                  <w:shd w:val="clear" w:color="auto" w:fill="auto"/>
                  <w:vAlign w:val="center"/>
                </w:tcPr>
                <w:p w14:paraId="06D5EC39">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0333C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059ED3DD">
                  <w:pPr>
                    <w:keepNext w:val="0"/>
                    <w:keepLines w:val="0"/>
                    <w:widowControl/>
                    <w:suppressLineNumbers w:val="0"/>
                    <w:spacing w:before="0" w:beforeAutospacing="0" w:after="0" w:afterAutospacing="0" w:line="360" w:lineRule="exact"/>
                    <w:ind w:left="0" w:right="0"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w:t>
                  </w:r>
                </w:p>
              </w:tc>
              <w:tc>
                <w:tcPr>
                  <w:tcW w:w="1680" w:type="dxa"/>
                  <w:tcBorders>
                    <w:top w:val="single" w:color="auto" w:sz="4" w:space="0"/>
                    <w:left w:val="nil"/>
                    <w:bottom w:val="single" w:color="auto" w:sz="4" w:space="0"/>
                    <w:right w:val="single" w:color="auto" w:sz="4" w:space="0"/>
                  </w:tcBorders>
                  <w:shd w:val="clear" w:color="auto" w:fill="auto"/>
                  <w:vAlign w:val="center"/>
                </w:tcPr>
                <w:p w14:paraId="31CF483A">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因疾病住院治疗费用补偿</w:t>
                  </w:r>
                </w:p>
              </w:tc>
              <w:tc>
                <w:tcPr>
                  <w:tcW w:w="1906" w:type="dxa"/>
                  <w:tcBorders>
                    <w:top w:val="single" w:color="auto" w:sz="4" w:space="0"/>
                    <w:left w:val="nil"/>
                    <w:bottom w:val="single" w:color="auto" w:sz="4" w:space="0"/>
                    <w:right w:val="single" w:color="auto" w:sz="4" w:space="0"/>
                  </w:tcBorders>
                  <w:shd w:val="clear" w:color="auto" w:fill="auto"/>
                  <w:vAlign w:val="center"/>
                </w:tcPr>
                <w:p w14:paraId="4B339A2F">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1500元/份</w:t>
                  </w:r>
                </w:p>
              </w:tc>
              <w:tc>
                <w:tcPr>
                  <w:tcW w:w="665" w:type="dxa"/>
                  <w:vMerge w:val="continue"/>
                  <w:tcBorders>
                    <w:top w:val="nil"/>
                    <w:left w:val="nil"/>
                    <w:bottom w:val="single" w:color="auto" w:sz="4" w:space="0"/>
                    <w:right w:val="single" w:color="auto" w:sz="4" w:space="0"/>
                  </w:tcBorders>
                  <w:shd w:val="clear" w:color="auto" w:fill="auto"/>
                  <w:vAlign w:val="center"/>
                </w:tcPr>
                <w:p w14:paraId="042CB6B9">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736" w:type="dxa"/>
                  <w:vMerge w:val="continue"/>
                  <w:tcBorders>
                    <w:top w:val="nil"/>
                    <w:left w:val="nil"/>
                    <w:bottom w:val="single" w:color="auto" w:sz="4" w:space="0"/>
                    <w:right w:val="single" w:color="auto" w:sz="4" w:space="0"/>
                  </w:tcBorders>
                  <w:shd w:val="clear" w:color="auto" w:fill="auto"/>
                  <w:vAlign w:val="center"/>
                </w:tcPr>
                <w:p w14:paraId="46AB51B9">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2ACF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3"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4D481A9E">
                  <w:pPr>
                    <w:keepNext w:val="0"/>
                    <w:keepLines w:val="0"/>
                    <w:widowControl/>
                    <w:suppressLineNumbers w:val="0"/>
                    <w:spacing w:before="0" w:beforeAutospacing="0" w:after="0" w:afterAutospacing="0" w:line="360" w:lineRule="exact"/>
                    <w:ind w:left="0" w:right="0"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w:t>
                  </w:r>
                </w:p>
              </w:tc>
              <w:tc>
                <w:tcPr>
                  <w:tcW w:w="1680" w:type="dxa"/>
                  <w:tcBorders>
                    <w:top w:val="single" w:color="auto" w:sz="4" w:space="0"/>
                    <w:left w:val="nil"/>
                    <w:bottom w:val="single" w:color="auto" w:sz="4" w:space="0"/>
                    <w:right w:val="single" w:color="auto" w:sz="4" w:space="0"/>
                  </w:tcBorders>
                  <w:shd w:val="clear" w:color="auto" w:fill="auto"/>
                  <w:vAlign w:val="center"/>
                </w:tcPr>
                <w:p w14:paraId="056B553A">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住院津贴</w:t>
                  </w:r>
                </w:p>
              </w:tc>
              <w:tc>
                <w:tcPr>
                  <w:tcW w:w="1906" w:type="dxa"/>
                  <w:tcBorders>
                    <w:top w:val="single" w:color="auto" w:sz="4" w:space="0"/>
                    <w:left w:val="nil"/>
                    <w:bottom w:val="single" w:color="auto" w:sz="4" w:space="0"/>
                    <w:right w:val="single" w:color="auto" w:sz="4" w:space="0"/>
                  </w:tcBorders>
                  <w:shd w:val="clear" w:color="auto" w:fill="auto"/>
                  <w:vAlign w:val="center"/>
                </w:tcPr>
                <w:p w14:paraId="7D0A8AA0">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详见具体要求第5点“意外、疾病住院护理定额给付保险责任”</w:t>
                  </w:r>
                </w:p>
              </w:tc>
              <w:tc>
                <w:tcPr>
                  <w:tcW w:w="665" w:type="dxa"/>
                  <w:vMerge w:val="continue"/>
                  <w:tcBorders>
                    <w:top w:val="nil"/>
                    <w:left w:val="nil"/>
                    <w:bottom w:val="single" w:color="auto" w:sz="4" w:space="0"/>
                    <w:right w:val="single" w:color="auto" w:sz="4" w:space="0"/>
                  </w:tcBorders>
                  <w:shd w:val="clear" w:color="auto" w:fill="auto"/>
                  <w:vAlign w:val="center"/>
                </w:tcPr>
                <w:p w14:paraId="6CD2ACD3">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736" w:type="dxa"/>
                  <w:vMerge w:val="continue"/>
                  <w:tcBorders>
                    <w:top w:val="nil"/>
                    <w:left w:val="nil"/>
                    <w:bottom w:val="single" w:color="auto" w:sz="4" w:space="0"/>
                    <w:right w:val="single" w:color="auto" w:sz="4" w:space="0"/>
                  </w:tcBorders>
                  <w:shd w:val="clear" w:color="auto" w:fill="auto"/>
                  <w:vAlign w:val="center"/>
                </w:tcPr>
                <w:p w14:paraId="3D0E9FED">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bl>
          <w:p w14:paraId="016E1ED2">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具体要求如下：</w:t>
            </w:r>
          </w:p>
          <w:p w14:paraId="03DCDE2A">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意外身故（保险金额5000元）：在本附加合同保险期间内，被保险人遭受意外伤害，并自该意外伤害发生之日起一百八十日内因该意外伤害导致身故的，中标人按该被保险人的保险金额给付身故保险金5000元，本合同对该被保险人的责任终止。</w:t>
            </w:r>
          </w:p>
          <w:p w14:paraId="00C9DC9A">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bidi="ar"/>
              </w:rPr>
              <w:t>2.</w:t>
            </w:r>
            <w:r>
              <w:rPr>
                <w:rFonts w:hint="eastAsia" w:ascii="宋体" w:hAnsi="宋体" w:eastAsia="宋体" w:cs="宋体"/>
                <w:color w:val="auto"/>
                <w:kern w:val="2"/>
                <w:sz w:val="21"/>
                <w:szCs w:val="21"/>
                <w:highlight w:val="none"/>
                <w:lang w:val="en-US" w:eastAsia="zh-CN" w:bidi="ar"/>
              </w:rPr>
              <w:t>疾病身故（保险金额5000元）：在本附加合同保险期间内，被保险人因疾病身故，中标人按该被保险人的保险金额给付身故保险金5000元，本合同对该被保险人的保险责任终止。</w:t>
            </w:r>
          </w:p>
          <w:p w14:paraId="2952A4EE">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val="en-US" w:eastAsia="zh-CN" w:bidi="ar"/>
              </w:rPr>
              <w:t>意外伤害住院费用补偿保障责任（保险金额10000元）</w:t>
            </w:r>
          </w:p>
          <w:p w14:paraId="61E41FF9">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在本附加合同保险期间内，被保险人遭受意外伤害在二级以上（含二级）医院或中标人认可的其他医疗机构住院诊疗，对被保险人实际支出的、符合当地社会基本医疗保险支付范围的住院医疗费用，按以下比例给付保险金：若被保险人参加公费医疗、社会医疗保险，给付比例为100%；若被保险人未参加公费医疗、社会医疗保险，免赔额为100元，给付比例为80%。被保险人多次住院的，中标人支付给被保险人的意外伤害住院费用补偿累计保险金额以10000元为限。保单期限届满被保险人治疗仍未结束的，中标人承担给付保险金责任的期限，自保单期限届满次日起至出院之日止，但最长不超过三十日；跨保单期限多次诊疗的，从保单期限后的由新的</w:t>
            </w:r>
            <w:r>
              <w:rPr>
                <w:rFonts w:hint="eastAsia" w:ascii="宋体" w:hAnsi="宋体" w:cs="宋体"/>
                <w:color w:val="auto"/>
                <w:kern w:val="2"/>
                <w:sz w:val="21"/>
                <w:szCs w:val="21"/>
                <w:highlight w:val="none"/>
                <w:lang w:val="en-US" w:eastAsia="zh-CN" w:bidi="ar"/>
              </w:rPr>
              <w:t>计划生育特殊家庭综合保险</w:t>
            </w:r>
            <w:r>
              <w:rPr>
                <w:rFonts w:hint="eastAsia" w:ascii="宋体" w:hAnsi="宋体" w:eastAsia="宋体" w:cs="宋体"/>
                <w:color w:val="auto"/>
                <w:kern w:val="2"/>
                <w:sz w:val="21"/>
                <w:szCs w:val="21"/>
                <w:highlight w:val="none"/>
                <w:lang w:val="en-US" w:eastAsia="zh-CN" w:bidi="ar"/>
              </w:rPr>
              <w:t>合同承保公司按新发生入院标准重新计算。</w:t>
            </w:r>
          </w:p>
          <w:p w14:paraId="762BE34C">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bidi="ar"/>
              </w:rPr>
              <w:t>4.</w:t>
            </w:r>
            <w:r>
              <w:rPr>
                <w:rFonts w:hint="eastAsia" w:ascii="宋体" w:hAnsi="宋体" w:eastAsia="宋体" w:cs="宋体"/>
                <w:color w:val="auto"/>
                <w:kern w:val="2"/>
                <w:sz w:val="21"/>
                <w:szCs w:val="21"/>
                <w:highlight w:val="none"/>
                <w:lang w:val="en-US" w:eastAsia="zh-CN" w:bidi="ar"/>
              </w:rPr>
              <w:t>因疾病住院治疗费用补偿（保险金额1500元）</w:t>
            </w:r>
          </w:p>
          <w:p w14:paraId="6F82DE37">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在本附加合同保险期间内，被保险人因疾病在二级以上（含二级）医院或中标人认可的其他医疗机构住院诊疗，对被保险人实际支出的、符合当地社会基本医疗保险支付范围的住院医疗费用，按以下比例给付保险金：若被保险人参加公费医疗、社会医疗保险，免赔额为2000元，超出免赔部分给付比例为10%，单次赔付的上限为500元；若被保险人未参加公费医疗、社会医疗保险，免赔额为2000元，超出免赔部分给付比例为6％，单次赔付的上限为500元。被保险人多次住院的，中标人支付给被保险人的疾病住院费用补偿累计保险金额以1500元为限。保险期间届满被保险人治疗仍未结束的，中标人承担给付保险金责任的期限，自保险期间届满次日起至出院之日止，但最长不超过三十日；跨保单期限多次诊疗的，从保单期限后的由新的</w:t>
            </w:r>
            <w:r>
              <w:rPr>
                <w:rFonts w:hint="eastAsia" w:ascii="宋体" w:hAnsi="宋体" w:cs="宋体"/>
                <w:color w:val="auto"/>
                <w:kern w:val="2"/>
                <w:sz w:val="21"/>
                <w:szCs w:val="21"/>
                <w:highlight w:val="none"/>
                <w:lang w:val="en-US" w:eastAsia="zh-CN" w:bidi="ar"/>
              </w:rPr>
              <w:t>计划生育特殊家庭综合保险</w:t>
            </w:r>
            <w:r>
              <w:rPr>
                <w:rFonts w:hint="eastAsia" w:ascii="宋体" w:hAnsi="宋体" w:eastAsia="宋体" w:cs="宋体"/>
                <w:color w:val="auto"/>
                <w:kern w:val="2"/>
                <w:sz w:val="21"/>
                <w:szCs w:val="21"/>
                <w:highlight w:val="none"/>
                <w:lang w:val="en-US" w:eastAsia="zh-CN" w:bidi="ar"/>
              </w:rPr>
              <w:t>合同承保公司按新发生入院标准重新计算。</w:t>
            </w:r>
          </w:p>
          <w:p w14:paraId="5852233E">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bidi="ar"/>
              </w:rPr>
              <w:t>5.</w:t>
            </w:r>
            <w:r>
              <w:rPr>
                <w:rFonts w:hint="eastAsia" w:ascii="宋体" w:hAnsi="宋体" w:eastAsia="宋体" w:cs="宋体"/>
                <w:color w:val="auto"/>
                <w:kern w:val="2"/>
                <w:sz w:val="21"/>
                <w:szCs w:val="21"/>
                <w:highlight w:val="none"/>
                <w:lang w:val="en-US" w:eastAsia="zh-CN" w:bidi="ar"/>
              </w:rPr>
              <w:t>意外、疾病住院护理定额给付保障责任</w:t>
            </w:r>
          </w:p>
          <w:p w14:paraId="15B27E4A">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在保险期间内，被保险人遭受意外伤害、因疾病在二级以上（含二级）医院或中标人认可的其他医疗机构住院诊疗，中标人按本合同约定的住院护理日定额给付金额乘以实际住院日数给付保险金，但对每次住院护理的给付日数以三十日为限。被保险人多次住院的，累计给付日数以九十日为限。保险期间届满被保险人治疗仍未结束的，中标人承担给付保险金责任的期限，自保险期间届满次日起至出院之日止，但最长不超过三十日。跨保单期限多次诊疗的，从保单期限后的由新的</w:t>
            </w:r>
            <w:r>
              <w:rPr>
                <w:rFonts w:hint="eastAsia" w:ascii="宋体" w:hAnsi="宋体" w:cs="宋体"/>
                <w:color w:val="auto"/>
                <w:kern w:val="2"/>
                <w:sz w:val="21"/>
                <w:szCs w:val="21"/>
                <w:highlight w:val="none"/>
                <w:lang w:val="en-US" w:eastAsia="zh-CN" w:bidi="ar"/>
              </w:rPr>
              <w:t>计划生育特殊家庭综合保险</w:t>
            </w:r>
            <w:r>
              <w:rPr>
                <w:rFonts w:hint="eastAsia" w:ascii="宋体" w:hAnsi="宋体" w:eastAsia="宋体" w:cs="宋体"/>
                <w:color w:val="auto"/>
                <w:kern w:val="2"/>
                <w:sz w:val="21"/>
                <w:szCs w:val="21"/>
                <w:highlight w:val="none"/>
                <w:lang w:val="en-US" w:eastAsia="zh-CN" w:bidi="ar"/>
              </w:rPr>
              <w:t>合同承保公司按新发生入院标准重新计算。按诊疗医院及护理级别理赔明细如下：</w:t>
            </w:r>
          </w:p>
          <w:p w14:paraId="3D1991DE">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tbl>
            <w:tblPr>
              <w:tblStyle w:val="39"/>
              <w:tblW w:w="0" w:type="auto"/>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41"/>
              <w:gridCol w:w="1596"/>
              <w:gridCol w:w="636"/>
              <w:gridCol w:w="2694"/>
            </w:tblGrid>
            <w:tr w14:paraId="12D9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9E0128">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医疗机构</w:t>
                  </w: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638CA25F">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护理级别</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227D404D">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给付金额</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32B0633">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给付期限</w:t>
                  </w:r>
                </w:p>
              </w:tc>
            </w:tr>
            <w:tr w14:paraId="26A6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5AF55F35">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三级、二级医院</w:t>
                  </w: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47741491">
                  <w:pPr>
                    <w:keepNext w:val="0"/>
                    <w:keepLines w:val="0"/>
                    <w:widowControl/>
                    <w:suppressLineNumbers w:val="0"/>
                    <w:spacing w:before="0" w:beforeAutospacing="0" w:after="0" w:afterAutospacing="0" w:line="360" w:lineRule="exact"/>
                    <w:ind w:left="0" w:right="0" w:firstLine="210" w:firstLineChars="100"/>
                    <w:jc w:val="left"/>
                    <w:rPr>
                      <w:rFonts w:hint="default"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eastAsia="zh-CN" w:bidi="ar"/>
                    </w:rPr>
                    <w:t>特级护理</w:t>
                  </w:r>
                  <w:r>
                    <w:rPr>
                      <w:rFonts w:hint="eastAsia" w:ascii="宋体" w:hAnsi="宋体" w:cs="宋体"/>
                      <w:color w:val="auto"/>
                      <w:kern w:val="2"/>
                      <w:sz w:val="21"/>
                      <w:szCs w:val="21"/>
                      <w:highlight w:val="none"/>
                      <w:vertAlign w:val="superscript"/>
                      <w:lang w:val="en-US" w:eastAsia="zh-CN" w:bidi="ar"/>
                    </w:rPr>
                    <w:t>①</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1221BF10">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190元/天</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46DDB80A">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每次住院护理的给付日数以三十日为限。被保险人多次住院的，累计给付日数以九十日为限。</w:t>
                  </w:r>
                </w:p>
                <w:p w14:paraId="14231F38">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汉仪书宋二S"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bidi="ar"/>
                    </w:rPr>
                    <w:t>注:</w:t>
                  </w:r>
                  <w:r>
                    <w:rPr>
                      <w:rFonts w:hint="eastAsia" w:ascii="汉仪书宋二S" w:hAnsi="汉仪书宋二S" w:eastAsia="汉仪书宋二S" w:cs="汉仪书宋二S"/>
                      <w:color w:val="auto"/>
                      <w:kern w:val="2"/>
                      <w:sz w:val="21"/>
                      <w:szCs w:val="21"/>
                      <w:highlight w:val="none"/>
                      <w:vertAlign w:val="superscript"/>
                      <w:lang w:val="en-US" w:eastAsia="zh-CN" w:bidi="ar"/>
                    </w:rPr>
                    <w:t>①②③</w:t>
                  </w:r>
                  <w:r>
                    <w:rPr>
                      <w:rFonts w:hint="eastAsia" w:ascii="汉仪书宋二S" w:hAnsi="汉仪书宋二S" w:eastAsia="汉仪书宋二S" w:cs="汉仪书宋二S"/>
                      <w:color w:val="auto"/>
                      <w:kern w:val="2"/>
                      <w:sz w:val="21"/>
                      <w:szCs w:val="21"/>
                      <w:highlight w:val="none"/>
                      <w:lang w:val="en-US" w:eastAsia="zh-CN" w:bidi="ar"/>
                    </w:rPr>
                    <w:t>项分档计分，每项报价加价幅度大于30元</w:t>
                  </w:r>
                  <w:r>
                    <w:rPr>
                      <w:rFonts w:hint="eastAsia" w:ascii="宋体" w:hAnsi="宋体" w:eastAsia="宋体" w:cs="宋体"/>
                      <w:color w:val="auto"/>
                      <w:kern w:val="2"/>
                      <w:sz w:val="21"/>
                      <w:szCs w:val="21"/>
                      <w:highlight w:val="none"/>
                      <w:lang w:val="en-US" w:eastAsia="zh-CN" w:bidi="ar"/>
                    </w:rPr>
                    <w:t>/</w:t>
                  </w:r>
                  <w:r>
                    <w:rPr>
                      <w:rFonts w:hint="eastAsia" w:ascii="汉仪书宋二S" w:hAnsi="汉仪书宋二S" w:eastAsia="汉仪书宋二S" w:cs="汉仪书宋二S"/>
                      <w:color w:val="auto"/>
                      <w:kern w:val="2"/>
                      <w:sz w:val="21"/>
                      <w:szCs w:val="21"/>
                      <w:highlight w:val="none"/>
                      <w:lang w:val="en-US" w:eastAsia="zh-CN" w:bidi="ar"/>
                    </w:rPr>
                    <w:t>天部分，不另外增加给分，具体详见</w:t>
                  </w:r>
                  <w:r>
                    <w:rPr>
                      <w:rFonts w:hint="eastAsia" w:ascii="汉仪书宋二S" w:hAnsi="汉仪书宋二S" w:eastAsia="汉仪书宋二S" w:cs="汉仪书宋二S"/>
                      <w:color w:val="auto"/>
                      <w:szCs w:val="21"/>
                      <w:highlight w:val="none"/>
                      <w:lang w:bidi="ar"/>
                    </w:rPr>
                    <w:t>评分标准（综合评分法）</w:t>
                  </w:r>
                  <w:r>
                    <w:rPr>
                      <w:rFonts w:hint="eastAsia" w:ascii="汉仪书宋二S" w:hAnsi="汉仪书宋二S" w:eastAsia="汉仪书宋二S" w:cs="汉仪书宋二S"/>
                      <w:color w:val="auto"/>
                      <w:szCs w:val="21"/>
                      <w:highlight w:val="none"/>
                      <w:lang w:eastAsia="zh-CN" w:bidi="ar"/>
                    </w:rPr>
                    <w:t>，</w:t>
                  </w:r>
                  <w:r>
                    <w:rPr>
                      <w:rFonts w:hint="eastAsia" w:ascii="宋体" w:hAnsi="宋体" w:eastAsia="宋体" w:cs="宋体"/>
                      <w:color w:val="auto"/>
                      <w:kern w:val="2"/>
                      <w:sz w:val="21"/>
                      <w:szCs w:val="21"/>
                      <w:highlight w:val="none"/>
                      <w:lang w:val="en-US" w:eastAsia="zh-CN" w:bidi="ar"/>
                    </w:rPr>
                    <w:t>三级医院的三级护理</w:t>
                  </w:r>
                  <w:r>
                    <w:rPr>
                      <w:rFonts w:hint="eastAsia" w:ascii="宋体" w:hAnsi="宋体" w:cs="宋体"/>
                      <w:color w:val="auto"/>
                      <w:kern w:val="2"/>
                      <w:sz w:val="21"/>
                      <w:szCs w:val="21"/>
                      <w:highlight w:val="none"/>
                      <w:lang w:val="en-US" w:eastAsia="zh-CN" w:bidi="ar"/>
                    </w:rPr>
                    <w:t>不能缺项，否则投标无效</w:t>
                  </w:r>
                  <w:r>
                    <w:rPr>
                      <w:rFonts w:hint="eastAsia" w:ascii="汉仪书宋二S" w:hAnsi="汉仪书宋二S" w:eastAsia="汉仪书宋二S" w:cs="汉仪书宋二S"/>
                      <w:color w:val="auto"/>
                      <w:szCs w:val="21"/>
                      <w:highlight w:val="none"/>
                      <w:lang w:eastAsia="zh-CN" w:bidi="ar"/>
                    </w:rPr>
                    <w:t>。</w:t>
                  </w:r>
                </w:p>
              </w:tc>
            </w:tr>
            <w:tr w14:paraId="010C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83"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561B5178">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32628C61">
                  <w:pPr>
                    <w:keepNext w:val="0"/>
                    <w:keepLines w:val="0"/>
                    <w:widowControl/>
                    <w:suppressLineNumbers w:val="0"/>
                    <w:spacing w:before="0" w:beforeAutospacing="0" w:after="0" w:afterAutospacing="0" w:line="360" w:lineRule="exact"/>
                    <w:ind w:left="0" w:right="0" w:firstLine="210" w:firstLineChars="1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一级、二级护理</w:t>
                  </w:r>
                  <w:r>
                    <w:rPr>
                      <w:rFonts w:hint="eastAsia" w:ascii="汉仪书宋二S" w:hAnsi="汉仪书宋二S" w:eastAsia="汉仪书宋二S" w:cs="汉仪书宋二S"/>
                      <w:color w:val="auto"/>
                      <w:kern w:val="2"/>
                      <w:sz w:val="21"/>
                      <w:szCs w:val="21"/>
                      <w:highlight w:val="none"/>
                      <w:vertAlign w:val="superscript"/>
                      <w:lang w:val="en-US" w:eastAsia="zh-CN" w:bidi="ar"/>
                    </w:rPr>
                    <w:t>②</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7395BA1B">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150元/天</w:t>
                  </w: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5C50957">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3369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5" w:hRule="atLeast"/>
              </w:trPr>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21A835EA">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三级、二级医院</w:t>
                  </w: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209E36EB">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三级医院的三级护理</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0665A068">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50元/天</w:t>
                  </w: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39A392E">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3122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0"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EBC1BBD">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0642EF03">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二级医院三级护理</w:t>
                  </w:r>
                  <w:r>
                    <w:rPr>
                      <w:rFonts w:hint="eastAsia" w:ascii="汉仪书宋二S" w:hAnsi="汉仪书宋二S" w:eastAsia="汉仪书宋二S" w:cs="汉仪书宋二S"/>
                      <w:color w:val="auto"/>
                      <w:kern w:val="2"/>
                      <w:sz w:val="21"/>
                      <w:szCs w:val="21"/>
                      <w:highlight w:val="none"/>
                      <w:vertAlign w:val="superscript"/>
                      <w:lang w:val="en-US" w:eastAsia="zh-CN" w:bidi="ar"/>
                    </w:rPr>
                    <w:t>③</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07A8E330">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50元/天</w:t>
                  </w: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13C1765">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69AA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5" w:hRule="atLeast"/>
              </w:trPr>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6EA4BCEB">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北上广深就医</w:t>
                  </w: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5890A345">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特级、一级、二级护理</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53617A34">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300元/天</w:t>
                  </w: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49C9A327">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03AF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4"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830D4B7">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2A1F71CA">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三级护理</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5097E5A0">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100元/天</w:t>
                  </w: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69B17812">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bl>
          <w:p w14:paraId="781BC3C4">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（三）本项目为政策性保险，除了以下规定的情形，本项目保险责任可免除外，投标人不得以任何理由或条件设立保险责任免除条款：</w:t>
            </w:r>
          </w:p>
          <w:p w14:paraId="7F1256DB">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1.因下列情形之一，造成被保险人身故的，保险机构不负给付身故保险金责任：</w:t>
            </w:r>
          </w:p>
          <w:p w14:paraId="730BF607">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（1）受益人对被保险人的故意伤害、杀害；</w:t>
            </w:r>
          </w:p>
          <w:p w14:paraId="36086519">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（2）被保险人故意犯罪或拒捕；</w:t>
            </w:r>
          </w:p>
          <w:p w14:paraId="0FC98040">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（3）被保险人自杀、故意自伤但被保险人自杀或故意自伤时为无民事行为能力人的除外；</w:t>
            </w:r>
          </w:p>
          <w:p w14:paraId="5D91C1C0">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（4）战争、军事冲突、暴乱或武装叛乱导致身故；</w:t>
            </w:r>
          </w:p>
          <w:p w14:paraId="179363E9">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（5）核爆炸、核辐射或核污染导致身故。</w:t>
            </w:r>
          </w:p>
          <w:p w14:paraId="6AFC035F">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2.因下列情形之一，造成被保险人支出医疗费用的，保险机构不负给付医疗保险金责任：</w:t>
            </w:r>
          </w:p>
          <w:p w14:paraId="4050EC8E">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（1）上述责任免除条款所列情形；</w:t>
            </w:r>
          </w:p>
          <w:p w14:paraId="0AC69D71">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（2）被保险人健康护理等非治疗性行为；</w:t>
            </w:r>
          </w:p>
          <w:p w14:paraId="648F8A92">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（3）被保险人以家庭病床、挂床治疗等；</w:t>
            </w:r>
          </w:p>
          <w:p w14:paraId="375C8283">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（4）被保险人洗牙、洁齿、验光、装配假眼、假牙、假肢或助听器等。</w:t>
            </w:r>
          </w:p>
          <w:p w14:paraId="42DFF6A8">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（四）需要明确的几种特殊情况：</w:t>
            </w:r>
          </w:p>
          <w:p w14:paraId="6B81285E">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1.保险期限内多次同一情形报保的同一被保险人，该项累计最高赔偿金额不得超过保险金额。</w:t>
            </w:r>
          </w:p>
          <w:p w14:paraId="38402659">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2.被保险人因疾病、意外多次入院治疗的，跨保</w:t>
            </w:r>
            <w:r>
              <w:rPr>
                <w:rFonts w:hint="eastAsia" w:ascii="宋体" w:hAnsi="宋体" w:cs="宋体"/>
                <w:color w:val="auto"/>
                <w:kern w:val="2"/>
                <w:sz w:val="21"/>
                <w:szCs w:val="21"/>
                <w:highlight w:val="none"/>
                <w:lang w:val="en-US" w:eastAsia="zh-CN" w:bidi="ar"/>
              </w:rPr>
              <w:t>保单期限多次</w:t>
            </w:r>
            <w:r>
              <w:rPr>
                <w:rFonts w:hint="eastAsia" w:ascii="宋体" w:hAnsi="宋体" w:eastAsia="宋体" w:cs="宋体"/>
                <w:color w:val="auto"/>
                <w:kern w:val="2"/>
                <w:sz w:val="21"/>
                <w:szCs w:val="21"/>
                <w:highlight w:val="none"/>
                <w:lang w:val="en-US" w:eastAsia="zh-CN" w:bidi="ar"/>
              </w:rPr>
              <w:t>治疗时，</w:t>
            </w:r>
            <w:r>
              <w:rPr>
                <w:rFonts w:hint="eastAsia" w:ascii="宋体" w:hAnsi="宋体" w:cs="宋体"/>
                <w:color w:val="auto"/>
                <w:kern w:val="2"/>
                <w:sz w:val="21"/>
                <w:szCs w:val="21"/>
                <w:highlight w:val="none"/>
                <w:lang w:val="en-US" w:eastAsia="zh-CN" w:bidi="ar"/>
              </w:rPr>
              <w:t>除按合同约定未如期出院的按约定延期计算的三十天外，后续的入院治疗</w:t>
            </w:r>
            <w:r>
              <w:rPr>
                <w:rFonts w:hint="eastAsia" w:ascii="宋体" w:hAnsi="宋体" w:eastAsia="宋体" w:cs="宋体"/>
                <w:color w:val="auto"/>
                <w:kern w:val="2"/>
                <w:sz w:val="21"/>
                <w:szCs w:val="21"/>
                <w:highlight w:val="none"/>
                <w:lang w:val="en-US" w:eastAsia="zh-CN" w:bidi="ar"/>
              </w:rPr>
              <w:t>由当期中标的保险公司按新入院标准理赔。一次不满24小时的住院治疗，中标人按一天计住院护理定额赔付。</w:t>
            </w:r>
          </w:p>
          <w:p w14:paraId="7F76D866">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3.本项目保险对象由采购人提供，其相关政策的解释权在广西壮族自治区计划生育协会。中标人必须按照采购人提供的名单完成投保事宜，不得拒保、拒赔。</w:t>
            </w:r>
          </w:p>
          <w:p w14:paraId="38793CEC">
            <w:pPr>
              <w:keepNext w:val="0"/>
              <w:keepLines w:val="0"/>
              <w:widowControl/>
              <w:suppressLineNumbers w:val="0"/>
              <w:spacing w:before="0" w:beforeAutospacing="0" w:after="0" w:afterAutospacing="0" w:line="360"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五、特别约定</w:t>
            </w:r>
          </w:p>
          <w:p w14:paraId="36ECF173">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一）中标人必须与采购人按照中标合同共同制定相关的管理制度，并接受采购人的督查、调查核实承保保险的真实性、有效性。全区计划生育特殊家庭保险执行统一赔偿标准和流程，中标人在广西境内各市理赔中心、县（市、区）支公司或乡镇区域营业部（点）是理赔工作的执行单位，不得以保险对象的年龄、性别等差异以及所在地域经济条件好坏为由，设置不同赔偿标准。</w:t>
            </w:r>
          </w:p>
          <w:p w14:paraId="4ACCFF1C">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（二）中标人接到理赔申请后，对资料齐全、无须作特别调查的，应即时给予赔付；重大赔付需核实的</w:t>
            </w:r>
            <w:r>
              <w:rPr>
                <w:rFonts w:hint="eastAsia" w:ascii="宋体" w:hAnsi="宋体" w:cs="宋体"/>
                <w:color w:val="auto"/>
                <w:kern w:val="2"/>
                <w:sz w:val="21"/>
                <w:szCs w:val="21"/>
                <w:highlight w:val="none"/>
                <w:lang w:val="en-US" w:eastAsia="zh-CN" w:bidi="ar"/>
              </w:rPr>
              <w:t>或</w:t>
            </w:r>
            <w:r>
              <w:rPr>
                <w:rFonts w:hint="eastAsia" w:ascii="宋体" w:hAnsi="宋体" w:eastAsia="宋体" w:cs="宋体"/>
                <w:color w:val="auto"/>
                <w:kern w:val="2"/>
                <w:sz w:val="21"/>
                <w:szCs w:val="21"/>
                <w:highlight w:val="none"/>
                <w:lang w:val="en-US" w:eastAsia="zh-CN" w:bidi="ar"/>
              </w:rPr>
              <w:t>疑难情况需要进一步调查的，应在不超过15个工作日内给予赔付。</w:t>
            </w:r>
          </w:p>
          <w:p w14:paraId="47F1BA02">
            <w:pPr>
              <w:keepNext w:val="0"/>
              <w:keepLines w:val="0"/>
              <w:widowControl/>
              <w:suppressLineNumbers w:val="0"/>
              <w:spacing w:before="0" w:beforeAutospacing="0" w:after="0" w:afterAutospacing="0" w:line="360"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六、保险单签发</w:t>
            </w:r>
          </w:p>
          <w:p w14:paraId="430FF616">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广西计划生育特殊家庭综合保险由自治区计划生育协会与中标人共同签订统一保险协议书，中标人及其分支机构为承保公司。中标人在收到参保材料后的5天内必须向被保险人交付保险单和保险证明，并确保保险证明及时发放给被保险人，并由被保险人持有。</w:t>
            </w:r>
          </w:p>
          <w:p w14:paraId="6C1C2F7D">
            <w:pPr>
              <w:keepNext w:val="0"/>
              <w:keepLines w:val="0"/>
              <w:widowControl/>
              <w:suppressLineNumbers w:val="0"/>
              <w:spacing w:before="0" w:beforeAutospacing="0" w:after="0" w:afterAutospacing="0" w:line="360"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七、保险费支付</w:t>
            </w:r>
          </w:p>
          <w:p w14:paraId="7F9B248E">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中标后，根据双方核定的实际参保人数，由自治区计划生育协会按合同约定一次性结算给中标人。</w:t>
            </w:r>
          </w:p>
        </w:tc>
        <w:tc>
          <w:tcPr>
            <w:tcW w:w="1408" w:type="dxa"/>
            <w:tcBorders>
              <w:top w:val="single" w:color="auto" w:sz="4" w:space="0"/>
              <w:left w:val="single" w:color="auto" w:sz="4" w:space="0"/>
              <w:right w:val="single" w:color="auto" w:sz="4" w:space="0"/>
            </w:tcBorders>
            <w:noWrap w:val="0"/>
            <w:vAlign w:val="center"/>
          </w:tcPr>
          <w:p w14:paraId="4FF00B29">
            <w:pPr>
              <w:keepNext w:val="0"/>
              <w:keepLines w:val="0"/>
              <w:suppressLineNumbers w:val="0"/>
              <w:spacing w:before="0" w:beforeAutospacing="0" w:after="0" w:afterAutospacing="0" w:line="360" w:lineRule="exact"/>
              <w:ind w:left="0" w:right="0"/>
              <w:jc w:val="center"/>
              <w:rPr>
                <w:rFonts w:hint="eastAsia" w:ascii="宋体" w:hAnsi="宋体"/>
                <w:color w:val="auto"/>
                <w:szCs w:val="21"/>
                <w:highlight w:val="none"/>
              </w:rPr>
            </w:pPr>
            <w:r>
              <w:rPr>
                <w:rFonts w:hint="eastAsia" w:ascii="宋体" w:hAnsi="宋体"/>
                <w:color w:val="auto"/>
                <w:szCs w:val="21"/>
                <w:highlight w:val="none"/>
              </w:rPr>
              <w:t>金融业</w:t>
            </w:r>
          </w:p>
        </w:tc>
      </w:tr>
      <w:tr w14:paraId="4BC257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635" w:type="dxa"/>
            <w:tcBorders>
              <w:top w:val="single" w:color="auto" w:sz="4" w:space="0"/>
              <w:left w:val="single" w:color="auto" w:sz="4" w:space="0"/>
              <w:bottom w:val="single" w:color="auto" w:sz="4" w:space="0"/>
              <w:right w:val="single" w:color="auto" w:sz="4" w:space="0"/>
            </w:tcBorders>
            <w:noWrap w:val="0"/>
            <w:vAlign w:val="center"/>
          </w:tcPr>
          <w:p w14:paraId="3D341A02">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商务条款</w:t>
            </w:r>
          </w:p>
        </w:tc>
        <w:tc>
          <w:tcPr>
            <w:tcW w:w="9136" w:type="dxa"/>
            <w:gridSpan w:val="5"/>
            <w:tcBorders>
              <w:top w:val="single" w:color="auto" w:sz="4" w:space="0"/>
              <w:left w:val="single" w:color="auto" w:sz="4" w:space="0"/>
              <w:bottom w:val="single" w:color="auto" w:sz="4" w:space="0"/>
              <w:right w:val="single" w:color="auto" w:sz="4" w:space="0"/>
            </w:tcBorders>
            <w:noWrap w:val="0"/>
            <w:vAlign w:val="top"/>
          </w:tcPr>
          <w:p w14:paraId="6C9F1827">
            <w:pPr>
              <w:keepNext w:val="0"/>
              <w:keepLines w:val="0"/>
              <w:widowControl/>
              <w:suppressLineNumbers w:val="0"/>
              <w:tabs>
                <w:tab w:val="left" w:pos="1440"/>
              </w:tabs>
              <w:spacing w:before="0" w:beforeAutospacing="0" w:after="0" w:afterAutospacing="0" w:line="360" w:lineRule="exact"/>
              <w:ind w:left="0" w:right="0"/>
              <w:jc w:val="left"/>
              <w:rPr>
                <w:rFonts w:hint="default" w:ascii="宋体" w:hAnsi="宋体" w:cs="Arial"/>
                <w:bCs/>
                <w:color w:val="auto"/>
                <w:kern w:val="0"/>
                <w:szCs w:val="21"/>
                <w:highlight w:val="none"/>
              </w:rPr>
            </w:pPr>
            <w:r>
              <w:rPr>
                <w:rFonts w:hint="eastAsia" w:ascii="宋体" w:hAnsi="宋体" w:cs="Arial"/>
                <w:bCs/>
                <w:color w:val="auto"/>
                <w:kern w:val="0"/>
                <w:szCs w:val="21"/>
                <w:highlight w:val="none"/>
                <w:lang w:eastAsia="zh-CN"/>
              </w:rPr>
              <w:t>1.</w:t>
            </w:r>
            <w:r>
              <w:rPr>
                <w:rFonts w:hint="eastAsia" w:ascii="宋体" w:hAnsi="宋体" w:cs="Arial"/>
                <w:bCs/>
                <w:color w:val="auto"/>
                <w:kern w:val="0"/>
                <w:szCs w:val="21"/>
                <w:highlight w:val="none"/>
              </w:rPr>
              <w:t>服务期限及服务地点：</w:t>
            </w:r>
          </w:p>
          <w:p w14:paraId="566D7253">
            <w:pPr>
              <w:keepNext w:val="0"/>
              <w:keepLines w:val="0"/>
              <w:suppressLineNumbers w:val="0"/>
              <w:spacing w:before="0" w:beforeAutospacing="0" w:after="0" w:afterAutospacing="0" w:line="360" w:lineRule="exact"/>
              <w:ind w:left="0" w:right="0" w:firstLine="0" w:firstLineChars="0"/>
              <w:jc w:val="left"/>
              <w:rPr>
                <w:rFonts w:hint="eastAsia" w:ascii="宋体" w:hAnsi="宋体" w:cs="宋体"/>
                <w:b w:val="0"/>
                <w:bCs w:val="0"/>
                <w:color w:val="auto"/>
                <w:szCs w:val="21"/>
                <w:highlight w:val="none"/>
              </w:rPr>
            </w:pPr>
            <w:r>
              <w:rPr>
                <w:rFonts w:hint="eastAsia" w:ascii="宋体" w:hAnsi="宋体" w:cs="Arial"/>
                <w:bCs/>
                <w:color w:val="auto"/>
                <w:kern w:val="0"/>
                <w:szCs w:val="21"/>
                <w:highlight w:val="none"/>
              </w:rPr>
              <w:t>（1）服务期限：</w:t>
            </w:r>
            <w:r>
              <w:rPr>
                <w:rFonts w:hint="eastAsia" w:ascii="宋体" w:hAnsi="宋体" w:cs="宋体"/>
                <w:b w:val="0"/>
                <w:bCs w:val="0"/>
                <w:color w:val="auto"/>
                <w:szCs w:val="21"/>
                <w:highlight w:val="none"/>
                <w:lang w:val="en-US" w:eastAsia="zh-CN"/>
              </w:rPr>
              <w:t>①</w:t>
            </w:r>
            <w:r>
              <w:rPr>
                <w:rFonts w:hint="eastAsia" w:ascii="宋体" w:hAnsi="宋体" w:cs="宋体"/>
                <w:b w:val="0"/>
                <w:bCs w:val="0"/>
                <w:color w:val="auto"/>
                <w:szCs w:val="21"/>
                <w:highlight w:val="none"/>
              </w:rPr>
              <w:t>中标人将获得保险期限为1年的计划生育特殊家庭综合保险项目，保险期限为自2026年9月1日零时起至2027年8月31日24时止。</w:t>
            </w:r>
          </w:p>
          <w:p w14:paraId="1FB0C36C">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cs="Arial"/>
                <w:bCs/>
                <w:color w:val="auto"/>
                <w:kern w:val="0"/>
                <w:szCs w:val="21"/>
                <w:highlight w:val="none"/>
              </w:rPr>
            </w:pPr>
            <w:r>
              <w:rPr>
                <w:rFonts w:hint="eastAsia" w:ascii="宋体" w:hAnsi="宋体" w:cs="宋体"/>
                <w:b w:val="0"/>
                <w:bCs w:val="0"/>
                <w:color w:val="auto"/>
                <w:szCs w:val="21"/>
                <w:highlight w:val="none"/>
                <w:lang w:val="en-US" w:eastAsia="zh-CN"/>
              </w:rPr>
              <w:t>②</w:t>
            </w:r>
            <w:r>
              <w:rPr>
                <w:rFonts w:hint="eastAsia" w:ascii="宋体" w:hAnsi="宋体" w:cs="宋体"/>
                <w:b w:val="0"/>
                <w:bCs w:val="0"/>
                <w:color w:val="auto"/>
                <w:szCs w:val="21"/>
                <w:highlight w:val="none"/>
              </w:rPr>
              <w:t>投标人一旦中标，将追溯保险合同效力为2026年9月1日零时。</w:t>
            </w:r>
          </w:p>
          <w:p w14:paraId="492430DE">
            <w:pPr>
              <w:keepNext w:val="0"/>
              <w:keepLines w:val="0"/>
              <w:widowControl/>
              <w:suppressLineNumbers w:val="0"/>
              <w:tabs>
                <w:tab w:val="left" w:pos="1440"/>
              </w:tabs>
              <w:spacing w:before="0" w:beforeAutospacing="0" w:after="0" w:afterAutospacing="0" w:line="360" w:lineRule="exact"/>
              <w:ind w:left="0" w:right="0"/>
              <w:jc w:val="left"/>
              <w:rPr>
                <w:rFonts w:hint="default" w:ascii="宋体" w:hAnsi="宋体" w:cs="Arial"/>
                <w:bCs/>
                <w:color w:val="auto"/>
                <w:kern w:val="0"/>
                <w:szCs w:val="21"/>
                <w:highlight w:val="none"/>
              </w:rPr>
            </w:pPr>
            <w:r>
              <w:rPr>
                <w:rFonts w:hint="eastAsia" w:ascii="宋体" w:hAnsi="宋体" w:cs="Arial"/>
                <w:bCs/>
                <w:color w:val="auto"/>
                <w:kern w:val="0"/>
                <w:szCs w:val="21"/>
                <w:highlight w:val="none"/>
              </w:rPr>
              <w:t>（2）服务地点：广西区内采购人指定地点。</w:t>
            </w:r>
          </w:p>
          <w:p w14:paraId="7D95E686">
            <w:pPr>
              <w:keepNext w:val="0"/>
              <w:keepLines w:val="0"/>
              <w:widowControl/>
              <w:suppressLineNumbers w:val="0"/>
              <w:tabs>
                <w:tab w:val="left" w:pos="1440"/>
              </w:tabs>
              <w:spacing w:before="0" w:beforeAutospacing="0" w:after="0" w:afterAutospacing="0" w:line="360" w:lineRule="exact"/>
              <w:ind w:left="0" w:right="0"/>
              <w:jc w:val="left"/>
              <w:rPr>
                <w:rFonts w:hint="eastAsia" w:ascii="宋体" w:hAnsi="宋体" w:cs="Arial"/>
                <w:bCs/>
                <w:color w:val="auto"/>
                <w:kern w:val="0"/>
                <w:szCs w:val="21"/>
                <w:highlight w:val="none"/>
              </w:rPr>
            </w:pPr>
            <w:r>
              <w:rPr>
                <w:rFonts w:hint="eastAsia" w:ascii="宋体" w:hAnsi="宋体" w:cs="Arial"/>
                <w:bCs/>
                <w:color w:val="auto"/>
                <w:kern w:val="0"/>
                <w:szCs w:val="21"/>
                <w:highlight w:val="none"/>
              </w:rPr>
              <w:t>（3）合同签订时间：自中标通知书发出之日起25日内</w:t>
            </w:r>
          </w:p>
          <w:p w14:paraId="44EA85A1">
            <w:pPr>
              <w:keepNext w:val="0"/>
              <w:keepLines w:val="0"/>
              <w:widowControl/>
              <w:suppressLineNumbers w:val="0"/>
              <w:tabs>
                <w:tab w:val="left" w:pos="1440"/>
              </w:tabs>
              <w:spacing w:before="0" w:beforeAutospacing="0" w:after="0" w:afterAutospacing="0" w:line="360" w:lineRule="exact"/>
              <w:ind w:left="0" w:right="0"/>
              <w:jc w:val="left"/>
              <w:rPr>
                <w:rFonts w:hint="default" w:ascii="宋体" w:hAnsi="宋体" w:cs="Arial"/>
                <w:bCs/>
                <w:color w:val="auto"/>
                <w:kern w:val="0"/>
                <w:szCs w:val="21"/>
                <w:highlight w:val="none"/>
              </w:rPr>
            </w:pPr>
            <w:r>
              <w:rPr>
                <w:rFonts w:hint="eastAsia" w:ascii="宋体" w:hAnsi="宋体" w:cs="Arial"/>
                <w:bCs/>
                <w:color w:val="auto"/>
                <w:kern w:val="0"/>
                <w:szCs w:val="21"/>
                <w:highlight w:val="none"/>
                <w:lang w:eastAsia="zh-CN"/>
              </w:rPr>
              <w:t>2.</w:t>
            </w:r>
            <w:r>
              <w:rPr>
                <w:rFonts w:hint="eastAsia" w:ascii="宋体" w:hAnsi="宋体" w:cs="Arial"/>
                <w:bCs/>
                <w:color w:val="auto"/>
                <w:kern w:val="0"/>
                <w:szCs w:val="21"/>
                <w:highlight w:val="none"/>
              </w:rPr>
              <w:t xml:space="preserve">付款条件：自治区本级财政保险费资金由自治区计划生育协会一次性支付给中标人。 </w:t>
            </w:r>
          </w:p>
          <w:p w14:paraId="4B1C9F6F">
            <w:pPr>
              <w:keepNext w:val="0"/>
              <w:keepLines w:val="0"/>
              <w:suppressLineNumbers w:val="0"/>
              <w:topLinePunct/>
              <w:snapToGrid w:val="0"/>
              <w:spacing w:before="0" w:beforeAutospacing="0" w:after="0" w:afterAutospacing="0" w:line="36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 xml:space="preserve">报价要求：（1）保险费用；（2）服务的价格和各项税金；（3）其他（如技术支持、售后服务等所有相关费用等） </w:t>
            </w:r>
          </w:p>
          <w:p w14:paraId="2E721785">
            <w:pPr>
              <w:keepNext w:val="0"/>
              <w:keepLines w:val="0"/>
              <w:suppressLineNumbers w:val="0"/>
              <w:topLinePunct/>
              <w:snapToGrid w:val="0"/>
              <w:spacing w:before="0" w:beforeAutospacing="0" w:after="0" w:afterAutospacing="0" w:line="36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cs="宋体"/>
                <w:color w:val="auto"/>
                <w:szCs w:val="21"/>
                <w:highlight w:val="none"/>
              </w:rPr>
              <w:t>处理出险问题响应时间：接到出险报案后1 小时内做出回应并提出处理方案。</w:t>
            </w:r>
          </w:p>
          <w:p w14:paraId="39362B69">
            <w:pPr>
              <w:keepNext w:val="0"/>
              <w:keepLines w:val="0"/>
              <w:suppressLineNumbers w:val="0"/>
              <w:topLinePunct/>
              <w:snapToGrid w:val="0"/>
              <w:spacing w:before="0" w:beforeAutospacing="0" w:after="0" w:afterAutospacing="0" w:line="36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cs="宋体"/>
                <w:color w:val="auto"/>
                <w:szCs w:val="21"/>
                <w:highlight w:val="none"/>
              </w:rPr>
              <w:t>合同履约验收要求：中标人</w:t>
            </w:r>
            <w:r>
              <w:rPr>
                <w:rFonts w:hint="eastAsia" w:ascii="宋体" w:hAnsi="宋体" w:cs="宋体"/>
                <w:color w:val="auto"/>
                <w:szCs w:val="21"/>
                <w:highlight w:val="none"/>
                <w:lang w:val="en-US" w:eastAsia="zh-CN"/>
              </w:rPr>
              <w:t>对</w:t>
            </w:r>
            <w:r>
              <w:rPr>
                <w:rFonts w:hint="eastAsia" w:ascii="宋体" w:hAnsi="宋体" w:cs="宋体"/>
                <w:color w:val="auto"/>
                <w:szCs w:val="21"/>
                <w:highlight w:val="none"/>
              </w:rPr>
              <w:t>本项目有保密义务，保密协议另行签订。在服务期内</w:t>
            </w:r>
            <w:r>
              <w:rPr>
                <w:rFonts w:hint="eastAsia" w:ascii="宋体" w:hAnsi="宋体" w:cs="宋体"/>
                <w:color w:val="auto"/>
                <w:szCs w:val="21"/>
                <w:highlight w:val="none"/>
                <w:lang w:eastAsia="zh-CN"/>
              </w:rPr>
              <w:t>每月</w:t>
            </w:r>
            <w:r>
              <w:rPr>
                <w:rFonts w:hint="eastAsia" w:ascii="宋体" w:hAnsi="宋体" w:cs="宋体"/>
                <w:color w:val="auto"/>
                <w:szCs w:val="21"/>
                <w:highlight w:val="none"/>
              </w:rPr>
              <w:t>将理赔情况报采购人，合同期结束，对接单、理赔、投诉处理等履约情况进行验收，如中标人有违约的情形，以合同约定条款要求为准，扣除相应比例违约金。</w:t>
            </w:r>
            <w:r>
              <w:rPr>
                <w:rFonts w:hint="eastAsia" w:ascii="宋体" w:hAnsi="宋体" w:cs="宋体"/>
                <w:color w:val="auto"/>
                <w:szCs w:val="21"/>
                <w:highlight w:val="none"/>
                <w:lang w:eastAsia="zh-CN"/>
              </w:rPr>
              <w:t>非保函形式提交履约保证金的</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无违约情形的无息退回履约保证金。</w:t>
            </w:r>
          </w:p>
          <w:p w14:paraId="1C85BF5D">
            <w:pPr>
              <w:keepNext w:val="0"/>
              <w:keepLines w:val="0"/>
              <w:suppressLineNumbers w:val="0"/>
              <w:topLinePunct/>
              <w:snapToGrid w:val="0"/>
              <w:spacing w:before="0" w:beforeAutospacing="0" w:after="0" w:afterAutospacing="0" w:line="36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w:t>
            </w:r>
            <w:r>
              <w:rPr>
                <w:rFonts w:hint="eastAsia" w:ascii="宋体" w:hAnsi="宋体" w:cs="宋体"/>
                <w:color w:val="auto"/>
                <w:szCs w:val="21"/>
                <w:highlight w:val="none"/>
              </w:rPr>
              <w:t>其他要求：如有请提供与采购内容相关的基本方案、承保方案、理赔服务、增值服务及和评标办法有关的资料。</w:t>
            </w:r>
          </w:p>
        </w:tc>
      </w:tr>
      <w:tr w14:paraId="1A6E1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8" w:hRule="atLeast"/>
          <w:jc w:val="center"/>
        </w:trPr>
        <w:tc>
          <w:tcPr>
            <w:tcW w:w="635" w:type="dxa"/>
            <w:tcBorders>
              <w:top w:val="single" w:color="auto" w:sz="4" w:space="0"/>
              <w:left w:val="single" w:color="auto" w:sz="4" w:space="0"/>
              <w:bottom w:val="single" w:color="auto" w:sz="4" w:space="0"/>
              <w:right w:val="single" w:color="auto" w:sz="4" w:space="0"/>
            </w:tcBorders>
            <w:noWrap w:val="0"/>
            <w:vAlign w:val="center"/>
          </w:tcPr>
          <w:p w14:paraId="4A4E9E72">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其他说明</w:t>
            </w:r>
          </w:p>
        </w:tc>
        <w:tc>
          <w:tcPr>
            <w:tcW w:w="9136" w:type="dxa"/>
            <w:gridSpan w:val="5"/>
            <w:tcBorders>
              <w:top w:val="single" w:color="auto" w:sz="4" w:space="0"/>
              <w:left w:val="single" w:color="auto" w:sz="4" w:space="0"/>
              <w:bottom w:val="single" w:color="auto" w:sz="4" w:space="0"/>
              <w:right w:val="single" w:color="auto" w:sz="4" w:space="0"/>
            </w:tcBorders>
            <w:noWrap w:val="0"/>
            <w:vAlign w:val="center"/>
          </w:tcPr>
          <w:p w14:paraId="397E5F51">
            <w:pPr>
              <w:keepNext w:val="0"/>
              <w:keepLines w:val="0"/>
              <w:suppressLineNumbers w:val="0"/>
              <w:spacing w:before="0" w:beforeAutospacing="0" w:after="0" w:afterAutospacing="0" w:line="360" w:lineRule="exact"/>
              <w:ind w:left="0" w:right="0"/>
              <w:jc w:val="both"/>
              <w:rPr>
                <w:rFonts w:hint="eastAsia" w:ascii="宋体" w:hAnsi="宋体" w:cs="宋体"/>
                <w:color w:val="auto"/>
                <w:szCs w:val="21"/>
                <w:highlight w:val="none"/>
              </w:rPr>
            </w:pPr>
            <w:r>
              <w:rPr>
                <w:rFonts w:hint="eastAsia" w:ascii="宋体" w:hAnsi="宋体" w:cs="宋体"/>
                <w:color w:val="auto"/>
                <w:szCs w:val="21"/>
                <w:highlight w:val="none"/>
              </w:rPr>
              <w:t>如有请提供与采购内容相关的基本方案、承保方案、理赔服务、增值服务、保险培训、保险业务管理规章制度、</w:t>
            </w:r>
            <w:r>
              <w:rPr>
                <w:rFonts w:hint="eastAsia" w:ascii="宋体" w:hAnsi="宋体" w:cs="宋体"/>
                <w:color w:val="auto"/>
                <w:szCs w:val="21"/>
                <w:highlight w:val="none"/>
                <w:lang w:eastAsia="zh-CN"/>
              </w:rPr>
              <w:t>经营网点</w:t>
            </w:r>
            <w:r>
              <w:rPr>
                <w:rFonts w:hint="eastAsia" w:ascii="宋体" w:hAnsi="宋体" w:cs="宋体"/>
                <w:color w:val="auto"/>
                <w:szCs w:val="21"/>
                <w:highlight w:val="none"/>
              </w:rPr>
              <w:t>、综合能力等相关资料。</w:t>
            </w:r>
          </w:p>
        </w:tc>
      </w:tr>
    </w:tbl>
    <w:p w14:paraId="32CA8DC2">
      <w:pPr>
        <w:rPr>
          <w:rFonts w:hint="eastAsia" w:ascii="宋体" w:hAnsi="宋体" w:cs="宋体"/>
          <w:color w:val="auto"/>
          <w:highlight w:val="none"/>
        </w:rPr>
      </w:pPr>
      <w:r>
        <w:rPr>
          <w:rFonts w:ascii="Calibri" w:hAnsi="Calibri"/>
          <w:color w:val="auto"/>
          <w:szCs w:val="22"/>
          <w:highlight w:val="none"/>
        </w:rPr>
        <w:br w:type="page"/>
      </w:r>
      <w:r>
        <w:rPr>
          <w:rFonts w:hint="eastAsia" w:ascii="宋体" w:hAnsi="宋体" w:cs="宋体"/>
          <w:b/>
          <w:bCs/>
          <w:color w:val="auto"/>
          <w:sz w:val="40"/>
          <w:szCs w:val="48"/>
          <w:highlight w:val="none"/>
        </w:rPr>
        <w:t>附件：</w:t>
      </w:r>
    </w:p>
    <w:p w14:paraId="7FB74905">
      <w:pPr>
        <w:spacing w:line="528" w:lineRule="exact"/>
        <w:ind w:left="11" w:hanging="11"/>
        <w:jc w:val="center"/>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39"/>
        <w:tblW w:w="9476" w:type="dxa"/>
        <w:jc w:val="center"/>
        <w:tblLayout w:type="fixed"/>
        <w:tblCellMar>
          <w:top w:w="0" w:type="dxa"/>
          <w:left w:w="108" w:type="dxa"/>
          <w:bottom w:w="0" w:type="dxa"/>
          <w:right w:w="108" w:type="dxa"/>
        </w:tblCellMar>
      </w:tblPr>
      <w:tblGrid>
        <w:gridCol w:w="2020"/>
        <w:gridCol w:w="1642"/>
        <w:gridCol w:w="1084"/>
        <w:gridCol w:w="1923"/>
        <w:gridCol w:w="1709"/>
        <w:gridCol w:w="1098"/>
      </w:tblGrid>
      <w:tr w14:paraId="0E68BA33">
        <w:tblPrEx>
          <w:tblCellMar>
            <w:top w:w="0" w:type="dxa"/>
            <w:left w:w="108" w:type="dxa"/>
            <w:bottom w:w="0" w:type="dxa"/>
            <w:right w:w="108" w:type="dxa"/>
          </w:tblCellMar>
        </w:tblPrEx>
        <w:trPr>
          <w:trHeight w:val="661" w:hRule="atLeast"/>
          <w:jc w:val="center"/>
        </w:trPr>
        <w:tc>
          <w:tcPr>
            <w:tcW w:w="2020" w:type="dxa"/>
            <w:tcBorders>
              <w:top w:val="single" w:color="auto" w:sz="4" w:space="0"/>
              <w:left w:val="single" w:color="auto" w:sz="4" w:space="0"/>
              <w:bottom w:val="single" w:color="auto" w:sz="4" w:space="0"/>
              <w:right w:val="single" w:color="auto" w:sz="4" w:space="0"/>
            </w:tcBorders>
            <w:noWrap w:val="0"/>
            <w:vAlign w:val="center"/>
          </w:tcPr>
          <w:p w14:paraId="448836C2">
            <w:pPr>
              <w:keepNext w:val="0"/>
              <w:keepLines w:val="0"/>
              <w:widowControl/>
              <w:suppressLineNumbers w:val="0"/>
              <w:spacing w:before="0" w:beforeAutospacing="0" w:after="0" w:afterAutospacing="0"/>
              <w:ind w:left="0" w:right="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行业名称</w:t>
            </w:r>
          </w:p>
        </w:tc>
        <w:tc>
          <w:tcPr>
            <w:tcW w:w="1642" w:type="dxa"/>
            <w:tcBorders>
              <w:top w:val="single" w:color="auto" w:sz="4" w:space="0"/>
              <w:left w:val="nil"/>
              <w:bottom w:val="single" w:color="auto" w:sz="4" w:space="0"/>
              <w:right w:val="single" w:color="auto" w:sz="4" w:space="0"/>
            </w:tcBorders>
            <w:noWrap w:val="0"/>
            <w:vAlign w:val="center"/>
          </w:tcPr>
          <w:p w14:paraId="1020946F">
            <w:pPr>
              <w:keepNext w:val="0"/>
              <w:keepLines w:val="0"/>
              <w:widowControl/>
              <w:suppressLineNumbers w:val="0"/>
              <w:spacing w:before="0" w:beforeAutospacing="0" w:after="0" w:afterAutospacing="0"/>
              <w:ind w:left="0" w:right="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指标名称</w:t>
            </w:r>
          </w:p>
        </w:tc>
        <w:tc>
          <w:tcPr>
            <w:tcW w:w="1084" w:type="dxa"/>
            <w:tcBorders>
              <w:top w:val="single" w:color="auto" w:sz="4" w:space="0"/>
              <w:left w:val="nil"/>
              <w:bottom w:val="single" w:color="auto" w:sz="4" w:space="0"/>
              <w:right w:val="single" w:color="auto" w:sz="4" w:space="0"/>
            </w:tcBorders>
            <w:noWrap w:val="0"/>
            <w:vAlign w:val="center"/>
          </w:tcPr>
          <w:p w14:paraId="2AEBBB89">
            <w:pPr>
              <w:keepNext w:val="0"/>
              <w:keepLines w:val="0"/>
              <w:widowControl/>
              <w:suppressLineNumbers w:val="0"/>
              <w:spacing w:before="0" w:beforeAutospacing="0" w:after="0" w:afterAutospacing="0"/>
              <w:ind w:left="0" w:right="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计量单位</w:t>
            </w:r>
          </w:p>
        </w:tc>
        <w:tc>
          <w:tcPr>
            <w:tcW w:w="1923" w:type="dxa"/>
            <w:tcBorders>
              <w:top w:val="single" w:color="auto" w:sz="4" w:space="0"/>
              <w:left w:val="nil"/>
              <w:bottom w:val="single" w:color="auto" w:sz="4" w:space="0"/>
              <w:right w:val="single" w:color="auto" w:sz="4" w:space="0"/>
            </w:tcBorders>
            <w:noWrap w:val="0"/>
            <w:vAlign w:val="center"/>
          </w:tcPr>
          <w:p w14:paraId="07CAEE75">
            <w:pPr>
              <w:keepNext w:val="0"/>
              <w:keepLines w:val="0"/>
              <w:widowControl/>
              <w:suppressLineNumbers w:val="0"/>
              <w:spacing w:before="0" w:beforeAutospacing="0" w:after="0" w:afterAutospacing="0"/>
              <w:ind w:left="0" w:right="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5B67A631">
            <w:pPr>
              <w:keepNext w:val="0"/>
              <w:keepLines w:val="0"/>
              <w:widowControl/>
              <w:suppressLineNumbers w:val="0"/>
              <w:spacing w:before="0" w:beforeAutospacing="0" w:after="0" w:afterAutospacing="0"/>
              <w:ind w:left="0" w:right="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小型</w:t>
            </w:r>
          </w:p>
        </w:tc>
        <w:tc>
          <w:tcPr>
            <w:tcW w:w="1098" w:type="dxa"/>
            <w:tcBorders>
              <w:top w:val="single" w:color="auto" w:sz="4" w:space="0"/>
              <w:left w:val="nil"/>
              <w:bottom w:val="single" w:color="auto" w:sz="4" w:space="0"/>
              <w:right w:val="single" w:color="auto" w:sz="4" w:space="0"/>
            </w:tcBorders>
            <w:noWrap w:val="0"/>
            <w:vAlign w:val="center"/>
          </w:tcPr>
          <w:p w14:paraId="608758F4">
            <w:pPr>
              <w:keepNext w:val="0"/>
              <w:keepLines w:val="0"/>
              <w:widowControl/>
              <w:suppressLineNumbers w:val="0"/>
              <w:spacing w:before="0" w:beforeAutospacing="0" w:after="0" w:afterAutospacing="0"/>
              <w:ind w:left="0" w:right="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微型</w:t>
            </w:r>
          </w:p>
        </w:tc>
      </w:tr>
      <w:tr w14:paraId="2541BC75">
        <w:tblPrEx>
          <w:tblCellMar>
            <w:top w:w="0" w:type="dxa"/>
            <w:left w:w="108" w:type="dxa"/>
            <w:bottom w:w="0" w:type="dxa"/>
            <w:right w:w="108" w:type="dxa"/>
          </w:tblCellMar>
        </w:tblPrEx>
        <w:trPr>
          <w:trHeight w:val="336" w:hRule="atLeast"/>
          <w:jc w:val="center"/>
        </w:trPr>
        <w:tc>
          <w:tcPr>
            <w:tcW w:w="2020" w:type="dxa"/>
            <w:tcBorders>
              <w:top w:val="nil"/>
              <w:left w:val="single" w:color="auto" w:sz="4" w:space="0"/>
              <w:bottom w:val="single" w:color="auto" w:sz="4" w:space="0"/>
              <w:right w:val="single" w:color="auto" w:sz="4" w:space="0"/>
            </w:tcBorders>
            <w:noWrap w:val="0"/>
            <w:vAlign w:val="bottom"/>
          </w:tcPr>
          <w:p w14:paraId="118AD8CD">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642" w:type="dxa"/>
            <w:tcBorders>
              <w:top w:val="nil"/>
              <w:left w:val="nil"/>
              <w:bottom w:val="single" w:color="auto" w:sz="4" w:space="0"/>
              <w:right w:val="single" w:color="auto" w:sz="4" w:space="0"/>
            </w:tcBorders>
            <w:noWrap w:val="0"/>
            <w:vAlign w:val="center"/>
          </w:tcPr>
          <w:p w14:paraId="77C7980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1E600AE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6F76ED5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70EC2C4B">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50≤Y＜500</w:t>
            </w:r>
          </w:p>
        </w:tc>
        <w:tc>
          <w:tcPr>
            <w:tcW w:w="1098" w:type="dxa"/>
            <w:tcBorders>
              <w:top w:val="nil"/>
              <w:left w:val="nil"/>
              <w:bottom w:val="single" w:color="auto" w:sz="4" w:space="0"/>
              <w:right w:val="single" w:color="auto" w:sz="4" w:space="0"/>
            </w:tcBorders>
            <w:noWrap w:val="0"/>
            <w:vAlign w:val="center"/>
          </w:tcPr>
          <w:p w14:paraId="33A8273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6F4A95E2">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748F5DAC">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642" w:type="dxa"/>
            <w:tcBorders>
              <w:top w:val="nil"/>
              <w:left w:val="nil"/>
              <w:bottom w:val="single" w:color="auto" w:sz="4" w:space="0"/>
              <w:right w:val="single" w:color="auto" w:sz="4" w:space="0"/>
            </w:tcBorders>
            <w:noWrap w:val="0"/>
            <w:vAlign w:val="center"/>
          </w:tcPr>
          <w:p w14:paraId="10E0CC3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5EE9C7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09BEFD5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4E85FDC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4A2AED7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49CEC2D3">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2174B441">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B31EC2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AFADCF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429681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709" w:type="dxa"/>
            <w:tcBorders>
              <w:top w:val="nil"/>
              <w:left w:val="nil"/>
              <w:bottom w:val="single" w:color="auto" w:sz="4" w:space="0"/>
              <w:right w:val="single" w:color="auto" w:sz="4" w:space="0"/>
            </w:tcBorders>
            <w:noWrap w:val="0"/>
            <w:vAlign w:val="center"/>
          </w:tcPr>
          <w:p w14:paraId="202FDC5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1098" w:type="dxa"/>
            <w:tcBorders>
              <w:top w:val="nil"/>
              <w:left w:val="nil"/>
              <w:bottom w:val="single" w:color="auto" w:sz="4" w:space="0"/>
              <w:right w:val="single" w:color="auto" w:sz="4" w:space="0"/>
            </w:tcBorders>
            <w:noWrap w:val="0"/>
            <w:vAlign w:val="center"/>
          </w:tcPr>
          <w:p w14:paraId="4618B0A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6DAD7C89">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0A86F9DD">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642" w:type="dxa"/>
            <w:tcBorders>
              <w:top w:val="nil"/>
              <w:left w:val="nil"/>
              <w:bottom w:val="single" w:color="auto" w:sz="4" w:space="0"/>
              <w:right w:val="single" w:color="auto" w:sz="4" w:space="0"/>
            </w:tcBorders>
            <w:noWrap w:val="0"/>
            <w:vAlign w:val="center"/>
          </w:tcPr>
          <w:p w14:paraId="1A69AD5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463E74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28691C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709" w:type="dxa"/>
            <w:tcBorders>
              <w:top w:val="nil"/>
              <w:left w:val="nil"/>
              <w:bottom w:val="single" w:color="auto" w:sz="4" w:space="0"/>
              <w:right w:val="single" w:color="auto" w:sz="4" w:space="0"/>
            </w:tcBorders>
            <w:noWrap w:val="0"/>
            <w:vAlign w:val="center"/>
          </w:tcPr>
          <w:p w14:paraId="461CEA0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1098" w:type="dxa"/>
            <w:tcBorders>
              <w:top w:val="nil"/>
              <w:left w:val="nil"/>
              <w:bottom w:val="single" w:color="auto" w:sz="4" w:space="0"/>
              <w:right w:val="single" w:color="auto" w:sz="4" w:space="0"/>
            </w:tcBorders>
            <w:noWrap w:val="0"/>
            <w:vAlign w:val="center"/>
          </w:tcPr>
          <w:p w14:paraId="44094891">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1FF11925">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6FF40EC1">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50CC48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130F5C8B">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C80619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709" w:type="dxa"/>
            <w:tcBorders>
              <w:top w:val="nil"/>
              <w:left w:val="nil"/>
              <w:bottom w:val="single" w:color="auto" w:sz="4" w:space="0"/>
              <w:right w:val="single" w:color="auto" w:sz="4" w:space="0"/>
            </w:tcBorders>
            <w:noWrap w:val="0"/>
            <w:vAlign w:val="center"/>
          </w:tcPr>
          <w:p w14:paraId="34A2AE3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1098" w:type="dxa"/>
            <w:tcBorders>
              <w:top w:val="nil"/>
              <w:left w:val="nil"/>
              <w:bottom w:val="single" w:color="auto" w:sz="4" w:space="0"/>
              <w:right w:val="single" w:color="auto" w:sz="4" w:space="0"/>
            </w:tcBorders>
            <w:noWrap w:val="0"/>
            <w:vAlign w:val="center"/>
          </w:tcPr>
          <w:p w14:paraId="005AFD3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Z＜300</w:t>
            </w:r>
          </w:p>
        </w:tc>
      </w:tr>
      <w:tr w14:paraId="0E943D04">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4A729C84">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642" w:type="dxa"/>
            <w:tcBorders>
              <w:top w:val="nil"/>
              <w:left w:val="nil"/>
              <w:bottom w:val="single" w:color="auto" w:sz="4" w:space="0"/>
              <w:right w:val="single" w:color="auto" w:sz="4" w:space="0"/>
            </w:tcBorders>
            <w:noWrap w:val="0"/>
            <w:vAlign w:val="center"/>
          </w:tcPr>
          <w:p w14:paraId="35D51BC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977487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E1D1E3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20≤X＜200</w:t>
            </w:r>
          </w:p>
        </w:tc>
        <w:tc>
          <w:tcPr>
            <w:tcW w:w="1709" w:type="dxa"/>
            <w:tcBorders>
              <w:top w:val="nil"/>
              <w:left w:val="nil"/>
              <w:bottom w:val="single" w:color="auto" w:sz="4" w:space="0"/>
              <w:right w:val="single" w:color="auto" w:sz="4" w:space="0"/>
            </w:tcBorders>
            <w:noWrap w:val="0"/>
            <w:vAlign w:val="center"/>
          </w:tcPr>
          <w:p w14:paraId="1F13A13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5≤X＜20</w:t>
            </w:r>
          </w:p>
        </w:tc>
        <w:tc>
          <w:tcPr>
            <w:tcW w:w="1098" w:type="dxa"/>
            <w:tcBorders>
              <w:top w:val="nil"/>
              <w:left w:val="nil"/>
              <w:bottom w:val="single" w:color="auto" w:sz="4" w:space="0"/>
              <w:right w:val="single" w:color="auto" w:sz="4" w:space="0"/>
            </w:tcBorders>
            <w:noWrap w:val="0"/>
            <w:vAlign w:val="center"/>
          </w:tcPr>
          <w:p w14:paraId="5CFF7C8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X＜5</w:t>
            </w:r>
          </w:p>
        </w:tc>
      </w:tr>
      <w:tr w14:paraId="1F3E08D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62663978">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CCDBC5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159B9F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C28355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709" w:type="dxa"/>
            <w:tcBorders>
              <w:top w:val="nil"/>
              <w:left w:val="nil"/>
              <w:bottom w:val="single" w:color="auto" w:sz="4" w:space="0"/>
              <w:right w:val="single" w:color="auto" w:sz="4" w:space="0"/>
            </w:tcBorders>
            <w:noWrap w:val="0"/>
            <w:vAlign w:val="center"/>
          </w:tcPr>
          <w:p w14:paraId="168408E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098" w:type="dxa"/>
            <w:tcBorders>
              <w:top w:val="nil"/>
              <w:left w:val="nil"/>
              <w:bottom w:val="single" w:color="auto" w:sz="4" w:space="0"/>
              <w:right w:val="single" w:color="auto" w:sz="4" w:space="0"/>
            </w:tcBorders>
            <w:noWrap w:val="0"/>
            <w:vAlign w:val="center"/>
          </w:tcPr>
          <w:p w14:paraId="0D1D47D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Y＜1000</w:t>
            </w:r>
          </w:p>
        </w:tc>
      </w:tr>
      <w:tr w14:paraId="11F48A09">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4CD27628">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642" w:type="dxa"/>
            <w:tcBorders>
              <w:top w:val="nil"/>
              <w:left w:val="nil"/>
              <w:bottom w:val="single" w:color="auto" w:sz="4" w:space="0"/>
              <w:right w:val="single" w:color="auto" w:sz="4" w:space="0"/>
            </w:tcBorders>
            <w:noWrap w:val="0"/>
            <w:vAlign w:val="center"/>
          </w:tcPr>
          <w:p w14:paraId="0874B60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C76A51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F76482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50≤X＜300</w:t>
            </w:r>
          </w:p>
        </w:tc>
        <w:tc>
          <w:tcPr>
            <w:tcW w:w="1709" w:type="dxa"/>
            <w:tcBorders>
              <w:top w:val="nil"/>
              <w:left w:val="nil"/>
              <w:bottom w:val="single" w:color="auto" w:sz="4" w:space="0"/>
              <w:right w:val="single" w:color="auto" w:sz="4" w:space="0"/>
            </w:tcBorders>
            <w:noWrap w:val="0"/>
            <w:vAlign w:val="center"/>
          </w:tcPr>
          <w:p w14:paraId="51348D9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10≤X＜50</w:t>
            </w:r>
          </w:p>
        </w:tc>
        <w:tc>
          <w:tcPr>
            <w:tcW w:w="1098" w:type="dxa"/>
            <w:tcBorders>
              <w:top w:val="nil"/>
              <w:left w:val="nil"/>
              <w:bottom w:val="single" w:color="auto" w:sz="4" w:space="0"/>
              <w:right w:val="single" w:color="auto" w:sz="4" w:space="0"/>
            </w:tcBorders>
            <w:noWrap w:val="0"/>
            <w:vAlign w:val="center"/>
          </w:tcPr>
          <w:p w14:paraId="1002D60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356366A1">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45164169">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6FC8C2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DD1320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C9D735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6BDB734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100≤Y＜500</w:t>
            </w:r>
          </w:p>
        </w:tc>
        <w:tc>
          <w:tcPr>
            <w:tcW w:w="1098" w:type="dxa"/>
            <w:tcBorders>
              <w:top w:val="nil"/>
              <w:left w:val="nil"/>
              <w:bottom w:val="single" w:color="auto" w:sz="4" w:space="0"/>
              <w:right w:val="single" w:color="auto" w:sz="4" w:space="0"/>
            </w:tcBorders>
            <w:noWrap w:val="0"/>
            <w:vAlign w:val="center"/>
          </w:tcPr>
          <w:p w14:paraId="0517496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334038B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31A46B1E">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642" w:type="dxa"/>
            <w:tcBorders>
              <w:top w:val="nil"/>
              <w:left w:val="nil"/>
              <w:bottom w:val="single" w:color="auto" w:sz="4" w:space="0"/>
              <w:right w:val="single" w:color="auto" w:sz="4" w:space="0"/>
            </w:tcBorders>
            <w:noWrap w:val="0"/>
            <w:vAlign w:val="center"/>
          </w:tcPr>
          <w:p w14:paraId="502AFE3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4126BF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8AD032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2310AA2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29B532F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1A561B90">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7E56E09A">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73764A4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552565A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63F16F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709" w:type="dxa"/>
            <w:tcBorders>
              <w:top w:val="nil"/>
              <w:left w:val="nil"/>
              <w:bottom w:val="single" w:color="auto" w:sz="4" w:space="0"/>
              <w:right w:val="single" w:color="auto" w:sz="4" w:space="0"/>
            </w:tcBorders>
            <w:noWrap w:val="0"/>
            <w:vAlign w:val="center"/>
          </w:tcPr>
          <w:p w14:paraId="77CEFA6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1098" w:type="dxa"/>
            <w:tcBorders>
              <w:top w:val="nil"/>
              <w:left w:val="nil"/>
              <w:bottom w:val="single" w:color="auto" w:sz="4" w:space="0"/>
              <w:right w:val="single" w:color="auto" w:sz="4" w:space="0"/>
            </w:tcBorders>
            <w:noWrap w:val="0"/>
            <w:vAlign w:val="center"/>
          </w:tcPr>
          <w:p w14:paraId="38F339E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w:t>
            </w:r>
          </w:p>
        </w:tc>
      </w:tr>
      <w:tr w14:paraId="25163C04">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246D4B5C">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642" w:type="dxa"/>
            <w:tcBorders>
              <w:top w:val="nil"/>
              <w:left w:val="nil"/>
              <w:bottom w:val="single" w:color="auto" w:sz="4" w:space="0"/>
              <w:right w:val="single" w:color="auto" w:sz="4" w:space="0"/>
            </w:tcBorders>
            <w:noWrap w:val="0"/>
            <w:vAlign w:val="center"/>
          </w:tcPr>
          <w:p w14:paraId="3AF5F39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A1B883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A366C0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w:t>
            </w:r>
          </w:p>
        </w:tc>
        <w:tc>
          <w:tcPr>
            <w:tcW w:w="1709" w:type="dxa"/>
            <w:tcBorders>
              <w:top w:val="nil"/>
              <w:left w:val="nil"/>
              <w:bottom w:val="single" w:color="auto" w:sz="4" w:space="0"/>
              <w:right w:val="single" w:color="auto" w:sz="4" w:space="0"/>
            </w:tcBorders>
            <w:noWrap w:val="0"/>
            <w:vAlign w:val="center"/>
          </w:tcPr>
          <w:p w14:paraId="7D527C1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20≤X＜100</w:t>
            </w:r>
          </w:p>
        </w:tc>
        <w:tc>
          <w:tcPr>
            <w:tcW w:w="1098" w:type="dxa"/>
            <w:tcBorders>
              <w:top w:val="nil"/>
              <w:left w:val="nil"/>
              <w:bottom w:val="single" w:color="auto" w:sz="4" w:space="0"/>
              <w:right w:val="single" w:color="auto" w:sz="4" w:space="0"/>
            </w:tcBorders>
            <w:noWrap w:val="0"/>
            <w:vAlign w:val="center"/>
          </w:tcPr>
          <w:p w14:paraId="282DF43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51AAFC02">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7A66666">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DF10F7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0C042E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54D16B5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709" w:type="dxa"/>
            <w:tcBorders>
              <w:top w:val="nil"/>
              <w:left w:val="nil"/>
              <w:bottom w:val="single" w:color="auto" w:sz="4" w:space="0"/>
              <w:right w:val="single" w:color="auto" w:sz="4" w:space="0"/>
            </w:tcBorders>
            <w:noWrap w:val="0"/>
            <w:vAlign w:val="center"/>
          </w:tcPr>
          <w:p w14:paraId="59AAA9C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098" w:type="dxa"/>
            <w:tcBorders>
              <w:top w:val="nil"/>
              <w:left w:val="nil"/>
              <w:bottom w:val="single" w:color="auto" w:sz="4" w:space="0"/>
              <w:right w:val="single" w:color="auto" w:sz="4" w:space="0"/>
            </w:tcBorders>
            <w:noWrap w:val="0"/>
            <w:vAlign w:val="center"/>
          </w:tcPr>
          <w:p w14:paraId="686C749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59AE9B15">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199DAC3F">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642" w:type="dxa"/>
            <w:tcBorders>
              <w:top w:val="nil"/>
              <w:left w:val="nil"/>
              <w:bottom w:val="single" w:color="auto" w:sz="4" w:space="0"/>
              <w:right w:val="single" w:color="auto" w:sz="4" w:space="0"/>
            </w:tcBorders>
            <w:noWrap w:val="0"/>
            <w:vAlign w:val="center"/>
          </w:tcPr>
          <w:p w14:paraId="60139D6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5CF1FC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081D249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705B318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63D3F8C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5B2935E3">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6AB90AE3">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2207CDE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7C1845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CA1F47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709" w:type="dxa"/>
            <w:tcBorders>
              <w:top w:val="nil"/>
              <w:left w:val="nil"/>
              <w:bottom w:val="single" w:color="auto" w:sz="4" w:space="0"/>
              <w:right w:val="single" w:color="auto" w:sz="4" w:space="0"/>
            </w:tcBorders>
            <w:noWrap w:val="0"/>
            <w:vAlign w:val="center"/>
          </w:tcPr>
          <w:p w14:paraId="4B53F58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634444E1">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670F3A9E">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35E84A07">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642" w:type="dxa"/>
            <w:tcBorders>
              <w:top w:val="nil"/>
              <w:left w:val="nil"/>
              <w:bottom w:val="single" w:color="auto" w:sz="4" w:space="0"/>
              <w:right w:val="single" w:color="auto" w:sz="4" w:space="0"/>
            </w:tcBorders>
            <w:noWrap w:val="0"/>
            <w:vAlign w:val="center"/>
          </w:tcPr>
          <w:p w14:paraId="60746AE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79CC5A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EC17E4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64BEA86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50AB0C7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0632BBD2">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68F0A07">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25ED00A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7CA93B8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4AA7C72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1EE3DA6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7CCFC16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836F2F4">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4EE1B489">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642" w:type="dxa"/>
            <w:tcBorders>
              <w:top w:val="nil"/>
              <w:left w:val="nil"/>
              <w:bottom w:val="single" w:color="auto" w:sz="4" w:space="0"/>
              <w:right w:val="single" w:color="auto" w:sz="4" w:space="0"/>
            </w:tcBorders>
            <w:noWrap w:val="0"/>
            <w:vAlign w:val="center"/>
          </w:tcPr>
          <w:p w14:paraId="09544D3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F4844A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65B2EC0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60603C1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7BBEA6C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143B114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5DB242EF">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67EE78C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57DB2AB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A9B022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1F61787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38D4A72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03FF88EE">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23C052CA">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642" w:type="dxa"/>
            <w:tcBorders>
              <w:top w:val="nil"/>
              <w:left w:val="nil"/>
              <w:bottom w:val="single" w:color="auto" w:sz="4" w:space="0"/>
              <w:right w:val="single" w:color="auto" w:sz="4" w:space="0"/>
            </w:tcBorders>
            <w:noWrap w:val="0"/>
            <w:vAlign w:val="center"/>
          </w:tcPr>
          <w:p w14:paraId="67416AE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063F9E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20456A3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1709" w:type="dxa"/>
            <w:tcBorders>
              <w:top w:val="nil"/>
              <w:left w:val="nil"/>
              <w:bottom w:val="single" w:color="auto" w:sz="4" w:space="0"/>
              <w:right w:val="single" w:color="auto" w:sz="4" w:space="0"/>
            </w:tcBorders>
            <w:noWrap w:val="0"/>
            <w:vAlign w:val="center"/>
          </w:tcPr>
          <w:p w14:paraId="3B5C15F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25558EC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61736BB5">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191E1543">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B3A043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54E4FC1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4DDFCD1">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709" w:type="dxa"/>
            <w:tcBorders>
              <w:top w:val="nil"/>
              <w:left w:val="nil"/>
              <w:bottom w:val="single" w:color="auto" w:sz="4" w:space="0"/>
              <w:right w:val="single" w:color="auto" w:sz="4" w:space="0"/>
            </w:tcBorders>
            <w:noWrap w:val="0"/>
            <w:vAlign w:val="center"/>
          </w:tcPr>
          <w:p w14:paraId="7890885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098" w:type="dxa"/>
            <w:tcBorders>
              <w:top w:val="nil"/>
              <w:left w:val="nil"/>
              <w:bottom w:val="single" w:color="auto" w:sz="4" w:space="0"/>
              <w:right w:val="single" w:color="auto" w:sz="4" w:space="0"/>
            </w:tcBorders>
            <w:noWrap w:val="0"/>
            <w:vAlign w:val="center"/>
          </w:tcPr>
          <w:p w14:paraId="40EBD30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7FE56A5B">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E23B36E">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642" w:type="dxa"/>
            <w:tcBorders>
              <w:top w:val="nil"/>
              <w:left w:val="nil"/>
              <w:bottom w:val="single" w:color="auto" w:sz="4" w:space="0"/>
              <w:right w:val="single" w:color="auto" w:sz="4" w:space="0"/>
            </w:tcBorders>
            <w:noWrap w:val="0"/>
            <w:vAlign w:val="center"/>
          </w:tcPr>
          <w:p w14:paraId="3E0633C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074080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ADA963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6D66E8A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402A3DC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33F6C0E2">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6CA039E9">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6378F7D1">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64F747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93CBD8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709" w:type="dxa"/>
            <w:tcBorders>
              <w:top w:val="nil"/>
              <w:left w:val="nil"/>
              <w:bottom w:val="single" w:color="auto" w:sz="4" w:space="0"/>
              <w:right w:val="single" w:color="auto" w:sz="4" w:space="0"/>
            </w:tcBorders>
            <w:noWrap w:val="0"/>
            <w:vAlign w:val="center"/>
          </w:tcPr>
          <w:p w14:paraId="35B01B5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50≤Y＜1000</w:t>
            </w:r>
          </w:p>
        </w:tc>
        <w:tc>
          <w:tcPr>
            <w:tcW w:w="1098" w:type="dxa"/>
            <w:tcBorders>
              <w:top w:val="nil"/>
              <w:left w:val="nil"/>
              <w:bottom w:val="single" w:color="auto" w:sz="4" w:space="0"/>
              <w:right w:val="single" w:color="auto" w:sz="4" w:space="0"/>
            </w:tcBorders>
            <w:noWrap w:val="0"/>
            <w:vAlign w:val="center"/>
          </w:tcPr>
          <w:p w14:paraId="538FF3F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389DDE06">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344A985C">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642" w:type="dxa"/>
            <w:tcBorders>
              <w:top w:val="nil"/>
              <w:left w:val="nil"/>
              <w:bottom w:val="single" w:color="auto" w:sz="4" w:space="0"/>
              <w:right w:val="single" w:color="auto" w:sz="4" w:space="0"/>
            </w:tcBorders>
            <w:noWrap w:val="0"/>
            <w:vAlign w:val="center"/>
          </w:tcPr>
          <w:p w14:paraId="7637BC4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9199F0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9A6D03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709" w:type="dxa"/>
            <w:tcBorders>
              <w:top w:val="nil"/>
              <w:left w:val="nil"/>
              <w:bottom w:val="single" w:color="auto" w:sz="4" w:space="0"/>
              <w:right w:val="single" w:color="auto" w:sz="4" w:space="0"/>
            </w:tcBorders>
            <w:noWrap w:val="0"/>
            <w:vAlign w:val="center"/>
          </w:tcPr>
          <w:p w14:paraId="429F15E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1098" w:type="dxa"/>
            <w:tcBorders>
              <w:top w:val="nil"/>
              <w:left w:val="nil"/>
              <w:bottom w:val="single" w:color="auto" w:sz="4" w:space="0"/>
              <w:right w:val="single" w:color="auto" w:sz="4" w:space="0"/>
            </w:tcBorders>
            <w:noWrap w:val="0"/>
            <w:vAlign w:val="center"/>
          </w:tcPr>
          <w:p w14:paraId="1F1B330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3C22F3F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6359FFE7">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BC990C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600A1C5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AAD34C1">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709" w:type="dxa"/>
            <w:tcBorders>
              <w:top w:val="nil"/>
              <w:left w:val="nil"/>
              <w:bottom w:val="single" w:color="auto" w:sz="4" w:space="0"/>
              <w:right w:val="single" w:color="auto" w:sz="4" w:space="0"/>
            </w:tcBorders>
            <w:noWrap w:val="0"/>
            <w:vAlign w:val="center"/>
          </w:tcPr>
          <w:p w14:paraId="63DA44C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1098" w:type="dxa"/>
            <w:tcBorders>
              <w:top w:val="nil"/>
              <w:left w:val="nil"/>
              <w:bottom w:val="single" w:color="auto" w:sz="4" w:space="0"/>
              <w:right w:val="single" w:color="auto" w:sz="4" w:space="0"/>
            </w:tcBorders>
            <w:noWrap w:val="0"/>
            <w:vAlign w:val="center"/>
          </w:tcPr>
          <w:p w14:paraId="0A03176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Y＜2000</w:t>
            </w:r>
          </w:p>
        </w:tc>
      </w:tr>
      <w:tr w14:paraId="712867EB">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5B4CBDC8">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642" w:type="dxa"/>
            <w:tcBorders>
              <w:top w:val="nil"/>
              <w:left w:val="nil"/>
              <w:bottom w:val="single" w:color="auto" w:sz="4" w:space="0"/>
              <w:right w:val="single" w:color="auto" w:sz="4" w:space="0"/>
            </w:tcBorders>
            <w:noWrap w:val="0"/>
            <w:vAlign w:val="center"/>
          </w:tcPr>
          <w:p w14:paraId="05873B1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1F81F1D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3D2075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49540A8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098" w:type="dxa"/>
            <w:tcBorders>
              <w:top w:val="nil"/>
              <w:left w:val="nil"/>
              <w:bottom w:val="single" w:color="auto" w:sz="4" w:space="0"/>
              <w:right w:val="single" w:color="auto" w:sz="4" w:space="0"/>
            </w:tcBorders>
            <w:noWrap w:val="0"/>
            <w:vAlign w:val="center"/>
          </w:tcPr>
          <w:p w14:paraId="47DEAEE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5798B4A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53523354">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649DD5B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CAE0F0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52CD6A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709" w:type="dxa"/>
            <w:tcBorders>
              <w:top w:val="nil"/>
              <w:left w:val="nil"/>
              <w:bottom w:val="single" w:color="auto" w:sz="4" w:space="0"/>
              <w:right w:val="single" w:color="auto" w:sz="4" w:space="0"/>
            </w:tcBorders>
            <w:noWrap w:val="0"/>
            <w:vAlign w:val="center"/>
          </w:tcPr>
          <w:p w14:paraId="2AAE3F5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1098" w:type="dxa"/>
            <w:tcBorders>
              <w:top w:val="nil"/>
              <w:left w:val="nil"/>
              <w:bottom w:val="single" w:color="auto" w:sz="4" w:space="0"/>
              <w:right w:val="single" w:color="auto" w:sz="4" w:space="0"/>
            </w:tcBorders>
            <w:noWrap w:val="0"/>
            <w:vAlign w:val="center"/>
          </w:tcPr>
          <w:p w14:paraId="4D1499F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Y＜500</w:t>
            </w:r>
          </w:p>
        </w:tc>
      </w:tr>
      <w:tr w14:paraId="344ECABF">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2EE46F7F">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642" w:type="dxa"/>
            <w:tcBorders>
              <w:top w:val="nil"/>
              <w:left w:val="nil"/>
              <w:bottom w:val="single" w:color="auto" w:sz="4" w:space="0"/>
              <w:right w:val="single" w:color="auto" w:sz="4" w:space="0"/>
            </w:tcBorders>
            <w:noWrap w:val="0"/>
            <w:vAlign w:val="center"/>
          </w:tcPr>
          <w:p w14:paraId="381D509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4F5BB3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09E1D62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5397899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1D71CF7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9914FC0">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78C2DB92">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1501D0B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0DBA8A0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6C448E9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709" w:type="dxa"/>
            <w:tcBorders>
              <w:top w:val="nil"/>
              <w:left w:val="nil"/>
              <w:bottom w:val="single" w:color="auto" w:sz="4" w:space="0"/>
              <w:right w:val="single" w:color="auto" w:sz="4" w:space="0"/>
            </w:tcBorders>
            <w:noWrap w:val="0"/>
            <w:vAlign w:val="center"/>
          </w:tcPr>
          <w:p w14:paraId="708768EB">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1098" w:type="dxa"/>
            <w:tcBorders>
              <w:top w:val="nil"/>
              <w:left w:val="nil"/>
              <w:bottom w:val="single" w:color="auto" w:sz="4" w:space="0"/>
              <w:right w:val="single" w:color="auto" w:sz="4" w:space="0"/>
            </w:tcBorders>
            <w:noWrap w:val="0"/>
            <w:vAlign w:val="center"/>
          </w:tcPr>
          <w:p w14:paraId="0FFB68C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65E13E5E">
        <w:tblPrEx>
          <w:tblCellMar>
            <w:top w:w="0" w:type="dxa"/>
            <w:left w:w="108" w:type="dxa"/>
            <w:bottom w:w="0" w:type="dxa"/>
            <w:right w:w="108" w:type="dxa"/>
          </w:tblCellMar>
        </w:tblPrEx>
        <w:trPr>
          <w:trHeight w:val="346" w:hRule="atLeast"/>
          <w:jc w:val="center"/>
        </w:trPr>
        <w:tc>
          <w:tcPr>
            <w:tcW w:w="2020" w:type="dxa"/>
            <w:tcBorders>
              <w:top w:val="nil"/>
              <w:left w:val="single" w:color="auto" w:sz="4" w:space="0"/>
              <w:bottom w:val="single" w:color="auto" w:sz="4" w:space="0"/>
              <w:right w:val="single" w:color="auto" w:sz="4" w:space="0"/>
            </w:tcBorders>
            <w:noWrap w:val="0"/>
            <w:vAlign w:val="bottom"/>
          </w:tcPr>
          <w:p w14:paraId="39BC8117">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642" w:type="dxa"/>
            <w:tcBorders>
              <w:top w:val="nil"/>
              <w:left w:val="nil"/>
              <w:bottom w:val="single" w:color="auto" w:sz="4" w:space="0"/>
              <w:right w:val="single" w:color="auto" w:sz="4" w:space="0"/>
            </w:tcBorders>
            <w:noWrap w:val="0"/>
            <w:vAlign w:val="center"/>
          </w:tcPr>
          <w:p w14:paraId="3596A31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105B844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28FA4F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669A435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0FA402D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bl>
    <w:p w14:paraId="08CA1B81">
      <w:pPr>
        <w:spacing w:line="360" w:lineRule="auto"/>
        <w:ind w:firstLine="525" w:firstLineChars="250"/>
        <w:rPr>
          <w:rFonts w:hint="eastAsia" w:ascii="宋体" w:hAnsi="宋体" w:cs="宋体"/>
          <w:color w:val="auto"/>
          <w:highlight w:val="none"/>
        </w:rPr>
      </w:pPr>
      <w:r>
        <w:rPr>
          <w:rFonts w:hint="eastAsia" w:ascii="宋体" w:hAnsi="宋体" w:cs="宋体"/>
          <w:color w:val="auto"/>
          <w:szCs w:val="21"/>
          <w:highlight w:val="none"/>
        </w:rPr>
        <w:t>说明：上述标准参照《关于印发中小企业划型标准规定的通知》（工信部联企业</w:t>
      </w:r>
      <w:r>
        <w:rPr>
          <w:rFonts w:hint="eastAsia" w:ascii="宋体" w:hAnsi="宋体" w:cs="宋体"/>
          <w:color w:val="auto"/>
          <w:szCs w:val="21"/>
          <w:highlight w:val="none"/>
          <w:lang w:eastAsia="zh-CN"/>
        </w:rPr>
        <w:t>〔2011〕300号</w:t>
      </w:r>
      <w:r>
        <w:rPr>
          <w:rFonts w:hint="eastAsia" w:ascii="宋体" w:hAnsi="宋体" w:cs="宋体"/>
          <w:color w:val="auto"/>
          <w:szCs w:val="21"/>
          <w:highlight w:val="none"/>
        </w:rPr>
        <w:t>），大型、中型和小型企业须同时满足所列指标的下限，否则下划一档；微型企业只须满足所列指标中的一项即可。</w:t>
      </w:r>
      <w:bookmarkStart w:id="51" w:name="_Toc24453"/>
      <w:bookmarkStart w:id="52" w:name="_Toc6950"/>
      <w:bookmarkStart w:id="53" w:name="_Toc21295"/>
    </w:p>
    <w:p w14:paraId="45D1B390">
      <w:pPr>
        <w:pStyle w:val="3"/>
        <w:keepNext w:val="0"/>
        <w:keepLines w:val="0"/>
        <w:tabs>
          <w:tab w:val="left" w:pos="0"/>
          <w:tab w:val="left" w:pos="3165"/>
          <w:tab w:val="center" w:pos="4153"/>
        </w:tabs>
        <w:autoSpaceDE w:val="0"/>
        <w:autoSpaceDN w:val="0"/>
        <w:adjustRightInd w:val="0"/>
        <w:spacing w:before="0" w:after="0" w:line="240" w:lineRule="auto"/>
        <w:jc w:val="center"/>
        <w:rPr>
          <w:rFonts w:hint="eastAsia" w:ascii="宋体" w:hAnsi="宋体" w:cs="宋体"/>
          <w:color w:val="auto"/>
          <w:highlight w:val="none"/>
        </w:rPr>
        <w:sectPr>
          <w:footerReference r:id="rId9" w:type="first"/>
          <w:footerReference r:id="rId8" w:type="default"/>
          <w:pgSz w:w="11906" w:h="16838"/>
          <w:pgMar w:top="1440" w:right="1803" w:bottom="1440" w:left="1803" w:header="850" w:footer="850" w:gutter="0"/>
          <w:pgNumType w:fmt="decimal"/>
          <w:cols w:space="720" w:num="1"/>
          <w:docGrid w:linePitch="312" w:charSpace="0"/>
        </w:sectPr>
      </w:pPr>
    </w:p>
    <w:p w14:paraId="2B4B4E4A">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 w:val="32"/>
          <w:szCs w:val="32"/>
          <w:highlight w:val="none"/>
        </w:rPr>
        <w:t>关于印发《金融业企业划型标准规定》的通知</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银发〔2015〕309号</w:t>
      </w:r>
    </w:p>
    <w:p w14:paraId="0A63530C">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经国务院同意，现印发给你们，请遵照执行。</w:t>
      </w:r>
    </w:p>
    <w:p w14:paraId="57BEEA01">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请人民银行上海总部，各分行、营业管理部、省会（首府）城市中心支行、副省级城市中心支行会同所在省（区、市）银监局、证监局、保监局、统计局将本通知联合转发至辖内相关机构。</w:t>
      </w:r>
    </w:p>
    <w:p w14:paraId="5032CF74">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附件：金融业企业划型标准规定</w:t>
      </w:r>
    </w:p>
    <w:p w14:paraId="0BDB6619">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中国人民银行</w:t>
      </w:r>
    </w:p>
    <w:p w14:paraId="2521288A">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中国银行业监督管理委员会</w:t>
      </w:r>
    </w:p>
    <w:p w14:paraId="2232EA29">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中国证券监督管理委员会</w:t>
      </w:r>
    </w:p>
    <w:p w14:paraId="77EA550F">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中国保险监督管理委员会</w:t>
      </w:r>
    </w:p>
    <w:p w14:paraId="2BA545E5">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中华人民共和国国家统计局</w:t>
      </w:r>
    </w:p>
    <w:p w14:paraId="734B990D">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2015年9月28日</w:t>
      </w:r>
    </w:p>
    <w:p w14:paraId="1E92CEBA">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32"/>
          <w:szCs w:val="32"/>
          <w:highlight w:val="none"/>
        </w:rPr>
        <w:t>金融业企业划型标准规定</w:t>
      </w:r>
    </w:p>
    <w:p w14:paraId="4F07669F">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一、</w:t>
      </w:r>
      <w:r>
        <w:rPr>
          <w:rFonts w:hint="eastAsia" w:ascii="宋体" w:hAnsi="宋体" w:eastAsia="宋体" w:cs="宋体"/>
          <w:color w:val="auto"/>
          <w:szCs w:val="21"/>
          <w:highlight w:val="none"/>
        </w:rPr>
        <w:t>根据《中华人民共和国中小企业促进法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国务院关于进一步促进中小企业发展的若干意见》（国发〔2009〕36号）和《国务院办公厅关于金融支持小微企业发展的实施意见》（国办发〔2013〕87号），制定本规定。</w:t>
      </w:r>
    </w:p>
    <w:p w14:paraId="6680192B">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二、适用范围。本规定适用于从事《国民经济行业分类》（GB/T4754-2011）中J门类（金融业）活动的企业。</w:t>
      </w:r>
    </w:p>
    <w:p w14:paraId="52E3F4C0">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76F8D707">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四、划型标准指标。采用一个完整会计年度中四个季度末法人并表口径的资产总额（信托公司为信托资产）平均值作为划型指标，该指标以监管部门数据为准。</w:t>
      </w:r>
    </w:p>
    <w:p w14:paraId="64C10FAF">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五、指标标准值。依据指标标准值，将各类金融业企业划分为大、中、小、微四个规模类型，中型企业标准上限及以上的为大型企业。</w:t>
      </w:r>
    </w:p>
    <w:p w14:paraId="79693D8E">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（一）银行业存款类金融机构。资产总额40000亿元以下的为中小微型企业。其中，资产总额5000亿元及以上的为中型企业，资产总额50亿元及以上的为小型企业，资产总额50亿元以下的为微型企业。</w:t>
      </w:r>
    </w:p>
    <w:p w14:paraId="10625F26">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（二）银行业非存款类金融机构。资产总额1000亿元以下的为中小微企业。其中，资产总额200亿元及以上的为中型企业，资产总额50亿元及以上的为小型企业，资产总额50亿元以下的为微型企业。</w:t>
      </w:r>
    </w:p>
    <w:p w14:paraId="4846A6C3">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（三）贷款公司、小额贷款公司及典当行。资产总额1000亿元以下的为中小微型企业。其中，资产总额200亿元及以上的为中型企业，资产总额50亿元及以上的为小型企业，资产总额50亿元以下的为微型企业。</w:t>
      </w:r>
    </w:p>
    <w:p w14:paraId="28E3D22D">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（四）证券业金融机构。资产总额1000亿元以下的为中小微型企业。其中，资产总额100亿元及以上的为中型企业，资产总额10亿元及以上的为小型企业，资产总额10亿元以下的为微型企业。</w:t>
      </w:r>
    </w:p>
    <w:p w14:paraId="55FADEF9">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（五）保险业金融机构。资产总额5000亿元以下的为中小微型企业。其中，资产总额400亿元及以上的为中型企业，资产总额20亿元及以上的为小型企业，资产总额20亿元以下的为微型企业。</w:t>
      </w:r>
    </w:p>
    <w:p w14:paraId="72F25D94">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（六）信托公司。信托资产1000亿元以下的为中小微型企业。其中，信托资产400亿元及以上的为中型企业，信托资产20亿元及以上的为小型企业，信托资产20亿元以下的为微型企业。</w:t>
      </w:r>
    </w:p>
    <w:p w14:paraId="17D028E7">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（七）金融控股公司。资产总额40000亿元以下的为中小微企业。其中，资产总额5000亿元及以上的为中型企业，资产总额50亿元及以上的为小型企业，资产总额50亿元以下的为微型企业。</w:t>
      </w:r>
    </w:p>
    <w:p w14:paraId="5B136CBF">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0F807BF">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组织实施。由人民银行会同银监会、证监会、保监会和统计局联合组成金融业企业划型标准工作组，负责金融业企业划型标准的实施、后期评估和调整工作，按年组织金融业企业规模认定，并在人民银行建立《金融业机构信息管理系统》中增加相应的字段模块。经过认定的金融业企业在系统中进行规模登记，方便政府部门和社会各界查询使用。</w:t>
      </w:r>
    </w:p>
    <w:p w14:paraId="1EFE3FC2">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七、标准值的评估和调整。金融业企业划型标准工作组每五年对划型标准值受经济发展与通货膨胀等因素的影响程度进行评估和调整。</w:t>
      </w:r>
    </w:p>
    <w:p w14:paraId="620F12AC">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八、本规定的中型金融业企业标准上限即为大型金融业企业下限。国务院有关部门据此进行相关数据的统计分析，不得制定与本规定不一致的金融业企业划型标准。</w:t>
      </w:r>
    </w:p>
    <w:p w14:paraId="3239016C">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九、融资担保公司参照本规定中“除贷款公司、小额贷款公司、典当行以外的其他金融机构”标准划型。</w:t>
      </w:r>
    </w:p>
    <w:p w14:paraId="61A6F736">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十、本规定由人民银行会同银监会、证监会、保监会和统计局负责解释。</w:t>
      </w:r>
    </w:p>
    <w:p w14:paraId="0E0965E6">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十一、本规定自发布之日起实施。</w:t>
      </w:r>
    </w:p>
    <w:p w14:paraId="4BFE049C">
      <w:pPr>
        <w:pStyle w:val="3"/>
        <w:keepNext w:val="0"/>
        <w:keepLines w:val="0"/>
        <w:tabs>
          <w:tab w:val="left" w:pos="0"/>
          <w:tab w:val="left" w:pos="3165"/>
          <w:tab w:val="center" w:pos="4153"/>
        </w:tabs>
        <w:autoSpaceDE w:val="0"/>
        <w:autoSpaceDN w:val="0"/>
        <w:adjustRightInd w:val="0"/>
        <w:spacing w:before="0" w:after="0" w:line="240" w:lineRule="auto"/>
        <w:jc w:val="center"/>
        <w:rPr>
          <w:rFonts w:hint="eastAsia" w:ascii="宋体" w:hAnsi="宋体" w:cs="宋体"/>
          <w:color w:val="auto"/>
          <w:highlight w:val="none"/>
        </w:rPr>
        <w:sectPr>
          <w:pgSz w:w="11906" w:h="16838"/>
          <w:pgMar w:top="1440" w:right="1803" w:bottom="1440" w:left="1803" w:header="850" w:footer="850" w:gutter="0"/>
          <w:pgNumType w:fmt="decimal"/>
          <w:cols w:space="720" w:num="1"/>
          <w:docGrid w:linePitch="312" w:charSpace="0"/>
        </w:sectPr>
      </w:pPr>
    </w:p>
    <w:p w14:paraId="737DC989">
      <w:pPr>
        <w:pStyle w:val="3"/>
        <w:keepNext w:val="0"/>
        <w:keepLines w:val="0"/>
        <w:tabs>
          <w:tab w:val="left" w:pos="0"/>
          <w:tab w:val="left" w:pos="3165"/>
          <w:tab w:val="center" w:pos="4153"/>
        </w:tabs>
        <w:autoSpaceDE w:val="0"/>
        <w:autoSpaceDN w:val="0"/>
        <w:adjustRightInd w:val="0"/>
        <w:spacing w:before="0" w:after="0" w:line="240" w:lineRule="auto"/>
        <w:jc w:val="center"/>
        <w:rPr>
          <w:rFonts w:hint="eastAsia" w:ascii="宋体" w:hAnsi="宋体" w:cs="宋体"/>
          <w:color w:val="auto"/>
          <w:highlight w:val="none"/>
        </w:rPr>
      </w:pPr>
      <w:r>
        <w:rPr>
          <w:rFonts w:hint="eastAsia" w:ascii="宋体" w:hAnsi="宋体" w:cs="宋体"/>
          <w:color w:val="auto"/>
          <w:highlight w:val="none"/>
        </w:rPr>
        <w:t>第三章  投标人须知</w:t>
      </w:r>
      <w:bookmarkEnd w:id="51"/>
      <w:bookmarkEnd w:id="52"/>
      <w:bookmarkEnd w:id="53"/>
    </w:p>
    <w:p w14:paraId="080DE147">
      <w:pPr>
        <w:pStyle w:val="4"/>
        <w:spacing w:line="240" w:lineRule="auto"/>
        <w:jc w:val="center"/>
        <w:rPr>
          <w:rFonts w:hint="eastAsia" w:ascii="宋体" w:hAnsi="宋体" w:eastAsia="宋体" w:cs="宋体"/>
          <w:color w:val="auto"/>
          <w:sz w:val="36"/>
          <w:szCs w:val="36"/>
          <w:highlight w:val="none"/>
        </w:rPr>
      </w:pPr>
      <w:bookmarkStart w:id="54" w:name="_Toc254970526"/>
      <w:bookmarkStart w:id="55" w:name="_Toc3016"/>
      <w:bookmarkStart w:id="56" w:name="_Toc4963"/>
      <w:bookmarkStart w:id="57" w:name="_Toc25167"/>
      <w:bookmarkStart w:id="58" w:name="_Toc254970667"/>
      <w:r>
        <w:rPr>
          <w:rFonts w:hint="eastAsia" w:ascii="宋体" w:hAnsi="宋体" w:eastAsia="宋体" w:cs="宋体"/>
          <w:color w:val="auto"/>
          <w:sz w:val="36"/>
          <w:szCs w:val="36"/>
          <w:highlight w:val="none"/>
        </w:rPr>
        <w:t>投标人须知前附表</w:t>
      </w:r>
      <w:bookmarkEnd w:id="54"/>
      <w:bookmarkEnd w:id="55"/>
      <w:bookmarkEnd w:id="56"/>
      <w:bookmarkEnd w:id="57"/>
      <w:bookmarkEnd w:id="58"/>
    </w:p>
    <w:tbl>
      <w:tblPr>
        <w:tblStyle w:val="39"/>
        <w:tblW w:w="91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721D5E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09CAAD1">
            <w:pPr>
              <w:keepNext w:val="0"/>
              <w:keepLines w:val="0"/>
              <w:pageBreakBefore w:val="0"/>
              <w:widowControl w:val="0"/>
              <w:suppressLineNumbers w:val="0"/>
              <w:kinsoku/>
              <w:overflowPunct/>
              <w:topLinePunct w:val="0"/>
              <w:bidi w:val="0"/>
              <w:spacing w:before="120" w:beforeLines="5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1CA640E">
            <w:pPr>
              <w:keepNext w:val="0"/>
              <w:keepLines w:val="0"/>
              <w:pageBreakBefore w:val="0"/>
              <w:widowControl w:val="0"/>
              <w:suppressLineNumbers w:val="0"/>
              <w:kinsoku/>
              <w:overflowPunct/>
              <w:topLinePunct w:val="0"/>
              <w:bidi w:val="0"/>
              <w:spacing w:before="120" w:beforeLines="5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5733E9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29BA1829">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7A941E8">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1.投标人的资格要求详见招标公告。</w:t>
            </w:r>
          </w:p>
          <w:p w14:paraId="4324121E">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08626C4B">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2078C2C">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1B88E7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2AC842A">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59" w:name="_8.1"/>
            <w:bookmarkEnd w:id="59"/>
            <w:bookmarkStart w:id="60" w:name="_9.2"/>
            <w:bookmarkEnd w:id="60"/>
            <w:bookmarkStart w:id="61" w:name="_5"/>
            <w:bookmarkEnd w:id="61"/>
            <w:r>
              <w:rPr>
                <w:rFonts w:hint="eastAsia" w:ascii="宋体" w:hAnsi="宋体" w:cs="宋体"/>
                <w:color w:val="auto"/>
                <w:szCs w:val="21"/>
                <w:highlight w:val="none"/>
              </w:rPr>
              <w:t>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12E233A">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b/>
                <w:color w:val="auto"/>
                <w:szCs w:val="21"/>
                <w:highlight w:val="none"/>
              </w:rPr>
            </w:pPr>
            <w:r>
              <w:rPr>
                <w:rFonts w:hint="eastAsia" w:ascii="宋体" w:hAnsi="宋体" w:cs="宋体"/>
                <w:color w:val="auto"/>
                <w:szCs w:val="21"/>
                <w:highlight w:val="none"/>
              </w:rPr>
              <w:t>本项目是否接受联合体投标：</w:t>
            </w:r>
            <w:r>
              <w:rPr>
                <w:rFonts w:hint="eastAsia" w:ascii="宋体" w:hAnsi="宋体" w:cs="宋体"/>
                <w:b/>
                <w:bCs/>
                <w:color w:val="auto"/>
                <w:szCs w:val="21"/>
                <w:highlight w:val="none"/>
                <w:lang w:eastAsia="zh-CN"/>
              </w:rPr>
              <w:t>不接受联合体投标</w:t>
            </w:r>
            <w:r>
              <w:rPr>
                <w:rFonts w:hint="eastAsia" w:ascii="宋体" w:hAnsi="宋体" w:cs="宋体"/>
                <w:color w:val="auto"/>
                <w:szCs w:val="21"/>
                <w:highlight w:val="none"/>
                <w:lang w:eastAsia="zh-CN"/>
              </w:rPr>
              <w:t>，</w:t>
            </w:r>
            <w:r>
              <w:rPr>
                <w:rFonts w:hint="eastAsia" w:ascii="宋体" w:hAnsi="宋体" w:cs="宋体"/>
                <w:color w:val="auto"/>
                <w:szCs w:val="21"/>
                <w:highlight w:val="none"/>
              </w:rPr>
              <w:t>详见招标公告。</w:t>
            </w:r>
          </w:p>
        </w:tc>
      </w:tr>
      <w:tr w14:paraId="5964E9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C6CE1D9">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157FD94E">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color w:val="auto"/>
                <w:szCs w:val="21"/>
                <w:highlight w:val="none"/>
              </w:rPr>
            </w:pPr>
            <w:bookmarkStart w:id="62" w:name="_Hlk54105293"/>
            <w:r>
              <w:rPr>
                <w:rFonts w:hint="eastAsia" w:ascii="宋体" w:hAnsi="宋体" w:cs="宋体"/>
                <w:color w:val="auto"/>
                <w:szCs w:val="21"/>
                <w:highlight w:val="none"/>
              </w:rPr>
              <w:t>如接受联合体投标，</w:t>
            </w:r>
            <w:bookmarkEnd w:id="62"/>
            <w:r>
              <w:rPr>
                <w:rFonts w:hint="eastAsia" w:ascii="宋体" w:hAnsi="宋体" w:cs="宋体"/>
                <w:color w:val="auto"/>
                <w:szCs w:val="21"/>
                <w:highlight w:val="none"/>
              </w:rPr>
              <w:t>联合体投标要求如下：</w:t>
            </w:r>
          </w:p>
          <w:p w14:paraId="3D51DD51">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1.两个或两个以上投标人可以组成一个投标联合体，以一个投标人的身份共同参加投标。</w:t>
            </w:r>
            <w:r>
              <w:rPr>
                <w:rFonts w:hint="eastAsia" w:ascii="宋体" w:hAnsi="宋体" w:cs="宋体"/>
                <w:b/>
                <w:bCs/>
                <w:color w:val="auto"/>
                <w:szCs w:val="21"/>
                <w:highlight w:val="none"/>
              </w:rPr>
              <w:t>联合体投标人的名称应统一按“XXX公司与XXX公司的联合体”的规则填写</w:t>
            </w:r>
            <w:r>
              <w:rPr>
                <w:rFonts w:hint="eastAsia" w:ascii="宋体" w:hAnsi="宋体" w:cs="宋体"/>
                <w:color w:val="auto"/>
                <w:szCs w:val="21"/>
                <w:highlight w:val="none"/>
              </w:rPr>
              <w:t>。联合体投标的，须提供《联合体投标协议书》（格式后附）。</w:t>
            </w:r>
          </w:p>
          <w:p w14:paraId="21A8D28A">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50DE9A79">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3.联合体各方之间必须签订联合投标协议，协议书必须明确主体方（或者牵头方）并明确约定联合体各方承担的工作和相应的责任（</w:t>
            </w:r>
            <w:r>
              <w:rPr>
                <w:rFonts w:hint="eastAsia" w:ascii="宋体" w:hAnsi="宋体" w:cs="宋体"/>
                <w:b/>
                <w:color w:val="auto"/>
                <w:szCs w:val="21"/>
                <w:highlight w:val="none"/>
              </w:rPr>
              <w:t>各方承担责任与义务的分工必须符合采购需求，否则，联合体投标无效</w:t>
            </w:r>
            <w:r>
              <w:rPr>
                <w:rFonts w:hint="eastAsia" w:ascii="宋体" w:hAnsi="宋体" w:cs="宋体"/>
                <w:color w:val="auto"/>
                <w:szCs w:val="21"/>
                <w:highlight w:val="none"/>
              </w:rPr>
              <w:t>），并将联合投标协议放入投标文件。联合体各方必须共同与采购人签订采购合同，就采购合同约定的事项对采购人承担连带责任。</w:t>
            </w:r>
          </w:p>
          <w:p w14:paraId="511740FF">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4.以联合体形式参加政府采购活动的，联合体各方不得再单独参加或者与其他投标人另外组成联合体参加同一合同项下的政府采购活动。</w:t>
            </w:r>
          </w:p>
          <w:p w14:paraId="3C8D42C2">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5.联合体中有同类资质的投标人按照联合体分工承担相同工作的，应当按照资质等级较低的投标人确定资质等级。</w:t>
            </w:r>
          </w:p>
          <w:p w14:paraId="45EED0C3">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6.联合体投标业绩、履约能力按照联合体各方其中较高的一方认定并计算（招标文件另有规定的除外）。</w:t>
            </w:r>
          </w:p>
          <w:p w14:paraId="53ACE420">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7.投标人为联合体的，可以由联合体中的一方或者多方共同交纳投标保证金，其交纳的保证金对联合体各方均具有约束力。</w:t>
            </w:r>
          </w:p>
          <w:p w14:paraId="06D54EAE">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8.联合体各方均应按照招标文件的规定提交资格证明文件。</w:t>
            </w:r>
          </w:p>
        </w:tc>
      </w:tr>
      <w:tr w14:paraId="370F68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649E558">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7.2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AE8C66E">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☑不允许分包</w:t>
            </w:r>
          </w:p>
          <w:p w14:paraId="5F5512AA">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color w:val="auto"/>
                <w:szCs w:val="21"/>
                <w:highlight w:val="none"/>
              </w:rPr>
            </w:pPr>
            <w:bookmarkStart w:id="63" w:name="OLE_LINK12"/>
            <w:r>
              <w:rPr>
                <w:rFonts w:hint="eastAsia" w:ascii="宋体" w:hAnsi="宋体" w:cs="宋体"/>
                <w:color w:val="auto"/>
                <w:szCs w:val="21"/>
                <w:highlight w:val="none"/>
              </w:rPr>
              <w:t>□</w:t>
            </w:r>
            <w:bookmarkEnd w:id="63"/>
            <w:r>
              <w:rPr>
                <w:rFonts w:hint="eastAsia" w:ascii="宋体" w:hAnsi="宋体" w:cs="宋体"/>
                <w:color w:val="auto"/>
                <w:szCs w:val="21"/>
                <w:highlight w:val="none"/>
              </w:rPr>
              <w:t>允许分包</w:t>
            </w:r>
          </w:p>
          <w:p w14:paraId="03011466">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6FB7D11A">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jc w:val="both"/>
              <w:rPr>
                <w:rFonts w:hint="eastAsia" w:ascii="宋体" w:hAnsi="宋体" w:cs="宋体"/>
                <w:color w:val="auto"/>
                <w:szCs w:val="21"/>
                <w:highlight w:val="none"/>
                <w:u w:val="singl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14:paraId="11FB9A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78" w:type="dxa"/>
            <w:vMerge w:val="restart"/>
            <w:tcBorders>
              <w:top w:val="single" w:color="auto" w:sz="4" w:space="0"/>
              <w:left w:val="single" w:color="auto" w:sz="4" w:space="0"/>
              <w:right w:val="single" w:color="auto" w:sz="4" w:space="0"/>
            </w:tcBorders>
            <w:noWrap w:val="0"/>
            <w:vAlign w:val="center"/>
          </w:tcPr>
          <w:p w14:paraId="4F5F4DC0">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BC56BE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bookmarkStart w:id="64" w:name="OLE_LINK13"/>
            <w:r>
              <w:rPr>
                <w:rFonts w:hint="eastAsia" w:ascii="宋体" w:hAnsi="宋体" w:cs="宋体"/>
                <w:color w:val="auto"/>
                <w:szCs w:val="21"/>
                <w:highlight w:val="none"/>
              </w:rPr>
              <w:t>☑</w:t>
            </w:r>
            <w:bookmarkEnd w:id="64"/>
            <w:r>
              <w:rPr>
                <w:rFonts w:hint="eastAsia" w:ascii="宋体" w:hAnsi="宋体" w:cs="宋体"/>
                <w:color w:val="auto"/>
                <w:szCs w:val="21"/>
                <w:highlight w:val="none"/>
              </w:rPr>
              <w:t>不组织现场考察</w:t>
            </w:r>
          </w:p>
        </w:tc>
      </w:tr>
      <w:tr w14:paraId="55DF85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978" w:type="dxa"/>
            <w:vMerge w:val="continue"/>
            <w:tcBorders>
              <w:left w:val="single" w:color="auto" w:sz="4" w:space="0"/>
              <w:bottom w:val="single" w:color="auto" w:sz="4" w:space="0"/>
              <w:right w:val="single" w:color="auto" w:sz="4" w:space="0"/>
            </w:tcBorders>
            <w:noWrap w:val="0"/>
            <w:vAlign w:val="center"/>
          </w:tcPr>
          <w:p w14:paraId="0C313BAD">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DDA222F">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lang w:eastAsia="zh-CN"/>
              </w:rPr>
              <w:sym w:font="Wingdings 2" w:char="0052"/>
            </w:r>
            <w:r>
              <w:rPr>
                <w:rFonts w:hint="eastAsia" w:ascii="宋体" w:hAnsi="宋体" w:cs="宋体"/>
                <w:color w:val="auto"/>
                <w:szCs w:val="21"/>
                <w:highlight w:val="none"/>
              </w:rPr>
              <w:t>不组织召开开标前答疑会</w:t>
            </w:r>
          </w:p>
        </w:tc>
      </w:tr>
      <w:tr w14:paraId="090574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noWrap w:val="0"/>
            <w:vAlign w:val="center"/>
          </w:tcPr>
          <w:p w14:paraId="10C360EC">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65" w:name="_13.1"/>
            <w:bookmarkEnd w:id="65"/>
            <w:r>
              <w:rPr>
                <w:rFonts w:hint="eastAsia" w:ascii="宋体" w:hAnsi="宋体" w:cs="宋体"/>
                <w:color w:val="auto"/>
                <w:szCs w:val="21"/>
                <w:highlight w:val="none"/>
              </w:rPr>
              <w:t>13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1E18EE9F">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629A64B1">
            <w:pPr>
              <w:keepNext w:val="0"/>
              <w:keepLines w:val="0"/>
              <w:pageBreakBefore w:val="0"/>
              <w:widowControl w:val="0"/>
              <w:suppressLineNumbers w:val="0"/>
              <w:tabs>
                <w:tab w:val="left" w:pos="459"/>
              </w:tabs>
              <w:kinsoku/>
              <w:overflowPunct/>
              <w:topLinePunct w:val="0"/>
              <w:bidi w:val="0"/>
              <w:snapToGrid w:val="0"/>
              <w:spacing w:before="0" w:beforeAutospacing="0" w:after="0" w:afterAutospacing="0" w:line="400" w:lineRule="exact"/>
              <w:ind w:left="-2" w:leftChars="-1"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1.投标函（格式后附）；</w:t>
            </w:r>
            <w:r>
              <w:rPr>
                <w:rFonts w:hint="eastAsia" w:ascii="宋体" w:hAnsi="宋体" w:cs="宋体"/>
                <w:b/>
                <w:color w:val="auto"/>
                <w:szCs w:val="21"/>
                <w:highlight w:val="none"/>
              </w:rPr>
              <w:t>（必须提供，否则按无效投标处理）</w:t>
            </w:r>
          </w:p>
          <w:p w14:paraId="6C9E51C1">
            <w:pPr>
              <w:keepNext w:val="0"/>
              <w:keepLines w:val="0"/>
              <w:pageBreakBefore w:val="0"/>
              <w:widowControl w:val="0"/>
              <w:suppressLineNumbers w:val="0"/>
              <w:tabs>
                <w:tab w:val="left" w:pos="459"/>
              </w:tabs>
              <w:kinsoku/>
              <w:overflowPunct/>
              <w:topLinePunct w:val="0"/>
              <w:bidi w:val="0"/>
              <w:snapToGrid w:val="0"/>
              <w:spacing w:before="0" w:beforeAutospacing="0" w:after="0" w:afterAutospacing="0" w:line="400" w:lineRule="exact"/>
              <w:ind w:left="-2" w:leftChars="-1"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BFC1BBB">
            <w:pPr>
              <w:keepNext w:val="0"/>
              <w:keepLines w:val="0"/>
              <w:pageBreakBefore w:val="0"/>
              <w:widowControl w:val="0"/>
              <w:suppressLineNumbers w:val="0"/>
              <w:tabs>
                <w:tab w:val="left" w:pos="459"/>
              </w:tabs>
              <w:kinsoku/>
              <w:overflowPunct/>
              <w:topLinePunct w:val="0"/>
              <w:bidi w:val="0"/>
              <w:snapToGrid w:val="0"/>
              <w:spacing w:before="0" w:beforeAutospacing="0" w:after="0" w:afterAutospacing="0" w:line="400" w:lineRule="exact"/>
              <w:ind w:left="-2" w:leftChars="-1"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3.中小企业声明函或监狱企业证明文件或残疾人福利性单位声明函；（如有请提供）</w:t>
            </w:r>
          </w:p>
          <w:p w14:paraId="017F5329">
            <w:pPr>
              <w:keepNext w:val="0"/>
              <w:keepLines w:val="0"/>
              <w:pageBreakBefore w:val="0"/>
              <w:widowControl w:val="0"/>
              <w:suppressLineNumbers w:val="0"/>
              <w:tabs>
                <w:tab w:val="left" w:pos="459"/>
              </w:tabs>
              <w:kinsoku/>
              <w:overflowPunct/>
              <w:topLinePunct w:val="0"/>
              <w:bidi w:val="0"/>
              <w:snapToGrid w:val="0"/>
              <w:spacing w:before="0" w:beforeAutospacing="0" w:after="0" w:afterAutospacing="0" w:line="400" w:lineRule="exact"/>
              <w:ind w:left="-2" w:leftChars="-1"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4.投标人针对报价需要说明的其他文件和说明（格式自拟）。（如有请提供）</w:t>
            </w:r>
          </w:p>
          <w:p w14:paraId="2F6BEA47">
            <w:pPr>
              <w:keepNext w:val="0"/>
              <w:keepLines w:val="0"/>
              <w:pageBreakBefore w:val="0"/>
              <w:widowControl w:val="0"/>
              <w:suppressLineNumbers w:val="0"/>
              <w:tabs>
                <w:tab w:val="left" w:pos="459"/>
              </w:tabs>
              <w:kinsoku/>
              <w:overflowPunct/>
              <w:topLinePunct w:val="0"/>
              <w:bidi w:val="0"/>
              <w:snapToGrid w:val="0"/>
              <w:spacing w:before="0" w:beforeAutospacing="0" w:after="0" w:afterAutospacing="0" w:line="400" w:lineRule="exact"/>
              <w:ind w:left="-2" w:leftChars="-1" w:right="0"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注：1.以上标明“必须提供”的材料的，必须加盖投标人电子签章，否则按无效投标处理；</w:t>
            </w:r>
          </w:p>
          <w:p w14:paraId="4BF63B44">
            <w:pPr>
              <w:keepNext w:val="0"/>
              <w:keepLines w:val="0"/>
              <w:pageBreakBefore w:val="0"/>
              <w:widowControl w:val="0"/>
              <w:suppressLineNumbers w:val="0"/>
              <w:tabs>
                <w:tab w:val="left" w:pos="459"/>
              </w:tabs>
              <w:kinsoku/>
              <w:overflowPunct/>
              <w:topLinePunct w:val="0"/>
              <w:bidi w:val="0"/>
              <w:snapToGrid w:val="0"/>
              <w:spacing w:before="0" w:beforeAutospacing="0" w:after="0" w:afterAutospacing="0" w:line="400" w:lineRule="exact"/>
              <w:ind w:left="-2" w:leftChars="-1" w:right="0" w:firstLine="843" w:firstLineChars="400"/>
              <w:rPr>
                <w:rFonts w:hint="eastAsia" w:ascii="宋体" w:hAnsi="宋体" w:cs="宋体"/>
                <w:b/>
                <w:color w:val="auto"/>
                <w:szCs w:val="21"/>
                <w:highlight w:val="none"/>
              </w:rPr>
            </w:pPr>
            <w:r>
              <w:rPr>
                <w:rFonts w:hint="eastAsia" w:ascii="宋体" w:hAnsi="宋体" w:cs="宋体"/>
                <w:b/>
                <w:color w:val="auto"/>
                <w:szCs w:val="21"/>
                <w:highlight w:val="none"/>
              </w:rPr>
              <w:t>2.联合体投标时，盖章处须加盖联合体牵头人电子签章</w:t>
            </w:r>
            <w:r>
              <w:rPr>
                <w:rFonts w:hint="eastAsia" w:ascii="宋体" w:hAnsi="宋体" w:cs="宋体"/>
                <w:b/>
                <w:color w:val="auto"/>
                <w:szCs w:val="21"/>
                <w:highlight w:val="none"/>
                <w:lang w:eastAsia="zh-CN"/>
              </w:rPr>
              <w:t>，在</w:t>
            </w:r>
            <w:r>
              <w:rPr>
                <w:rFonts w:hint="eastAsia" w:ascii="宋体" w:hAnsi="宋体" w:cs="宋体"/>
                <w:b/>
                <w:color w:val="auto"/>
                <w:szCs w:val="21"/>
                <w:highlight w:val="none"/>
              </w:rPr>
              <w:t>规定签字处签字（或者电子签名），否则</w:t>
            </w:r>
            <w:r>
              <w:rPr>
                <w:rFonts w:hint="eastAsia" w:ascii="宋体" w:hAnsi="宋体" w:cs="宋体"/>
                <w:b/>
                <w:color w:val="auto"/>
                <w:szCs w:val="21"/>
                <w:highlight w:val="none"/>
                <w:lang w:eastAsia="zh-CN"/>
              </w:rPr>
              <w:t>投标文件</w:t>
            </w:r>
            <w:r>
              <w:rPr>
                <w:rFonts w:hint="eastAsia" w:ascii="宋体" w:hAnsi="宋体" w:cs="宋体"/>
                <w:b/>
                <w:color w:val="auto"/>
                <w:szCs w:val="21"/>
                <w:highlight w:val="none"/>
              </w:rPr>
              <w:t>按无效处理</w:t>
            </w:r>
            <w:r>
              <w:rPr>
                <w:rFonts w:hint="eastAsia" w:ascii="宋体" w:hAnsi="宋体" w:cs="宋体"/>
                <w:b/>
                <w:color w:val="auto"/>
                <w:szCs w:val="21"/>
                <w:highlight w:val="none"/>
                <w:lang w:val="en-US" w:eastAsia="zh-CN"/>
              </w:rPr>
              <w:t>(</w:t>
            </w:r>
            <w:r>
              <w:rPr>
                <w:rFonts w:hint="eastAsia" w:ascii="宋体" w:hAnsi="宋体" w:cs="宋体"/>
                <w:b/>
                <w:color w:val="auto"/>
                <w:szCs w:val="21"/>
                <w:highlight w:val="none"/>
                <w:lang w:eastAsia="zh-CN"/>
              </w:rPr>
              <w:t>本项目不适用本条</w:t>
            </w:r>
            <w:r>
              <w:rPr>
                <w:rFonts w:hint="eastAsia" w:ascii="宋体" w:hAnsi="宋体" w:cs="宋体"/>
                <w:b/>
                <w:color w:val="auto"/>
                <w:szCs w:val="21"/>
                <w:highlight w:val="none"/>
                <w:lang w:val="en-US" w:eastAsia="zh-CN"/>
              </w:rPr>
              <w:t>)</w:t>
            </w:r>
            <w:r>
              <w:rPr>
                <w:rFonts w:hint="eastAsia" w:ascii="宋体" w:hAnsi="宋体" w:cs="宋体"/>
                <w:b/>
                <w:color w:val="auto"/>
                <w:szCs w:val="21"/>
                <w:highlight w:val="none"/>
              </w:rPr>
              <w:t>。</w:t>
            </w:r>
          </w:p>
        </w:tc>
      </w:tr>
      <w:tr w14:paraId="53293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noWrap w:val="0"/>
            <w:vAlign w:val="center"/>
          </w:tcPr>
          <w:p w14:paraId="407730E0">
            <w:pPr>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color w:val="auto"/>
                <w:szCs w:val="21"/>
                <w:highlight w:val="none"/>
              </w:rPr>
            </w:pPr>
            <w:bookmarkStart w:id="66" w:name="_13.2"/>
            <w:bookmarkEnd w:id="66"/>
          </w:p>
        </w:tc>
        <w:tc>
          <w:tcPr>
            <w:tcW w:w="8175" w:type="dxa"/>
            <w:tcBorders>
              <w:top w:val="single" w:color="auto" w:sz="4" w:space="0"/>
              <w:left w:val="single" w:color="auto" w:sz="4" w:space="0"/>
              <w:bottom w:val="single" w:color="auto" w:sz="4" w:space="0"/>
              <w:right w:val="single" w:color="auto" w:sz="4" w:space="0"/>
            </w:tcBorders>
            <w:noWrap w:val="0"/>
            <w:vAlign w:val="center"/>
          </w:tcPr>
          <w:p w14:paraId="05C5C0CC">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21A22C8E">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75"/>
                <w:rFonts w:hint="eastAsia"/>
                <w:color w:val="auto"/>
                <w:sz w:val="21"/>
                <w:szCs w:val="21"/>
                <w:highlight w:val="none"/>
              </w:rPr>
              <w:t>执业许可证</w:t>
            </w:r>
            <w:r>
              <w:rPr>
                <w:rFonts w:hint="eastAsia" w:ascii="宋体" w:hAnsi="宋体" w:cs="宋体"/>
                <w:color w:val="auto"/>
                <w:szCs w:val="21"/>
                <w:highlight w:val="none"/>
              </w:rPr>
              <w:t>或者登记证书等），投标人为自然人的，提供身份证复印件；（</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0FE292AC">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lang w:val="en-US" w:eastAsia="zh-CN"/>
              </w:rPr>
              <w:t>[</w:t>
            </w:r>
            <w:r>
              <w:rPr>
                <w:rFonts w:hint="eastAsia" w:ascii="宋体" w:hAnsi="宋体" w:cs="宋体"/>
                <w:color w:val="auto"/>
                <w:szCs w:val="21"/>
                <w:highlight w:val="none"/>
                <w:u w:val="single"/>
                <w:lang w:eastAsia="zh-CN"/>
              </w:rPr>
              <w:t>2026年1月以来</w:t>
            </w:r>
            <w:r>
              <w:rPr>
                <w:rFonts w:hint="eastAsia" w:ascii="宋体" w:hAnsi="宋体" w:cs="宋体"/>
                <w:color w:val="auto"/>
                <w:szCs w:val="21"/>
                <w:highlight w:val="none"/>
              </w:rPr>
              <w:t>任意连续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证明材料的凭据复印件；依法免税的投标人，必须提供相应文件证明其依法免税。从成立之日起到投标文件提交截止时间止不足要求月数的，只需提供从成立之日起的依法缴纳税收相应证明文件</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8BCD5E9">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jc w:val="left"/>
              <w:rPr>
                <w:rFonts w:hint="eastAsia" w:ascii="宋体" w:hAnsi="宋体" w:cs="宋体"/>
                <w:b/>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lang w:eastAsia="zh-CN"/>
              </w:rPr>
              <w:t>2026年1月以来</w:t>
            </w:r>
            <w:r>
              <w:rPr>
                <w:rFonts w:hint="eastAsia" w:ascii="宋体" w:hAnsi="宋体" w:cs="宋体"/>
                <w:color w:val="auto"/>
                <w:szCs w:val="21"/>
                <w:highlight w:val="none"/>
              </w:rPr>
              <w:t>任意连续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的依法缴纳社会保障资金的缴费凭证（专用收据或者社会保险缴纳清单或者社保部门的证明）复印件；依法不需要缴纳社会保障资金的投标人，必须提供相应文件证明不需要缴纳社会保障资金。从成立之日起到投标文件提交截止时间止不足要求月数的只需提供从成立之日起的依法缴纳社会保障资金的相应证明文件]（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24C09199">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4.投标人（或其总公司）财务状况报告【</w:t>
            </w:r>
            <w:r>
              <w:rPr>
                <w:rFonts w:hint="eastAsia" w:ascii="宋体" w:hAnsi="宋体" w:cs="宋体"/>
                <w:color w:val="auto"/>
                <w:szCs w:val="21"/>
                <w:highlight w:val="none"/>
                <w:u w:val="single"/>
                <w:lang w:eastAsia="zh-CN"/>
              </w:rPr>
              <w:t>2025年度</w:t>
            </w:r>
            <w:r>
              <w:rPr>
                <w:rFonts w:hint="eastAsia" w:ascii="宋体" w:hAnsi="宋体" w:cs="宋体"/>
                <w:color w:val="auto"/>
                <w:szCs w:val="21"/>
                <w:highlight w:val="none"/>
              </w:rPr>
              <w:t>的财务审计报告（至少包括资产负债表、利润表、现金流量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4EF711A">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5.投标人直接控股、管理关系信息表（格式后附）；（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8721D03">
            <w:pPr>
              <w:keepNext w:val="0"/>
              <w:keepLines w:val="0"/>
              <w:suppressLineNumbers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6.投标声明（格式后附）；（</w:t>
            </w:r>
            <w:r>
              <w:rPr>
                <w:rFonts w:hint="eastAsia" w:ascii="宋体" w:hAnsi="宋体" w:cs="宋体"/>
                <w:b/>
                <w:color w:val="auto"/>
                <w:szCs w:val="21"/>
                <w:highlight w:val="none"/>
              </w:rPr>
              <w:t>需法定代表人签字或电子签名，必须提供，否则按无效投标处理</w:t>
            </w:r>
            <w:r>
              <w:rPr>
                <w:rFonts w:hint="eastAsia" w:ascii="宋体" w:hAnsi="宋体" w:cs="宋体"/>
                <w:color w:val="auto"/>
                <w:szCs w:val="21"/>
                <w:highlight w:val="none"/>
              </w:rPr>
              <w:t>）</w:t>
            </w:r>
          </w:p>
          <w:p w14:paraId="07ED0ED3">
            <w:pPr>
              <w:keepNext w:val="0"/>
              <w:keepLines w:val="0"/>
              <w:suppressLineNumbers w:val="0"/>
              <w:snapToGrid w:val="0"/>
              <w:spacing w:before="0" w:beforeAutospacing="0" w:after="0" w:afterAutospacing="0" w:line="360" w:lineRule="auto"/>
              <w:ind w:left="0" w:right="0" w:firstLine="420" w:firstLineChars="200"/>
              <w:jc w:val="left"/>
              <w:rPr>
                <w:rFonts w:hint="eastAsia"/>
                <w:color w:val="auto"/>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.联合体协议书（格式后附）；（</w:t>
            </w:r>
            <w:r>
              <w:rPr>
                <w:rFonts w:hint="eastAsia" w:ascii="宋体" w:hAnsi="宋体"/>
                <w:b/>
                <w:color w:val="auto"/>
                <w:szCs w:val="21"/>
                <w:highlight w:val="none"/>
              </w:rPr>
              <w:t>联合体投标时必须提供，否则按无效投标处理</w:t>
            </w:r>
            <w:r>
              <w:rPr>
                <w:rFonts w:hint="eastAsia" w:ascii="宋体" w:hAnsi="宋体"/>
                <w:b/>
                <w:color w:val="auto"/>
                <w:szCs w:val="21"/>
                <w:highlight w:val="none"/>
                <w:lang w:val="en-US" w:eastAsia="zh-CN"/>
              </w:rPr>
              <w:t>,本项目不适用本条</w:t>
            </w:r>
            <w:r>
              <w:rPr>
                <w:rFonts w:hint="eastAsia" w:ascii="宋体" w:hAnsi="宋体"/>
                <w:color w:val="auto"/>
                <w:szCs w:val="21"/>
                <w:highlight w:val="none"/>
              </w:rPr>
              <w:t>）</w:t>
            </w:r>
          </w:p>
          <w:p w14:paraId="20CF2EE1">
            <w:pPr>
              <w:keepNext w:val="0"/>
              <w:keepLines w:val="0"/>
              <w:suppressLineNumbers w:val="0"/>
              <w:snapToGrid w:val="0"/>
              <w:spacing w:before="0" w:beforeAutospacing="0" w:after="0" w:afterAutospacing="0" w:line="360" w:lineRule="auto"/>
              <w:ind w:left="0" w:right="0" w:firstLine="420" w:firstLineChars="200"/>
              <w:jc w:val="left"/>
              <w:rPr>
                <w:rFonts w:hint="default" w:ascii="宋体" w:hAnsi="宋体"/>
                <w:b/>
                <w:bCs/>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hAnsi="宋体"/>
                <w:color w:val="auto"/>
                <w:szCs w:val="21"/>
                <w:highlight w:val="none"/>
              </w:rPr>
              <w:t>投标人有效的《保险许可证》或授权总公司的《保险许可证》复印件</w:t>
            </w:r>
            <w:r>
              <w:rPr>
                <w:rFonts w:hint="eastAsia" w:ascii="宋体" w:hAnsi="宋体"/>
                <w:i/>
                <w:color w:val="auto"/>
                <w:szCs w:val="21"/>
                <w:highlight w:val="none"/>
              </w:rPr>
              <w:t>；</w:t>
            </w:r>
            <w:r>
              <w:rPr>
                <w:rFonts w:hint="eastAsia" w:ascii="宋体" w:hAnsi="宋体"/>
                <w:b/>
                <w:bCs/>
                <w:color w:val="auto"/>
                <w:szCs w:val="21"/>
                <w:highlight w:val="none"/>
              </w:rPr>
              <w:t>（必须提供，否则按无效投标处理）</w:t>
            </w:r>
          </w:p>
          <w:p w14:paraId="6FD2CFD4">
            <w:pPr>
              <w:keepNext w:val="0"/>
              <w:keepLines w:val="0"/>
              <w:suppressLineNumbers w:val="0"/>
              <w:snapToGrid w:val="0"/>
              <w:spacing w:before="0" w:beforeAutospacing="0" w:after="0" w:afterAutospacing="0" w:line="360" w:lineRule="auto"/>
              <w:ind w:left="0" w:right="0" w:firstLine="420"/>
              <w:jc w:val="left"/>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9.如投标人为分公司等分支机构的，则应提供由其总公司出具相关授权书(含总公司的营业执照复印件)，并在授权书中明确总公司将相应承担其分公司等分支机构在本项目中的民事责任;</w:t>
            </w:r>
            <w:r>
              <w:rPr>
                <w:rFonts w:hint="eastAsia" w:ascii="宋体" w:hAnsi="宋体"/>
                <w:b/>
                <w:bCs/>
                <w:color w:val="auto"/>
                <w:szCs w:val="21"/>
                <w:highlight w:val="none"/>
                <w:lang w:val="en-US" w:eastAsia="zh-CN"/>
              </w:rPr>
              <w:t>（仅供总公司授权分公司投标时使用，投标文件中必须提供授权书，否则按无效投标处理；其他有独立法人资格的供应商不须提供）</w:t>
            </w:r>
          </w:p>
          <w:p w14:paraId="35D38D82">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b/>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.除招标文件规定必须提供以外，投标人认为需要提供的其他证明材料。（如有请提供）</w:t>
            </w:r>
          </w:p>
          <w:p w14:paraId="0073633A">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r>
              <w:rPr>
                <w:rFonts w:hint="eastAsia" w:ascii="宋体" w:hAnsi="宋体" w:cs="宋体"/>
                <w:b/>
                <w:color w:val="auto"/>
                <w:szCs w:val="21"/>
                <w:highlight w:val="none"/>
              </w:rPr>
              <w:t>格式中有要求法定代表人或者委托代理人签字的，必须按要求签字（或是电子签名），并加盖供应商电子签章，否则</w:t>
            </w:r>
            <w:r>
              <w:rPr>
                <w:rFonts w:hint="eastAsia" w:ascii="宋体" w:hAnsi="宋体" w:cs="宋体"/>
                <w:b/>
                <w:color w:val="auto"/>
                <w:szCs w:val="21"/>
                <w:highlight w:val="none"/>
                <w:lang w:eastAsia="zh-CN"/>
              </w:rPr>
              <w:t>投标文件</w:t>
            </w:r>
            <w:r>
              <w:rPr>
                <w:rFonts w:hint="eastAsia" w:ascii="宋体" w:hAnsi="宋体" w:cs="宋体"/>
                <w:b/>
                <w:color w:val="auto"/>
                <w:szCs w:val="21"/>
                <w:highlight w:val="none"/>
              </w:rPr>
              <w:t>按无效处理。</w:t>
            </w:r>
          </w:p>
          <w:p w14:paraId="19E49276">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2.联合体投标时，第1-5项资格证明文件联合体各方均必须分别提供，</w:t>
            </w:r>
            <w:r>
              <w:rPr>
                <w:rFonts w:hint="eastAsia" w:ascii="宋体" w:hAnsi="宋体" w:cs="宋体"/>
                <w:b/>
                <w:color w:val="auto"/>
                <w:szCs w:val="21"/>
                <w:highlight w:val="none"/>
              </w:rPr>
              <w:t>并由联合体牵头人加盖电子签章</w:t>
            </w:r>
            <w:r>
              <w:rPr>
                <w:rFonts w:hint="eastAsia" w:ascii="宋体" w:hAnsi="宋体" w:cs="宋体"/>
                <w:b/>
                <w:color w:val="auto"/>
                <w:szCs w:val="21"/>
                <w:highlight w:val="none"/>
                <w:lang w:eastAsia="zh-CN"/>
              </w:rPr>
              <w:t>，在</w:t>
            </w:r>
            <w:r>
              <w:rPr>
                <w:rFonts w:hint="eastAsia" w:ascii="宋体" w:hAnsi="宋体" w:cs="宋体"/>
                <w:b/>
                <w:color w:val="auto"/>
                <w:szCs w:val="21"/>
                <w:highlight w:val="none"/>
              </w:rPr>
              <w:t>规定签字处签字</w:t>
            </w:r>
            <w:r>
              <w:rPr>
                <w:rFonts w:hint="eastAsia" w:ascii="宋体" w:hAnsi="宋体" w:cs="宋体"/>
                <w:b/>
                <w:bCs/>
                <w:color w:val="auto"/>
                <w:szCs w:val="21"/>
                <w:highlight w:val="none"/>
              </w:rPr>
              <w:t>（或者电子签名），否则按无效投标</w:t>
            </w:r>
            <w:r>
              <w:rPr>
                <w:rFonts w:hint="eastAsia" w:ascii="宋体" w:hAnsi="宋体" w:cs="宋体"/>
                <w:b/>
                <w:color w:val="auto"/>
                <w:szCs w:val="21"/>
                <w:highlight w:val="none"/>
              </w:rPr>
              <w:t>处理</w:t>
            </w:r>
            <w:r>
              <w:rPr>
                <w:rFonts w:hint="eastAsia" w:ascii="宋体" w:hAnsi="宋体" w:cs="宋体"/>
                <w:b/>
                <w:color w:val="auto"/>
                <w:szCs w:val="21"/>
                <w:highlight w:val="none"/>
                <w:lang w:val="en-US" w:eastAsia="zh-CN"/>
              </w:rPr>
              <w:t>(</w:t>
            </w:r>
            <w:r>
              <w:rPr>
                <w:rFonts w:hint="eastAsia" w:ascii="宋体" w:hAnsi="宋体" w:cs="宋体"/>
                <w:b/>
                <w:color w:val="auto"/>
                <w:szCs w:val="21"/>
                <w:highlight w:val="none"/>
                <w:lang w:eastAsia="zh-CN"/>
              </w:rPr>
              <w:t>本项目不适用本条</w:t>
            </w:r>
            <w:r>
              <w:rPr>
                <w:rFonts w:hint="eastAsia" w:ascii="宋体" w:hAnsi="宋体" w:cs="宋体"/>
                <w:b/>
                <w:color w:val="auto"/>
                <w:szCs w:val="21"/>
                <w:highlight w:val="none"/>
                <w:lang w:val="en-US" w:eastAsia="zh-CN"/>
              </w:rPr>
              <w:t>)</w:t>
            </w:r>
            <w:r>
              <w:rPr>
                <w:rFonts w:hint="eastAsia" w:ascii="宋体" w:hAnsi="宋体" w:cs="宋体"/>
                <w:b/>
                <w:bCs/>
                <w:color w:val="auto"/>
                <w:szCs w:val="21"/>
                <w:highlight w:val="none"/>
              </w:rPr>
              <w:t>。</w:t>
            </w:r>
          </w:p>
        </w:tc>
      </w:tr>
      <w:tr w14:paraId="31E78A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noWrap w:val="0"/>
            <w:vAlign w:val="center"/>
          </w:tcPr>
          <w:p w14:paraId="77C1051C">
            <w:pPr>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color w:val="auto"/>
                <w:szCs w:val="21"/>
                <w:highlight w:val="none"/>
              </w:rPr>
            </w:pPr>
            <w:bookmarkStart w:id="67" w:name="_13.3"/>
            <w:bookmarkEnd w:id="67"/>
          </w:p>
        </w:tc>
        <w:tc>
          <w:tcPr>
            <w:tcW w:w="8175" w:type="dxa"/>
            <w:tcBorders>
              <w:top w:val="single" w:color="auto" w:sz="4" w:space="0"/>
              <w:left w:val="single" w:color="auto" w:sz="4" w:space="0"/>
              <w:bottom w:val="single" w:color="auto" w:sz="4" w:space="0"/>
              <w:right w:val="single" w:color="auto" w:sz="4" w:space="0"/>
            </w:tcBorders>
            <w:noWrap w:val="0"/>
            <w:vAlign w:val="center"/>
          </w:tcPr>
          <w:p w14:paraId="214D7FD7">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b/>
                <w:color w:val="auto"/>
                <w:szCs w:val="21"/>
                <w:highlight w:val="none"/>
              </w:rPr>
            </w:pPr>
            <w:r>
              <w:rPr>
                <w:rFonts w:hint="eastAsia" w:ascii="宋体" w:hAnsi="宋体" w:cs="宋体"/>
                <w:b/>
                <w:color w:val="auto"/>
                <w:kern w:val="0"/>
                <w:szCs w:val="21"/>
                <w:highlight w:val="none"/>
              </w:rPr>
              <w:t>商务及技术文件</w:t>
            </w:r>
            <w:r>
              <w:rPr>
                <w:rFonts w:hint="eastAsia" w:ascii="宋体" w:hAnsi="宋体" w:cs="宋体"/>
                <w:b/>
                <w:color w:val="auto"/>
                <w:szCs w:val="21"/>
                <w:highlight w:val="none"/>
              </w:rPr>
              <w:t>：</w:t>
            </w:r>
          </w:p>
          <w:p w14:paraId="1EDBE16B">
            <w:pPr>
              <w:pStyle w:val="34"/>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2"/>
              <w:rPr>
                <w:rFonts w:hint="eastAsia" w:hAnsi="宋体" w:cs="宋体"/>
                <w:color w:val="auto"/>
                <w:szCs w:val="21"/>
                <w:highlight w:val="none"/>
              </w:rPr>
            </w:pPr>
            <w:r>
              <w:rPr>
                <w:rFonts w:hint="eastAsia" w:hAnsi="宋体" w:cs="宋体"/>
                <w:color w:val="auto"/>
                <w:szCs w:val="21"/>
                <w:highlight w:val="none"/>
              </w:rPr>
              <w:t>商务文件：</w:t>
            </w:r>
          </w:p>
          <w:p w14:paraId="7F0EA0C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1.无串通投标行为的承诺函（格式后附）；（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97B6E69">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2.投标保证金缴纳证明；（</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14:paraId="14EF096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5F573CE">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color w:val="auto"/>
                <w:szCs w:val="21"/>
                <w:highlight w:val="none"/>
              </w:rPr>
              <w:t>委托时必须提供，否则按无效投标处理</w:t>
            </w:r>
            <w:r>
              <w:rPr>
                <w:rFonts w:hint="eastAsia" w:ascii="宋体" w:hAnsi="宋体" w:cs="宋体"/>
                <w:color w:val="auto"/>
                <w:szCs w:val="21"/>
                <w:highlight w:val="none"/>
              </w:rPr>
              <w:t>）</w:t>
            </w:r>
          </w:p>
          <w:p w14:paraId="1544CE00">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6097A41">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6.售后服务承诺（格式自拟）；（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0F58CAC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7.投标人情况介绍（格式自拟）；（如有请提供）</w:t>
            </w:r>
          </w:p>
          <w:p w14:paraId="7F8F115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8.投标人业绩证明材料（格式后附）；（如有请提供）</w:t>
            </w:r>
          </w:p>
          <w:p w14:paraId="2EB265DC">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9.除招标文件规定必须提供以外，投标人认为需要提供的其他证明材料（格式自拟）。（投标人根据“第二章 采购需求”及“第四章 评标方法及评标标准”提供有关证明材料）。（如有请提供）</w:t>
            </w:r>
          </w:p>
          <w:p w14:paraId="71C6A874">
            <w:pPr>
              <w:pStyle w:val="34"/>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2"/>
              <w:rPr>
                <w:rFonts w:hint="eastAsia" w:hAnsi="宋体" w:cs="宋体"/>
                <w:color w:val="auto"/>
                <w:szCs w:val="21"/>
                <w:highlight w:val="none"/>
              </w:rPr>
            </w:pPr>
            <w:r>
              <w:rPr>
                <w:rFonts w:hint="eastAsia" w:hAnsi="宋体" w:cs="宋体"/>
                <w:color w:val="auto"/>
                <w:szCs w:val="21"/>
                <w:highlight w:val="none"/>
              </w:rPr>
              <w:t>技术文件：</w:t>
            </w:r>
          </w:p>
          <w:p w14:paraId="4C2E7406">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1.技术要求偏离表（格式后附）；（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74C0FF79">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2.服务实施方案（格式自拟）；（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188C451">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3.项目实施人员一览表（格式后附）；（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08392E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.保险业务管理规章制度； （如有请提供）</w:t>
            </w:r>
          </w:p>
          <w:p w14:paraId="358308C6">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经营网点</w:t>
            </w:r>
            <w:r>
              <w:rPr>
                <w:rFonts w:hint="eastAsia" w:ascii="宋体" w:hAnsi="宋体" w:cs="宋体"/>
                <w:color w:val="auto"/>
                <w:szCs w:val="21"/>
                <w:highlight w:val="none"/>
              </w:rPr>
              <w:t>情况证明材料；（如有请提供）</w:t>
            </w:r>
          </w:p>
          <w:p w14:paraId="1917D3D4">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.投标人对本项目的合理化建议和改进措施（格式自拟）；（如有请提供）</w:t>
            </w:r>
          </w:p>
          <w:p w14:paraId="498352C9">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.除招标文件规定必须提供以外，投标人认为需要提供的其他证明材料（格式自拟）。（投标人根据“第二章 采购需求”及“第四章 评标方法及评标标准”提供有关证明材料）。（如有请提供）</w:t>
            </w:r>
          </w:p>
          <w:p w14:paraId="3F1792B1">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p>
          <w:p w14:paraId="722D3CA4">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2.联合体投标时，盖章处须加盖联合体牵头人电子签章</w:t>
            </w:r>
            <w:r>
              <w:rPr>
                <w:rFonts w:hint="eastAsia" w:ascii="宋体" w:hAnsi="宋体" w:cs="宋体"/>
                <w:b/>
                <w:bCs/>
                <w:color w:val="auto"/>
                <w:szCs w:val="21"/>
                <w:highlight w:val="none"/>
                <w:lang w:eastAsia="zh-CN"/>
              </w:rPr>
              <w:t>，在</w:t>
            </w:r>
            <w:r>
              <w:rPr>
                <w:rFonts w:hint="eastAsia" w:ascii="宋体" w:hAnsi="宋体" w:cs="宋体"/>
                <w:b/>
                <w:bCs/>
                <w:color w:val="auto"/>
                <w:szCs w:val="21"/>
                <w:highlight w:val="none"/>
              </w:rPr>
              <w:t>规定签字处签字（或者电子签名），否则</w:t>
            </w:r>
            <w:r>
              <w:rPr>
                <w:rFonts w:hint="eastAsia" w:ascii="宋体" w:hAnsi="宋体" w:cs="宋体"/>
                <w:b/>
                <w:bCs/>
                <w:color w:val="auto"/>
                <w:szCs w:val="21"/>
                <w:highlight w:val="none"/>
                <w:lang w:eastAsia="zh-CN"/>
              </w:rPr>
              <w:t>投标文件</w:t>
            </w:r>
            <w:r>
              <w:rPr>
                <w:rFonts w:hint="eastAsia" w:ascii="宋体" w:hAnsi="宋体" w:cs="宋体"/>
                <w:b/>
                <w:bCs/>
                <w:color w:val="auto"/>
                <w:szCs w:val="21"/>
                <w:highlight w:val="none"/>
              </w:rPr>
              <w:t>按无效处理</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lang w:eastAsia="zh-CN"/>
              </w:rPr>
              <w:t>本项目不适用本条</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w:t>
            </w:r>
          </w:p>
        </w:tc>
      </w:tr>
      <w:tr w14:paraId="21462C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86274A4">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68" w:name="_13.4"/>
            <w:bookmarkEnd w:id="68"/>
            <w:bookmarkStart w:id="69" w:name="_13.5"/>
            <w:bookmarkEnd w:id="69"/>
            <w:bookmarkStart w:id="70" w:name="_16.2"/>
            <w:bookmarkEnd w:id="70"/>
            <w:r>
              <w:rPr>
                <w:rFonts w:hint="eastAsia" w:ascii="宋体" w:hAnsi="宋体" w:cs="宋体"/>
                <w:color w:val="auto"/>
                <w:szCs w:val="21"/>
                <w:highlight w:val="none"/>
              </w:rPr>
              <w:t>16</w:t>
            </w:r>
            <w:bookmarkStart w:id="71" w:name="_Hlt19194067"/>
            <w:bookmarkStart w:id="72" w:name="_Hlt19693758"/>
            <w:bookmarkStart w:id="73" w:name="_Hlt19693759"/>
            <w:bookmarkStart w:id="74" w:name="_Hlt19194066"/>
            <w:r>
              <w:rPr>
                <w:rFonts w:hint="eastAsia" w:ascii="宋体" w:hAnsi="宋体" w:cs="宋体"/>
                <w:color w:val="auto"/>
                <w:szCs w:val="21"/>
                <w:highlight w:val="none"/>
              </w:rPr>
              <w:t>.</w:t>
            </w:r>
            <w:bookmarkEnd w:id="71"/>
            <w:bookmarkEnd w:id="72"/>
            <w:bookmarkEnd w:id="73"/>
            <w:bookmarkEnd w:id="74"/>
            <w:r>
              <w:rPr>
                <w:rFonts w:hint="eastAsia" w:ascii="宋体" w:hAnsi="宋体" w:cs="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C029B5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投标报价是履行合同的最终价格</w:t>
            </w:r>
            <w:r>
              <w:rPr>
                <w:rFonts w:hint="eastAsia" w:ascii="宋体" w:hAnsi="宋体" w:cs="宋体"/>
                <w:color w:val="auto"/>
                <w:szCs w:val="21"/>
                <w:highlight w:val="none"/>
                <w:lang w:eastAsia="zh-CN"/>
              </w:rPr>
              <w:t>（</w:t>
            </w:r>
            <w:r>
              <w:rPr>
                <w:rFonts w:hint="eastAsia" w:ascii="宋体" w:hAnsi="宋体" w:cs="宋体"/>
                <w:b/>
                <w:bCs/>
                <w:color w:val="auto"/>
                <w:szCs w:val="21"/>
                <w:highlight w:val="none"/>
                <w:lang w:eastAsia="zh-CN"/>
              </w:rPr>
              <w:t>按固定单价计算，总价以最后核定人数为准</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3E150B6E">
            <w:pPr>
              <w:keepNext w:val="0"/>
              <w:keepLines w:val="0"/>
              <w:suppressLineNumbers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包括</w:t>
            </w:r>
            <w:r>
              <w:rPr>
                <w:rFonts w:hint="eastAsia" w:ascii="宋体" w:hAnsi="宋体" w:cs="宋体"/>
                <w:color w:val="auto"/>
                <w:szCs w:val="21"/>
                <w:highlight w:val="none"/>
                <w:lang w:eastAsia="zh-CN"/>
              </w:rPr>
              <w:t>：</w:t>
            </w:r>
          </w:p>
          <w:p w14:paraId="674BA9E7">
            <w:pPr>
              <w:keepNext w:val="0"/>
              <w:keepLines w:val="0"/>
              <w:suppressLineNumbers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1.培训、技术支持、售后服务费。</w:t>
            </w:r>
          </w:p>
          <w:p w14:paraId="72E76BD0">
            <w:pPr>
              <w:keepNext w:val="0"/>
              <w:keepLines w:val="0"/>
              <w:suppressLineNumbers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2.驻场人员、服务人员的工资、社保、差旅费/食宿费、相关福利等费用。</w:t>
            </w:r>
          </w:p>
          <w:p w14:paraId="261037CD">
            <w:pPr>
              <w:keepNext w:val="0"/>
              <w:keepLines w:val="0"/>
              <w:suppressLineNumbers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3.实施该项目所产生的一切费用。</w:t>
            </w:r>
          </w:p>
          <w:p w14:paraId="198C18A7">
            <w:pPr>
              <w:keepNext w:val="0"/>
              <w:keepLines w:val="0"/>
              <w:suppressLineNumbers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4.履约验收所产生的一切费用。</w:t>
            </w:r>
          </w:p>
          <w:p w14:paraId="1FE6DCB7">
            <w:pPr>
              <w:keepNext w:val="0"/>
              <w:keepLines w:val="0"/>
              <w:suppressLineNumbers w:val="0"/>
              <w:snapToGrid w:val="0"/>
              <w:spacing w:before="0" w:beforeAutospacing="0" w:after="0" w:afterAutospacing="0" w:line="400" w:lineRule="exact"/>
              <w:ind w:left="0" w:right="0"/>
              <w:rPr>
                <w:rFonts w:hint="eastAsia"/>
                <w:color w:val="auto"/>
                <w:highlight w:val="none"/>
              </w:rPr>
            </w:pPr>
            <w:r>
              <w:rPr>
                <w:rFonts w:hint="eastAsia" w:ascii="宋体" w:hAnsi="宋体" w:cs="宋体"/>
                <w:color w:val="auto"/>
                <w:szCs w:val="21"/>
                <w:highlight w:val="none"/>
              </w:rPr>
              <w:t>5.向采购人委托的保险经纪服务公司支付保险经纪服务费。</w:t>
            </w:r>
          </w:p>
        </w:tc>
      </w:tr>
      <w:tr w14:paraId="5620D8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C32B41E">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75" w:name="_17.1"/>
            <w:bookmarkEnd w:id="75"/>
            <w:r>
              <w:rPr>
                <w:rFonts w:hint="eastAsia" w:ascii="宋体" w:hAnsi="宋体" w:cs="宋体"/>
                <w:color w:val="auto"/>
                <w:szCs w:val="21"/>
                <w:highlight w:val="none"/>
              </w:rPr>
              <w:t>17.2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40C4198">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投标有效期：自投标截止之日起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00C66C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A927719">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76" w:name="_18"/>
            <w:bookmarkEnd w:id="76"/>
            <w:r>
              <w:rPr>
                <w:rFonts w:hint="eastAsia" w:ascii="宋体" w:hAnsi="宋体" w:cs="宋体"/>
                <w:color w:val="auto"/>
                <w:szCs w:val="21"/>
                <w:highlight w:val="none"/>
              </w:rPr>
              <w:t>18.1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15109D5">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本项目不收取投标保证金。</w:t>
            </w:r>
          </w:p>
          <w:p w14:paraId="1E0B59D4">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本项目收取投标保证金，具体规定</w:t>
            </w:r>
            <w:r>
              <w:rPr>
                <w:rFonts w:hint="eastAsia" w:ascii="宋体" w:hAnsi="宋体" w:eastAsia="宋体" w:cs="宋体"/>
                <w:color w:val="auto"/>
                <w:szCs w:val="21"/>
                <w:highlight w:val="none"/>
                <w:lang w:val="en-US" w:eastAsia="zh-CN"/>
              </w:rPr>
              <w:t>如下：</w:t>
            </w:r>
          </w:p>
          <w:p w14:paraId="5F87DAB1">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投标保证金人民币 </w:t>
            </w:r>
            <w:r>
              <w:rPr>
                <w:rFonts w:hint="eastAsia" w:ascii="宋体" w:hAnsi="宋体" w:cs="宋体"/>
                <w:color w:val="auto"/>
                <w:szCs w:val="21"/>
                <w:highlight w:val="none"/>
                <w:lang w:val="en-US" w:eastAsia="zh-CN"/>
              </w:rPr>
              <w:t>17万</w:t>
            </w:r>
            <w:r>
              <w:rPr>
                <w:rFonts w:hint="eastAsia" w:ascii="宋体" w:hAnsi="宋体" w:eastAsia="宋体" w:cs="宋体"/>
                <w:color w:val="auto"/>
                <w:szCs w:val="21"/>
                <w:highlight w:val="none"/>
              </w:rPr>
              <w:t>元。</w:t>
            </w:r>
          </w:p>
          <w:p w14:paraId="15E79B51">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的交纳方式：银行转账、支票、汇票、本票或者金融、担保机构出具的保函（包含电子保函），禁止采用现钞方式。采用银行转账方式的，在投标截止时间前从投标人账户交至指定账户并且到账【开户银行：招商银行南宁分行营业部，开户名称：</w:t>
            </w:r>
            <w:r>
              <w:rPr>
                <w:rFonts w:hint="eastAsia" w:ascii="宋体" w:hAnsi="宋体" w:eastAsia="宋体" w:cs="宋体"/>
                <w:color w:val="auto"/>
                <w:szCs w:val="21"/>
                <w:highlight w:val="none"/>
                <w:lang w:eastAsia="zh-CN"/>
              </w:rPr>
              <w:t>广西建设工程机电设备招标中心有限公司</w:t>
            </w:r>
            <w:r>
              <w:rPr>
                <w:rFonts w:hint="eastAsia" w:ascii="宋体" w:hAnsi="宋体" w:eastAsia="宋体" w:cs="宋体"/>
                <w:color w:val="auto"/>
                <w:szCs w:val="21"/>
                <w:highlight w:val="none"/>
              </w:rPr>
              <w:t>，银行账号：</w:t>
            </w:r>
            <w:r>
              <w:rPr>
                <w:rFonts w:hint="eastAsia" w:ascii="宋体" w:hAnsi="宋体" w:cs="宋体"/>
                <w:color w:val="auto"/>
                <w:szCs w:val="21"/>
                <w:highlight w:val="none"/>
              </w:rPr>
              <w:t>7719  0142  3310  201</w:t>
            </w:r>
            <w:r>
              <w:rPr>
                <w:rFonts w:hint="eastAsia" w:ascii="宋体" w:hAnsi="宋体" w:eastAsia="宋体" w:cs="宋体"/>
                <w:color w:val="auto"/>
                <w:szCs w:val="21"/>
                <w:highlight w:val="none"/>
              </w:rPr>
              <w:t>】；采用支票、汇票、本票或者保函等方式的，在投标截止时间前，投标人必须递交单独密封的支票、汇票、本票或者保函原件。否则视为无效投标保证金。</w:t>
            </w:r>
          </w:p>
          <w:p w14:paraId="1E27DEAF">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相关要求：</w:t>
            </w:r>
          </w:p>
          <w:p w14:paraId="35B039F2">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1.投标保证金采用银行转账交纳方式的，在投标截止时间前交至指定账户并且到账，投标人应将银行转账底单的复印件作为投标保证金提交凭证，放置于商务及技术文件中，</w:t>
            </w:r>
            <w:r>
              <w:rPr>
                <w:rFonts w:hint="eastAsia" w:ascii="宋体" w:hAnsi="宋体" w:eastAsia="宋体" w:cs="宋体"/>
                <w:b/>
                <w:bCs/>
                <w:color w:val="auto"/>
                <w:szCs w:val="21"/>
                <w:highlight w:val="none"/>
                <w:lang w:val="en-US" w:eastAsia="zh-CN"/>
              </w:rPr>
              <w:t>否则投标无效</w:t>
            </w:r>
            <w:r>
              <w:rPr>
                <w:rFonts w:hint="eastAsia" w:ascii="宋体" w:hAnsi="宋体" w:eastAsia="宋体" w:cs="宋体"/>
                <w:color w:val="auto"/>
                <w:szCs w:val="21"/>
                <w:highlight w:val="none"/>
                <w:lang w:val="en-US" w:eastAsia="zh-CN"/>
              </w:rPr>
              <w:t>。</w:t>
            </w:r>
          </w:p>
          <w:p w14:paraId="13D56608">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2.投标保证金采用支票、汇票、本票或者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出具的保函（包含电子保函）交纳方式的，投标人应将支票、汇票、本票或者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出具的保函（包含电子保函）的复印件作为投标保证金提交凭证，放置于商务及技术文件中，</w:t>
            </w:r>
            <w:r>
              <w:rPr>
                <w:rFonts w:hint="eastAsia" w:ascii="宋体" w:hAnsi="宋体" w:eastAsia="宋体" w:cs="宋体"/>
                <w:b/>
                <w:bCs/>
                <w:color w:val="auto"/>
                <w:szCs w:val="21"/>
                <w:highlight w:val="none"/>
              </w:rPr>
              <w:t>否则投标无效</w:t>
            </w:r>
            <w:r>
              <w:rPr>
                <w:rFonts w:hint="eastAsia" w:ascii="宋体" w:hAnsi="宋体" w:eastAsia="宋体" w:cs="宋体"/>
                <w:color w:val="auto"/>
                <w:szCs w:val="21"/>
                <w:highlight w:val="none"/>
              </w:rPr>
              <w:t>。投标人必须在投标截止时间前采用现场或邮寄方式（现场提交地址：广西壮族自治区公共资源交易中心（广西南宁市青秀区</w:t>
            </w:r>
            <w:r>
              <w:rPr>
                <w:rFonts w:hint="eastAsia" w:ascii="宋体" w:hAnsi="宋体" w:eastAsia="宋体" w:cs="宋体"/>
                <w:color w:val="auto"/>
                <w:szCs w:val="21"/>
                <w:highlight w:val="none"/>
                <w:lang w:eastAsia="zh-CN"/>
              </w:rPr>
              <w:t>星湖路22号开标楼</w:t>
            </w:r>
            <w:r>
              <w:rPr>
                <w:rFonts w:hint="eastAsia" w:ascii="宋体" w:hAnsi="宋体" w:eastAsia="宋体" w:cs="宋体"/>
                <w:color w:val="auto"/>
                <w:szCs w:val="21"/>
                <w:highlight w:val="none"/>
              </w:rPr>
              <w:t>）（具体根据开标当日电子屏幕显示的安排）；邮寄地址：</w:t>
            </w:r>
            <w:r>
              <w:rPr>
                <w:rFonts w:hint="eastAsia" w:ascii="宋体" w:hAnsi="宋体" w:eastAsia="宋体" w:cs="宋体"/>
                <w:color w:val="auto"/>
                <w:szCs w:val="21"/>
                <w:highlight w:val="none"/>
                <w:lang w:eastAsia="zh-CN"/>
              </w:rPr>
              <w:t>南宁市青秀区枫林路18号广西国控集团（枫林路办公区）裙楼三层</w:t>
            </w:r>
            <w:r>
              <w:rPr>
                <w:rFonts w:hint="eastAsia" w:ascii="宋体" w:hAnsi="宋体" w:eastAsia="宋体" w:cs="宋体"/>
                <w:color w:val="auto"/>
                <w:szCs w:val="21"/>
                <w:highlight w:val="none"/>
              </w:rPr>
              <w:t>，收件人：</w:t>
            </w:r>
            <w:r>
              <w:rPr>
                <w:rFonts w:hint="eastAsia" w:ascii="宋体" w:hAnsi="宋体" w:cs="宋体"/>
                <w:color w:val="auto"/>
                <w:szCs w:val="21"/>
                <w:highlight w:val="none"/>
                <w:lang w:val="en-US" w:eastAsia="zh-CN"/>
              </w:rPr>
              <w:t>吴兴红 刘风</w:t>
            </w:r>
            <w:r>
              <w:rPr>
                <w:rFonts w:hint="eastAsia" w:ascii="宋体" w:hAnsi="宋体" w:eastAsia="宋体" w:cs="宋体"/>
                <w:color w:val="auto"/>
                <w:szCs w:val="21"/>
                <w:highlight w:val="none"/>
              </w:rPr>
              <w:t>，联系方式：0771-</w:t>
            </w:r>
            <w:r>
              <w:rPr>
                <w:rFonts w:hint="eastAsia" w:ascii="宋体" w:hAnsi="宋体" w:cs="宋体"/>
                <w:color w:val="auto"/>
                <w:szCs w:val="21"/>
                <w:highlight w:val="none"/>
                <w:lang w:val="en-US" w:eastAsia="zh-CN"/>
              </w:rPr>
              <w:t>2807659</w:t>
            </w:r>
            <w:r>
              <w:rPr>
                <w:rFonts w:hint="eastAsia" w:ascii="宋体" w:hAnsi="宋体" w:eastAsia="宋体" w:cs="宋体"/>
                <w:color w:val="auto"/>
                <w:szCs w:val="21"/>
                <w:highlight w:val="none"/>
              </w:rPr>
              <w:t>）将单独密封的支票、汇票、本票或者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出具的保函原件提交给采购代理机构，未按时提交的，投标无效，由采购代理机构向投标人出具回执（邮寄方式的除外），并妥善保管。</w:t>
            </w:r>
          </w:p>
          <w:p w14:paraId="282DD555">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投标人为联合体的，可以由联合体中的一方或者多方共同交纳投标保证金，其交纳的保证金对联合体各方均具有约束力</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本</w:t>
            </w:r>
            <w:r>
              <w:rPr>
                <w:rFonts w:hint="eastAsia" w:ascii="宋体" w:hAnsi="宋体" w:cs="宋体"/>
                <w:color w:val="auto"/>
                <w:szCs w:val="21"/>
                <w:highlight w:val="none"/>
                <w:lang w:val="en-US" w:eastAsia="zh-CN"/>
              </w:rPr>
              <w:t>项目不适用本条)</w:t>
            </w:r>
            <w:r>
              <w:rPr>
                <w:rFonts w:hint="eastAsia" w:ascii="宋体" w:hAnsi="宋体" w:eastAsia="宋体" w:cs="宋体"/>
                <w:color w:val="auto"/>
                <w:szCs w:val="21"/>
                <w:highlight w:val="none"/>
              </w:rPr>
              <w:t>。</w:t>
            </w:r>
          </w:p>
          <w:p w14:paraId="364B5DA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备注： </w:t>
            </w:r>
          </w:p>
          <w:p w14:paraId="2228E5A1">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1.投标保证金在投标截止时间后提交的，或者不按规定交纳方式交纳的，或者未足额交纳的（包含保函额度不足的），视为无效投标保证金。</w:t>
            </w:r>
          </w:p>
          <w:p w14:paraId="7114CB9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2.投标人采用现钞方式或者从个人账户（自然人投标除外）转出的投标保证金，视为无效投标保证金。</w:t>
            </w:r>
          </w:p>
          <w:p w14:paraId="70B65F78">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3.支票、汇票或者本票出现无效或者背书情形的，视为无效投标保证金。</w:t>
            </w:r>
          </w:p>
          <w:p w14:paraId="59511082">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4.保函有效期低于投标有效期的，视为无效投标保证金。</w:t>
            </w:r>
          </w:p>
          <w:p w14:paraId="5B80771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color w:val="auto"/>
                <w:highlight w:val="none"/>
              </w:rPr>
            </w:pPr>
            <w:r>
              <w:rPr>
                <w:rFonts w:hint="eastAsia" w:ascii="宋体" w:hAnsi="宋体" w:eastAsia="宋体" w:cs="宋体"/>
                <w:b/>
                <w:bCs/>
                <w:color w:val="auto"/>
                <w:szCs w:val="21"/>
                <w:highlight w:val="none"/>
              </w:rPr>
              <w:t>5.采用</w:t>
            </w:r>
            <w:r>
              <w:rPr>
                <w:rFonts w:hint="eastAsia" w:ascii="宋体" w:hAnsi="宋体" w:cs="宋体"/>
                <w:b/>
                <w:bCs/>
                <w:color w:val="auto"/>
                <w:szCs w:val="21"/>
                <w:highlight w:val="none"/>
                <w:lang w:eastAsia="zh-CN"/>
              </w:rPr>
              <w:t>金融、担保机构</w:t>
            </w:r>
            <w:r>
              <w:rPr>
                <w:rFonts w:hint="eastAsia" w:ascii="宋体" w:hAnsi="宋体" w:eastAsia="宋体" w:cs="宋体"/>
                <w:b/>
                <w:bCs/>
                <w:color w:val="auto"/>
                <w:szCs w:val="21"/>
                <w:highlight w:val="none"/>
              </w:rPr>
              <w:t>出具保函的，必须为无条件保函，否则视为无效投标保证金。</w:t>
            </w:r>
          </w:p>
        </w:tc>
      </w:tr>
      <w:tr w14:paraId="1B40A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71C7B3FE">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77" w:name="_19.2"/>
            <w:bookmarkEnd w:id="77"/>
            <w:bookmarkStart w:id="78" w:name="_21.1"/>
            <w:bookmarkEnd w:id="78"/>
            <w:r>
              <w:rPr>
                <w:rFonts w:hint="eastAsia" w:ascii="宋体" w:hAnsi="宋体" w:cs="宋体"/>
                <w:color w:val="auto"/>
                <w:szCs w:val="21"/>
                <w:highlight w:val="none"/>
              </w:rPr>
              <w:t>20</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919CD18">
            <w:pPr>
              <w:keepNext w:val="0"/>
              <w:keepLines w:val="0"/>
              <w:pageBreakBefore w:val="0"/>
              <w:widowControl w:val="0"/>
              <w:suppressLineNumbers w:val="0"/>
              <w:kinsoku/>
              <w:overflowPunct/>
              <w:topLinePunct w:val="0"/>
              <w:autoSpaceDE w:val="0"/>
              <w:autoSpaceDN w:val="0"/>
              <w:bidi w:val="0"/>
              <w:adjustRightIn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本项目不接受电子备份投标文件 </w:t>
            </w:r>
          </w:p>
        </w:tc>
      </w:tr>
      <w:tr w14:paraId="03D8E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677B032F">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21.1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8593AB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u w:val="single"/>
              </w:rPr>
            </w:pPr>
            <w:r>
              <w:rPr>
                <w:rFonts w:hint="eastAsia" w:ascii="宋体" w:hAnsi="宋体" w:cs="宋体"/>
                <w:color w:val="auto"/>
                <w:szCs w:val="21"/>
                <w:highlight w:val="none"/>
              </w:rPr>
              <w:t>1.提交投标文件截止时间：详见招标公告</w:t>
            </w:r>
          </w:p>
          <w:p w14:paraId="13C94AFF">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2.投标地点：详见招标公告</w:t>
            </w:r>
          </w:p>
        </w:tc>
      </w:tr>
      <w:tr w14:paraId="17455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0C00E54">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79" w:name="_23"/>
            <w:bookmarkEnd w:id="79"/>
            <w:r>
              <w:rPr>
                <w:rFonts w:hint="eastAsia" w:ascii="宋体" w:hAnsi="宋体" w:cs="宋体"/>
                <w:color w:val="auto"/>
                <w:szCs w:val="21"/>
                <w:highlight w:val="none"/>
              </w:rPr>
              <w:t>23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F864225">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1.开标时间：详见招标公告</w:t>
            </w:r>
          </w:p>
          <w:p w14:paraId="0243BC9C">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2.开标地点：详见招标公告</w:t>
            </w:r>
          </w:p>
        </w:tc>
      </w:tr>
      <w:tr w14:paraId="613BC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486866E">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hint="eastAsia" w:ascii="宋体" w:hAnsi="宋体" w:cs="宋体"/>
                <w:color w:val="auto"/>
                <w:szCs w:val="21"/>
                <w:highlight w:val="none"/>
                <w:lang w:eastAsia="zh-CN"/>
              </w:rPr>
              <w:t>)</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ECD848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电子投标文件解密时间：</w:t>
            </w:r>
            <w:r>
              <w:rPr>
                <w:rFonts w:hint="eastAsia" w:ascii="宋体" w:hAnsi="宋体" w:cs="宋体"/>
                <w:color w:val="auto"/>
                <w:szCs w:val="21"/>
                <w:highlight w:val="none"/>
                <w:u w:val="single"/>
              </w:rPr>
              <w:t>30</w:t>
            </w:r>
            <w:r>
              <w:rPr>
                <w:rFonts w:hint="eastAsia" w:ascii="宋体" w:hAnsi="宋体" w:cs="宋体"/>
                <w:color w:val="auto"/>
                <w:szCs w:val="21"/>
                <w:highlight w:val="none"/>
              </w:rPr>
              <w:t>分钟</w:t>
            </w:r>
          </w:p>
        </w:tc>
      </w:tr>
      <w:tr w14:paraId="2A9556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9A35CE3">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0" w:name="_25.3"/>
            <w:bookmarkEnd w:id="80"/>
            <w:r>
              <w:rPr>
                <w:rFonts w:hint="eastAsia" w:ascii="宋体" w:hAnsi="宋体" w:cs="宋体"/>
                <w:color w:val="auto"/>
                <w:szCs w:val="21"/>
                <w:highlight w:val="none"/>
              </w:rPr>
              <w:t>25.3</w:t>
            </w:r>
            <w:r>
              <w:rPr>
                <w:rFonts w:hint="eastAsia" w:ascii="宋体" w:hAnsi="宋体" w:cs="宋体"/>
                <w:color w:val="auto"/>
                <w:szCs w:val="21"/>
                <w:highlight w:val="none"/>
                <w:lang w:eastAsia="zh-CN"/>
              </w:rPr>
              <w:t>(</w:t>
            </w:r>
            <w:r>
              <w:rPr>
                <w:rFonts w:hint="eastAsia" w:ascii="宋体" w:hAnsi="宋体" w:cs="宋体"/>
                <w:color w:val="auto"/>
                <w:szCs w:val="21"/>
                <w:highlight w:val="none"/>
              </w:rPr>
              <w:t>2</w:t>
            </w:r>
            <w:r>
              <w:rPr>
                <w:rFonts w:hint="eastAsia" w:ascii="宋体" w:hAnsi="宋体" w:cs="宋体"/>
                <w:color w:val="auto"/>
                <w:szCs w:val="21"/>
                <w:highlight w:val="none"/>
                <w:lang w:eastAsia="zh-CN"/>
              </w:rPr>
              <w:t>)</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725DE9D">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477A8F48">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查询渠道：“信用中国”网站（www.creditchina.gov.cn）、中国政府采购网（www.ccgp.gov.cn）。</w:t>
            </w:r>
          </w:p>
          <w:p w14:paraId="0BF1760E">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341F0B2F">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查询记录和证据留存方式：在查询网站中直接截图查询记录，截图</w:t>
            </w:r>
            <w:r>
              <w:rPr>
                <w:rFonts w:hint="eastAsia" w:ascii="宋体" w:hAnsi="宋体" w:cs="宋体"/>
                <w:color w:val="auto"/>
                <w:szCs w:val="21"/>
                <w:highlight w:val="none"/>
                <w:lang w:eastAsia="zh-CN"/>
              </w:rPr>
              <w:t>作为</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）作为附件上传保存。</w:t>
            </w:r>
          </w:p>
          <w:p w14:paraId="2EADBA69">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rPr>
                <w:rFonts w:hint="eastAsia" w:ascii="宋体" w:hAnsi="宋体" w:cs="宋体"/>
                <w:b/>
                <w:color w:val="auto"/>
                <w:szCs w:val="21"/>
                <w:highlight w:val="none"/>
              </w:rPr>
            </w:pPr>
            <w:r>
              <w:rPr>
                <w:rFonts w:hint="eastAsia" w:ascii="宋体" w:hAnsi="宋体" w:cs="宋体"/>
                <w:color w:val="auto"/>
                <w:szCs w:val="21"/>
                <w:highlight w:val="none"/>
              </w:rPr>
              <w:t>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或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4B348D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536380B3">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1" w:name="_26"/>
            <w:bookmarkEnd w:id="81"/>
            <w:r>
              <w:rPr>
                <w:rFonts w:hint="eastAsia" w:ascii="宋体" w:hAnsi="宋体" w:cs="宋体"/>
                <w:color w:val="auto"/>
                <w:szCs w:val="21"/>
                <w:highlight w:val="none"/>
              </w:rPr>
              <w:t>26.1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E97DC1E">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评标委员会的人数：</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人</w:t>
            </w:r>
          </w:p>
        </w:tc>
      </w:tr>
      <w:tr w14:paraId="598CA9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07892C10">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2" w:name="_28.3"/>
            <w:bookmarkEnd w:id="82"/>
            <w:r>
              <w:rPr>
                <w:rFonts w:hint="eastAsia" w:ascii="宋体" w:hAnsi="宋体" w:cs="宋体"/>
                <w:color w:val="auto"/>
                <w:szCs w:val="21"/>
                <w:highlight w:val="none"/>
              </w:rPr>
              <w:t>29.1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1C64126">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评标方法：综合评分法</w:t>
            </w:r>
          </w:p>
        </w:tc>
      </w:tr>
      <w:tr w14:paraId="3DA1B7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3029ABBF">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3" w:name="_29.2.2（2）"/>
            <w:bookmarkEnd w:id="83"/>
            <w:r>
              <w:rPr>
                <w:rFonts w:hint="eastAsia" w:ascii="宋体" w:hAnsi="宋体" w:cs="宋体"/>
                <w:color w:val="auto"/>
                <w:szCs w:val="21"/>
                <w:highlight w:val="none"/>
              </w:rPr>
              <w:t>29.2</w:t>
            </w:r>
          </w:p>
        </w:tc>
        <w:tc>
          <w:tcPr>
            <w:tcW w:w="8175" w:type="dxa"/>
            <w:tcBorders>
              <w:top w:val="single" w:color="auto" w:sz="4" w:space="0"/>
              <w:left w:val="single" w:color="auto" w:sz="4" w:space="0"/>
              <w:right w:val="single" w:color="auto" w:sz="4" w:space="0"/>
            </w:tcBorders>
            <w:noWrap w:val="0"/>
            <w:vAlign w:val="center"/>
          </w:tcPr>
          <w:p w14:paraId="248222C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677F3FBD">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14:paraId="2BC19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noWrap w:val="0"/>
            <w:vAlign w:val="center"/>
          </w:tcPr>
          <w:p w14:paraId="6F9E01A9">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29.3</w:t>
            </w:r>
          </w:p>
        </w:tc>
        <w:tc>
          <w:tcPr>
            <w:tcW w:w="8175" w:type="dxa"/>
            <w:tcBorders>
              <w:top w:val="single" w:color="auto" w:sz="4" w:space="0"/>
              <w:left w:val="single" w:color="auto" w:sz="4" w:space="0"/>
              <w:right w:val="single" w:color="auto" w:sz="4" w:space="0"/>
            </w:tcBorders>
            <w:noWrap w:val="0"/>
            <w:vAlign w:val="center"/>
          </w:tcPr>
          <w:p w14:paraId="1443A59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中标候选人推荐数量：</w:t>
            </w:r>
            <w:r>
              <w:rPr>
                <w:rFonts w:hint="eastAsia" w:ascii="宋体" w:hAnsi="宋体" w:cs="宋体"/>
                <w:color w:val="auto"/>
                <w:szCs w:val="21"/>
                <w:highlight w:val="none"/>
                <w:u w:val="single"/>
              </w:rPr>
              <w:t>3</w:t>
            </w:r>
            <w:r>
              <w:rPr>
                <w:rFonts w:hint="eastAsia" w:ascii="宋体" w:hAnsi="宋体" w:cs="宋体"/>
                <w:color w:val="auto"/>
                <w:szCs w:val="21"/>
                <w:highlight w:val="none"/>
              </w:rPr>
              <w:t>名</w:t>
            </w:r>
          </w:p>
        </w:tc>
      </w:tr>
      <w:tr w14:paraId="6794C7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907C7BC">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30.1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551A193">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采用综合评分法的采购项目，采购人确定中标人时，出现中标候选人并列的情形，采购人按</w:t>
            </w:r>
            <w:r>
              <w:rPr>
                <w:rFonts w:hint="eastAsia" w:ascii="宋体" w:hAnsi="宋体" w:cs="宋体"/>
                <w:color w:val="auto"/>
                <w:szCs w:val="21"/>
                <w:highlight w:val="none"/>
                <w:lang w:eastAsia="zh-CN"/>
              </w:rPr>
              <w:t>以下</w:t>
            </w:r>
            <w:r>
              <w:rPr>
                <w:rFonts w:hint="eastAsia" w:ascii="宋体" w:hAnsi="宋体" w:cs="宋体"/>
                <w:color w:val="auto"/>
                <w:szCs w:val="21"/>
                <w:highlight w:val="none"/>
              </w:rPr>
              <w:t>方式确定中标人：</w:t>
            </w:r>
            <w:r>
              <w:rPr>
                <w:rFonts w:hint="eastAsia" w:ascii="宋体" w:hAnsi="宋体" w:eastAsia="宋体" w:cs="宋体"/>
                <w:color w:val="auto"/>
                <w:sz w:val="21"/>
                <w:szCs w:val="21"/>
                <w:highlight w:val="none"/>
              </w:rPr>
              <w:t>依次</w:t>
            </w:r>
            <w:r>
              <w:rPr>
                <w:rFonts w:hint="eastAsia" w:ascii="宋体" w:hAnsi="宋体" w:eastAsia="宋体" w:cs="宋体"/>
                <w:color w:val="auto"/>
                <w:sz w:val="21"/>
                <w:szCs w:val="21"/>
                <w:highlight w:val="none"/>
                <w:lang w:val="en-US" w:eastAsia="zh-CN"/>
              </w:rPr>
              <w:t>按</w:t>
            </w:r>
            <w:r>
              <w:rPr>
                <w:rFonts w:hint="eastAsia" w:ascii="宋体" w:hAnsi="宋体" w:cs="宋体"/>
                <w:color w:val="auto"/>
                <w:sz w:val="21"/>
                <w:szCs w:val="21"/>
                <w:highlight w:val="none"/>
                <w:lang w:eastAsia="zh-CN"/>
              </w:rPr>
              <w:t>经营网点</w:t>
            </w:r>
            <w:r>
              <w:rPr>
                <w:rFonts w:hint="eastAsia" w:ascii="宋体" w:hAnsi="宋体" w:eastAsia="宋体" w:cs="宋体"/>
                <w:color w:val="auto"/>
                <w:sz w:val="21"/>
                <w:szCs w:val="21"/>
                <w:highlight w:val="none"/>
              </w:rPr>
              <w:t>分</w:t>
            </w:r>
            <w:r>
              <w:rPr>
                <w:rFonts w:hint="eastAsia" w:ascii="宋体" w:hAnsi="宋体" w:eastAsia="宋体" w:cs="宋体"/>
                <w:b w:val="0"/>
                <w:bCs w:val="0"/>
                <w:color w:val="auto"/>
                <w:sz w:val="21"/>
                <w:szCs w:val="21"/>
                <w:highlight w:val="none"/>
              </w:rPr>
              <w:t>→承保方案设计分→理赔服务方案分→增值服务分→保险业务管理规章制度分→保险培训服务分→</w:t>
            </w:r>
            <w:r>
              <w:rPr>
                <w:rFonts w:hint="eastAsia" w:ascii="宋体" w:hAnsi="宋体" w:eastAsia="宋体" w:cs="宋体"/>
                <w:color w:val="auto"/>
                <w:sz w:val="21"/>
                <w:szCs w:val="21"/>
                <w:highlight w:val="none"/>
              </w:rPr>
              <w:t>综合能力分顺序排列</w:t>
            </w:r>
            <w:r>
              <w:rPr>
                <w:rFonts w:hint="eastAsia" w:ascii="宋体" w:hAnsi="宋体" w:cs="宋体"/>
                <w:color w:val="auto"/>
                <w:szCs w:val="21"/>
                <w:highlight w:val="none"/>
              </w:rPr>
              <w:t>，</w:t>
            </w:r>
            <w:r>
              <w:rPr>
                <w:rFonts w:hint="eastAsia" w:ascii="宋体" w:hAnsi="宋体" w:cs="宋体"/>
                <w:iCs/>
                <w:color w:val="auto"/>
                <w:szCs w:val="21"/>
                <w:highlight w:val="none"/>
              </w:rPr>
              <w:t>评分高的顺序确定；按上述方式无法确定的，由采购人随机抽取。</w:t>
            </w:r>
          </w:p>
        </w:tc>
      </w:tr>
      <w:tr w14:paraId="252B4C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1BD44C3B">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4" w:name="_39.1"/>
            <w:bookmarkEnd w:id="84"/>
            <w:r>
              <w:rPr>
                <w:rFonts w:hint="eastAsia" w:ascii="宋体" w:hAnsi="宋体" w:cs="宋体"/>
                <w:color w:val="auto"/>
                <w:szCs w:val="21"/>
                <w:highlight w:val="none"/>
              </w:rPr>
              <w:t>35.1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D234F1D">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本项目不收取履约保证金。</w:t>
            </w:r>
          </w:p>
          <w:p w14:paraId="16B46A18">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本项目收取履约保证金</w:t>
            </w:r>
            <w:r>
              <w:rPr>
                <w:rFonts w:hint="eastAsia" w:ascii="宋体" w:hAnsi="宋体" w:cs="宋体"/>
                <w:color w:val="auto"/>
                <w:szCs w:val="21"/>
                <w:highlight w:val="none"/>
                <w:lang w:eastAsia="zh-CN"/>
              </w:rPr>
              <w:t>：</w:t>
            </w:r>
          </w:p>
          <w:p w14:paraId="21D0C61B">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履约保证金金额：按中标金额的</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%（注：中小企业履约保证金不超过政府采购合同金额的2%）。【</w:t>
            </w:r>
            <w:r>
              <w:rPr>
                <w:rFonts w:hint="eastAsia" w:ascii="宋体" w:hAnsi="宋体" w:cs="宋体"/>
                <w:color w:val="auto"/>
                <w:sz w:val="21"/>
                <w:szCs w:val="21"/>
                <w:highlight w:val="none"/>
                <w:lang w:val="en-US" w:eastAsia="zh-CN"/>
              </w:rPr>
              <w:t>合同</w:t>
            </w:r>
            <w:r>
              <w:rPr>
                <w:rFonts w:hint="eastAsia" w:ascii="宋体" w:hAnsi="宋体" w:eastAsia="宋体" w:cs="宋体"/>
                <w:color w:val="auto"/>
                <w:sz w:val="21"/>
                <w:szCs w:val="21"/>
                <w:highlight w:val="none"/>
              </w:rPr>
              <w:t>金额：</w:t>
            </w:r>
            <w:r>
              <w:rPr>
                <w:rFonts w:hint="eastAsia" w:ascii="宋体" w:hAnsi="宋体" w:cs="宋体"/>
                <w:color w:val="auto"/>
                <w:sz w:val="21"/>
                <w:szCs w:val="21"/>
                <w:highlight w:val="none"/>
                <w:lang w:val="en-US" w:eastAsia="zh-CN"/>
              </w:rPr>
              <w:t>1700</w:t>
            </w:r>
            <w:r>
              <w:rPr>
                <w:rFonts w:hint="eastAsia" w:ascii="宋体" w:hAnsi="宋体" w:eastAsia="宋体" w:cs="宋体"/>
                <w:color w:val="auto"/>
                <w:sz w:val="21"/>
                <w:szCs w:val="21"/>
                <w:highlight w:val="none"/>
              </w:rPr>
              <w:t>万元】</w:t>
            </w:r>
          </w:p>
          <w:p w14:paraId="4D540F1E">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履约保证金递交方式：银行转账、支票、汇票、本票或者</w:t>
            </w:r>
            <w:r>
              <w:rPr>
                <w:rFonts w:hint="eastAsia" w:ascii="宋体" w:hAnsi="宋体" w:cs="宋体"/>
                <w:color w:val="auto"/>
                <w:sz w:val="21"/>
                <w:szCs w:val="21"/>
                <w:highlight w:val="none"/>
                <w:lang w:val="en-US" w:eastAsia="zh-CN"/>
              </w:rPr>
              <w:t>金融机构</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担保</w:t>
            </w:r>
            <w:r>
              <w:rPr>
                <w:rFonts w:hint="eastAsia" w:ascii="宋体" w:hAnsi="宋体" w:eastAsia="宋体" w:cs="宋体"/>
                <w:color w:val="auto"/>
                <w:sz w:val="21"/>
                <w:szCs w:val="21"/>
                <w:highlight w:val="none"/>
              </w:rPr>
              <w:t>机构出具的保函（含电子保函）等非现金方式</w:t>
            </w:r>
          </w:p>
          <w:p w14:paraId="03AFC100">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履约保证金缴纳期限: 自中标通知书发出之日起 5日内。</w:t>
            </w:r>
          </w:p>
          <w:p w14:paraId="093B683D">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履约保证金退付方式、时间及条件：</w:t>
            </w:r>
            <w:r>
              <w:rPr>
                <w:rFonts w:hint="eastAsia" w:ascii="宋体" w:hAnsi="宋体" w:cs="宋体"/>
                <w:color w:val="auto"/>
                <w:sz w:val="21"/>
                <w:szCs w:val="21"/>
                <w:highlight w:val="none"/>
                <w:lang w:eastAsia="zh-CN"/>
              </w:rPr>
              <w:t>非保函方式的</w:t>
            </w:r>
            <w:r>
              <w:rPr>
                <w:rFonts w:hint="eastAsia" w:ascii="宋体" w:hAnsi="宋体" w:eastAsia="宋体" w:cs="宋体"/>
                <w:color w:val="auto"/>
                <w:sz w:val="21"/>
                <w:szCs w:val="21"/>
                <w:highlight w:val="none"/>
              </w:rPr>
              <w:t>履约保证金在项目验收完成后无息退还。由中标人向履约保证金收取单位提供《广西壮族自治区政府采购项目合同验收书》（详见桂财采〔2015〕22号），保证金收取单位在收到合格材料后5个工作日内办理退还手续（不计利息）。</w:t>
            </w:r>
          </w:p>
          <w:p w14:paraId="6F608DC4">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不予退还的情形：签订合同后，如中标人不按双方签订的合同规定履约，则其全部履约保证金不予退还。</w:t>
            </w:r>
          </w:p>
          <w:p w14:paraId="2BBAC75C">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备注：</w:t>
            </w:r>
          </w:p>
          <w:p w14:paraId="378EF675">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1. 根据《广西壮族自治区财政厅关于贯彻落实政府采购优化营商环境百日攻坚行动方案的通知》（桂财采〔2020〕49号）规定、广西壮族自治区财政厅关于规范政府采购货物和服务项目保证金管理的通知（桂财规〔2022〕8号 ）和《广西壮族自治区财政厅关于持续优化政府采购营商环境推动高质量发展的通知》（桂财采〔2024〕55 号），采购文件要求中标或者中标人提交履约保证金的，履约保证金数额不得超过政府采购合同金额的5%，对中小企业收取的履约保证金数额不得超过政府采购合同金额的2%。采购人可根据供应商的资信等情况减免履约保证金。</w:t>
            </w:r>
          </w:p>
          <w:p w14:paraId="650F1933">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7F3C7FFE">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3.采用</w:t>
            </w:r>
            <w:r>
              <w:rPr>
                <w:rFonts w:hint="eastAsia" w:ascii="宋体" w:hAnsi="宋体" w:cs="宋体"/>
                <w:b/>
                <w:iCs/>
                <w:color w:val="auto"/>
                <w:szCs w:val="21"/>
                <w:highlight w:val="none"/>
                <w:lang w:eastAsia="zh-CN"/>
              </w:rPr>
              <w:t>金融、担保机构</w:t>
            </w:r>
            <w:r>
              <w:rPr>
                <w:rFonts w:hint="eastAsia" w:ascii="宋体" w:hAnsi="宋体" w:cs="宋体"/>
                <w:b/>
                <w:iCs/>
                <w:color w:val="auto"/>
                <w:szCs w:val="21"/>
                <w:highlight w:val="none"/>
              </w:rPr>
              <w:t>出具的保函的，必须为无条件保函，否则不予签订合同。</w:t>
            </w:r>
          </w:p>
          <w:p w14:paraId="7B0C3D78">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b/>
                <w:iCs/>
                <w:color w:val="auto"/>
                <w:szCs w:val="21"/>
                <w:highlight w:val="none"/>
              </w:rPr>
              <w:t>4.投标人为联合体的，由联合体其中一方按规定提交的履约保证金，视为有效履约保证金。</w:t>
            </w:r>
          </w:p>
        </w:tc>
      </w:tr>
      <w:tr w14:paraId="3DD2E9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6DF83E2">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5" w:name="_40.1"/>
            <w:bookmarkEnd w:id="85"/>
            <w:r>
              <w:rPr>
                <w:rFonts w:hint="eastAsia" w:ascii="宋体" w:hAnsi="宋体" w:cs="宋体"/>
                <w:color w:val="auto"/>
                <w:szCs w:val="21"/>
                <w:highlight w:val="none"/>
              </w:rPr>
              <w:t>36.1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1FB06BD8">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签订合同携带的证明材料：</w:t>
            </w:r>
          </w:p>
          <w:p w14:paraId="71DBCAFE">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AFD67F0">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57D631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6DB2D9B">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38.2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047BA2A">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5A2BB48D">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0771-2807659</w:t>
            </w: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w:t>
            </w:r>
            <w:r>
              <w:rPr>
                <w:rFonts w:hint="eastAsia" w:ascii="宋体" w:hAnsi="宋体" w:cs="宋体"/>
                <w:color w:val="auto"/>
                <w:szCs w:val="21"/>
                <w:highlight w:val="none"/>
                <w:lang w:eastAsia="zh-CN"/>
              </w:rPr>
              <w:t>广西南宁市青秀区枫林路18号广西国控大厦（枫林路办公区）裙楼三楼</w:t>
            </w:r>
            <w:r>
              <w:rPr>
                <w:rFonts w:hint="eastAsia" w:ascii="宋体" w:hAnsi="宋体" w:cs="宋体"/>
                <w:color w:val="auto"/>
                <w:szCs w:val="21"/>
                <w:highlight w:val="none"/>
              </w:rPr>
              <w:t>）</w:t>
            </w:r>
          </w:p>
          <w:p w14:paraId="3EE218BA">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业务时间：工作日每天上午8时30分到12时00分，下午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0分到</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w:t>
            </w:r>
          </w:p>
        </w:tc>
      </w:tr>
      <w:tr w14:paraId="745545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8F6D2C2">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6" w:name="_41"/>
            <w:bookmarkEnd w:id="86"/>
            <w:bookmarkStart w:id="87" w:name="_42"/>
            <w:bookmarkEnd w:id="87"/>
            <w:bookmarkStart w:id="88" w:name="_Hlt17709148"/>
            <w:r>
              <w:rPr>
                <w:rFonts w:hint="eastAsia" w:ascii="宋体" w:hAnsi="宋体" w:cs="宋体"/>
                <w:color w:val="auto"/>
                <w:szCs w:val="21"/>
                <w:highlight w:val="none"/>
              </w:rPr>
              <w:t>3</w:t>
            </w:r>
            <w:bookmarkEnd w:id="88"/>
            <w:r>
              <w:rPr>
                <w:rFonts w:hint="eastAsia" w:ascii="宋体" w:hAnsi="宋体" w:cs="宋体"/>
                <w:color w:val="auto"/>
                <w:szCs w:val="21"/>
                <w:highlight w:val="none"/>
              </w:rPr>
              <w:t>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C215B09">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color w:val="auto"/>
                <w:highlight w:val="none"/>
              </w:rPr>
            </w:pPr>
            <w:r>
              <w:rPr>
                <w:rFonts w:hint="eastAsia" w:hAnsi="宋体" w:cs="宋体"/>
                <w:color w:val="auto"/>
                <w:highlight w:val="none"/>
              </w:rPr>
              <w:t>1.采购代理费支付方式：本项目代理服务费由</w:t>
            </w:r>
            <w:r>
              <w:rPr>
                <w:rFonts w:hint="eastAsia" w:hAnsi="宋体" w:cs="宋体"/>
                <w:color w:val="auto"/>
                <w:highlight w:val="none"/>
                <w:u w:val="single"/>
              </w:rPr>
              <w:t>中标人</w:t>
            </w:r>
            <w:r>
              <w:rPr>
                <w:rFonts w:hint="eastAsia" w:hAnsi="宋体" w:cs="宋体"/>
                <w:color w:val="auto"/>
                <w:highlight w:val="none"/>
              </w:rPr>
              <w:t>一次性向采购代理机构支付。</w:t>
            </w:r>
          </w:p>
          <w:p w14:paraId="75C77840">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color w:val="auto"/>
                <w:highlight w:val="none"/>
              </w:rPr>
            </w:pPr>
            <w:r>
              <w:rPr>
                <w:rFonts w:hint="eastAsia" w:hAnsi="宋体" w:cs="宋体"/>
                <w:color w:val="auto"/>
                <w:highlight w:val="none"/>
              </w:rPr>
              <w:t>2.采购代理费收取标准：</w:t>
            </w:r>
          </w:p>
          <w:p w14:paraId="77AD7640">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color w:val="auto"/>
                <w:highlight w:val="none"/>
              </w:rPr>
            </w:pPr>
            <w:r>
              <w:rPr>
                <w:rFonts w:hint="eastAsia" w:hAnsi="宋体" w:cs="宋体"/>
                <w:color w:val="auto"/>
                <w:highlight w:val="none"/>
              </w:rPr>
              <w:t>以</w:t>
            </w:r>
            <w:r>
              <w:rPr>
                <w:rFonts w:hint="eastAsia" w:hAnsi="宋体" w:cs="宋体"/>
                <w:color w:val="auto"/>
                <w:highlight w:val="none"/>
                <w:lang w:val="en-US" w:eastAsia="zh-CN"/>
              </w:rPr>
              <w:t>本项目预算金额</w:t>
            </w:r>
            <w:r>
              <w:rPr>
                <w:rFonts w:hint="eastAsia" w:hAnsi="宋体" w:cs="宋体"/>
                <w:color w:val="auto"/>
                <w:highlight w:val="none"/>
              </w:rPr>
              <w:t>为计费额，按本须知正文第39.1条规定的收费计算标准（</w:t>
            </w:r>
            <w:r>
              <w:rPr>
                <w:rFonts w:hint="eastAsia" w:hAnsi="宋体" w:cs="宋体"/>
                <w:b/>
                <w:bCs/>
                <w:color w:val="auto"/>
                <w:highlight w:val="none"/>
              </w:rPr>
              <w:t>服务类</w:t>
            </w:r>
            <w:r>
              <w:rPr>
                <w:rFonts w:hint="eastAsia" w:hAnsi="宋体" w:cs="宋体"/>
                <w:color w:val="auto"/>
                <w:highlight w:val="none"/>
              </w:rPr>
              <w:t>）采用</w:t>
            </w:r>
            <w:r>
              <w:rPr>
                <w:rFonts w:hint="eastAsia" w:hAnsi="宋体" w:cs="宋体"/>
                <w:b/>
                <w:bCs/>
                <w:color w:val="auto"/>
                <w:highlight w:val="none"/>
              </w:rPr>
              <w:t>差额定率累进法</w:t>
            </w:r>
            <w:r>
              <w:rPr>
                <w:rFonts w:hint="eastAsia" w:hAnsi="宋体" w:cs="宋体"/>
                <w:color w:val="auto"/>
                <w:highlight w:val="none"/>
              </w:rPr>
              <w:t>计算出收费基准价格</w:t>
            </w:r>
            <w:r>
              <w:rPr>
                <w:rFonts w:hint="eastAsia" w:hAnsi="宋体" w:cs="宋体"/>
                <w:b/>
                <w:bCs/>
                <w:color w:val="auto"/>
                <w:highlight w:val="none"/>
                <w:lang w:val="en-US" w:eastAsia="zh-CN"/>
              </w:rPr>
              <w:t>下浮20%</w:t>
            </w:r>
            <w:r>
              <w:rPr>
                <w:rFonts w:hint="eastAsia" w:hAnsi="宋体" w:cs="宋体"/>
                <w:color w:val="auto"/>
                <w:highlight w:val="none"/>
              </w:rPr>
              <w:t>，采购代理收费以收费</w:t>
            </w:r>
            <w:r>
              <w:rPr>
                <w:rFonts w:hint="eastAsia" w:hAnsi="宋体" w:cs="宋体"/>
                <w:color w:val="auto"/>
                <w:highlight w:val="none"/>
                <w:lang w:val="en-US" w:eastAsia="zh-CN"/>
              </w:rPr>
              <w:t>标准</w:t>
            </w:r>
            <w:r>
              <w:rPr>
                <w:rFonts w:hint="eastAsia" w:hAnsi="宋体" w:cs="宋体"/>
                <w:color w:val="auto"/>
                <w:highlight w:val="none"/>
              </w:rPr>
              <w:t>收取。</w:t>
            </w:r>
          </w:p>
          <w:p w14:paraId="792D2727">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3.账户名称：</w:t>
            </w:r>
            <w:r>
              <w:rPr>
                <w:rFonts w:hint="eastAsia" w:ascii="宋体" w:hAnsi="宋体" w:cs="宋体"/>
                <w:color w:val="auto"/>
                <w:kern w:val="0"/>
                <w:szCs w:val="21"/>
                <w:highlight w:val="none"/>
                <w:lang w:eastAsia="zh-CN"/>
              </w:rPr>
              <w:t>广西建设工程机电设备招标中心有限公司</w:t>
            </w:r>
          </w:p>
          <w:p w14:paraId="4FC4C861">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color w:val="auto"/>
                <w:highlight w:val="none"/>
                <w:lang w:eastAsia="zh-CN"/>
              </w:rPr>
            </w:pPr>
            <w:r>
              <w:rPr>
                <w:rFonts w:hint="eastAsia" w:hAnsi="宋体" w:cs="宋体"/>
                <w:color w:val="auto"/>
                <w:highlight w:val="none"/>
              </w:rPr>
              <w:t>银行账号：7719  0142  3310  201</w:t>
            </w:r>
          </w:p>
          <w:p w14:paraId="2AE0ECAA">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color w:val="auto"/>
                <w:highlight w:val="none"/>
              </w:rPr>
            </w:pPr>
            <w:r>
              <w:rPr>
                <w:rFonts w:hint="eastAsia" w:hAnsi="宋体" w:cs="宋体"/>
                <w:color w:val="auto"/>
                <w:highlight w:val="none"/>
              </w:rPr>
              <w:t>开户银行：</w:t>
            </w:r>
            <w:r>
              <w:rPr>
                <w:rFonts w:hint="eastAsia" w:hAnsi="宋体" w:cs="宋体"/>
                <w:color w:val="auto"/>
                <w:highlight w:val="none"/>
                <w:lang w:eastAsia="zh-CN"/>
              </w:rPr>
              <w:t>招商银行南宁分行营业部</w:t>
            </w:r>
          </w:p>
        </w:tc>
      </w:tr>
      <w:tr w14:paraId="62F97D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7B1EB26">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40.1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5741FB10">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412F4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00D8E4CD">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40.2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54941004">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bCs/>
                <w:color w:val="auto"/>
                <w:highlight w:val="none"/>
              </w:rPr>
            </w:pPr>
            <w:r>
              <w:rPr>
                <w:rFonts w:hint="eastAsia" w:hAnsi="宋体" w:cs="宋体"/>
                <w:bCs/>
                <w:color w:val="auto"/>
                <w:highlight w:val="none"/>
              </w:rPr>
              <w:t>1.本招标文件中描述投标人的“公章”是指根据我国对公章的管理规定</w:t>
            </w:r>
            <w:r>
              <w:rPr>
                <w:rFonts w:hint="eastAsia" w:hAnsi="宋体" w:cs="宋体"/>
                <w:bCs/>
                <w:color w:val="auto"/>
                <w:highlight w:val="none"/>
                <w:lang w:eastAsia="zh-CN"/>
              </w:rPr>
              <w:t>，使</w:t>
            </w:r>
            <w:r>
              <w:rPr>
                <w:rFonts w:hint="eastAsia" w:hAnsi="宋体" w:cs="宋体"/>
                <w:bCs/>
                <w:color w:val="auto"/>
                <w:highlight w:val="none"/>
              </w:rPr>
              <w:t>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66803B20">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bCs/>
                <w:color w:val="auto"/>
                <w:highlight w:val="none"/>
              </w:rPr>
            </w:pPr>
            <w:r>
              <w:rPr>
                <w:rFonts w:hint="eastAsia" w:hAnsi="宋体" w:cs="宋体"/>
                <w:bCs/>
                <w:color w:val="auto"/>
                <w:highlight w:val="none"/>
              </w:rPr>
              <w:t>2.本招标文件所称的“</w:t>
            </w:r>
            <w:r>
              <w:rPr>
                <w:rFonts w:hint="eastAsia" w:hAnsi="宋体" w:cs="宋体"/>
                <w:color w:val="auto"/>
                <w:highlight w:val="none"/>
              </w:rPr>
              <w:t>电子签章</w:t>
            </w:r>
            <w:r>
              <w:rPr>
                <w:rFonts w:hint="eastAsia" w:hAnsi="宋体" w:cs="宋体"/>
                <w:color w:val="auto"/>
                <w:highlight w:val="none"/>
                <w:lang w:eastAsia="zh-CN"/>
              </w:rPr>
              <w:t>”“</w:t>
            </w:r>
            <w:r>
              <w:rPr>
                <w:rFonts w:hint="eastAsia" w:hAnsi="宋体" w:cs="宋体"/>
                <w:bCs/>
                <w:color w:val="auto"/>
                <w:highlight w:val="none"/>
              </w:rPr>
              <w:t>电子签名”</w:t>
            </w:r>
            <w:r>
              <w:rPr>
                <w:rFonts w:hint="eastAsia" w:hAnsi="宋体" w:cs="宋体"/>
                <w:color w:val="auto"/>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65A5EBDA">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bCs/>
                <w:color w:val="auto"/>
                <w:highlight w:val="none"/>
              </w:rPr>
            </w:pPr>
            <w:r>
              <w:rPr>
                <w:rFonts w:hint="eastAsia" w:hAnsi="宋体" w:cs="宋体"/>
                <w:bCs/>
                <w:color w:val="auto"/>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5D18CFDE">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bCs/>
                <w:color w:val="auto"/>
                <w:highlight w:val="none"/>
              </w:rPr>
            </w:pPr>
            <w:r>
              <w:rPr>
                <w:rFonts w:hint="eastAsia" w:hAnsi="宋体" w:cs="宋体"/>
                <w:bCs/>
                <w:color w:val="auto"/>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6B31BFFF">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left"/>
              <w:rPr>
                <w:rFonts w:hint="eastAsia" w:ascii="宋体" w:hAnsi="宋体" w:cs="宋体"/>
                <w:color w:val="auto"/>
                <w:szCs w:val="21"/>
                <w:highlight w:val="none"/>
              </w:rPr>
            </w:pPr>
            <w:r>
              <w:rPr>
                <w:rFonts w:hint="eastAsia" w:ascii="宋体" w:hAnsi="宋体" w:cs="宋体"/>
                <w:bCs/>
                <w:color w:val="auto"/>
                <w:szCs w:val="21"/>
                <w:highlight w:val="none"/>
              </w:rPr>
              <w:t>5.</w:t>
            </w:r>
            <w:r>
              <w:rPr>
                <w:rFonts w:hint="eastAsia" w:ascii="宋体" w:hAnsi="宋体" w:cs="宋体"/>
                <w:bCs/>
                <w:color w:val="auto"/>
                <w:kern w:val="0"/>
                <w:szCs w:val="21"/>
                <w:highlight w:val="none"/>
              </w:rPr>
              <w:t>本招标文件所称的“以上”“以下”“以内”“届满”，包括本数；所称的“不满”“超过”“以外”，不包括本数。</w:t>
            </w:r>
          </w:p>
        </w:tc>
      </w:tr>
    </w:tbl>
    <w:p w14:paraId="22610CE7">
      <w:pPr>
        <w:pStyle w:val="4"/>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89" w:name="_Toc978"/>
      <w:bookmarkStart w:id="90" w:name="_Toc21607"/>
      <w:bookmarkStart w:id="91" w:name="_Toc4106"/>
      <w:r>
        <w:rPr>
          <w:rFonts w:hint="eastAsia" w:ascii="宋体" w:hAnsi="宋体" w:eastAsia="宋体" w:cs="宋体"/>
          <w:color w:val="auto"/>
          <w:highlight w:val="none"/>
        </w:rPr>
        <w:t>投标人须知正文</w:t>
      </w:r>
      <w:bookmarkEnd w:id="89"/>
      <w:bookmarkEnd w:id="90"/>
      <w:bookmarkEnd w:id="91"/>
    </w:p>
    <w:p w14:paraId="3AD9BD61">
      <w:pPr>
        <w:pStyle w:val="2"/>
        <w:keepNext w:val="0"/>
        <w:keepLines w:val="0"/>
        <w:jc w:val="center"/>
        <w:rPr>
          <w:rFonts w:hint="eastAsia" w:ascii="宋体" w:hAnsi="宋体" w:cs="宋体"/>
          <w:color w:val="auto"/>
          <w:highlight w:val="none"/>
        </w:rPr>
      </w:pPr>
      <w:bookmarkStart w:id="92" w:name="_Toc7551"/>
      <w:bookmarkStart w:id="93" w:name="_Toc1149"/>
      <w:r>
        <w:rPr>
          <w:rFonts w:hint="eastAsia" w:ascii="宋体" w:hAnsi="宋体" w:cs="宋体"/>
          <w:color w:val="auto"/>
          <w:highlight w:val="none"/>
        </w:rPr>
        <w:t>一、总  则</w:t>
      </w:r>
      <w:bookmarkEnd w:id="92"/>
      <w:bookmarkEnd w:id="93"/>
    </w:p>
    <w:p w14:paraId="6C75E39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94" w:name="_Toc254970527"/>
      <w:bookmarkStart w:id="95" w:name="_Toc254970668"/>
      <w:r>
        <w:rPr>
          <w:rFonts w:hint="eastAsia" w:ascii="宋体" w:hAnsi="宋体" w:cs="宋体"/>
          <w:b/>
          <w:color w:val="auto"/>
          <w:sz w:val="24"/>
          <w:highlight w:val="none"/>
        </w:rPr>
        <w:t>1.适用范围</w:t>
      </w:r>
      <w:bookmarkEnd w:id="94"/>
      <w:bookmarkEnd w:id="95"/>
    </w:p>
    <w:p w14:paraId="65A1C1E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1AD3C1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w:t>
      </w:r>
      <w:r>
        <w:rPr>
          <w:rFonts w:hint="eastAsia" w:ascii="宋体" w:hAnsi="宋体" w:cs="宋体"/>
          <w:color w:val="auto"/>
          <w:spacing w:val="-6"/>
          <w:szCs w:val="21"/>
          <w:highlight w:val="none"/>
          <w:lang w:eastAsia="zh-CN"/>
        </w:rPr>
        <w:t>法律法规</w:t>
      </w:r>
      <w:r>
        <w:rPr>
          <w:rFonts w:hint="eastAsia" w:ascii="宋体" w:hAnsi="宋体" w:cs="宋体"/>
          <w:color w:val="auto"/>
          <w:spacing w:val="-6"/>
          <w:szCs w:val="21"/>
          <w:highlight w:val="none"/>
        </w:rPr>
        <w:t>另有规定的，从其规定）。</w:t>
      </w:r>
    </w:p>
    <w:p w14:paraId="4122EB3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96" w:name="_Toc254970528"/>
      <w:bookmarkStart w:id="97" w:name="_Toc254970669"/>
      <w:r>
        <w:rPr>
          <w:rFonts w:hint="eastAsia" w:ascii="宋体" w:hAnsi="宋体" w:cs="宋体"/>
          <w:b/>
          <w:color w:val="auto"/>
          <w:sz w:val="24"/>
          <w:highlight w:val="none"/>
        </w:rPr>
        <w:t>2.定义</w:t>
      </w:r>
      <w:bookmarkEnd w:id="96"/>
      <w:bookmarkEnd w:id="97"/>
    </w:p>
    <w:p w14:paraId="360C4ED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A370F8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7ADD74C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10CC711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316EA48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5C417DE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19C0A28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2.7“实质性要求”是指招标文件中已经指明不满足则投标无效的条款，或者不能负偏离的条款，或者采购需求中带“▲”的条款。</w:t>
      </w:r>
    </w:p>
    <w:p w14:paraId="2A27D59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3ADAE02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2A53980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98" w:name="_Toc254970529"/>
      <w:bookmarkStart w:id="99" w:name="_Toc254970670"/>
    </w:p>
    <w:p w14:paraId="6E5A12E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w:t>
      </w:r>
      <w:bookmarkEnd w:id="98"/>
      <w:bookmarkEnd w:id="99"/>
      <w:r>
        <w:rPr>
          <w:rFonts w:hint="eastAsia" w:ascii="宋体" w:hAnsi="宋体" w:cs="宋体"/>
          <w:b/>
          <w:color w:val="auto"/>
          <w:sz w:val="24"/>
          <w:highlight w:val="none"/>
        </w:rPr>
        <w:t>投标人的资格要求</w:t>
      </w:r>
    </w:p>
    <w:p w14:paraId="43EA7E1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78D4734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00" w:name="_Toc254970530"/>
      <w:bookmarkStart w:id="101" w:name="_Toc254970671"/>
      <w:r>
        <w:rPr>
          <w:rFonts w:hint="eastAsia" w:ascii="宋体" w:hAnsi="宋体" w:cs="宋体"/>
          <w:b/>
          <w:color w:val="auto"/>
          <w:sz w:val="24"/>
          <w:highlight w:val="none"/>
        </w:rPr>
        <w:t>4.投标委托</w:t>
      </w:r>
      <w:bookmarkEnd w:id="100"/>
      <w:bookmarkEnd w:id="101"/>
    </w:p>
    <w:p w14:paraId="36B8695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2BF963A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02" w:name="_5.投标费用"/>
      <w:bookmarkEnd w:id="102"/>
      <w:bookmarkStart w:id="103" w:name="_Toc254970531"/>
      <w:bookmarkStart w:id="104" w:name="_Toc254970672"/>
      <w:r>
        <w:rPr>
          <w:rFonts w:hint="eastAsia" w:ascii="宋体" w:hAnsi="宋体" w:cs="宋体"/>
          <w:b/>
          <w:color w:val="auto"/>
          <w:sz w:val="24"/>
          <w:highlight w:val="none"/>
        </w:rPr>
        <w:t>5.投标费用</w:t>
      </w:r>
      <w:bookmarkEnd w:id="103"/>
      <w:bookmarkEnd w:id="104"/>
    </w:p>
    <w:p w14:paraId="709B265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3A5C997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default" w:ascii="宋体" w:hAnsi="宋体" w:eastAsia="宋体" w:cs="宋体"/>
          <w:b/>
          <w:color w:val="auto"/>
          <w:sz w:val="24"/>
          <w:highlight w:val="none"/>
          <w:lang w:val="en-US" w:eastAsia="zh-CN"/>
        </w:rPr>
      </w:pPr>
      <w:r>
        <w:rPr>
          <w:rFonts w:hint="eastAsia" w:ascii="宋体" w:hAnsi="宋体" w:cs="宋体"/>
          <w:b/>
          <w:color w:val="auto"/>
          <w:sz w:val="24"/>
          <w:highlight w:val="none"/>
        </w:rPr>
        <w:t>6.联合体投标</w:t>
      </w:r>
      <w:r>
        <w:rPr>
          <w:rFonts w:hint="eastAsia" w:ascii="宋体" w:hAnsi="宋体" w:cs="宋体"/>
          <w:b/>
          <w:color w:val="auto"/>
          <w:sz w:val="24"/>
          <w:highlight w:val="none"/>
          <w:lang w:val="en-US" w:eastAsia="zh-CN"/>
        </w:rPr>
        <w:t>(</w:t>
      </w:r>
      <w:r>
        <w:rPr>
          <w:rFonts w:hint="eastAsia" w:ascii="宋体" w:hAnsi="宋体" w:cs="宋体"/>
          <w:b/>
          <w:color w:val="auto"/>
          <w:sz w:val="24"/>
          <w:highlight w:val="none"/>
          <w:lang w:eastAsia="zh-CN"/>
        </w:rPr>
        <w:t>本</w:t>
      </w:r>
      <w:r>
        <w:rPr>
          <w:rFonts w:hint="eastAsia" w:ascii="宋体" w:hAnsi="宋体" w:cs="宋体"/>
          <w:b/>
          <w:color w:val="auto"/>
          <w:sz w:val="24"/>
          <w:highlight w:val="none"/>
          <w:lang w:val="en-US" w:eastAsia="zh-CN"/>
        </w:rPr>
        <w:t>项目不适用本条)</w:t>
      </w:r>
    </w:p>
    <w:p w14:paraId="0D6EC67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1987C41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67049C7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6.3</w:t>
      </w:r>
      <w:r>
        <w:rPr>
          <w:rFonts w:hint="eastAsia" w:ascii="宋体" w:hAnsi="宋体" w:cs="宋体"/>
          <w:color w:val="auto"/>
          <w:szCs w:val="21"/>
          <w:highlight w:val="none"/>
        </w:rPr>
        <w:t>根据《政府采购促进中小企业发展管理办法》（财库〔2020〕46号）第九条第二款、《财政部关于进一步加大政府采购支持中小企业力度的通知》（财库〔2022〕19号）和《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w:t>
      </w:r>
    </w:p>
    <w:p w14:paraId="45AA198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7.转包与分包</w:t>
      </w:r>
    </w:p>
    <w:p w14:paraId="422AA9F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05" w:name="_Toc254970532"/>
      <w:bookmarkStart w:id="106" w:name="_Toc254970673"/>
      <w:r>
        <w:rPr>
          <w:rFonts w:hint="eastAsia" w:ascii="宋体" w:hAnsi="宋体" w:cs="宋体"/>
          <w:color w:val="auto"/>
          <w:szCs w:val="21"/>
          <w:highlight w:val="none"/>
        </w:rPr>
        <w:t>7.1本项目不允许转包。</w:t>
      </w:r>
    </w:p>
    <w:p w14:paraId="71AB530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CECCD4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48F0A0A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8.特别说明</w:t>
      </w:r>
      <w:bookmarkEnd w:id="105"/>
      <w:bookmarkEnd w:id="106"/>
    </w:p>
    <w:p w14:paraId="0D8164A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719C3B7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8.2投标人应仔细阅读招标文件的所有内容，按照招标文件的要求提交投标文件，并对所提供的全部资料的真实性承担法律责任。</w:t>
      </w:r>
    </w:p>
    <w:p w14:paraId="4930A73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03A2781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9.回避与串通投标</w:t>
      </w:r>
    </w:p>
    <w:p w14:paraId="3A0076A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9.1在政府采购活动中，采购人员及相关人员与供应商有下列利害关系之一的，应当回避：</w:t>
      </w:r>
    </w:p>
    <w:p w14:paraId="755FD84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1512988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1688886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1838D8D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5A1781D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01CD8E7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579396A">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9.2有下列情形之一的视为投标人相互串通投标，投标文件将被视为无效：</w:t>
      </w:r>
    </w:p>
    <w:p w14:paraId="68EF94C7">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（1）不同投标人的投标文件由同一单位或者个人编制；或者不同投标人报名的IP地址一致的；或者编制标书硬件设备CPU编号、硬盘编号、网卡地址一致的情况。</w:t>
      </w:r>
    </w:p>
    <w:p w14:paraId="52987BA0">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68D2BA50">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27342E5C">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（4）不同投标人的投标文件异常一致或者投标报价呈规律性差异；</w:t>
      </w:r>
    </w:p>
    <w:p w14:paraId="1DC1B43B">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（5）不同投标人的投标文件相互混装；</w:t>
      </w:r>
    </w:p>
    <w:p w14:paraId="6EB1E180">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（6）不同投标人的投标保证金从同一单位或者个人账户转出。</w:t>
      </w:r>
    </w:p>
    <w:p w14:paraId="286333D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72BEAC7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（1）供应商直接或者间接从采购人或者采购代理机构处获得其他供应商的相关信息并修改其投标文件或者响应文件；</w:t>
      </w:r>
    </w:p>
    <w:p w14:paraId="6BC26DD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（2）供应商按照采购人或者采购代理机构的授意撤换、修改投标文件或者响应文件；</w:t>
      </w:r>
    </w:p>
    <w:p w14:paraId="1F5454C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（3）供应商之间协商报价、技术方案等投标文件或者响应文件的实质性内容；</w:t>
      </w:r>
    </w:p>
    <w:p w14:paraId="2EE1802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1D30BF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09E2991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4B32088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713323EC">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07" w:name="_Toc254970675"/>
      <w:bookmarkStart w:id="108" w:name="_Toc30666"/>
      <w:bookmarkStart w:id="109" w:name="_Toc254970534"/>
      <w:bookmarkStart w:id="110" w:name="_Toc16733"/>
      <w:r>
        <w:rPr>
          <w:rFonts w:hint="eastAsia" w:ascii="宋体" w:hAnsi="宋体" w:cs="宋体"/>
          <w:color w:val="auto"/>
          <w:highlight w:val="none"/>
        </w:rPr>
        <w:t>二、招标文件</w:t>
      </w:r>
      <w:bookmarkEnd w:id="107"/>
      <w:bookmarkEnd w:id="108"/>
      <w:bookmarkEnd w:id="109"/>
      <w:bookmarkEnd w:id="110"/>
    </w:p>
    <w:p w14:paraId="55C701E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10.招标文件的组成</w:t>
      </w:r>
    </w:p>
    <w:p w14:paraId="0395AEEC">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（1）招标公告；</w:t>
      </w:r>
    </w:p>
    <w:p w14:paraId="65AE5E96">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（2）采购需求； </w:t>
      </w:r>
    </w:p>
    <w:p w14:paraId="6EB5D00B">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（3）投标人须知；</w:t>
      </w:r>
    </w:p>
    <w:p w14:paraId="2AC12464">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（4）评标方法及评标标准；</w:t>
      </w:r>
    </w:p>
    <w:p w14:paraId="58F9A771">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487DDF80">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4B31B8D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381A09A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2D77DCE">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400C0136">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highlight w:val="none"/>
        </w:rPr>
      </w:pPr>
      <w:r>
        <w:rPr>
          <w:rFonts w:hint="eastAsia" w:hAnsi="宋体" w:cs="宋体"/>
          <w:color w:val="auto"/>
          <w:highlight w:val="none"/>
        </w:rPr>
        <w:t>11.2</w:t>
      </w:r>
      <w:bookmarkStart w:id="111" w:name="_Hlk53134511"/>
      <w:r>
        <w:rPr>
          <w:rFonts w:hint="eastAsia" w:hAnsi="宋体" w:cs="宋体"/>
          <w:color w:val="auto"/>
          <w:highlight w:val="none"/>
        </w:rPr>
        <w:t>采购人或者采购代理机构可以在招标文件提供期限截止后，组织已获取招标文件的潜在投标人现场考察或者召开开标前答疑会，具体详见“投标人须知前附表”。</w:t>
      </w:r>
      <w:bookmarkEnd w:id="111"/>
      <w:bookmarkStart w:id="112" w:name="_Toc11493"/>
      <w:bookmarkStart w:id="113" w:name="_Toc28609"/>
      <w:bookmarkStart w:id="114" w:name="_Toc254970676"/>
      <w:bookmarkStart w:id="115" w:name="_Toc254970535"/>
    </w:p>
    <w:p w14:paraId="63A0A9E8">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r>
        <w:rPr>
          <w:rFonts w:hint="eastAsia" w:ascii="宋体" w:hAnsi="宋体" w:cs="宋体"/>
          <w:color w:val="auto"/>
          <w:highlight w:val="none"/>
        </w:rPr>
        <w:t>三、投标文件的编制</w:t>
      </w:r>
      <w:bookmarkEnd w:id="112"/>
      <w:bookmarkEnd w:id="113"/>
      <w:bookmarkEnd w:id="114"/>
      <w:bookmarkEnd w:id="115"/>
    </w:p>
    <w:p w14:paraId="1C95C1C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16" w:name="_Toc254970536"/>
      <w:bookmarkStart w:id="117" w:name="_Toc254970677"/>
      <w:r>
        <w:rPr>
          <w:rFonts w:hint="eastAsia" w:ascii="宋体" w:hAnsi="宋体" w:cs="宋体"/>
          <w:b/>
          <w:color w:val="auto"/>
          <w:sz w:val="24"/>
          <w:highlight w:val="none"/>
        </w:rPr>
        <w:t>12.投标文件的编制原则</w:t>
      </w:r>
    </w:p>
    <w:p w14:paraId="2547BF1B">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2E0403F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13.投标文件的组成</w:t>
      </w:r>
      <w:bookmarkEnd w:id="116"/>
      <w:bookmarkEnd w:id="117"/>
    </w:p>
    <w:p w14:paraId="6E5F527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投标文件由报价文件、资格证明文件、商务及技术文件三部分组成。</w:t>
      </w:r>
    </w:p>
    <w:p w14:paraId="7691FE54">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8" w:name="_13.1报价文件:_具体材料见“投标人须知前附表”。"/>
      <w:bookmarkEnd w:id="118"/>
      <w:r>
        <w:rPr>
          <w:rFonts w:hint="eastAsia" w:ascii="宋体" w:hAnsi="宋体" w:cs="宋体"/>
          <w:color w:val="auto"/>
          <w:szCs w:val="21"/>
          <w:highlight w:val="none"/>
        </w:rPr>
        <w:t>（1）报价文件：具体材料见“投标人须知前附表”。</w:t>
      </w:r>
    </w:p>
    <w:p w14:paraId="0F0A678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9" w:name="_13.2资格证明文件：具体材料见“投标人须知前附表”。"/>
      <w:bookmarkEnd w:id="119"/>
      <w:r>
        <w:rPr>
          <w:rFonts w:hint="eastAsia" w:ascii="宋体" w:hAnsi="宋体" w:cs="宋体"/>
          <w:color w:val="auto"/>
          <w:szCs w:val="21"/>
          <w:highlight w:val="none"/>
        </w:rPr>
        <w:t>（2）资格证明文件：具体材料见“投标人须知前附表”。</w:t>
      </w:r>
    </w:p>
    <w:p w14:paraId="2FE6202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20" w:name="_13.3商务文件:_具体材料见“投标人须知前附表”。"/>
      <w:bookmarkEnd w:id="120"/>
      <w:r>
        <w:rPr>
          <w:rFonts w:hint="eastAsia" w:ascii="宋体" w:hAnsi="宋体" w:cs="宋体"/>
          <w:color w:val="auto"/>
          <w:szCs w:val="21"/>
          <w:highlight w:val="none"/>
        </w:rPr>
        <w:t>（3）商务及技术文件：具体材料见“投标人须知前附表”。</w:t>
      </w:r>
    </w:p>
    <w:p w14:paraId="443D640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21" w:name="_13.4技术文件：具体材料见“投标人须知前附表”。"/>
      <w:bookmarkEnd w:id="121"/>
      <w:bookmarkStart w:id="122" w:name="_13.5投标文件电子版：具体材料见“投标人须知前附表”。"/>
      <w:bookmarkEnd w:id="122"/>
      <w:bookmarkStart w:id="123" w:name="_Toc254970678"/>
      <w:bookmarkStart w:id="124" w:name="_Toc254970537"/>
      <w:r>
        <w:rPr>
          <w:rFonts w:hint="eastAsia" w:ascii="宋体" w:hAnsi="宋体" w:cs="宋体"/>
          <w:b/>
          <w:color w:val="auto"/>
          <w:sz w:val="24"/>
          <w:highlight w:val="none"/>
        </w:rPr>
        <w:t>14.投标文件的语言及计量</w:t>
      </w:r>
      <w:bookmarkEnd w:id="123"/>
      <w:bookmarkEnd w:id="124"/>
    </w:p>
    <w:p w14:paraId="28AC878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14.1语言文字</w:t>
      </w:r>
    </w:p>
    <w:p w14:paraId="25AD6BD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B25D3F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14.2投标计量单位</w:t>
      </w:r>
    </w:p>
    <w:p w14:paraId="0972AC4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b/>
          <w:color w:val="auto"/>
          <w:szCs w:val="21"/>
          <w:highlight w:val="none"/>
        </w:rPr>
        <w:t>否则视同未响应</w:t>
      </w:r>
      <w:r>
        <w:rPr>
          <w:rFonts w:hint="eastAsia" w:ascii="宋体" w:hAnsi="宋体" w:cs="宋体"/>
          <w:color w:val="auto"/>
          <w:szCs w:val="21"/>
          <w:highlight w:val="none"/>
        </w:rPr>
        <w:t>。</w:t>
      </w:r>
    </w:p>
    <w:p w14:paraId="3AB1A2D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15.投标的风险</w:t>
      </w:r>
    </w:p>
    <w:p w14:paraId="76CC1377">
      <w:pPr>
        <w:pStyle w:val="20"/>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hAnsi="宋体" w:cs="宋体"/>
          <w:color w:val="auto"/>
          <w:highlight w:val="none"/>
        </w:rPr>
      </w:pPr>
      <w:r>
        <w:rPr>
          <w:rFonts w:hint="eastAsia" w:hAnsi="宋体" w:cs="宋体"/>
          <w:color w:val="auto"/>
          <w:highlight w:val="none"/>
        </w:rPr>
        <w:t>投标人没有按照招标文件要求提供全部资料，或者投标人没有对招标文件作出实质性响应是投标人的风险，并可能导致其投标被拒绝。</w:t>
      </w:r>
    </w:p>
    <w:p w14:paraId="3AB4BD6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25" w:name="_Toc254970538"/>
      <w:bookmarkStart w:id="126" w:name="_Toc254970679"/>
      <w:r>
        <w:rPr>
          <w:rFonts w:hint="eastAsia" w:ascii="宋体" w:hAnsi="宋体" w:cs="宋体"/>
          <w:b/>
          <w:color w:val="auto"/>
          <w:sz w:val="24"/>
          <w:highlight w:val="none"/>
        </w:rPr>
        <w:t>16.投标报价</w:t>
      </w:r>
      <w:bookmarkEnd w:id="125"/>
      <w:bookmarkEnd w:id="126"/>
    </w:p>
    <w:p w14:paraId="7EFA661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16.1投标报价应按“第六章　投标文件格式”中“开标一览表”格式填写。</w:t>
      </w:r>
    </w:p>
    <w:p w14:paraId="27B11D3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27" w:name="_16.2投标报价具体定义见投标人须知前附表。"/>
      <w:bookmarkEnd w:id="127"/>
      <w:r>
        <w:rPr>
          <w:rFonts w:hint="eastAsia" w:ascii="宋体" w:hAnsi="宋体" w:cs="宋体"/>
          <w:color w:val="auto"/>
          <w:szCs w:val="21"/>
          <w:highlight w:val="none"/>
        </w:rPr>
        <w:t>16.2投标报价具体包括内容详见“投标人须知前附表”。</w:t>
      </w:r>
    </w:p>
    <w:p w14:paraId="140FA32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16.3投标人必须就所投每个分标的全部内容分别作完整唯一总价报价，不得存在漏项报价；投标人必须就所投分标的单项内容作唯一报价。</w:t>
      </w:r>
    </w:p>
    <w:p w14:paraId="42D5206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17.投标有效期</w:t>
      </w:r>
    </w:p>
    <w:p w14:paraId="59CE25D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28" w:name="_17.1投标有效期应按“投标人须知中的前附表”规定的期限。"/>
      <w:bookmarkEnd w:id="128"/>
      <w:r>
        <w:rPr>
          <w:rFonts w:hint="eastAsia" w:ascii="宋体" w:hAnsi="宋体" w:cs="宋体"/>
          <w:color w:val="auto"/>
          <w:szCs w:val="21"/>
          <w:highlight w:val="none"/>
        </w:rPr>
        <w:t>17.1投标有效期是指为保证采购人有足够的时间在开标后完成评标、定标、合同签订等工作而要求投标人提交的投标文件在一定时间内保持有效的期限。</w:t>
      </w:r>
    </w:p>
    <w:p w14:paraId="2679311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17.2</w:t>
      </w:r>
      <w:bookmarkStart w:id="129" w:name="_Toc254970681"/>
      <w:bookmarkStart w:id="130" w:name="_Toc254970540"/>
      <w:r>
        <w:rPr>
          <w:rFonts w:hint="eastAsia" w:ascii="宋体" w:hAnsi="宋体" w:cs="宋体"/>
          <w:color w:val="auto"/>
          <w:szCs w:val="21"/>
          <w:highlight w:val="none"/>
        </w:rPr>
        <w:t xml:space="preserve"> 投标有效期应按招标文件规定的期限作出承诺，具体详见“投标人须知前附表”。</w:t>
      </w:r>
      <w:r>
        <w:rPr>
          <w:rFonts w:hint="eastAsia" w:ascii="宋体" w:hAnsi="宋体" w:cs="宋体"/>
          <w:b/>
          <w:color w:val="auto"/>
          <w:szCs w:val="21"/>
          <w:highlight w:val="none"/>
        </w:rPr>
        <w:t>承诺的投标有效期低于招标文件规定期限的，按无效投标处理</w:t>
      </w:r>
      <w:r>
        <w:rPr>
          <w:rFonts w:hint="eastAsia" w:ascii="宋体" w:hAnsi="宋体" w:cs="宋体"/>
          <w:color w:val="auto"/>
          <w:szCs w:val="21"/>
          <w:highlight w:val="none"/>
        </w:rPr>
        <w:t>。</w:t>
      </w:r>
    </w:p>
    <w:p w14:paraId="4F2CC03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17.3投标人的投标文件在投标有效期内均保持有效。</w:t>
      </w:r>
      <w:bookmarkEnd w:id="129"/>
      <w:bookmarkEnd w:id="130"/>
    </w:p>
    <w:p w14:paraId="0A230FC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31" w:name="_18.投标保证金"/>
      <w:bookmarkEnd w:id="131"/>
      <w:bookmarkStart w:id="132" w:name="_Toc254970682"/>
      <w:bookmarkStart w:id="133" w:name="_Toc254970541"/>
      <w:r>
        <w:rPr>
          <w:rFonts w:hint="eastAsia" w:ascii="宋体" w:hAnsi="宋体" w:cs="宋体"/>
          <w:b/>
          <w:color w:val="auto"/>
          <w:sz w:val="24"/>
          <w:highlight w:val="none"/>
        </w:rPr>
        <w:t>18.投标保证金</w:t>
      </w:r>
      <w:bookmarkEnd w:id="132"/>
      <w:bookmarkEnd w:id="133"/>
    </w:p>
    <w:p w14:paraId="1ADB535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18.1投标人须按“投标人须知前附表” 的规定提交投标保证金。</w:t>
      </w:r>
    </w:p>
    <w:p w14:paraId="0D5B66B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18.2投标保证金的退还</w:t>
      </w:r>
    </w:p>
    <w:p w14:paraId="3809C45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未中标人的投标保证金自中标通知书发出之日起5个工作日内退还；中标人的投标保证金自政府采购合同签订之日起5个工作日内退还。 </w:t>
      </w:r>
    </w:p>
    <w:p w14:paraId="03C283C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18.3除逾期退还投标保证金和终止招标的情形以外，投标保证金不计息。</w:t>
      </w:r>
    </w:p>
    <w:p w14:paraId="02EB972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18.4投标人有下列情形之一的，投标保证金将不予退还：</w:t>
      </w:r>
    </w:p>
    <w:p w14:paraId="710E63D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6BB72F3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23EAACC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26C6041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0708ED7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34" w:name="_Toc254970542"/>
      <w:bookmarkStart w:id="135" w:name="_Toc254970683"/>
      <w:r>
        <w:rPr>
          <w:rFonts w:hint="eastAsia" w:ascii="宋体" w:hAnsi="宋体" w:cs="宋体"/>
          <w:color w:val="auto"/>
          <w:szCs w:val="21"/>
          <w:highlight w:val="none"/>
        </w:rPr>
        <w:t>（5）投标人出现本章第9.2、9.3情形的；</w:t>
      </w:r>
    </w:p>
    <w:p w14:paraId="57B4D0E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bookmarkEnd w:id="134"/>
    <w:bookmarkEnd w:id="135"/>
    <w:p w14:paraId="1FE7BB8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19.投标文件的编制</w:t>
      </w:r>
    </w:p>
    <w:p w14:paraId="5FAE67B0">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58D6530C">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36" w:name="_19.2投标文件应按报价文件、资格证明文件、商务文件、技术文件分别编制"/>
      <w:bookmarkEnd w:id="136"/>
      <w:r>
        <w:rPr>
          <w:rFonts w:hint="eastAsia" w:hAnsi="宋体" w:cs="宋体"/>
          <w:color w:val="auto"/>
          <w:highlight w:val="none"/>
        </w:rPr>
        <w:t>19.2为确保网上操作合法、有效和安全，投标人应当在投标截止时间前完成在广西政府采购云平台的身份认证，确保在电子投标过程中能够对相关数据电文进行加密和使用电子签章。</w:t>
      </w:r>
    </w:p>
    <w:p w14:paraId="66F38293">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19.3投标文件须由投标人在规定位置签字（或者电子签名）、盖章（具体以投标人须知前附表或投标文件格式规定为准），</w:t>
      </w:r>
      <w:r>
        <w:rPr>
          <w:rFonts w:hint="eastAsia" w:hAnsi="宋体" w:cs="宋体"/>
          <w:b/>
          <w:color w:val="auto"/>
          <w:highlight w:val="none"/>
        </w:rPr>
        <w:t>否则按无效投标处理</w:t>
      </w:r>
      <w:r>
        <w:rPr>
          <w:rFonts w:hint="eastAsia" w:hAnsi="宋体" w:cs="宋体"/>
          <w:color w:val="auto"/>
          <w:highlight w:val="none"/>
        </w:rPr>
        <w:t>。</w:t>
      </w:r>
    </w:p>
    <w:p w14:paraId="0A31A94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hAnsi="宋体" w:cs="宋体"/>
          <w:b/>
          <w:color w:val="auto"/>
          <w:highlight w:val="none"/>
        </w:rPr>
        <w:t>否则按无效投标处理</w:t>
      </w:r>
      <w:r>
        <w:rPr>
          <w:rFonts w:hint="eastAsia" w:hAnsi="宋体" w:cs="宋体"/>
          <w:color w:val="auto"/>
          <w:highlight w:val="none"/>
        </w:rPr>
        <w:t>。</w:t>
      </w:r>
    </w:p>
    <w:p w14:paraId="6630725C">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0551BB6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20.电子备份投标文件</w:t>
      </w:r>
    </w:p>
    <w:p w14:paraId="0D278108">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电子备份投标文件是指通过“广西政府采购云电子投标客户端”在线编制生成且后缀名为“bfbs”的文件，是否接受电子备份投标文件详见“投标人须知前附表”。</w:t>
      </w:r>
    </w:p>
    <w:p w14:paraId="08ABDF8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21.投标文件的提交</w:t>
      </w:r>
    </w:p>
    <w:p w14:paraId="49FB683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b/>
          <w:color w:val="auto"/>
          <w:highlight w:val="none"/>
        </w:rPr>
      </w:pPr>
      <w:bookmarkStart w:id="137" w:name="_21.1投标人必须在“投标人须知中的前附表”规定的投标文件接收时间和投"/>
      <w:bookmarkEnd w:id="137"/>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提交投标文件截止时间前将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b/>
          <w:color w:val="auto"/>
          <w:szCs w:val="21"/>
          <w:highlight w:val="none"/>
        </w:rPr>
        <w:t>广西政府采购云平台</w:t>
      </w:r>
      <w:r>
        <w:rPr>
          <w:rFonts w:hint="eastAsia" w:ascii="宋体" w:hAnsi="宋体" w:cs="宋体"/>
          <w:bCs/>
          <w:color w:val="auto"/>
          <w:szCs w:val="21"/>
          <w:highlight w:val="none"/>
        </w:rPr>
        <w:t>。</w:t>
      </w:r>
    </w:p>
    <w:p w14:paraId="2643A0D5">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7986800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16CAF63C">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bookmarkStart w:id="138" w:name="_Toc254970543"/>
      <w:bookmarkStart w:id="139" w:name="_Toc254970684"/>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依次进入“服务中心”中查看 “电子投标文件制作与投送教程”）</w:t>
      </w:r>
    </w:p>
    <w:bookmarkEnd w:id="138"/>
    <w:bookmarkEnd w:id="139"/>
    <w:p w14:paraId="78A5FBD9">
      <w:pPr>
        <w:pStyle w:val="79"/>
        <w:keepNext w:val="0"/>
        <w:keepLines w:val="0"/>
        <w:pageBreakBefore w:val="0"/>
        <w:widowControl w:val="0"/>
        <w:kinsoku/>
        <w:wordWrap/>
        <w:overflowPunct/>
        <w:topLinePunct w:val="0"/>
        <w:autoSpaceDE/>
        <w:autoSpaceDN/>
        <w:bidi w:val="0"/>
        <w:spacing w:before="0" w:line="400" w:lineRule="exact"/>
        <w:ind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w:t>
      </w:r>
      <w:r>
        <w:rPr>
          <w:rFonts w:hint="eastAsia" w:ascii="宋体" w:hAnsi="宋体" w:cs="宋体"/>
          <w:color w:val="auto"/>
          <w:sz w:val="21"/>
          <w:szCs w:val="21"/>
          <w:highlight w:val="none"/>
          <w:lang w:eastAsia="zh-CN"/>
        </w:rPr>
        <w:t>间之</w:t>
      </w:r>
      <w:r>
        <w:rPr>
          <w:rFonts w:hint="eastAsia" w:ascii="宋体" w:hAnsi="宋体" w:cs="宋体"/>
          <w:color w:val="auto"/>
          <w:sz w:val="21"/>
          <w:szCs w:val="21"/>
          <w:highlight w:val="none"/>
        </w:rPr>
        <w:t>前，除供应商补充、修改或者撤回投标文件外，任何单位和个人不得解密或提取投标文件。</w:t>
      </w:r>
    </w:p>
    <w:p w14:paraId="5D7DE86F">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5546B86A">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40" w:name="_Toc21393"/>
      <w:bookmarkStart w:id="141" w:name="_Toc254970685"/>
      <w:bookmarkStart w:id="142" w:name="_Toc23160"/>
      <w:bookmarkStart w:id="143" w:name="_Toc254970544"/>
      <w:r>
        <w:rPr>
          <w:rFonts w:hint="eastAsia" w:ascii="宋体" w:hAnsi="宋体" w:cs="宋体"/>
          <w:color w:val="auto"/>
          <w:highlight w:val="none"/>
        </w:rPr>
        <w:t>四、开  标</w:t>
      </w:r>
      <w:bookmarkEnd w:id="140"/>
      <w:bookmarkEnd w:id="141"/>
      <w:bookmarkEnd w:id="142"/>
      <w:bookmarkEnd w:id="143"/>
    </w:p>
    <w:p w14:paraId="3ADA8F43">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44" w:name="_23.开标时间和地点"/>
      <w:bookmarkEnd w:id="144"/>
      <w:r>
        <w:rPr>
          <w:rFonts w:hint="eastAsia" w:ascii="宋体" w:hAnsi="宋体" w:cs="宋体"/>
          <w:b/>
          <w:color w:val="auto"/>
          <w:sz w:val="24"/>
          <w:highlight w:val="none"/>
        </w:rPr>
        <w:t>23.开标时间和地点</w:t>
      </w:r>
    </w:p>
    <w:p w14:paraId="184C3B3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bCs/>
          <w:color w:val="auto"/>
          <w:highlight w:val="none"/>
        </w:rPr>
      </w:pPr>
      <w:r>
        <w:rPr>
          <w:rFonts w:hint="eastAsia" w:ascii="宋体" w:hAnsi="宋体" w:cs="宋体"/>
          <w:bCs/>
          <w:color w:val="auto"/>
          <w:highlight w:val="none"/>
        </w:rPr>
        <w:t>开标时间及地点详见“投标人须知前附表”</w:t>
      </w:r>
    </w:p>
    <w:p w14:paraId="094CAB7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24.开标程序</w:t>
      </w:r>
    </w:p>
    <w:p w14:paraId="41AD7B91">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7BD4AA51">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3E97FC36">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24.3开标程序</w:t>
      </w:r>
    </w:p>
    <w:p w14:paraId="1A7E0649">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highlight w:val="none"/>
        </w:rPr>
        <w:t>。</w:t>
      </w:r>
    </w:p>
    <w:p w14:paraId="12F8ECDC">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（2）电子唱标。投标文件解密结束，宣布的内容均在广西政府采购云平台远程开标大厅展示，具体详见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28F564F6">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6D0C9B61">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13966970">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（5）开标结束。</w:t>
      </w:r>
    </w:p>
    <w:p w14:paraId="1909B2C2">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特别说明：如遇广西政府采购云平台电子化开标或评审程序调整的，按调整后执行。</w:t>
      </w:r>
    </w:p>
    <w:p w14:paraId="6D138675">
      <w:pPr>
        <w:pStyle w:val="20"/>
        <w:keepNext w:val="0"/>
        <w:keepLines w:val="0"/>
        <w:pageBreakBefore w:val="0"/>
        <w:widowControl w:val="0"/>
        <w:kinsoku/>
        <w:wordWrap/>
        <w:overflowPunct/>
        <w:topLinePunct w:val="0"/>
        <w:autoSpaceDE/>
        <w:autoSpaceDN/>
        <w:bidi w:val="0"/>
        <w:snapToGrid w:val="0"/>
        <w:spacing w:line="400" w:lineRule="exact"/>
        <w:ind w:left="689" w:leftChars="228" w:hanging="210" w:hangingChars="100"/>
        <w:textAlignment w:val="auto"/>
        <w:rPr>
          <w:rFonts w:hint="eastAsia" w:hAnsi="宋体" w:cs="宋体"/>
          <w:color w:val="auto"/>
          <w:highlight w:val="none"/>
        </w:rPr>
      </w:pPr>
    </w:p>
    <w:p w14:paraId="4707B302">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45" w:name="_Toc2525"/>
      <w:bookmarkStart w:id="146" w:name="_Toc6086"/>
      <w:r>
        <w:rPr>
          <w:rFonts w:hint="eastAsia" w:ascii="宋体" w:hAnsi="宋体" w:cs="宋体"/>
          <w:color w:val="auto"/>
          <w:highlight w:val="none"/>
        </w:rPr>
        <w:t>五、资格审查</w:t>
      </w:r>
      <w:bookmarkEnd w:id="145"/>
      <w:bookmarkEnd w:id="146"/>
    </w:p>
    <w:p w14:paraId="429D9C9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25.资格审查</w:t>
      </w:r>
    </w:p>
    <w:p w14:paraId="0C42E848">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25.1开标结束后，采购人或者采购代理机构通过电子开评标系统依据招标文件对电子投标文件进行线上资格审查。</w:t>
      </w:r>
    </w:p>
    <w:p w14:paraId="11A8B8C1">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25.2资格审查标准为本招标文件中载明对投标人资格要求的条件。本项目资格审查采用合格制，凡符合招标文件规定的投标人资格要求的投标人均通过资格审查。</w:t>
      </w:r>
    </w:p>
    <w:p w14:paraId="13B7D450">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bookmarkStart w:id="147" w:name="_25.3_投标人有下列情形之一的，资格审查不通过而导致其投标无效："/>
      <w:bookmarkEnd w:id="147"/>
      <w:r>
        <w:rPr>
          <w:rFonts w:hint="eastAsia" w:hAnsi="宋体" w:cs="宋体"/>
          <w:b/>
          <w:color w:val="auto"/>
          <w:highlight w:val="none"/>
        </w:rPr>
        <w:t>25.3 投标人有下列情形之一的，资格审查不通过，作无效投标处理：</w:t>
      </w:r>
    </w:p>
    <w:p w14:paraId="587C799F">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（1）不具备招标文件中规定的资格要求的；</w:t>
      </w:r>
    </w:p>
    <w:p w14:paraId="18C74FC8">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23C24E81">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12D8CFF3">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（4）投标文件中的资格证明文件缺少任一项“投标人须知前附表”资格证明文件规定“必须提供”的文件资料的；</w:t>
      </w:r>
    </w:p>
    <w:p w14:paraId="4062D8EA">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（5）投标文件中的资格证明文件出现任一项不符合“投标人须知前附表”资格证明文件规定“必须提供”的文件资料要求或者无效的。</w:t>
      </w:r>
    </w:p>
    <w:p w14:paraId="2C04D214">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25.4合格投标人不足3家的，不得评标。</w:t>
      </w:r>
    </w:p>
    <w:p w14:paraId="3AA7A015">
      <w:pPr>
        <w:pStyle w:val="20"/>
        <w:keepNext w:val="0"/>
        <w:keepLines w:val="0"/>
        <w:pageBreakBefore w:val="0"/>
        <w:widowControl w:val="0"/>
        <w:kinsoku/>
        <w:wordWrap/>
        <w:overflowPunct/>
        <w:topLinePunct w:val="0"/>
        <w:autoSpaceDE/>
        <w:autoSpaceDN/>
        <w:bidi w:val="0"/>
        <w:snapToGrid w:val="0"/>
        <w:spacing w:line="400" w:lineRule="exact"/>
        <w:ind w:left="689" w:leftChars="228" w:hanging="210" w:hangingChars="100"/>
        <w:textAlignment w:val="auto"/>
        <w:rPr>
          <w:rFonts w:hint="eastAsia" w:hAnsi="宋体" w:cs="宋体"/>
          <w:color w:val="auto"/>
          <w:highlight w:val="none"/>
        </w:rPr>
      </w:pPr>
    </w:p>
    <w:p w14:paraId="3C85BF3B">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48" w:name="_Toc17386"/>
      <w:bookmarkStart w:id="149" w:name="_Toc31107"/>
      <w:r>
        <w:rPr>
          <w:rFonts w:hint="eastAsia" w:ascii="宋体" w:hAnsi="宋体" w:cs="宋体"/>
          <w:color w:val="auto"/>
          <w:highlight w:val="none"/>
        </w:rPr>
        <w:t>六、评  标</w:t>
      </w:r>
      <w:bookmarkEnd w:id="148"/>
      <w:bookmarkEnd w:id="149"/>
    </w:p>
    <w:p w14:paraId="2004E04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50" w:name="_26.组建评标委员会"/>
      <w:bookmarkEnd w:id="150"/>
      <w:r>
        <w:rPr>
          <w:rFonts w:hint="eastAsia" w:ascii="宋体" w:hAnsi="宋体" w:cs="宋体"/>
          <w:b/>
          <w:color w:val="auto"/>
          <w:sz w:val="24"/>
          <w:highlight w:val="none"/>
        </w:rPr>
        <w:t>26.组建评标委员会</w:t>
      </w:r>
    </w:p>
    <w:p w14:paraId="40B1CDF4">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26.1评标委员会由采购人代表和评审专家组成，具体人数详见“投标人须知前附表”，其中评审专家不得少于成员总数的三分之二。</w:t>
      </w:r>
    </w:p>
    <w:p w14:paraId="2A7BBFCF">
      <w:pPr>
        <w:pStyle w:val="20"/>
        <w:keepNext w:val="0"/>
        <w:keepLines w:val="0"/>
        <w:pageBreakBefore w:val="0"/>
        <w:widowControl w:val="0"/>
        <w:kinsoku/>
        <w:wordWrap/>
        <w:overflowPunct/>
        <w:topLinePunct w:val="0"/>
        <w:autoSpaceDE/>
        <w:autoSpaceDN/>
        <w:bidi w:val="0"/>
        <w:snapToGrid w:val="0"/>
        <w:spacing w:line="400" w:lineRule="exact"/>
        <w:ind w:left="2" w:leftChars="1" w:firstLine="420" w:firstLineChars="200"/>
        <w:textAlignment w:val="auto"/>
        <w:rPr>
          <w:rFonts w:hint="eastAsia" w:hAnsi="宋体" w:cs="宋体"/>
          <w:color w:val="auto"/>
          <w:highlight w:val="none"/>
        </w:rPr>
      </w:pPr>
      <w:r>
        <w:rPr>
          <w:rFonts w:hint="eastAsia" w:hAnsi="宋体" w:cs="宋体"/>
          <w:color w:val="auto"/>
          <w:highlight w:val="none"/>
        </w:rPr>
        <w:t>26.2参加过采购项目前期咨询论证的专家，不得参加该采购项目的评审活动。</w:t>
      </w:r>
    </w:p>
    <w:p w14:paraId="129A5836">
      <w:pPr>
        <w:pStyle w:val="20"/>
        <w:keepNext w:val="0"/>
        <w:keepLines w:val="0"/>
        <w:pageBreakBefore w:val="0"/>
        <w:widowControl w:val="0"/>
        <w:kinsoku/>
        <w:wordWrap/>
        <w:overflowPunct/>
        <w:topLinePunct w:val="0"/>
        <w:autoSpaceDE/>
        <w:autoSpaceDN/>
        <w:bidi w:val="0"/>
        <w:snapToGrid w:val="0"/>
        <w:spacing w:line="400" w:lineRule="exact"/>
        <w:ind w:left="2" w:leftChars="1" w:firstLine="420" w:firstLineChars="200"/>
        <w:textAlignment w:val="auto"/>
        <w:rPr>
          <w:rFonts w:hint="eastAsia" w:hAnsi="宋体" w:cs="宋体"/>
          <w:color w:val="auto"/>
          <w:highlight w:val="none"/>
        </w:rPr>
      </w:pPr>
      <w:r>
        <w:rPr>
          <w:rFonts w:hint="eastAsia" w:hAnsi="宋体" w:cs="宋体"/>
          <w:color w:val="auto"/>
          <w:highlight w:val="none"/>
        </w:rPr>
        <w:t>26.3</w:t>
      </w:r>
      <w:r>
        <w:rPr>
          <w:rFonts w:hint="eastAsia" w:hAnsi="宋体" w:cs="宋体"/>
          <w:bCs/>
          <w:color w:val="auto"/>
          <w:highlight w:val="none"/>
        </w:rPr>
        <w:t>采购代理机构应当基于广西政府采购云平台抽（选）取评审专家。</w:t>
      </w:r>
    </w:p>
    <w:p w14:paraId="15A6CE6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27.评标的依据</w:t>
      </w:r>
    </w:p>
    <w:p w14:paraId="2DCABCD1">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评标委员会以“第四章 评标方法和评标标准”为依据对投标文件进行评审，没有规定的方法、评审因素和标准，不作为评标依据。</w:t>
      </w:r>
    </w:p>
    <w:p w14:paraId="09F4854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28.评标原则</w:t>
      </w:r>
    </w:p>
    <w:p w14:paraId="0AF1F777">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28.1评标原则。评标委员</w:t>
      </w:r>
      <w:r>
        <w:rPr>
          <w:rFonts w:hint="eastAsia" w:hAnsi="宋体" w:cs="宋体"/>
          <w:color w:val="auto"/>
          <w:highlight w:val="none"/>
          <w:lang w:eastAsia="zh-CN"/>
        </w:rPr>
        <w:t>会在</w:t>
      </w:r>
      <w:r>
        <w:rPr>
          <w:rFonts w:hint="eastAsia" w:hAnsi="宋体" w:cs="宋体"/>
          <w:color w:val="auto"/>
          <w:highlight w:val="none"/>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175EB98">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28.2</w:t>
      </w:r>
      <w:bookmarkStart w:id="151" w:name="_28.3评标方法。本项目将按须知前附表规定的评标办法进行评标，具体评标"/>
      <w:bookmarkEnd w:id="151"/>
      <w:r>
        <w:rPr>
          <w:rFonts w:hint="eastAsia" w:hAnsi="宋体" w:cs="宋体"/>
          <w:color w:val="auto"/>
          <w:highlight w:val="none"/>
        </w:rPr>
        <w:t>评委表决。评标委员会成员对需要共同认定的事项存在争议的，应当按照少数服从多数的原则作出结论。</w:t>
      </w:r>
    </w:p>
    <w:p w14:paraId="498A3AA3">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4A275E4">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28.4评标过程的监控。本项目电子评标过程实行网上留痕、全程录音、录像监控，</w:t>
      </w:r>
      <w:r>
        <w:rPr>
          <w:rFonts w:hint="eastAsia" w:hAnsi="宋体" w:cs="宋体"/>
          <w:b/>
          <w:color w:val="auto"/>
          <w:highlight w:val="none"/>
        </w:rPr>
        <w:t>投标人在评标过程中所进行的试图影响评标结果的不公正活动，可能导致其投标按无效处理。</w:t>
      </w:r>
    </w:p>
    <w:p w14:paraId="03CB5A9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29.评标方法及中标候选人推荐</w:t>
      </w:r>
    </w:p>
    <w:p w14:paraId="234BB577">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29.1本项目的评标方法详见“投标人须知前附表”。</w:t>
      </w:r>
    </w:p>
    <w:p w14:paraId="0A909CCD">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29.2 商务/技术要求允许负偏离的条款数详见“投标人须知前附表”。</w:t>
      </w:r>
    </w:p>
    <w:p w14:paraId="3786384A">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29.3 中标候选人推荐数量详见“投标人须知前附表”。</w:t>
      </w:r>
    </w:p>
    <w:p w14:paraId="0FE68104">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29.4 电子交易活动的中止。采购过程中出现以下情形，导致电子交易平台无法正常运行，或者无法保证电子交易的公平、公正和安全时，采购代理机构可以中止电子交易活动：</w:t>
      </w:r>
    </w:p>
    <w:p w14:paraId="2D0D6D1B">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（1）电子交易平台发生故障而无法登录访问的；</w:t>
      </w:r>
    </w:p>
    <w:p w14:paraId="509F2665">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（2）电子交易平台应用或数据库出现错误，不能进行正常操作的；</w:t>
      </w:r>
    </w:p>
    <w:p w14:paraId="6A21D498">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（3）电子交易平台发现严重安全漏洞，有潜在泄密危险的；</w:t>
      </w:r>
    </w:p>
    <w:p w14:paraId="3E125915">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（4）病毒发作导致不能进行正常操作的；</w:t>
      </w:r>
    </w:p>
    <w:p w14:paraId="246C35D9">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（5）其他无法保证电子交易的公平、公正和安全的情况。</w:t>
      </w:r>
    </w:p>
    <w:p w14:paraId="7DE2459C">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55B70720">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29.5出现下列情形之一的，应予废标：</w:t>
      </w:r>
    </w:p>
    <w:p w14:paraId="246618AA">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（1）符合专业条件的供应商或者对招标文件作实质响应的供应商不足三家的；</w:t>
      </w:r>
    </w:p>
    <w:p w14:paraId="037073DF">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（2）出现影响采购公正的违法、违规行为的；</w:t>
      </w:r>
    </w:p>
    <w:p w14:paraId="64C78621">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（3）投标人的报价均超过了采购预算，采购人不能支付的；</w:t>
      </w:r>
    </w:p>
    <w:p w14:paraId="0A1CE542">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（4）因重大变故，采购任务取消的。</w:t>
      </w:r>
    </w:p>
    <w:p w14:paraId="113B143E">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废标后，采购人应当将废标理由通知所有投标人。</w:t>
      </w:r>
    </w:p>
    <w:p w14:paraId="67F20CFC">
      <w:pPr>
        <w:pStyle w:val="20"/>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color w:val="auto"/>
          <w:highlight w:val="none"/>
        </w:rPr>
      </w:pPr>
    </w:p>
    <w:p w14:paraId="2E04A4A7">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52" w:name="_Toc254970546"/>
      <w:bookmarkStart w:id="153" w:name="_Toc254970687"/>
      <w:bookmarkStart w:id="154" w:name="_Toc3006"/>
      <w:bookmarkStart w:id="155" w:name="_Toc12517"/>
      <w:r>
        <w:rPr>
          <w:rFonts w:hint="eastAsia" w:ascii="宋体" w:hAnsi="宋体" w:cs="宋体"/>
          <w:color w:val="auto"/>
          <w:highlight w:val="none"/>
        </w:rPr>
        <w:t>七、</w:t>
      </w:r>
      <w:bookmarkEnd w:id="152"/>
      <w:bookmarkEnd w:id="153"/>
      <w:r>
        <w:rPr>
          <w:rFonts w:hint="eastAsia" w:ascii="宋体" w:hAnsi="宋体" w:cs="宋体"/>
          <w:color w:val="auto"/>
          <w:highlight w:val="none"/>
        </w:rPr>
        <w:t>中标和合同</w:t>
      </w:r>
      <w:bookmarkEnd w:id="154"/>
      <w:bookmarkEnd w:id="155"/>
    </w:p>
    <w:p w14:paraId="04CEED3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30 确定中标人</w:t>
      </w:r>
    </w:p>
    <w:p w14:paraId="43BEE2E7">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20275E0F">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30.2采购人在收到评标报告5个工作日内未按评标报告推荐的中标候选人顺序确定中标人，又不能说明合法理由的，视同按评标报告推荐的顺序确定排名第一的中标候选人为中标人。</w:t>
      </w:r>
    </w:p>
    <w:p w14:paraId="60109D4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31.结果公告</w:t>
      </w:r>
    </w:p>
    <w:p w14:paraId="7F7778CD">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FD819CC">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以上信息查询记录及相关证据与招标文件一并保存。</w:t>
      </w:r>
    </w:p>
    <w:p w14:paraId="45FCDA71">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31.2中标供应商享受《政府采购促进中小企业发展管理办法》（财库〔2020〕46号）规定的中小企业扶持政策的，采购人、采购代理机构应当随中标结果公开中标供应商的《中小企业声明函》。</w:t>
      </w:r>
    </w:p>
    <w:p w14:paraId="7112F76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32.发出中标通知书</w:t>
      </w:r>
    </w:p>
    <w:p w14:paraId="606D08C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10CE48A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33.无义务解释未中标原因</w:t>
      </w:r>
    </w:p>
    <w:p w14:paraId="15DC4339">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采购代理机构无义务向未中标的投标人解释未中标原因。</w:t>
      </w:r>
    </w:p>
    <w:p w14:paraId="67F9E55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34.合同授予标准</w:t>
      </w:r>
    </w:p>
    <w:p w14:paraId="27C735D4">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17D3F21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35.履约保证金</w:t>
      </w:r>
    </w:p>
    <w:p w14:paraId="68BF447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6" w:name="_39.1中标人须于签订合同前按本须知前附表规定的金额转账或电汇到指定账"/>
      <w:bookmarkEnd w:id="156"/>
      <w:r>
        <w:rPr>
          <w:rFonts w:hint="eastAsia" w:hAnsi="宋体" w:cs="宋体"/>
          <w:color w:val="auto"/>
          <w:highlight w:val="none"/>
        </w:rPr>
        <w:t>35.1 履约保证金的金额、提交方式、缴纳期限、退付的时间和条件详见 “投标人须知前附表”中标人未按规定提交履约保证金的，视为拒绝与采购人签订合同。</w:t>
      </w:r>
    </w:p>
    <w:p w14:paraId="755A101E">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35.2在履约保证金退还日期前，若中标人的开户名称、开户银行、账号有变动的，请以书面形式通知履约保证金收取单位，否则由此产生的后果由中标人自行承担。</w:t>
      </w:r>
    </w:p>
    <w:p w14:paraId="41E0A2A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36.签订合同</w:t>
      </w:r>
    </w:p>
    <w:p w14:paraId="1EC446AB">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7" w:name="_40.1投标人接到中标通知书后，按须知前附表规定向采购人出示相关资格证"/>
      <w:bookmarkEnd w:id="157"/>
      <w:r>
        <w:rPr>
          <w:rFonts w:hint="eastAsia" w:hAnsi="宋体" w:cs="宋体"/>
          <w:color w:val="auto"/>
          <w:highlight w:val="none"/>
        </w:rPr>
        <w:t>36.1签订电子采购合同：中标人领取电子中标通知书后，在规定的日期、时间、地点，由法定代表人或其授权代表与采购人代表签订电子采购合同。如中标人为联合体的，由联合体成员各方法定代表人或其授权代表与采购人代表签订合同。</w:t>
      </w:r>
    </w:p>
    <w:p w14:paraId="53DE9C3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线下签订纸质合同：投标人领取中标通知书后，按“投标人须知前附表”规定向采购人出示相关证明材料，经采购人核验合格后方可签订合同。</w:t>
      </w:r>
    </w:p>
    <w:p w14:paraId="4CB0AFA8">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36.2签订合同时间：按中标通知书规定的时间与采购人签订合同。</w:t>
      </w:r>
    </w:p>
    <w:p w14:paraId="11907598">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28C97863">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764850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7FD6C470">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36.6如签订合同并生效后，供应商无故拒绝或延期，除按照合同条款处理外，将承担相应的法律责任。</w:t>
      </w:r>
    </w:p>
    <w:p w14:paraId="74CA00A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58" w:name="_41.政府采购合同公告"/>
      <w:bookmarkEnd w:id="158"/>
      <w:r>
        <w:rPr>
          <w:rFonts w:hint="eastAsia" w:ascii="宋体" w:hAnsi="宋体" w:cs="宋体"/>
          <w:b/>
          <w:color w:val="auto"/>
          <w:sz w:val="24"/>
          <w:highlight w:val="none"/>
        </w:rPr>
        <w:t>37.政府采购合同公告</w:t>
      </w:r>
    </w:p>
    <w:p w14:paraId="10C84D1D">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50AC8B4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38.询问、质疑和投诉</w:t>
      </w:r>
    </w:p>
    <w:p w14:paraId="359ED321">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209CCA51">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58E07680">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（1）对可以质疑的招标文件提出质疑的，为收到招标文件之日或者招标文件公告期限届满之日；</w:t>
      </w:r>
    </w:p>
    <w:p w14:paraId="2D87E620">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（2）对采购过程提出质疑的，为各采购程序环节结束之日；</w:t>
      </w:r>
    </w:p>
    <w:p w14:paraId="25C34DB6">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color w:val="auto"/>
          <w:highlight w:val="none"/>
        </w:rPr>
        <w:t>（3）对中标结果提出质疑的，为中标结果公告期限届满之日。</w:t>
      </w:r>
    </w:p>
    <w:p w14:paraId="43E2C03B">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9" w:name="_9.2质疑、投诉应当采用书面形式，质疑函、投诉书均应明确阐述招标文件、"/>
      <w:bookmarkEnd w:id="159"/>
      <w:r>
        <w:rPr>
          <w:rFonts w:hint="eastAsia" w:hAnsi="宋体" w:cs="宋体"/>
          <w:color w:val="auto"/>
          <w:highlight w:val="none"/>
        </w:rPr>
        <w:t>38.3供应商提出质疑应当提交质疑函和必要的证明材料，针对同一采购程序环节的质疑必须在法定质疑期内一次性提出。质疑函应当包括下列内容（质疑函格式后附）：</w:t>
      </w:r>
    </w:p>
    <w:p w14:paraId="2854068D">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（1）供应商的姓名或者名称、地址、邮编、联系人及联系电话；</w:t>
      </w:r>
    </w:p>
    <w:p w14:paraId="23B6FCDA">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（2）质疑项目的名称、编号；</w:t>
      </w:r>
    </w:p>
    <w:p w14:paraId="167A3680">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（3）具体、明确的质疑事项和与质疑事项相关的请求；</w:t>
      </w:r>
    </w:p>
    <w:p w14:paraId="3D6454EB">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（4）事实依据；</w:t>
      </w:r>
    </w:p>
    <w:p w14:paraId="7BDD2442">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（5）必要的法律依据；</w:t>
      </w:r>
    </w:p>
    <w:p w14:paraId="627880B6">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（6）提出质疑的日期。</w:t>
      </w:r>
    </w:p>
    <w:p w14:paraId="61D6A31A">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供应商为自然人的，应当由本人签字；供应商为法人或者其他组织的，应当由法定代表人、主要负责人，或者其委托代理人签字或者盖章，并加盖公章。</w:t>
      </w:r>
    </w:p>
    <w:p w14:paraId="26B0D15F">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38.4采购人、采购代理机构认为供应商质疑不成立，或者成立但未对中标结果构成影响的，继续开展采购活动；认为供应商质疑成立且影响或者可能影响中标结果的，按照下列情况处理：</w:t>
      </w:r>
    </w:p>
    <w:p w14:paraId="4DC4A465">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（一）对招标文件提出的质疑，依法通过澄清或者修改可以继续开展采购活动的，澄清或者修改招标文件后继续开展采购活动；否则应当修改招标文件后重新开展采购活动。</w:t>
      </w:r>
    </w:p>
    <w:p w14:paraId="51CE852B">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（二）对采购过程、中标结果提出的质疑，合格供应商符合法定数量时，可以从合格的中标候选人中另行确定中标供应商的，应当依法另行确定中标供应商；否则应当重新开展采购活动。</w:t>
      </w:r>
    </w:p>
    <w:p w14:paraId="43A79323">
      <w:pPr>
        <w:pStyle w:val="20"/>
        <w:keepNext w:val="0"/>
        <w:keepLines w:val="0"/>
        <w:pageBreakBefore w:val="0"/>
        <w:widowControl w:val="0"/>
        <w:kinsoku/>
        <w:wordWrap/>
        <w:overflowPunct/>
        <w:topLinePunct w:val="0"/>
        <w:autoSpaceDE/>
        <w:autoSpaceDN/>
        <w:bidi w:val="0"/>
        <w:snapToGrid w:val="0"/>
        <w:spacing w:line="400" w:lineRule="exact"/>
        <w:ind w:firstLine="420"/>
        <w:textAlignment w:val="auto"/>
        <w:rPr>
          <w:rFonts w:hint="eastAsia" w:hAnsi="宋体" w:cs="宋体"/>
          <w:bCs/>
          <w:color w:val="auto"/>
          <w:highlight w:val="none"/>
        </w:rPr>
      </w:pPr>
      <w:r>
        <w:rPr>
          <w:rFonts w:hint="eastAsia" w:hAnsi="宋体" w:cs="宋体"/>
          <w:bCs/>
          <w:color w:val="auto"/>
          <w:highlight w:val="none"/>
        </w:rPr>
        <w:t>质疑答复导致中标结果改变的，采购人或者采购代理机构应当将有关情况书面报告本级财政部门。</w:t>
      </w:r>
    </w:p>
    <w:p w14:paraId="09E20E24">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46CFFE0">
      <w:pPr>
        <w:pStyle w:val="2"/>
        <w:keepNext w:val="0"/>
        <w:keepLines w:val="0"/>
        <w:pageBreakBefore w:val="0"/>
        <w:widowControl w:val="0"/>
        <w:kinsoku/>
        <w:wordWrap/>
        <w:overflowPunct/>
        <w:topLinePunct w:val="0"/>
        <w:autoSpaceDE/>
        <w:autoSpaceDN/>
        <w:bidi w:val="0"/>
        <w:spacing w:before="240" w:after="240" w:line="400" w:lineRule="exact"/>
        <w:jc w:val="center"/>
        <w:textAlignment w:val="auto"/>
        <w:rPr>
          <w:rFonts w:hint="eastAsia" w:ascii="宋体" w:hAnsi="宋体" w:cs="宋体"/>
          <w:color w:val="auto"/>
          <w:highlight w:val="none"/>
        </w:rPr>
      </w:pPr>
      <w:bookmarkStart w:id="160" w:name="_八、其他事项"/>
      <w:bookmarkEnd w:id="160"/>
      <w:bookmarkStart w:id="161" w:name="_Toc24956"/>
      <w:bookmarkStart w:id="162" w:name="_Toc17072"/>
      <w:r>
        <w:rPr>
          <w:rFonts w:hint="eastAsia" w:ascii="宋体" w:hAnsi="宋体" w:cs="宋体"/>
          <w:color w:val="auto"/>
          <w:highlight w:val="none"/>
        </w:rPr>
        <w:t>八、其他事项</w:t>
      </w:r>
      <w:bookmarkEnd w:id="161"/>
      <w:bookmarkEnd w:id="162"/>
    </w:p>
    <w:p w14:paraId="66F19A6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63" w:name="_42.代理服务费"/>
      <w:bookmarkEnd w:id="163"/>
      <w:r>
        <w:rPr>
          <w:rFonts w:hint="eastAsia" w:ascii="宋体" w:hAnsi="宋体" w:cs="宋体"/>
          <w:b/>
          <w:color w:val="auto"/>
          <w:sz w:val="24"/>
          <w:highlight w:val="none"/>
        </w:rPr>
        <w:t>39.代理服务费</w:t>
      </w:r>
    </w:p>
    <w:p w14:paraId="52ABA5F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39.1代理服务费收取标准参照国家发展计划委员会《招标代理服务费管理暂行办法》（计价格</w:t>
      </w:r>
      <w:r>
        <w:rPr>
          <w:rFonts w:hint="eastAsia" w:hAnsi="宋体" w:cs="宋体"/>
          <w:color w:val="auto"/>
          <w:highlight w:val="none"/>
          <w:lang w:eastAsia="zh-CN"/>
        </w:rPr>
        <w:t>〔2002〕1980号</w:t>
      </w:r>
      <w:r>
        <w:rPr>
          <w:rFonts w:hint="eastAsia" w:hAnsi="宋体" w:cs="宋体"/>
          <w:color w:val="auto"/>
          <w:highlight w:val="none"/>
        </w:rPr>
        <w:t>、《国家发展改革委关于降低部分建设项目收费标准规范收费行为等有关问题的通知》（发改价格</w:t>
      </w:r>
      <w:r>
        <w:rPr>
          <w:rFonts w:hint="eastAsia" w:hAnsi="宋体" w:cs="宋体"/>
          <w:color w:val="auto"/>
          <w:highlight w:val="none"/>
          <w:lang w:eastAsia="zh-CN"/>
        </w:rPr>
        <w:t>〔2011〕534号</w:t>
      </w:r>
      <w:r>
        <w:rPr>
          <w:rFonts w:hint="eastAsia" w:hAnsi="宋体" w:cs="宋体"/>
          <w:color w:val="auto"/>
          <w:highlight w:val="none"/>
        </w:rPr>
        <w:t>）收费标准（服务类）下浮20%向供应商收取，供应商为联合体的，可以由联合体中的一方或者多方共同交纳代理服务费。代理服务费缴费账户详见“投标人须知前附表”。</w:t>
      </w:r>
    </w:p>
    <w:p w14:paraId="2F3BC896">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代理服务费收取标准附表：</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7"/>
        <w:gridCol w:w="1719"/>
        <w:gridCol w:w="1747"/>
        <w:gridCol w:w="1453"/>
      </w:tblGrid>
      <w:tr w14:paraId="45C2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tcBorders>
              <w:tl2br w:val="single" w:color="auto" w:sz="4" w:space="0"/>
            </w:tcBorders>
            <w:noWrap w:val="0"/>
            <w:vAlign w:val="center"/>
          </w:tcPr>
          <w:p w14:paraId="69AD7169">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费率</w:t>
            </w:r>
          </w:p>
          <w:p w14:paraId="20A09A34">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中标金额</w:t>
            </w:r>
          </w:p>
        </w:tc>
        <w:tc>
          <w:tcPr>
            <w:tcW w:w="1009" w:type="pct"/>
            <w:noWrap w:val="0"/>
            <w:vAlign w:val="center"/>
          </w:tcPr>
          <w:p w14:paraId="7B2FF5DA">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货物招标</w:t>
            </w:r>
          </w:p>
        </w:tc>
        <w:tc>
          <w:tcPr>
            <w:tcW w:w="1026" w:type="pct"/>
            <w:noWrap w:val="0"/>
            <w:vAlign w:val="center"/>
          </w:tcPr>
          <w:p w14:paraId="67F17444">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服务招标</w:t>
            </w:r>
          </w:p>
        </w:tc>
        <w:tc>
          <w:tcPr>
            <w:tcW w:w="853" w:type="pct"/>
            <w:noWrap w:val="0"/>
            <w:vAlign w:val="center"/>
          </w:tcPr>
          <w:p w14:paraId="4CD2122A">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工程招标</w:t>
            </w:r>
          </w:p>
        </w:tc>
      </w:tr>
      <w:tr w14:paraId="347F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09292F47">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009" w:type="pct"/>
            <w:noWrap w:val="0"/>
            <w:vAlign w:val="center"/>
          </w:tcPr>
          <w:p w14:paraId="13B3D93E">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026" w:type="pct"/>
            <w:noWrap w:val="0"/>
            <w:vAlign w:val="center"/>
          </w:tcPr>
          <w:p w14:paraId="00A58416">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853" w:type="pct"/>
            <w:noWrap w:val="0"/>
            <w:vAlign w:val="center"/>
          </w:tcPr>
          <w:p w14:paraId="06DD493E">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1.0%</w:t>
            </w:r>
          </w:p>
        </w:tc>
      </w:tr>
      <w:tr w14:paraId="2EC7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23A7D6B">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100万元～500万元</w:t>
            </w:r>
          </w:p>
        </w:tc>
        <w:tc>
          <w:tcPr>
            <w:tcW w:w="1009" w:type="pct"/>
            <w:noWrap w:val="0"/>
            <w:vAlign w:val="center"/>
          </w:tcPr>
          <w:p w14:paraId="039536B8">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1.1%</w:t>
            </w:r>
          </w:p>
        </w:tc>
        <w:tc>
          <w:tcPr>
            <w:tcW w:w="1026" w:type="pct"/>
            <w:noWrap w:val="0"/>
            <w:vAlign w:val="center"/>
          </w:tcPr>
          <w:p w14:paraId="06D9A988">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853" w:type="pct"/>
            <w:noWrap w:val="0"/>
            <w:vAlign w:val="center"/>
          </w:tcPr>
          <w:p w14:paraId="764E9B50">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0.7%</w:t>
            </w:r>
          </w:p>
        </w:tc>
      </w:tr>
      <w:tr w14:paraId="26AF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76131E9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500万元～1000万元</w:t>
            </w:r>
          </w:p>
        </w:tc>
        <w:tc>
          <w:tcPr>
            <w:tcW w:w="1009" w:type="pct"/>
            <w:noWrap w:val="0"/>
            <w:vAlign w:val="center"/>
          </w:tcPr>
          <w:p w14:paraId="29540A9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026" w:type="pct"/>
            <w:noWrap w:val="0"/>
            <w:vAlign w:val="center"/>
          </w:tcPr>
          <w:p w14:paraId="1B97FC4B">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853" w:type="pct"/>
            <w:noWrap w:val="0"/>
            <w:vAlign w:val="center"/>
          </w:tcPr>
          <w:p w14:paraId="18043FE2">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6F82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643C43E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1000万元～5000万元</w:t>
            </w:r>
          </w:p>
        </w:tc>
        <w:tc>
          <w:tcPr>
            <w:tcW w:w="1009" w:type="pct"/>
            <w:noWrap w:val="0"/>
            <w:vAlign w:val="center"/>
          </w:tcPr>
          <w:p w14:paraId="1CF9209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0.5%</w:t>
            </w:r>
          </w:p>
        </w:tc>
        <w:tc>
          <w:tcPr>
            <w:tcW w:w="1026" w:type="pct"/>
            <w:noWrap w:val="0"/>
            <w:vAlign w:val="center"/>
          </w:tcPr>
          <w:p w14:paraId="10AFC67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853" w:type="pct"/>
            <w:noWrap w:val="0"/>
            <w:vAlign w:val="center"/>
          </w:tcPr>
          <w:p w14:paraId="368FA3E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0.35%</w:t>
            </w:r>
          </w:p>
        </w:tc>
      </w:tr>
      <w:tr w14:paraId="3A6B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3A26349">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009" w:type="pct"/>
            <w:noWrap w:val="0"/>
            <w:vAlign w:val="center"/>
          </w:tcPr>
          <w:p w14:paraId="75B55704">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026" w:type="pct"/>
            <w:noWrap w:val="0"/>
            <w:vAlign w:val="center"/>
          </w:tcPr>
          <w:p w14:paraId="32938B44">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853" w:type="pct"/>
            <w:noWrap w:val="0"/>
            <w:vAlign w:val="center"/>
          </w:tcPr>
          <w:p w14:paraId="793A783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713B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6C2DB874">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1亿元～5亿元</w:t>
            </w:r>
          </w:p>
        </w:tc>
        <w:tc>
          <w:tcPr>
            <w:tcW w:w="1009" w:type="pct"/>
            <w:noWrap w:val="0"/>
            <w:vAlign w:val="center"/>
          </w:tcPr>
          <w:p w14:paraId="7E2D20CB">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c>
          <w:tcPr>
            <w:tcW w:w="1026" w:type="pct"/>
            <w:noWrap w:val="0"/>
            <w:vAlign w:val="center"/>
          </w:tcPr>
          <w:p w14:paraId="2E1F7D70">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c>
          <w:tcPr>
            <w:tcW w:w="853" w:type="pct"/>
            <w:noWrap w:val="0"/>
            <w:vAlign w:val="center"/>
          </w:tcPr>
          <w:p w14:paraId="693AA2D8">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r>
      <w:tr w14:paraId="5069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20B3E6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5亿元～10亿元</w:t>
            </w:r>
          </w:p>
        </w:tc>
        <w:tc>
          <w:tcPr>
            <w:tcW w:w="1009" w:type="pct"/>
            <w:noWrap w:val="0"/>
            <w:vAlign w:val="center"/>
          </w:tcPr>
          <w:p w14:paraId="60D387B3">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026" w:type="pct"/>
            <w:noWrap w:val="0"/>
            <w:vAlign w:val="center"/>
          </w:tcPr>
          <w:p w14:paraId="610B9B08">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c>
          <w:tcPr>
            <w:tcW w:w="853" w:type="pct"/>
            <w:noWrap w:val="0"/>
            <w:vAlign w:val="center"/>
          </w:tcPr>
          <w:p w14:paraId="71A45B93">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r>
      <w:tr w14:paraId="5199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65CA59F3">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10亿元～50亿元</w:t>
            </w:r>
          </w:p>
        </w:tc>
        <w:tc>
          <w:tcPr>
            <w:tcW w:w="1009" w:type="pct"/>
            <w:noWrap w:val="0"/>
            <w:vAlign w:val="center"/>
          </w:tcPr>
          <w:p w14:paraId="10559169">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026" w:type="pct"/>
            <w:noWrap w:val="0"/>
            <w:vAlign w:val="center"/>
          </w:tcPr>
          <w:p w14:paraId="32554334">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853" w:type="pct"/>
            <w:noWrap w:val="0"/>
            <w:vAlign w:val="center"/>
          </w:tcPr>
          <w:p w14:paraId="1E02D6D0">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r>
      <w:tr w14:paraId="5C84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6E8067B2">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50亿元～100亿元</w:t>
            </w:r>
          </w:p>
        </w:tc>
        <w:tc>
          <w:tcPr>
            <w:tcW w:w="1009" w:type="pct"/>
            <w:noWrap w:val="0"/>
            <w:vAlign w:val="center"/>
          </w:tcPr>
          <w:p w14:paraId="4A0A7C93">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026" w:type="pct"/>
            <w:noWrap w:val="0"/>
            <w:vAlign w:val="center"/>
          </w:tcPr>
          <w:p w14:paraId="45BEB24A">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c>
          <w:tcPr>
            <w:tcW w:w="853" w:type="pct"/>
            <w:noWrap w:val="0"/>
            <w:vAlign w:val="center"/>
          </w:tcPr>
          <w:p w14:paraId="1F13DF3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r>
      <w:tr w14:paraId="42FD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02DA72A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w:t>
            </w:r>
            <w:r>
              <w:rPr>
                <w:rFonts w:hint="eastAsia" w:ascii="宋体" w:hAnsi="宋体" w:cs="宋体"/>
                <w:color w:val="auto"/>
                <w:szCs w:val="21"/>
                <w:highlight w:val="none"/>
                <w:lang w:eastAsia="zh-CN"/>
              </w:rPr>
              <w:t>亿元</w:t>
            </w:r>
            <w:r>
              <w:rPr>
                <w:rFonts w:hint="eastAsia" w:ascii="宋体" w:hAnsi="宋体" w:cs="宋体"/>
                <w:color w:val="auto"/>
                <w:szCs w:val="21"/>
                <w:highlight w:val="none"/>
              </w:rPr>
              <w:t>以上</w:t>
            </w:r>
          </w:p>
        </w:tc>
        <w:tc>
          <w:tcPr>
            <w:tcW w:w="1009" w:type="pct"/>
            <w:noWrap w:val="0"/>
            <w:vAlign w:val="center"/>
          </w:tcPr>
          <w:p w14:paraId="1AD7A9A1">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026" w:type="pct"/>
            <w:noWrap w:val="0"/>
            <w:vAlign w:val="center"/>
          </w:tcPr>
          <w:p w14:paraId="6A74B7D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c>
          <w:tcPr>
            <w:tcW w:w="853" w:type="pct"/>
            <w:noWrap w:val="0"/>
            <w:vAlign w:val="center"/>
          </w:tcPr>
          <w:p w14:paraId="233330A1">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6CBEB87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注：</w:t>
      </w:r>
    </w:p>
    <w:p w14:paraId="2BA14A1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本项目</w:t>
      </w:r>
      <w:r>
        <w:rPr>
          <w:rFonts w:hint="eastAsia" w:ascii="宋体" w:hAnsi="宋体" w:cs="宋体"/>
          <w:color w:val="auto"/>
          <w:szCs w:val="21"/>
          <w:highlight w:val="none"/>
        </w:rPr>
        <w:t>按本表</w:t>
      </w:r>
      <w:r>
        <w:rPr>
          <w:rFonts w:hint="eastAsia" w:ascii="宋体" w:hAnsi="宋体" w:cs="宋体"/>
          <w:color w:val="auto"/>
          <w:szCs w:val="21"/>
          <w:highlight w:val="none"/>
          <w:lang w:eastAsia="zh-CN"/>
        </w:rPr>
        <w:t>服务</w:t>
      </w:r>
      <w:r>
        <w:rPr>
          <w:rFonts w:hint="eastAsia" w:ascii="宋体" w:hAnsi="宋体" w:cs="宋体"/>
          <w:color w:val="auto"/>
          <w:szCs w:val="21"/>
          <w:highlight w:val="none"/>
          <w:lang w:val="en-US" w:eastAsia="zh-CN"/>
        </w:rPr>
        <w:t>类招标</w:t>
      </w:r>
      <w:r>
        <w:rPr>
          <w:rFonts w:hint="eastAsia" w:ascii="宋体" w:hAnsi="宋体" w:cs="宋体"/>
          <w:color w:val="auto"/>
          <w:szCs w:val="21"/>
          <w:highlight w:val="none"/>
        </w:rPr>
        <w:t>费率计算的收费为采购代理的收费基准价格；</w:t>
      </w:r>
    </w:p>
    <w:p w14:paraId="70CC96E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0B6725B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例如：某服务采购代理业务中标金额或者暂定价为200万元，计算采购代理收费额如下：</w:t>
      </w:r>
    </w:p>
    <w:p w14:paraId="63035CC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100 万元×l.5 %＝ 1.5 万元</w:t>
      </w:r>
    </w:p>
    <w:p w14:paraId="18BF01E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（200－100）万元 ×0.8%＝0.8万元</w:t>
      </w:r>
    </w:p>
    <w:p w14:paraId="45A369D2">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合计收费＝ 1.5+0.8＝ 2.3（万元）</w:t>
      </w:r>
    </w:p>
    <w:p w14:paraId="5B03374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40. 需要补充的其他内容</w:t>
      </w:r>
    </w:p>
    <w:p w14:paraId="34679B2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40.1本招标文件解释规则详见“投标人须知前附表”。</w:t>
      </w:r>
    </w:p>
    <w:p w14:paraId="1AA2D815">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40.2 其他事项详见“投标人须知前附表”。</w:t>
      </w:r>
    </w:p>
    <w:p w14:paraId="55D56E9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200D047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（1）在货物采购项目中，货物由中小企业制造，即货物由中小企业生产且使用该中小企业商号或者注册商标，不对其中涉及的工程承建商和服务的承接商作出要求；</w:t>
      </w:r>
    </w:p>
    <w:p w14:paraId="3C1BB723">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（2）在工程采购项目中，工程由中小企业承建，即工程施工单位为中小企业，不对其中涉及的货物的制造商和服务的承接商作出要求；</w:t>
      </w:r>
    </w:p>
    <w:p w14:paraId="7732EBC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F6603B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260D6B0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Ansi="宋体" w:cs="宋体"/>
          <w:color w:val="auto"/>
          <w:highlight w:val="none"/>
        </w:rPr>
      </w:pPr>
      <w:r>
        <w:rPr>
          <w:rFonts w:hint="eastAsia" w:hAnsi="宋体" w:cs="宋体"/>
          <w:color w:val="auto"/>
          <w:highlight w:val="none"/>
        </w:rPr>
        <w:t>依据本招标文件规定享受扶持政策获得政府采购合同的，小微企业不得将合同分包给大中型企业，中型企业不得将合同分包给大型企业。</w:t>
      </w:r>
    </w:p>
    <w:p w14:paraId="65EAEFBA">
      <w:pPr>
        <w:pStyle w:val="15"/>
        <w:spacing w:line="360" w:lineRule="auto"/>
        <w:rPr>
          <w:rFonts w:hint="eastAsia" w:ascii="宋体" w:hAnsi="宋体" w:cs="宋体"/>
          <w:color w:val="auto"/>
          <w:highlight w:val="none"/>
        </w:rPr>
      </w:pPr>
      <w:r>
        <w:rPr>
          <w:color w:val="auto"/>
          <w:highlight w:val="none"/>
        </w:rPr>
        <w:br w:type="page"/>
      </w:r>
      <w:r>
        <w:rPr>
          <w:rFonts w:hint="eastAsia" w:ascii="宋体" w:hAnsi="宋体" w:cs="宋体"/>
          <w:b/>
          <w:bCs/>
          <w:color w:val="auto"/>
          <w:sz w:val="36"/>
          <w:szCs w:val="36"/>
          <w:highlight w:val="none"/>
        </w:rPr>
        <w:t>附件1：</w:t>
      </w:r>
    </w:p>
    <w:p w14:paraId="2022455B">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广西壮族自治区政府采购项目合同验收书</w:t>
      </w:r>
    </w:p>
    <w:p w14:paraId="64E56BDF">
      <w:pPr>
        <w:keepNext w:val="0"/>
        <w:keepLines w:val="0"/>
        <w:pageBreakBefore w:val="0"/>
        <w:widowControl/>
        <w:shd w:val="clear" w:color="auto" w:fill="FFFFFF"/>
        <w:kinsoku/>
        <w:wordWrap/>
        <w:overflowPunct/>
        <w:topLinePunct w:val="0"/>
        <w:autoSpaceDE/>
        <w:autoSpaceDN/>
        <w:bidi w:val="0"/>
        <w:adjustRightInd/>
        <w:spacing w:line="400" w:lineRule="exact"/>
        <w:jc w:val="center"/>
        <w:textAlignment w:val="auto"/>
        <w:rPr>
          <w:rFonts w:hint="eastAsia" w:ascii="宋体" w:hAnsi="宋体" w:cs="宋体"/>
          <w:color w:val="auto"/>
          <w:kern w:val="0"/>
          <w:sz w:val="32"/>
          <w:szCs w:val="32"/>
          <w:highlight w:val="none"/>
        </w:rPr>
      </w:pPr>
      <w:r>
        <w:rPr>
          <w:rFonts w:hint="eastAsia" w:ascii="宋体" w:hAnsi="宋体" w:cs="宋体"/>
          <w:color w:val="auto"/>
          <w:kern w:val="0"/>
          <w:sz w:val="32"/>
          <w:szCs w:val="32"/>
          <w:highlight w:val="none"/>
        </w:rPr>
        <w:t>（格式）</w:t>
      </w:r>
    </w:p>
    <w:p w14:paraId="12DD74EA">
      <w:pPr>
        <w:keepNext w:val="0"/>
        <w:keepLines w:val="0"/>
        <w:pageBreakBefore w:val="0"/>
        <w:widowControl/>
        <w:shd w:val="clear" w:color="auto" w:fill="FFFFFF"/>
        <w:kinsoku/>
        <w:wordWrap/>
        <w:overflowPunct/>
        <w:topLinePunct w:val="0"/>
        <w:autoSpaceDE/>
        <w:autoSpaceDN/>
        <w:bidi w:val="0"/>
        <w:adjustRightInd/>
        <w:snapToGrid w:val="0"/>
        <w:spacing w:line="400" w:lineRule="exact"/>
        <w:ind w:firstLine="480"/>
        <w:jc w:val="left"/>
        <w:textAlignment w:val="auto"/>
        <w:rPr>
          <w:rFonts w:hint="eastAsia" w:ascii="宋体" w:hAnsi="宋体" w:cs="宋体"/>
          <w:color w:val="auto"/>
          <w:kern w:val="0"/>
          <w:szCs w:val="21"/>
          <w:highlight w:val="none"/>
        </w:rPr>
      </w:pPr>
      <w:r>
        <w:rPr>
          <w:rFonts w:hint="eastAsia" w:ascii="宋体" w:hAnsi="宋体" w:cs="宋体"/>
          <w:color w:val="auto"/>
          <w:kern w:val="0"/>
          <w:highlight w:val="none"/>
        </w:rPr>
        <w:t>根据政府采购项目（</w:t>
      </w:r>
      <w:r>
        <w:rPr>
          <w:rFonts w:hint="eastAsia" w:ascii="宋体" w:hAnsi="宋体" w:cs="宋体"/>
          <w:color w:val="auto"/>
          <w:kern w:val="0"/>
          <w:highlight w:val="none"/>
          <w:u w:val="single"/>
        </w:rPr>
        <w:t>采购合同编号：</w:t>
      </w:r>
      <w:r>
        <w:rPr>
          <w:rFonts w:hint="eastAsia" w:ascii="宋体" w:hAnsi="宋体" w:cs="宋体"/>
          <w:color w:val="auto"/>
          <w:kern w:val="0"/>
          <w:highlight w:val="none"/>
          <w:u w:val="single"/>
        </w:rPr>
        <w:softHyphen/>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）的约定，我单位对（</w:t>
      </w:r>
      <w:r>
        <w:rPr>
          <w:rFonts w:hint="eastAsia" w:ascii="宋体" w:hAnsi="宋体" w:cs="宋体"/>
          <w:color w:val="auto"/>
          <w:kern w:val="0"/>
          <w:highlight w:val="none"/>
          <w:u w:val="single"/>
        </w:rPr>
        <w:t xml:space="preserve"> 项目名称 </w:t>
      </w:r>
      <w:r>
        <w:rPr>
          <w:rFonts w:hint="eastAsia" w:ascii="宋体" w:hAnsi="宋体" w:cs="宋体"/>
          <w:color w:val="auto"/>
          <w:kern w:val="0"/>
          <w:highlight w:val="none"/>
        </w:rPr>
        <w:t>） 政府采购项目中标（或成交）供应商（</w:t>
      </w:r>
      <w:r>
        <w:rPr>
          <w:rFonts w:hint="eastAsia" w:ascii="宋体" w:hAnsi="宋体" w:cs="宋体"/>
          <w:color w:val="auto"/>
          <w:kern w:val="0"/>
          <w:highlight w:val="none"/>
          <w:u w:val="single"/>
        </w:rPr>
        <w:t xml:space="preserve"> 公司名称 </w:t>
      </w:r>
      <w:r>
        <w:rPr>
          <w:rFonts w:hint="eastAsia" w:ascii="宋体" w:hAnsi="宋体" w:cs="宋体"/>
          <w:color w:val="auto"/>
          <w:kern w:val="0"/>
          <w:highlight w:val="none"/>
        </w:rPr>
        <w:t>） 提供的货物（或工程、服务）进行了验收，验收情况如下：</w:t>
      </w:r>
    </w:p>
    <w:tbl>
      <w:tblPr>
        <w:tblStyle w:val="39"/>
        <w:tblW w:w="9371" w:type="dxa"/>
        <w:jc w:val="center"/>
        <w:tblLayout w:type="fixed"/>
        <w:tblCellMar>
          <w:top w:w="0" w:type="dxa"/>
          <w:left w:w="0" w:type="dxa"/>
          <w:bottom w:w="0" w:type="dxa"/>
          <w:right w:w="0" w:type="dxa"/>
        </w:tblCellMar>
      </w:tblPr>
      <w:tblGrid>
        <w:gridCol w:w="1486"/>
        <w:gridCol w:w="1766"/>
        <w:gridCol w:w="798"/>
        <w:gridCol w:w="102"/>
        <w:gridCol w:w="2002"/>
        <w:gridCol w:w="178"/>
        <w:gridCol w:w="685"/>
        <w:gridCol w:w="2354"/>
      </w:tblGrid>
      <w:tr w14:paraId="4B7987D7">
        <w:tblPrEx>
          <w:tblCellMar>
            <w:top w:w="0" w:type="dxa"/>
            <w:left w:w="0" w:type="dxa"/>
            <w:bottom w:w="0" w:type="dxa"/>
            <w:right w:w="0" w:type="dxa"/>
          </w:tblCellMar>
        </w:tblPrEx>
        <w:trPr>
          <w:trHeight w:val="382"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709F0FB8">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43A04076">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480"/>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□自行验收 □委托验收</w:t>
            </w:r>
          </w:p>
        </w:tc>
      </w:tr>
      <w:tr w14:paraId="49187C5B">
        <w:tblPrEx>
          <w:tblCellMar>
            <w:top w:w="0" w:type="dxa"/>
            <w:left w:w="0" w:type="dxa"/>
            <w:bottom w:w="0" w:type="dxa"/>
            <w:right w:w="0" w:type="dxa"/>
          </w:tblCellMar>
        </w:tblPrEx>
        <w:trPr>
          <w:trHeight w:val="622" w:hRule="atLeast"/>
          <w:jc w:val="center"/>
        </w:trPr>
        <w:tc>
          <w:tcPr>
            <w:tcW w:w="1486" w:type="dxa"/>
            <w:tcBorders>
              <w:top w:val="nil"/>
              <w:left w:val="single" w:color="auto" w:sz="8" w:space="0"/>
              <w:bottom w:val="single" w:color="auto" w:sz="8" w:space="0"/>
              <w:right w:val="single" w:color="auto" w:sz="8" w:space="0"/>
            </w:tcBorders>
            <w:noWrap w:val="0"/>
            <w:vAlign w:val="center"/>
          </w:tcPr>
          <w:p w14:paraId="1DA002D4">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序号</w:t>
            </w:r>
          </w:p>
        </w:tc>
        <w:tc>
          <w:tcPr>
            <w:tcW w:w="1766" w:type="dxa"/>
            <w:tcBorders>
              <w:top w:val="nil"/>
              <w:left w:val="nil"/>
              <w:bottom w:val="single" w:color="auto" w:sz="8" w:space="0"/>
              <w:right w:val="single" w:color="auto" w:sz="8" w:space="0"/>
            </w:tcBorders>
            <w:noWrap w:val="0"/>
            <w:vAlign w:val="center"/>
          </w:tcPr>
          <w:p w14:paraId="230D40D7">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0AEC0474">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货物型号规格、标准及配置等（或服务内容、标准）</w:t>
            </w:r>
          </w:p>
        </w:tc>
        <w:tc>
          <w:tcPr>
            <w:tcW w:w="863" w:type="dxa"/>
            <w:gridSpan w:val="2"/>
            <w:tcBorders>
              <w:top w:val="nil"/>
              <w:left w:val="nil"/>
              <w:bottom w:val="single" w:color="auto" w:sz="8" w:space="0"/>
              <w:right w:val="single" w:color="auto" w:sz="8" w:space="0"/>
            </w:tcBorders>
            <w:noWrap w:val="0"/>
            <w:vAlign w:val="center"/>
          </w:tcPr>
          <w:p w14:paraId="3AD5329B">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数量</w:t>
            </w:r>
          </w:p>
        </w:tc>
        <w:tc>
          <w:tcPr>
            <w:tcW w:w="2354" w:type="dxa"/>
            <w:tcBorders>
              <w:top w:val="nil"/>
              <w:left w:val="nil"/>
              <w:bottom w:val="single" w:color="auto" w:sz="8" w:space="0"/>
              <w:right w:val="single" w:color="auto" w:sz="8" w:space="0"/>
            </w:tcBorders>
            <w:noWrap w:val="0"/>
            <w:vAlign w:val="center"/>
          </w:tcPr>
          <w:p w14:paraId="219EEF67">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金 额</w:t>
            </w:r>
          </w:p>
        </w:tc>
      </w:tr>
      <w:tr w14:paraId="265F6ADE">
        <w:tblPrEx>
          <w:tblCellMar>
            <w:top w:w="0" w:type="dxa"/>
            <w:left w:w="0" w:type="dxa"/>
            <w:bottom w:w="0" w:type="dxa"/>
            <w:right w:w="0" w:type="dxa"/>
          </w:tblCellMar>
        </w:tblPrEx>
        <w:trPr>
          <w:trHeight w:val="487" w:hRule="atLeast"/>
          <w:jc w:val="center"/>
        </w:trPr>
        <w:tc>
          <w:tcPr>
            <w:tcW w:w="1486" w:type="dxa"/>
            <w:tcBorders>
              <w:top w:val="nil"/>
              <w:left w:val="single" w:color="auto" w:sz="8" w:space="0"/>
              <w:bottom w:val="single" w:color="auto" w:sz="8" w:space="0"/>
              <w:right w:val="single" w:color="auto" w:sz="8" w:space="0"/>
            </w:tcBorders>
            <w:noWrap w:val="0"/>
            <w:vAlign w:val="center"/>
          </w:tcPr>
          <w:p w14:paraId="62C88AEE">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1766" w:type="dxa"/>
            <w:tcBorders>
              <w:top w:val="nil"/>
              <w:left w:val="nil"/>
              <w:bottom w:val="single" w:color="auto" w:sz="8" w:space="0"/>
              <w:right w:val="single" w:color="auto" w:sz="8" w:space="0"/>
            </w:tcBorders>
            <w:noWrap w:val="0"/>
            <w:vAlign w:val="center"/>
          </w:tcPr>
          <w:p w14:paraId="2DAEB0FF">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2902" w:type="dxa"/>
            <w:gridSpan w:val="3"/>
            <w:tcBorders>
              <w:top w:val="nil"/>
              <w:left w:val="nil"/>
              <w:bottom w:val="single" w:color="auto" w:sz="8" w:space="0"/>
              <w:right w:val="single" w:color="auto" w:sz="8" w:space="0"/>
            </w:tcBorders>
            <w:noWrap w:val="0"/>
            <w:vAlign w:val="center"/>
          </w:tcPr>
          <w:p w14:paraId="47BC38CB">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863" w:type="dxa"/>
            <w:gridSpan w:val="2"/>
            <w:tcBorders>
              <w:top w:val="nil"/>
              <w:left w:val="nil"/>
              <w:bottom w:val="single" w:color="auto" w:sz="8" w:space="0"/>
              <w:right w:val="single" w:color="auto" w:sz="8" w:space="0"/>
            </w:tcBorders>
            <w:noWrap w:val="0"/>
            <w:vAlign w:val="center"/>
          </w:tcPr>
          <w:p w14:paraId="2709AE57">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0EA0F04A">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r>
      <w:tr w14:paraId="1655DBF6">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5EAE2449">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 计</w:t>
            </w:r>
          </w:p>
        </w:tc>
        <w:tc>
          <w:tcPr>
            <w:tcW w:w="863" w:type="dxa"/>
            <w:gridSpan w:val="2"/>
            <w:tcBorders>
              <w:top w:val="nil"/>
              <w:left w:val="nil"/>
              <w:bottom w:val="single" w:color="auto" w:sz="8" w:space="0"/>
              <w:right w:val="single" w:color="auto" w:sz="8" w:space="0"/>
            </w:tcBorders>
            <w:noWrap w:val="0"/>
            <w:vAlign w:val="center"/>
          </w:tcPr>
          <w:p w14:paraId="7F305DDE">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7A5176AD">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r>
      <w:tr w14:paraId="4D41B65C">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7F0F0736">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2"/>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合计大写金额： 仟 佰 拾 万 仟 佰 拾 元</w:t>
            </w:r>
          </w:p>
        </w:tc>
      </w:tr>
      <w:tr w14:paraId="40200112">
        <w:tblPrEx>
          <w:tblCellMar>
            <w:top w:w="0" w:type="dxa"/>
            <w:left w:w="0" w:type="dxa"/>
            <w:bottom w:w="0" w:type="dxa"/>
            <w:right w:w="0" w:type="dxa"/>
          </w:tblCellMar>
        </w:tblPrEx>
        <w:trPr>
          <w:trHeight w:val="491" w:hRule="atLeast"/>
          <w:jc w:val="center"/>
        </w:trPr>
        <w:tc>
          <w:tcPr>
            <w:tcW w:w="1486" w:type="dxa"/>
            <w:tcBorders>
              <w:top w:val="nil"/>
              <w:left w:val="single" w:color="auto" w:sz="8" w:space="0"/>
              <w:bottom w:val="single" w:color="auto" w:sz="8" w:space="0"/>
              <w:right w:val="single" w:color="auto" w:sz="8" w:space="0"/>
            </w:tcBorders>
            <w:noWrap w:val="0"/>
            <w:vAlign w:val="center"/>
          </w:tcPr>
          <w:p w14:paraId="48C0CA3F">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实际供货日期</w:t>
            </w:r>
          </w:p>
        </w:tc>
        <w:tc>
          <w:tcPr>
            <w:tcW w:w="2564" w:type="dxa"/>
            <w:gridSpan w:val="2"/>
            <w:tcBorders>
              <w:top w:val="nil"/>
              <w:left w:val="nil"/>
              <w:bottom w:val="single" w:color="auto" w:sz="8" w:space="0"/>
              <w:right w:val="single" w:color="auto" w:sz="8" w:space="0"/>
            </w:tcBorders>
            <w:noWrap w:val="0"/>
            <w:vAlign w:val="center"/>
          </w:tcPr>
          <w:p w14:paraId="0BF733AF">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5E034200">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46"/>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542836AD">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r>
      <w:tr w14:paraId="7C899FF4">
        <w:tblPrEx>
          <w:tblCellMar>
            <w:top w:w="0" w:type="dxa"/>
            <w:left w:w="0" w:type="dxa"/>
            <w:bottom w:w="0" w:type="dxa"/>
            <w:right w:w="0" w:type="dxa"/>
          </w:tblCellMar>
        </w:tblPrEx>
        <w:trPr>
          <w:trHeight w:val="394" w:hRule="atLeast"/>
          <w:jc w:val="center"/>
        </w:trPr>
        <w:tc>
          <w:tcPr>
            <w:tcW w:w="1486" w:type="dxa"/>
            <w:tcBorders>
              <w:top w:val="nil"/>
              <w:left w:val="single" w:color="auto" w:sz="8" w:space="0"/>
              <w:bottom w:val="single" w:color="auto" w:sz="8" w:space="0"/>
              <w:right w:val="single" w:color="auto" w:sz="8" w:space="0"/>
            </w:tcBorders>
            <w:noWrap w:val="0"/>
            <w:vAlign w:val="center"/>
          </w:tcPr>
          <w:p w14:paraId="08EB0878">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2564" w:type="dxa"/>
            <w:gridSpan w:val="2"/>
            <w:tcBorders>
              <w:top w:val="nil"/>
              <w:left w:val="nil"/>
              <w:bottom w:val="single" w:color="auto" w:sz="8" w:space="0"/>
              <w:right w:val="single" w:color="auto" w:sz="8" w:space="0"/>
            </w:tcBorders>
            <w:noWrap w:val="0"/>
            <w:vAlign w:val="center"/>
          </w:tcPr>
          <w:p w14:paraId="613583DA">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7B43CD9A">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3039" w:type="dxa"/>
            <w:gridSpan w:val="2"/>
            <w:tcBorders>
              <w:top w:val="nil"/>
              <w:left w:val="nil"/>
              <w:bottom w:val="single" w:color="auto" w:sz="8" w:space="0"/>
              <w:right w:val="single" w:color="auto" w:sz="8" w:space="0"/>
            </w:tcBorders>
            <w:noWrap w:val="0"/>
            <w:vAlign w:val="center"/>
          </w:tcPr>
          <w:p w14:paraId="70C30640">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r>
      <w:tr w14:paraId="72C1BEE2">
        <w:tblPrEx>
          <w:tblCellMar>
            <w:top w:w="0" w:type="dxa"/>
            <w:left w:w="0" w:type="dxa"/>
            <w:bottom w:w="0" w:type="dxa"/>
            <w:right w:w="0" w:type="dxa"/>
          </w:tblCellMar>
        </w:tblPrEx>
        <w:trPr>
          <w:trHeight w:val="693" w:hRule="atLeast"/>
          <w:jc w:val="center"/>
        </w:trPr>
        <w:tc>
          <w:tcPr>
            <w:tcW w:w="148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4DF0563">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验收具体内容</w:t>
            </w:r>
          </w:p>
        </w:tc>
        <w:tc>
          <w:tcPr>
            <w:tcW w:w="7885"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E70CBB6">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应按采购合同、采购文件、投标响应文件及验收方案等进行验收；并核对中标或者中标人在安装调试等方面是否违反合同约定或服务规范要求、提供的质量保证证明材料是否齐全、应有的配件及附件是否达到合同约定等。</w:t>
            </w:r>
            <w:r>
              <w:rPr>
                <w:rFonts w:hint="eastAsia" w:ascii="宋体" w:hAnsi="宋体" w:cs="宋体"/>
                <w:color w:val="auto"/>
                <w:kern w:val="0"/>
                <w:highlight w:val="none"/>
                <w:lang w:eastAsia="zh-CN"/>
              </w:rPr>
              <w:t>见附件</w:t>
            </w:r>
            <w:r>
              <w:rPr>
                <w:rFonts w:hint="eastAsia" w:ascii="宋体" w:hAnsi="宋体" w:cs="宋体"/>
                <w:color w:val="auto"/>
                <w:kern w:val="0"/>
                <w:highlight w:val="none"/>
              </w:rPr>
              <w:t>）</w:t>
            </w:r>
          </w:p>
        </w:tc>
      </w:tr>
      <w:tr w14:paraId="6336283A">
        <w:tblPrEx>
          <w:tblCellMar>
            <w:top w:w="0" w:type="dxa"/>
            <w:left w:w="0" w:type="dxa"/>
            <w:bottom w:w="0" w:type="dxa"/>
            <w:right w:w="0" w:type="dxa"/>
          </w:tblCellMar>
        </w:tblPrEx>
        <w:trPr>
          <w:trHeight w:val="510" w:hRule="atLeast"/>
          <w:jc w:val="center"/>
        </w:trPr>
        <w:tc>
          <w:tcPr>
            <w:tcW w:w="1486"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09B0186">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验收小组意见</w:t>
            </w:r>
          </w:p>
        </w:tc>
        <w:tc>
          <w:tcPr>
            <w:tcW w:w="7885" w:type="dxa"/>
            <w:gridSpan w:val="7"/>
            <w:tcBorders>
              <w:top w:val="nil"/>
              <w:left w:val="nil"/>
              <w:bottom w:val="single" w:color="auto" w:sz="8" w:space="0"/>
              <w:right w:val="single" w:color="auto" w:sz="8" w:space="0"/>
            </w:tcBorders>
            <w:noWrap w:val="0"/>
            <w:vAlign w:val="center"/>
          </w:tcPr>
          <w:p w14:paraId="7AF2AA6D">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验收结论性意见：</w:t>
            </w:r>
          </w:p>
        </w:tc>
      </w:tr>
      <w:tr w14:paraId="35DA3FFC">
        <w:tblPrEx>
          <w:tblCellMar>
            <w:top w:w="0" w:type="dxa"/>
            <w:left w:w="0" w:type="dxa"/>
            <w:bottom w:w="0" w:type="dxa"/>
            <w:right w:w="0" w:type="dxa"/>
          </w:tblCellMar>
        </w:tblPrEx>
        <w:trPr>
          <w:trHeight w:val="424" w:hRule="atLeast"/>
          <w:jc w:val="center"/>
        </w:trPr>
        <w:tc>
          <w:tcPr>
            <w:tcW w:w="1486" w:type="dxa"/>
            <w:vMerge w:val="continue"/>
            <w:tcBorders>
              <w:top w:val="nil"/>
              <w:left w:val="single" w:color="auto" w:sz="8" w:space="0"/>
              <w:bottom w:val="single" w:color="auto" w:sz="8" w:space="0"/>
              <w:right w:val="single" w:color="auto" w:sz="8" w:space="0"/>
            </w:tcBorders>
            <w:noWrap w:val="0"/>
            <w:vAlign w:val="center"/>
          </w:tcPr>
          <w:p w14:paraId="66642488">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left"/>
              <w:textAlignment w:val="auto"/>
              <w:rPr>
                <w:rFonts w:hint="eastAsia" w:ascii="宋体" w:hAnsi="宋体" w:cs="宋体"/>
                <w:color w:val="auto"/>
                <w:kern w:val="0"/>
                <w:szCs w:val="21"/>
                <w:highlight w:val="none"/>
              </w:rPr>
            </w:pPr>
          </w:p>
        </w:tc>
        <w:tc>
          <w:tcPr>
            <w:tcW w:w="7885" w:type="dxa"/>
            <w:gridSpan w:val="7"/>
            <w:tcBorders>
              <w:top w:val="nil"/>
              <w:left w:val="nil"/>
              <w:bottom w:val="single" w:color="auto" w:sz="8" w:space="0"/>
              <w:right w:val="single" w:color="auto" w:sz="8" w:space="0"/>
            </w:tcBorders>
            <w:noWrap w:val="0"/>
            <w:vAlign w:val="center"/>
          </w:tcPr>
          <w:p w14:paraId="283BD2EC">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firstLine="96"/>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有异议的意见和说明理由：</w:t>
            </w:r>
          </w:p>
          <w:p w14:paraId="68FFC692">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签字：</w:t>
            </w:r>
          </w:p>
        </w:tc>
      </w:tr>
      <w:tr w14:paraId="209E5CCF">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7E716A1">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验收小组成员签字：</w:t>
            </w:r>
          </w:p>
        </w:tc>
      </w:tr>
      <w:tr w14:paraId="64620BF3">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537B9C4">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监督人员或其他相关人员签字：</w:t>
            </w:r>
          </w:p>
          <w:p w14:paraId="129C6330">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或受邀机构的意见（盖章）：</w:t>
            </w:r>
          </w:p>
        </w:tc>
      </w:tr>
      <w:tr w14:paraId="7A04C69C">
        <w:tblPrEx>
          <w:tblCellMar>
            <w:top w:w="0" w:type="dxa"/>
            <w:left w:w="0" w:type="dxa"/>
            <w:bottom w:w="0" w:type="dxa"/>
            <w:right w:w="0" w:type="dxa"/>
          </w:tblCellMar>
        </w:tblPrEx>
        <w:trPr>
          <w:trHeight w:val="986"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2DA60A7F">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 xml:space="preserve">中标或者成交供应商负责人签字或盖章：      </w:t>
            </w:r>
          </w:p>
          <w:p w14:paraId="411913FD">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5447E4A5">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采购人或受托机构的意见（盖章）：</w:t>
            </w:r>
          </w:p>
          <w:p w14:paraId="1F689D1D">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r>
    </w:tbl>
    <w:p w14:paraId="1807CEA1">
      <w:pPr>
        <w:pStyle w:val="20"/>
        <w:snapToGrid w:val="0"/>
        <w:spacing w:before="120" w:after="120"/>
        <w:rPr>
          <w:rFonts w:hint="eastAsia" w:hAnsi="宋体" w:cs="宋体"/>
          <w:color w:val="auto"/>
          <w:highlight w:val="none"/>
        </w:rPr>
      </w:pPr>
    </w:p>
    <w:p w14:paraId="4344BCF8">
      <w:pPr>
        <w:spacing w:line="360" w:lineRule="auto"/>
        <w:jc w:val="left"/>
        <w:rPr>
          <w:rFonts w:hint="eastAsia" w:ascii="宋体" w:hAnsi="宋体" w:cs="宋体"/>
          <w:color w:val="auto"/>
          <w:sz w:val="18"/>
          <w:szCs w:val="18"/>
          <w:highlight w:val="none"/>
        </w:rPr>
      </w:pPr>
      <w:r>
        <w:rPr>
          <w:rFonts w:hint="eastAsia" w:ascii="宋体" w:hAnsi="宋体" w:cs="宋体"/>
          <w:color w:val="auto"/>
          <w:highlight w:val="none"/>
        </w:rPr>
        <w:br w:type="page"/>
      </w:r>
      <w:r>
        <w:rPr>
          <w:rFonts w:hint="eastAsia" w:ascii="宋体" w:hAnsi="宋体" w:cs="宋体"/>
          <w:b/>
          <w:bCs/>
          <w:color w:val="auto"/>
          <w:sz w:val="28"/>
          <w:szCs w:val="36"/>
          <w:highlight w:val="none"/>
        </w:rPr>
        <w:t>附件2：</w:t>
      </w:r>
    </w:p>
    <w:p w14:paraId="4E7033CB">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政府采购项目履约保证金退付意见书（参考）</w:t>
      </w:r>
    </w:p>
    <w:tbl>
      <w:tblPr>
        <w:tblStyle w:val="39"/>
        <w:tblW w:w="86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7610"/>
      </w:tblGrid>
      <w:tr w14:paraId="5140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011F5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供</w:t>
            </w:r>
          </w:p>
          <w:p w14:paraId="118222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应</w:t>
            </w:r>
          </w:p>
          <w:p w14:paraId="64ABA1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商</w:t>
            </w:r>
          </w:p>
          <w:p w14:paraId="147928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申</w:t>
            </w:r>
          </w:p>
          <w:p w14:paraId="5A152C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请</w:t>
            </w:r>
          </w:p>
        </w:tc>
        <w:tc>
          <w:tcPr>
            <w:tcW w:w="7610" w:type="dxa"/>
            <w:noWrap w:val="0"/>
            <w:vAlign w:val="center"/>
          </w:tcPr>
          <w:p w14:paraId="6278D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项目编号：</w:t>
            </w:r>
          </w:p>
        </w:tc>
      </w:tr>
      <w:tr w14:paraId="6C1E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21CF8A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tc>
        <w:tc>
          <w:tcPr>
            <w:tcW w:w="7610" w:type="dxa"/>
            <w:noWrap w:val="0"/>
            <w:vAlign w:val="center"/>
          </w:tcPr>
          <w:p w14:paraId="287F2E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项目名称：</w:t>
            </w:r>
          </w:p>
        </w:tc>
      </w:tr>
      <w:tr w14:paraId="1D09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39FC82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tc>
        <w:tc>
          <w:tcPr>
            <w:tcW w:w="7610" w:type="dxa"/>
            <w:noWrap w:val="0"/>
            <w:vAlign w:val="top"/>
          </w:tcPr>
          <w:p w14:paraId="11DF8E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1B306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该项目已于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完成</w:t>
            </w:r>
            <w:r>
              <w:rPr>
                <w:rFonts w:hint="default" w:ascii="宋体" w:hAnsi="宋体" w:eastAsia="宋体" w:cs="宋体"/>
                <w:color w:val="auto"/>
                <w:sz w:val="24"/>
                <w:szCs w:val="24"/>
                <w:highlight w:val="none"/>
              </w:rPr>
              <w:t>履约验收</w:t>
            </w:r>
            <w:r>
              <w:rPr>
                <w:rFonts w:hint="eastAsia" w:ascii="宋体" w:hAnsi="宋体" w:cs="宋体"/>
                <w:color w:val="auto"/>
                <w:sz w:val="24"/>
                <w:highlight w:val="none"/>
              </w:rPr>
              <w:t>。根据合同规定，该项目的履约保证金期限于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日已满，请将履约保证金</w:t>
            </w:r>
          </w:p>
          <w:p w14:paraId="2730A2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（小写）退付到达以下账户。</w:t>
            </w:r>
          </w:p>
          <w:p w14:paraId="3642CE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单位名称：</w:t>
            </w:r>
          </w:p>
          <w:p w14:paraId="4A285E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开户银行：</w:t>
            </w:r>
          </w:p>
          <w:p w14:paraId="6AC67E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705"/>
              <w:textAlignment w:val="auto"/>
              <w:rPr>
                <w:rFonts w:hint="eastAsia" w:ascii="宋体" w:hAnsi="宋体" w:cs="宋体"/>
                <w:color w:val="auto"/>
                <w:sz w:val="24"/>
                <w:highlight w:val="none"/>
              </w:rPr>
            </w:pPr>
            <w:r>
              <w:rPr>
                <w:rFonts w:hint="eastAsia" w:ascii="宋体" w:hAnsi="宋体" w:cs="宋体"/>
                <w:color w:val="auto"/>
                <w:sz w:val="24"/>
                <w:highlight w:val="none"/>
              </w:rPr>
              <w:t>账   号：</w:t>
            </w:r>
          </w:p>
          <w:p w14:paraId="0A0244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w:t>
            </w:r>
          </w:p>
          <w:p w14:paraId="2E3A1B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p w14:paraId="736CD7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投标人签章：</w:t>
            </w:r>
          </w:p>
          <w:p w14:paraId="10ADA2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164F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485D41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采</w:t>
            </w:r>
          </w:p>
          <w:p w14:paraId="223A63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购</w:t>
            </w:r>
          </w:p>
          <w:p w14:paraId="2167D5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人</w:t>
            </w:r>
          </w:p>
          <w:p w14:paraId="63F33E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意</w:t>
            </w:r>
          </w:p>
          <w:p w14:paraId="71266E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见</w:t>
            </w:r>
          </w:p>
        </w:tc>
        <w:tc>
          <w:tcPr>
            <w:tcW w:w="7610" w:type="dxa"/>
            <w:noWrap w:val="0"/>
            <w:vAlign w:val="top"/>
          </w:tcPr>
          <w:p w14:paraId="20C500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p w14:paraId="1C3545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退付意见：（是否同意退付履约保证金及退付金额）</w:t>
            </w:r>
          </w:p>
          <w:p w14:paraId="27FAA7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p w14:paraId="38F524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p w14:paraId="6CC272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p w14:paraId="37CCAE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p w14:paraId="3E4360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                         采购人签章</w:t>
            </w:r>
          </w:p>
          <w:p w14:paraId="5330EE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0692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299784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备注</w:t>
            </w:r>
          </w:p>
        </w:tc>
        <w:tc>
          <w:tcPr>
            <w:tcW w:w="7610" w:type="dxa"/>
            <w:noWrap w:val="0"/>
            <w:vAlign w:val="top"/>
          </w:tcPr>
          <w:p w14:paraId="6C92E6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tc>
      </w:tr>
    </w:tbl>
    <w:p w14:paraId="487F4CE9">
      <w:pPr>
        <w:pStyle w:val="15"/>
        <w:keepNext w:val="0"/>
        <w:keepLines w:val="0"/>
        <w:pageBreakBefore w:val="0"/>
        <w:widowControl w:val="0"/>
        <w:kinsoku/>
        <w:wordWrap/>
        <w:overflowPunct/>
        <w:topLinePunct w:val="0"/>
        <w:autoSpaceDE/>
        <w:autoSpaceDN/>
        <w:bidi w:val="0"/>
        <w:adjustRightInd/>
        <w:snapToGrid/>
        <w:spacing w:line="400" w:lineRule="exact"/>
        <w:ind w:left="450" w:leftChars="114" w:hanging="211" w:hangingChars="1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注：投标人凭经采购人审批的退付意见书到保证金收取单位办理履约保证金退付事宜。</w:t>
      </w:r>
    </w:p>
    <w:p w14:paraId="2882D9DF">
      <w:pPr>
        <w:pStyle w:val="20"/>
        <w:snapToGrid w:val="0"/>
        <w:spacing w:before="120" w:after="120"/>
        <w:rPr>
          <w:rFonts w:hint="eastAsia" w:hAnsi="宋体" w:cs="宋体"/>
          <w:color w:val="auto"/>
          <w:highlight w:val="none"/>
        </w:rPr>
      </w:pPr>
    </w:p>
    <w:p w14:paraId="1DE4000B">
      <w:pPr>
        <w:pStyle w:val="3"/>
        <w:spacing w:before="0" w:after="0" w:line="360" w:lineRule="auto"/>
        <w:jc w:val="center"/>
        <w:rPr>
          <w:rFonts w:hint="eastAsia" w:ascii="宋体" w:hAnsi="宋体" w:cs="宋体"/>
          <w:color w:val="auto"/>
          <w:highlight w:val="none"/>
        </w:rPr>
      </w:pPr>
      <w:bookmarkStart w:id="164" w:name="_Toc254970689"/>
      <w:bookmarkStart w:id="165" w:name="_Toc15433"/>
      <w:bookmarkStart w:id="166" w:name="_Toc254970548"/>
      <w:bookmarkStart w:id="167" w:name="_Toc2178"/>
      <w:bookmarkStart w:id="168" w:name="_Toc330456896"/>
      <w:bookmarkStart w:id="169" w:name="_Toc27431"/>
      <w:r>
        <w:rPr>
          <w:rFonts w:hint="eastAsia" w:ascii="宋体" w:hAnsi="宋体" w:cs="宋体"/>
          <w:color w:val="auto"/>
          <w:highlight w:val="none"/>
        </w:rPr>
        <w:t>第四章  评标方法及评标标准</w:t>
      </w:r>
      <w:bookmarkEnd w:id="164"/>
      <w:bookmarkEnd w:id="165"/>
      <w:bookmarkEnd w:id="166"/>
      <w:bookmarkEnd w:id="167"/>
      <w:bookmarkEnd w:id="168"/>
      <w:bookmarkEnd w:id="169"/>
    </w:p>
    <w:p w14:paraId="7D0CD9AB">
      <w:pPr>
        <w:pStyle w:val="4"/>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0" w:name="_Toc22273"/>
      <w:bookmarkStart w:id="171" w:name="_Toc23781"/>
      <w:r>
        <w:rPr>
          <w:rFonts w:hint="eastAsia" w:ascii="宋体" w:hAnsi="宋体" w:eastAsia="宋体" w:cs="宋体"/>
          <w:color w:val="auto"/>
          <w:highlight w:val="none"/>
        </w:rPr>
        <w:t>一、评标方法</w:t>
      </w:r>
      <w:bookmarkEnd w:id="170"/>
      <w:bookmarkEnd w:id="171"/>
    </w:p>
    <w:p w14:paraId="27F59800">
      <w:pPr>
        <w:pStyle w:val="20"/>
        <w:pageBreakBefore w:val="0"/>
        <w:kinsoku/>
        <w:wordWrap/>
        <w:overflowPunct/>
        <w:topLinePunct w:val="0"/>
        <w:autoSpaceDE/>
        <w:autoSpaceDN/>
        <w:bidi w:val="0"/>
        <w:spacing w:line="400" w:lineRule="exact"/>
        <w:ind w:firstLine="420"/>
        <w:textAlignment w:val="auto"/>
        <w:rPr>
          <w:rFonts w:hint="eastAsia" w:hAnsi="宋体" w:cs="宋体"/>
          <w:color w:val="auto"/>
          <w:highlight w:val="none"/>
        </w:rPr>
      </w:pPr>
      <w:r>
        <w:rPr>
          <w:rFonts w:hint="eastAsia" w:hAnsi="宋体" w:cs="宋体"/>
          <w:color w:val="auto"/>
          <w:highlight w:val="none"/>
        </w:rPr>
        <w:t>综合评分法，是指投标文件满足招标文件全部实质性要求，且按照评审因素的量化指标评审得分最高的投标人为中标候选人的评标方法。</w:t>
      </w:r>
    </w:p>
    <w:p w14:paraId="57D75E77">
      <w:pPr>
        <w:pStyle w:val="4"/>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2" w:name="_Toc3353"/>
      <w:bookmarkStart w:id="173" w:name="_Toc29445"/>
      <w:r>
        <w:rPr>
          <w:rFonts w:hint="eastAsia" w:ascii="宋体" w:hAnsi="宋体" w:eastAsia="宋体" w:cs="宋体"/>
          <w:color w:val="auto"/>
          <w:highlight w:val="none"/>
        </w:rPr>
        <w:t>二、评标程序</w:t>
      </w:r>
      <w:bookmarkEnd w:id="172"/>
      <w:bookmarkEnd w:id="173"/>
    </w:p>
    <w:p w14:paraId="59AC1156">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1.符合性审查</w:t>
      </w:r>
    </w:p>
    <w:p w14:paraId="07091B0D">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评标委员会应当对符合资格的投标人的投标文件进行投标报价、商务、技术等实质性内容符合性审查，以确定其是否满足招标文件的实质性要求。</w:t>
      </w:r>
    </w:p>
    <w:p w14:paraId="42E73533">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2.符合性审查不通过而导致投标无效的情形</w:t>
      </w:r>
    </w:p>
    <w:p w14:paraId="5D7A2BF0">
      <w:pPr>
        <w:pageBreakBefore w:val="0"/>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12B65323">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2.1在报价评审时，如发现下列情形之一的，将被视为投标无效：</w:t>
      </w:r>
    </w:p>
    <w:p w14:paraId="3D17704F">
      <w:pPr>
        <w:pStyle w:val="9"/>
        <w:pageBreakBefore w:val="0"/>
        <w:numPr>
          <w:ilvl w:val="0"/>
          <w:numId w:val="1"/>
        </w:numPr>
        <w:kinsoku/>
        <w:wordWrap/>
        <w:overflowPunct/>
        <w:topLinePunct w:val="0"/>
        <w:autoSpaceDE/>
        <w:autoSpaceDN/>
        <w:bidi w:val="0"/>
        <w:spacing w:line="400" w:lineRule="exact"/>
        <w:ind w:firstLine="398" w:firstLineChars="200"/>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报价文件未提供“投标人须知前附表”第13条</w:t>
      </w:r>
      <w:r>
        <w:rPr>
          <w:rFonts w:hint="eastAsia" w:ascii="宋体" w:hAnsi="宋体" w:cs="宋体"/>
          <w:b/>
          <w:color w:val="auto"/>
          <w:szCs w:val="21"/>
          <w:highlight w:val="none"/>
        </w:rPr>
        <w:t>“报价文件”</w:t>
      </w:r>
      <w:r>
        <w:rPr>
          <w:rFonts w:hint="eastAsia" w:ascii="宋体" w:hAnsi="宋体" w:cs="宋体"/>
          <w:b/>
          <w:color w:val="auto"/>
          <w:spacing w:val="-6"/>
          <w:szCs w:val="21"/>
          <w:highlight w:val="none"/>
        </w:rPr>
        <w:t>规定中“必须提供”的文件资料的；</w:t>
      </w:r>
    </w:p>
    <w:p w14:paraId="72AFDDCD">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4B59165F">
      <w:pPr>
        <w:pStyle w:val="9"/>
        <w:pageBreakBefore w:val="0"/>
        <w:numPr>
          <w:ilvl w:val="0"/>
          <w:numId w:val="1"/>
        </w:numPr>
        <w:kinsoku/>
        <w:wordWrap/>
        <w:overflowPunct/>
        <w:topLinePunct w:val="0"/>
        <w:autoSpaceDE/>
        <w:autoSpaceDN/>
        <w:bidi w:val="0"/>
        <w:spacing w:line="400" w:lineRule="exact"/>
        <w:ind w:firstLine="422"/>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各分标报价超出招标文件相应分标规定最高限价，或者超出相应分标采购预算金额的；</w:t>
      </w:r>
    </w:p>
    <w:p w14:paraId="7D43FD96">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734079BD">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272366A1">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投标人属于本章第5.1条（2）项情形的。</w:t>
      </w:r>
    </w:p>
    <w:p w14:paraId="37B87BDB">
      <w:pPr>
        <w:pStyle w:val="9"/>
        <w:pageBreakBefore w:val="0"/>
        <w:numPr>
          <w:ilvl w:val="0"/>
          <w:numId w:val="1"/>
        </w:numPr>
        <w:kinsoku/>
        <w:wordWrap/>
        <w:overflowPunct/>
        <w:topLinePunct w:val="0"/>
        <w:autoSpaceDE/>
        <w:autoSpaceDN/>
        <w:bidi w:val="0"/>
        <w:spacing w:line="400" w:lineRule="exact"/>
        <w:ind w:firstLine="398" w:firstLineChars="200"/>
        <w:textAlignment w:val="auto"/>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593C2B8E">
      <w:pPr>
        <w:pageBreakBefore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2.2在商务评审时，如发现下列情形之一的，将被视为投标无效：</w:t>
      </w:r>
    </w:p>
    <w:p w14:paraId="5E79C8C8">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32098A23">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委托代理人未能出具有效身份证或者出具的身份证与授权委托书中的信息不符的； </w:t>
      </w:r>
    </w:p>
    <w:p w14:paraId="18BD33B3">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31CDE8BA">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投标文件未提供“投标人须知前附表”第13.1条规定中“必须提供”或者“委托时必须提供”的文件资料的；</w:t>
      </w:r>
    </w:p>
    <w:p w14:paraId="1CFDA70A">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商务要求评审允许负偏离的条款数超过“投标人须知前附表”规定项数的；</w:t>
      </w:r>
    </w:p>
    <w:p w14:paraId="20BC53BE">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04C95A8A">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37EB42FE">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352A078E">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1D96B7EF">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14:paraId="44E46C46">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14:paraId="294E0289">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未响应招标文件实质性要求的；</w:t>
      </w:r>
    </w:p>
    <w:p w14:paraId="33E8DD0E">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lang w:eastAsia="zh-CN"/>
        </w:rPr>
        <w:t>法律法规</w:t>
      </w:r>
      <w:r>
        <w:rPr>
          <w:rFonts w:hint="eastAsia" w:ascii="宋体" w:hAnsi="宋体" w:cs="宋体"/>
          <w:b/>
          <w:color w:val="auto"/>
          <w:szCs w:val="21"/>
          <w:highlight w:val="none"/>
        </w:rPr>
        <w:t>和招标文件规定的其他无效情形。</w:t>
      </w:r>
    </w:p>
    <w:p w14:paraId="12ADDDFA">
      <w:pPr>
        <w:pageBreakBefore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35821024">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（1）技术要求评审允许负偏离的条款数超过“投标人须知前附表”规定项数的；</w:t>
      </w:r>
    </w:p>
    <w:p w14:paraId="3FF23353">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（2）投标文件未提供“投标人须知前附表”第13.1条规定中“必须提供”的文件资料的；</w:t>
      </w:r>
    </w:p>
    <w:p w14:paraId="1DE446D7">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（3）虚假投标，或者出现其他情形而导致被评标委员会认定无效的；</w:t>
      </w:r>
    </w:p>
    <w:p w14:paraId="7FBF504C">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w:t>
      </w:r>
      <w:bookmarkStart w:id="174" w:name="_Hlk71706244"/>
      <w:r>
        <w:rPr>
          <w:rFonts w:hint="eastAsia" w:hAnsi="宋体" w:cs="宋体"/>
          <w:b/>
          <w:color w:val="auto"/>
          <w:sz w:val="21"/>
          <w:szCs w:val="21"/>
          <w:highlight w:val="none"/>
        </w:rPr>
        <w:t>招标文件未载明允许提供备选（替代）投标方案或明确不允许提供备选（替代）投标方案时，投标人提供了备选（替代）投标方案的；</w:t>
      </w:r>
      <w:bookmarkEnd w:id="174"/>
    </w:p>
    <w:p w14:paraId="7C40F30B">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color w:val="auto"/>
          <w:highlight w:val="none"/>
        </w:rPr>
      </w:pPr>
      <w:r>
        <w:rPr>
          <w:rFonts w:hint="eastAsia" w:hAnsi="宋体" w:cs="宋体"/>
          <w:b/>
          <w:color w:val="auto"/>
          <w:sz w:val="21"/>
          <w:szCs w:val="21"/>
          <w:highlight w:val="none"/>
        </w:rPr>
        <w:t>（5）未响应招标文件实质性要求的。</w:t>
      </w:r>
    </w:p>
    <w:p w14:paraId="574FB8E2">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2.4其他投标无效的情形：</w:t>
      </w:r>
    </w:p>
    <w:p w14:paraId="3FFC8171">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（1）投标文件未按招标文件要求签署或CA电子签章的；</w:t>
      </w:r>
    </w:p>
    <w:p w14:paraId="1643E4EB">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（2）投标人提交两份或两份以上内容不同的投标文件；</w:t>
      </w:r>
    </w:p>
    <w:p w14:paraId="7E68E08F">
      <w:pPr>
        <w:pStyle w:val="16"/>
        <w:pageBreakBefore w:val="0"/>
        <w:kinsoku/>
        <w:wordWrap/>
        <w:overflowPunct/>
        <w:topLinePunct w:val="0"/>
        <w:autoSpaceDE/>
        <w:autoSpaceDN/>
        <w:bidi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（3）投标人在线制作投标文件时填写的报价金额与解密后“电子加密投标文件”中《开标一览表》填写的金额不一致并拒绝按招标文件要求接受调整的；</w:t>
      </w:r>
    </w:p>
    <w:p w14:paraId="2430A7DB">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w:t>
      </w:r>
      <w:r>
        <w:rPr>
          <w:rFonts w:hint="eastAsia" w:hAnsi="宋体" w:cs="宋体"/>
          <w:b/>
          <w:color w:val="auto"/>
          <w:sz w:val="21"/>
          <w:szCs w:val="21"/>
          <w:highlight w:val="none"/>
          <w:lang w:eastAsia="zh-CN"/>
        </w:rPr>
        <w:t>法律法规</w:t>
      </w:r>
      <w:r>
        <w:rPr>
          <w:rFonts w:hint="eastAsia" w:hAnsi="宋体" w:cs="宋体"/>
          <w:b/>
          <w:color w:val="auto"/>
          <w:sz w:val="21"/>
          <w:szCs w:val="21"/>
          <w:highlight w:val="none"/>
        </w:rPr>
        <w:t>和招标文件规定的其他无效情形（或出现重大偏差）。</w:t>
      </w:r>
    </w:p>
    <w:p w14:paraId="274092D8">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3.澄清补正</w:t>
      </w:r>
    </w:p>
    <w:p w14:paraId="69D2B6CC">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7070F9D8">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59A13D2">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45084E36">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4.投标文件修正</w:t>
      </w:r>
    </w:p>
    <w:p w14:paraId="547CB2FF">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4.1投标文件报价出现前后不一致的，按照下列规定修正：</w:t>
      </w:r>
    </w:p>
    <w:p w14:paraId="6C6DC97B">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（1）投标文件中开标一览表（报价表）内容与投标文件中相应内容不一致的，以开标一览表（报价表）为准；</w:t>
      </w:r>
    </w:p>
    <w:p w14:paraId="71AC2E48">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（2）大写金额和小写金额不一致的，以大写金额为准；</w:t>
      </w:r>
    </w:p>
    <w:p w14:paraId="38D2BCFB">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（3）单价金额小数点或者百分比有明显错位的，以开标一览表的总价为准，并修改单价；</w:t>
      </w:r>
    </w:p>
    <w:p w14:paraId="0618B07C">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（4）总价金额与按单价汇总金额不一致的，以单价金额计算结果为准。</w:t>
      </w:r>
    </w:p>
    <w:p w14:paraId="6108F25B">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同时出现两种以上不一致的，按照以上（1）</w:t>
      </w:r>
      <w:r>
        <w:rPr>
          <w:rFonts w:hint="eastAsia" w:hAnsi="宋体" w:cs="宋体"/>
          <w:color w:val="auto"/>
          <w:highlight w:val="none"/>
          <w:lang w:eastAsia="zh-CN"/>
        </w:rPr>
        <w:t>－</w:t>
      </w:r>
      <w:r>
        <w:rPr>
          <w:rFonts w:hint="eastAsia" w:hAnsi="宋体" w:cs="宋体"/>
          <w:color w:val="auto"/>
          <w:highlight w:val="none"/>
        </w:rPr>
        <w:t>（4）规定的顺序修正。修正后的报价经投标人确认后产生约束力，投标人不确认的，</w:t>
      </w:r>
      <w:r>
        <w:rPr>
          <w:rFonts w:hint="eastAsia" w:hAnsi="宋体" w:cs="宋体"/>
          <w:b/>
          <w:color w:val="auto"/>
          <w:highlight w:val="none"/>
        </w:rPr>
        <w:t>其投标无效</w:t>
      </w:r>
      <w:r>
        <w:rPr>
          <w:rFonts w:hint="eastAsia" w:hAnsi="宋体" w:cs="宋体"/>
          <w:color w:val="auto"/>
          <w:highlight w:val="none"/>
        </w:rPr>
        <w:t>。</w:t>
      </w:r>
    </w:p>
    <w:p w14:paraId="273090D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w:t>
      </w:r>
      <w:r>
        <w:rPr>
          <w:rFonts w:hint="eastAsia" w:ascii="宋体" w:hAnsi="宋体" w:cs="宋体"/>
          <w:b/>
          <w:color w:val="auto"/>
          <w:szCs w:val="21"/>
          <w:highlight w:val="none"/>
        </w:rPr>
        <w:t>投标人的投标文件作无效投标处理</w:t>
      </w:r>
      <w:r>
        <w:rPr>
          <w:rFonts w:hint="eastAsia" w:ascii="宋体" w:hAnsi="宋体" w:cs="宋体"/>
          <w:color w:val="auto"/>
          <w:szCs w:val="21"/>
          <w:highlight w:val="none"/>
        </w:rPr>
        <w:t>。</w:t>
      </w:r>
    </w:p>
    <w:p w14:paraId="3B791CC5">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2BB438B2">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5.比较与评价</w:t>
      </w:r>
    </w:p>
    <w:p w14:paraId="1E8233E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5.1采用综合评分法的</w:t>
      </w:r>
    </w:p>
    <w:p w14:paraId="7DD27B9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2E86B67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31BF2ACC">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b/>
          <w:bCs/>
          <w:strike w:val="0"/>
          <w:dstrike w:val="0"/>
          <w:color w:val="auto"/>
          <w:szCs w:val="21"/>
          <w:highlight w:val="none"/>
          <w:lang w:val="en-US" w:eastAsia="zh-CN"/>
        </w:rPr>
      </w:pPr>
      <w:r>
        <w:rPr>
          <w:rFonts w:hint="eastAsia" w:ascii="宋体" w:hAnsi="宋体" w:cs="宋体"/>
          <w:color w:val="auto"/>
          <w:szCs w:val="21"/>
          <w:highlight w:val="none"/>
        </w:rPr>
        <w:t>（3）评标委员会按照招标文件中规定的评标方法和标准计算各投标人的报价得分。在计算过程中，不得去掉最高报价</w:t>
      </w: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最低报价。</w:t>
      </w:r>
      <w:r>
        <w:rPr>
          <w:rFonts w:hint="eastAsia" w:ascii="宋体" w:hAnsi="宋体" w:cs="宋体"/>
          <w:b/>
          <w:bCs/>
          <w:strike w:val="0"/>
          <w:dstrike w:val="0"/>
          <w:color w:val="auto"/>
          <w:szCs w:val="21"/>
          <w:highlight w:val="none"/>
          <w:lang w:val="en-US" w:eastAsia="zh-CN"/>
        </w:rPr>
        <w:t>（本项目不适用此条款）</w:t>
      </w:r>
    </w:p>
    <w:p w14:paraId="472A04FD">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（4）各投标人的得分为</w:t>
      </w:r>
      <w:r>
        <w:rPr>
          <w:rFonts w:hint="eastAsia" w:ascii="宋体" w:hAnsi="宋体" w:cs="宋体"/>
          <w:b/>
          <w:bCs/>
          <w:color w:val="auto"/>
          <w:szCs w:val="21"/>
          <w:highlight w:val="none"/>
        </w:rPr>
        <w:t>所有评委的有效评分的算术平均数</w:t>
      </w:r>
      <w:r>
        <w:rPr>
          <w:rFonts w:hint="eastAsia" w:ascii="宋体" w:hAnsi="宋体" w:cs="宋体"/>
          <w:color w:val="auto"/>
          <w:szCs w:val="21"/>
          <w:highlight w:val="none"/>
        </w:rPr>
        <w:t>。</w:t>
      </w:r>
    </w:p>
    <w:p w14:paraId="414FE07A">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4E50104D">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w:t>
      </w:r>
      <w:r>
        <w:rPr>
          <w:rFonts w:hint="eastAsia" w:ascii="宋体" w:hAnsi="宋体" w:cs="宋体"/>
          <w:color w:val="auto"/>
          <w:szCs w:val="21"/>
          <w:highlight w:val="none"/>
          <w:lang w:eastAsia="zh-CN"/>
        </w:rPr>
        <w:t>作出</w:t>
      </w:r>
      <w:r>
        <w:rPr>
          <w:rFonts w:hint="eastAsia" w:ascii="宋体" w:hAnsi="宋体" w:cs="宋体"/>
          <w:color w:val="auto"/>
          <w:szCs w:val="21"/>
          <w:highlight w:val="none"/>
        </w:rPr>
        <w:t>结论。持不同意见的评标委员会成员应当在评标报告上签署不同意见及理由，否则视为同意评标报告。</w:t>
      </w:r>
    </w:p>
    <w:p w14:paraId="7E5B3E69">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strike/>
          <w:dstrike w:val="0"/>
          <w:color w:val="auto"/>
          <w:szCs w:val="21"/>
          <w:highlight w:val="none"/>
          <w:lang w:eastAsia="zh-CN"/>
        </w:rPr>
      </w:pPr>
      <w:r>
        <w:rPr>
          <w:rFonts w:hint="eastAsia" w:ascii="宋体" w:hAnsi="宋体" w:eastAsia="宋体" w:cs="宋体"/>
          <w:color w:val="auto"/>
          <w:szCs w:val="21"/>
          <w:highlight w:val="none"/>
          <w:lang w:val="en-US" w:eastAsia="zh-CN"/>
        </w:rPr>
        <w:t xml:space="preserve">6.异常低价审查 </w:t>
      </w:r>
    </w:p>
    <w:p w14:paraId="5962FE2C">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6.1</w:t>
      </w:r>
      <w:r>
        <w:rPr>
          <w:rFonts w:hint="eastAsia" w:ascii="宋体" w:hAnsi="宋体" w:eastAsia="宋体" w:cs="宋体"/>
          <w:color w:val="auto"/>
          <w:szCs w:val="21"/>
          <w:highlight w:val="none"/>
        </w:rPr>
        <w:t>依据规定</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"http://www.ccgp.gov.cn/news/202601/t20260122_26102509.htm" \t "_blank" \o "附件链接：《财政部关于推动解决政府采购异常低价问题的通知》（财库〔2026〕2号）"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《财政部关于推动解决政府采购异常低价问题的通知》（财库〔2026〕2号）</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规定，政府采购评审中出现以下异常低价情形，评标委员会应当启动异常低价投标审查程序：</w:t>
      </w:r>
    </w:p>
    <w:p w14:paraId="7D5054A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（1）投标报价低于全部通过符合性审查供应商投标）报价平均值</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w:t>
      </w:r>
    </w:p>
    <w:p w14:paraId="5FA4FC0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（2）投标报价低于通过符合性审查的次低报价供应商投标报价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w:t>
      </w:r>
    </w:p>
    <w:p w14:paraId="142D2F3D">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（3）投标报价低于采购项目最高限价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45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w:t>
      </w:r>
    </w:p>
    <w:p w14:paraId="17817545">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（4）评标委员会基于专业判断，认为供应商报价过低，有可能影响产品质量或者不能诚信履约的其他情形。相关法律法规对供应商报价有规定的，从其规定。</w:t>
      </w:r>
    </w:p>
    <w:p w14:paraId="6FCEE26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（5）相关法律法规对供应商报价有规定的，从其规定。</w:t>
      </w:r>
    </w:p>
    <w:p w14:paraId="4F49B94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6.2</w:t>
      </w:r>
      <w:r>
        <w:rPr>
          <w:rFonts w:hint="eastAsia" w:ascii="宋体" w:hAnsi="宋体" w:eastAsia="宋体" w:cs="宋体"/>
          <w:color w:val="auto"/>
          <w:szCs w:val="21"/>
          <w:highlight w:val="none"/>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F63F873">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53456D6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评审组织</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采购人、采购代理机构应当为评审委员会在评审现场及时获取同类项目中标</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成交</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7B1977C">
      <w:pPr>
        <w:pageBreakBefore w:val="0"/>
        <w:kinsoku/>
        <w:wordWrap/>
        <w:overflowPunct/>
        <w:topLinePunct w:val="0"/>
        <w:autoSpaceDE/>
        <w:autoSpaceDN/>
        <w:bidi w:val="0"/>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记录及归档</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1628F5C4">
      <w:pPr>
        <w:pStyle w:val="4"/>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5" w:name="_Toc4705"/>
      <w:bookmarkStart w:id="176" w:name="_Toc5924"/>
      <w:r>
        <w:rPr>
          <w:rFonts w:hint="eastAsia" w:ascii="宋体" w:hAnsi="宋体" w:eastAsia="宋体" w:cs="宋体"/>
          <w:color w:val="auto"/>
          <w:highlight w:val="none"/>
        </w:rPr>
        <w:t>三、评标标准</w:t>
      </w:r>
      <w:bookmarkEnd w:id="175"/>
      <w:bookmarkEnd w:id="176"/>
    </w:p>
    <w:p w14:paraId="16092386">
      <w:pPr>
        <w:pageBreakBefore w:val="0"/>
        <w:widowControl/>
        <w:kinsoku/>
        <w:wordWrap/>
        <w:overflowPunct/>
        <w:topLinePunct w:val="0"/>
        <w:autoSpaceDE/>
        <w:autoSpaceDN/>
        <w:bidi w:val="0"/>
        <w:adjustRightInd w:val="0"/>
        <w:snapToGrid w:val="0"/>
        <w:spacing w:line="400" w:lineRule="exact"/>
        <w:ind w:firstLine="42"/>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一、评标原则</w:t>
      </w:r>
    </w:p>
    <w:p w14:paraId="2688A63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（一）评委构成：《政府采购货物和服务招标投标管理办法》第四十七条 评标委员会由采购人代表和评审专家组成，成员人数应当为5人以上单数，其中评审专家不得少于成员总数的三分之二。采购项目符合下列情形之一的，评标委员会成员人数应当为7人以上单数：（1）采购预算金额在1000万元以上；（2）技术复杂；（3）社会影响较大。</w:t>
      </w:r>
    </w:p>
    <w:p w14:paraId="42AC231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w:t>
      </w:r>
      <w:r>
        <w:rPr>
          <w:rFonts w:hint="eastAsia" w:ascii="宋体" w:hAnsi="宋体" w:cs="宋体"/>
          <w:color w:val="auto"/>
          <w:kern w:val="0"/>
          <w:szCs w:val="21"/>
          <w:highlight w:val="none"/>
        </w:rPr>
        <w:t>评标依据：</w:t>
      </w:r>
      <w:r>
        <w:rPr>
          <w:rFonts w:hint="eastAsia" w:ascii="宋体" w:hAnsi="宋体" w:cs="宋体"/>
          <w:bCs/>
          <w:color w:val="auto"/>
          <w:kern w:val="0"/>
          <w:szCs w:val="21"/>
          <w:highlight w:val="none"/>
        </w:rPr>
        <w:t>评委将以招标文件为评标依据，对投标人的内容按百分制打分。</w:t>
      </w:r>
    </w:p>
    <w:p w14:paraId="4820AFEC">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szCs w:val="21"/>
          <w:highlight w:val="none"/>
        </w:rPr>
      </w:pPr>
      <w:r>
        <w:rPr>
          <w:rFonts w:hint="eastAsia" w:ascii="宋体" w:hAnsi="宋体" w:cs="宋体"/>
          <w:bCs/>
          <w:color w:val="auto"/>
          <w:szCs w:val="21"/>
          <w:highlight w:val="none"/>
        </w:rPr>
        <w:t>（三）评标方式：以封闭方式进行。</w:t>
      </w:r>
    </w:p>
    <w:p w14:paraId="54CFE783">
      <w:pPr>
        <w:pageBreakBefore w:val="0"/>
        <w:kinsoku/>
        <w:wordWrap/>
        <w:overflowPunct/>
        <w:topLinePunct w:val="0"/>
        <w:autoSpaceDE/>
        <w:autoSpaceDN/>
        <w:bidi w:val="0"/>
        <w:adjustRightInd w:val="0"/>
        <w:snapToGrid w:val="0"/>
        <w:spacing w:line="400" w:lineRule="exact"/>
        <w:ind w:firstLine="42" w:firstLineChars="20"/>
        <w:textAlignment w:val="auto"/>
        <w:rPr>
          <w:rFonts w:hint="eastAsia" w:ascii="宋体" w:hAnsi="宋体" w:cs="宋体"/>
          <w:b/>
          <w:color w:val="auto"/>
          <w:szCs w:val="21"/>
          <w:highlight w:val="none"/>
        </w:rPr>
      </w:pPr>
      <w:r>
        <w:rPr>
          <w:rFonts w:hint="eastAsia" w:ascii="宋体" w:hAnsi="宋体" w:cs="宋体"/>
          <w:b/>
          <w:color w:val="auto"/>
          <w:szCs w:val="21"/>
          <w:highlight w:val="none"/>
        </w:rPr>
        <w:t>二、评标方法</w:t>
      </w:r>
    </w:p>
    <w:p w14:paraId="29EFE52F">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（一）对进入详评的，采用百分制综合评分法。</w:t>
      </w:r>
    </w:p>
    <w:p w14:paraId="68CAB43F">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（二）计分办法（按四舍五入取至百分位）：</w:t>
      </w:r>
    </w:p>
    <w:p w14:paraId="4122FA69">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p>
    <w:p w14:paraId="11A6A3AA">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p>
    <w:p w14:paraId="32949AC5">
      <w:pPr>
        <w:rPr>
          <w:rFonts w:hint="eastAsia" w:ascii="宋体" w:hAnsi="宋体" w:eastAsia="宋体" w:cs="宋体"/>
          <w:color w:val="auto"/>
          <w:highlight w:val="none"/>
        </w:rPr>
      </w:pPr>
      <w:r>
        <w:rPr>
          <w:rFonts w:hint="eastAsia" w:ascii="宋体" w:hAnsi="宋体" w:cs="宋体"/>
          <w:color w:val="auto"/>
          <w:kern w:val="0"/>
          <w:szCs w:val="21"/>
          <w:highlight w:val="none"/>
        </w:rPr>
        <w:br w:type="page"/>
      </w:r>
      <w:bookmarkStart w:id="177" w:name="_Toc26687"/>
      <w:bookmarkStart w:id="178" w:name="_Toc29253"/>
      <w:bookmarkStart w:id="179" w:name="_Toc1515"/>
    </w:p>
    <w:p w14:paraId="282FF6F4">
      <w:pPr>
        <w:pStyle w:val="4"/>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评分标准（综合评分法）</w:t>
      </w:r>
      <w:bookmarkEnd w:id="177"/>
      <w:bookmarkEnd w:id="178"/>
      <w:bookmarkEnd w:id="179"/>
    </w:p>
    <w:tbl>
      <w:tblPr>
        <w:tblStyle w:val="3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0"/>
        <w:gridCol w:w="517"/>
        <w:gridCol w:w="661"/>
        <w:gridCol w:w="6888"/>
      </w:tblGrid>
      <w:tr w14:paraId="6DB20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0" w:type="auto"/>
            <w:noWrap w:val="0"/>
            <w:vAlign w:val="center"/>
          </w:tcPr>
          <w:p w14:paraId="1BA82E0A">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lang w:val="en-US" w:eastAsia="zh-CN"/>
              </w:rPr>
            </w:pPr>
            <w:bookmarkStart w:id="180" w:name="_Toc13030"/>
            <w:bookmarkStart w:id="181" w:name="_Toc4130"/>
            <w:r>
              <w:rPr>
                <w:rFonts w:hint="eastAsia" w:ascii="宋体" w:hAnsi="宋体" w:eastAsia="宋体" w:cs="宋体"/>
                <w:b/>
                <w:bCs/>
                <w:color w:val="auto"/>
                <w:sz w:val="21"/>
                <w:szCs w:val="21"/>
                <w:highlight w:val="none"/>
                <w:lang w:val="en-US" w:eastAsia="zh-CN"/>
              </w:rPr>
              <w:t>序号</w:t>
            </w:r>
          </w:p>
        </w:tc>
        <w:tc>
          <w:tcPr>
            <w:tcW w:w="0" w:type="auto"/>
            <w:noWrap w:val="0"/>
            <w:vAlign w:val="center"/>
          </w:tcPr>
          <w:p w14:paraId="74711DE1">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评标项目</w:t>
            </w:r>
          </w:p>
        </w:tc>
        <w:tc>
          <w:tcPr>
            <w:tcW w:w="661" w:type="dxa"/>
            <w:noWrap w:val="0"/>
            <w:vAlign w:val="center"/>
          </w:tcPr>
          <w:p w14:paraId="66DBF336">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评标分值</w:t>
            </w:r>
          </w:p>
        </w:tc>
        <w:tc>
          <w:tcPr>
            <w:tcW w:w="6888" w:type="dxa"/>
            <w:noWrap w:val="0"/>
            <w:vAlign w:val="center"/>
          </w:tcPr>
          <w:p w14:paraId="33AC2441">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评标方法描述</w:t>
            </w:r>
          </w:p>
        </w:tc>
      </w:tr>
      <w:tr w14:paraId="31298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9" w:hRule="atLeast"/>
          <w:jc w:val="center"/>
        </w:trPr>
        <w:tc>
          <w:tcPr>
            <w:tcW w:w="0" w:type="auto"/>
            <w:noWrap w:val="0"/>
            <w:vAlign w:val="center"/>
          </w:tcPr>
          <w:p w14:paraId="2454988B">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w:t>
            </w:r>
          </w:p>
        </w:tc>
        <w:tc>
          <w:tcPr>
            <w:tcW w:w="0" w:type="auto"/>
            <w:noWrap w:val="0"/>
            <w:vAlign w:val="center"/>
          </w:tcPr>
          <w:p w14:paraId="3FBC0F6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价格分</w:t>
            </w:r>
          </w:p>
        </w:tc>
        <w:tc>
          <w:tcPr>
            <w:tcW w:w="661" w:type="dxa"/>
            <w:noWrap w:val="0"/>
            <w:vAlign w:val="center"/>
          </w:tcPr>
          <w:p w14:paraId="6CB07A1F">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0</w:t>
            </w:r>
            <w:r>
              <w:rPr>
                <w:rFonts w:hint="eastAsia" w:ascii="宋体" w:hAnsi="宋体" w:cs="宋体"/>
                <w:color w:val="auto"/>
                <w:kern w:val="0"/>
                <w:sz w:val="21"/>
                <w:szCs w:val="21"/>
                <w:highlight w:val="none"/>
                <w:lang w:val="en-US" w:eastAsia="zh-CN" w:bidi="ar"/>
              </w:rPr>
              <w:t>分</w:t>
            </w:r>
          </w:p>
        </w:tc>
        <w:tc>
          <w:tcPr>
            <w:tcW w:w="6888" w:type="dxa"/>
            <w:noWrap w:val="0"/>
            <w:vAlign w:val="center"/>
          </w:tcPr>
          <w:p w14:paraId="446123FD">
            <w:pPr>
              <w:keepNext w:val="0"/>
              <w:keepLines w:val="0"/>
              <w:widowControl/>
              <w:suppressLineNumbers w:val="0"/>
              <w:spacing w:before="0" w:beforeAutospacing="0" w:after="0" w:afterAutospacing="0"/>
              <w:ind w:left="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根据《政府采购货物和服务招标投标管理办法》（财政部令第 87 号）第五十五条规定，采用固定价格采购的项目，其价格不列为评审因素。</w:t>
            </w:r>
          </w:p>
        </w:tc>
      </w:tr>
      <w:tr w14:paraId="4B569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0" w:type="auto"/>
            <w:noWrap w:val="0"/>
            <w:vAlign w:val="center"/>
          </w:tcPr>
          <w:p w14:paraId="45606925">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p>
        </w:tc>
        <w:tc>
          <w:tcPr>
            <w:tcW w:w="0" w:type="auto"/>
            <w:noWrap w:val="0"/>
            <w:vAlign w:val="center"/>
          </w:tcPr>
          <w:p w14:paraId="6655D89B">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服务计划分</w:t>
            </w:r>
          </w:p>
          <w:p w14:paraId="584C0E45">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p>
        </w:tc>
        <w:tc>
          <w:tcPr>
            <w:tcW w:w="661" w:type="dxa"/>
            <w:noWrap w:val="0"/>
            <w:vAlign w:val="center"/>
          </w:tcPr>
          <w:p w14:paraId="429F18D3">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lang w:val="en-US"/>
              </w:rPr>
            </w:pPr>
            <w:r>
              <w:rPr>
                <w:rFonts w:hint="eastAsia" w:ascii="宋体" w:hAnsi="宋体" w:eastAsia="宋体" w:cs="宋体"/>
                <w:color w:val="auto"/>
                <w:kern w:val="0"/>
                <w:sz w:val="21"/>
                <w:szCs w:val="21"/>
                <w:highlight w:val="none"/>
                <w:lang w:val="en-US" w:eastAsia="zh-CN" w:bidi="ar"/>
              </w:rPr>
              <w:t>64</w:t>
            </w:r>
            <w:r>
              <w:rPr>
                <w:rFonts w:hint="eastAsia" w:ascii="宋体" w:hAnsi="宋体" w:cs="宋体"/>
                <w:color w:val="auto"/>
                <w:kern w:val="0"/>
                <w:sz w:val="21"/>
                <w:szCs w:val="21"/>
                <w:highlight w:val="none"/>
                <w:lang w:val="en-US" w:eastAsia="zh-CN" w:bidi="ar"/>
              </w:rPr>
              <w:t>分</w:t>
            </w:r>
          </w:p>
          <w:p w14:paraId="05437C82">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p>
        </w:tc>
        <w:tc>
          <w:tcPr>
            <w:tcW w:w="6888" w:type="dxa"/>
            <w:noWrap w:val="0"/>
            <w:vAlign w:val="center"/>
          </w:tcPr>
          <w:p w14:paraId="74A27C0F">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b/>
                <w:bCs/>
                <w:color w:val="auto"/>
                <w:kern w:val="0"/>
                <w:sz w:val="21"/>
                <w:szCs w:val="21"/>
                <w:highlight w:val="none"/>
                <w:lang w:val="en-US" w:eastAsia="zh-CN" w:bidi="ar"/>
              </w:rPr>
              <w:t>（1）基本方案分（满分 20 分）</w:t>
            </w:r>
          </w:p>
          <w:p w14:paraId="7AEB3617">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满足招标文件所要求响应的基础保险责任、特别约定、赔偿限额及免赔额、赔偿范围与标准的得基本分 20 分。</w:t>
            </w:r>
          </w:p>
          <w:p w14:paraId="2E2B962F">
            <w:pPr>
              <w:keepNext w:val="0"/>
              <w:keepLines w:val="0"/>
              <w:widowControl/>
              <w:numPr>
                <w:ilvl w:val="0"/>
                <w:numId w:val="3"/>
              </w:numPr>
              <w:suppressLineNumbers w:val="0"/>
              <w:spacing w:before="0" w:beforeAutospacing="0" w:after="0" w:afterAutospacing="0"/>
              <w:ind w:left="0" w:right="0"/>
              <w:jc w:val="both"/>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承保方案设计分（满分 22 分）</w:t>
            </w:r>
          </w:p>
          <w:p w14:paraId="14A57807">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1)承保方案的投保设计、保险条款分（满分6分）</w:t>
            </w:r>
          </w:p>
          <w:p w14:paraId="4F65E72C">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一档（2分）：投保设计、保险条款满足采购</w:t>
            </w:r>
            <w:r>
              <w:rPr>
                <w:rFonts w:hint="eastAsia" w:ascii="宋体" w:hAnsi="宋体" w:cs="宋体"/>
                <w:color w:val="auto"/>
                <w:kern w:val="0"/>
                <w:sz w:val="21"/>
                <w:szCs w:val="21"/>
                <w:highlight w:val="none"/>
                <w:lang w:val="en-US" w:eastAsia="zh-CN" w:bidi="ar"/>
              </w:rPr>
              <w:t>需求</w:t>
            </w:r>
            <w:r>
              <w:rPr>
                <w:rFonts w:hint="eastAsia" w:ascii="宋体" w:hAnsi="宋体" w:eastAsia="宋体" w:cs="宋体"/>
                <w:color w:val="auto"/>
                <w:kern w:val="0"/>
                <w:sz w:val="21"/>
                <w:szCs w:val="21"/>
                <w:highlight w:val="none"/>
                <w:lang w:val="en-US" w:eastAsia="zh-CN" w:bidi="ar"/>
              </w:rPr>
              <w:t>，各项指标无负偏离；</w:t>
            </w:r>
          </w:p>
          <w:p w14:paraId="61B38760">
            <w:pPr>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二档（4 分）：投保设计、保险条款在满足采购</w:t>
            </w:r>
            <w:r>
              <w:rPr>
                <w:rFonts w:hint="eastAsia" w:ascii="宋体" w:hAnsi="宋体" w:cs="宋体"/>
                <w:color w:val="auto"/>
                <w:kern w:val="0"/>
                <w:sz w:val="21"/>
                <w:szCs w:val="21"/>
                <w:highlight w:val="none"/>
                <w:lang w:val="en-US" w:eastAsia="zh-CN" w:bidi="ar"/>
              </w:rPr>
              <w:t>需求</w:t>
            </w:r>
            <w:r>
              <w:rPr>
                <w:rFonts w:hint="eastAsia" w:ascii="宋体" w:hAnsi="宋体" w:eastAsia="宋体" w:cs="宋体"/>
                <w:color w:val="auto"/>
                <w:kern w:val="0"/>
                <w:sz w:val="21"/>
                <w:szCs w:val="21"/>
                <w:highlight w:val="none"/>
                <w:lang w:val="en-US" w:eastAsia="zh-CN" w:bidi="ar"/>
              </w:rPr>
              <w:t>的前提下，保险责任有一项（除</w:t>
            </w:r>
            <w:r>
              <w:rPr>
                <w:rFonts w:hint="eastAsia" w:ascii="宋体" w:hAnsi="宋体" w:cs="宋体"/>
                <w:color w:val="auto"/>
                <w:kern w:val="0"/>
                <w:sz w:val="21"/>
                <w:szCs w:val="21"/>
                <w:highlight w:val="none"/>
                <w:lang w:val="en-US" w:eastAsia="zh-CN" w:bidi="ar"/>
              </w:rPr>
              <w:t>独立打分的</w:t>
            </w:r>
            <w:r>
              <w:rPr>
                <w:rFonts w:hint="eastAsia" w:ascii="宋体" w:hAnsi="宋体" w:eastAsia="宋体" w:cs="宋体"/>
                <w:color w:val="auto"/>
                <w:kern w:val="0"/>
                <w:sz w:val="21"/>
                <w:szCs w:val="21"/>
                <w:highlight w:val="none"/>
                <w:lang w:val="en-US" w:eastAsia="zh-CN" w:bidi="ar"/>
              </w:rPr>
              <w:t>住院津贴项外）优于招标文件要求的且合理可行的；</w:t>
            </w:r>
          </w:p>
          <w:p w14:paraId="4C8AE0C8">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三档（6 分）：投保设计、保险条款在满足采购</w:t>
            </w:r>
            <w:r>
              <w:rPr>
                <w:rFonts w:hint="eastAsia" w:ascii="宋体" w:hAnsi="宋体" w:cs="宋体"/>
                <w:color w:val="auto"/>
                <w:kern w:val="0"/>
                <w:sz w:val="21"/>
                <w:szCs w:val="21"/>
                <w:highlight w:val="none"/>
                <w:lang w:val="en-US" w:eastAsia="zh-CN" w:bidi="ar"/>
              </w:rPr>
              <w:t>需求</w:t>
            </w:r>
            <w:r>
              <w:rPr>
                <w:rFonts w:hint="eastAsia" w:ascii="宋体" w:hAnsi="宋体" w:eastAsia="宋体" w:cs="宋体"/>
                <w:color w:val="auto"/>
                <w:kern w:val="0"/>
                <w:sz w:val="21"/>
                <w:szCs w:val="21"/>
                <w:highlight w:val="none"/>
                <w:lang w:val="en-US" w:eastAsia="zh-CN" w:bidi="ar"/>
              </w:rPr>
              <w:t>的前提下，保险责任有二项或以上（除</w:t>
            </w:r>
            <w:r>
              <w:rPr>
                <w:rFonts w:hint="eastAsia" w:ascii="宋体" w:hAnsi="宋体" w:cs="宋体"/>
                <w:color w:val="auto"/>
                <w:kern w:val="0"/>
                <w:sz w:val="21"/>
                <w:szCs w:val="21"/>
                <w:highlight w:val="none"/>
                <w:lang w:val="en-US" w:eastAsia="zh-CN" w:bidi="ar"/>
              </w:rPr>
              <w:t>独立打分的</w:t>
            </w:r>
            <w:r>
              <w:rPr>
                <w:rFonts w:hint="eastAsia" w:ascii="宋体" w:hAnsi="宋体" w:eastAsia="宋体" w:cs="宋体"/>
                <w:color w:val="auto"/>
                <w:kern w:val="0"/>
                <w:sz w:val="21"/>
                <w:szCs w:val="21"/>
                <w:highlight w:val="none"/>
                <w:lang w:val="en-US" w:eastAsia="zh-CN" w:bidi="ar"/>
              </w:rPr>
              <w:t>住院津贴项外）优于招标文件要求的且合理可行的。</w:t>
            </w:r>
          </w:p>
          <w:p w14:paraId="2487F593">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2)承保方案保险责任住院津贴给付</w:t>
            </w:r>
            <w:r>
              <w:rPr>
                <w:rFonts w:hint="eastAsia" w:ascii="宋体" w:hAnsi="宋体" w:eastAsia="宋体" w:cs="宋体"/>
                <w:b/>
                <w:bCs/>
                <w:strike w:val="0"/>
                <w:dstrike w:val="0"/>
                <w:color w:val="auto"/>
                <w:kern w:val="0"/>
                <w:sz w:val="21"/>
                <w:szCs w:val="21"/>
                <w:highlight w:val="none"/>
                <w:lang w:val="en-US" w:eastAsia="zh-CN" w:bidi="ar"/>
              </w:rPr>
              <w:t>保险</w:t>
            </w:r>
            <w:r>
              <w:rPr>
                <w:rFonts w:hint="eastAsia" w:ascii="宋体" w:hAnsi="宋体" w:eastAsia="宋体" w:cs="宋体"/>
                <w:b/>
                <w:bCs/>
                <w:color w:val="auto"/>
                <w:kern w:val="0"/>
                <w:sz w:val="21"/>
                <w:szCs w:val="21"/>
                <w:highlight w:val="none"/>
                <w:lang w:val="en-US" w:eastAsia="zh-CN" w:bidi="ar"/>
              </w:rPr>
              <w:t>金额分（满分16分）</w:t>
            </w:r>
          </w:p>
          <w:tbl>
            <w:tblPr>
              <w:tblStyle w:val="40"/>
              <w:tblW w:w="0" w:type="auto"/>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1285"/>
              <w:gridCol w:w="1118"/>
              <w:gridCol w:w="2912"/>
              <w:gridCol w:w="894"/>
            </w:tblGrid>
            <w:tr w14:paraId="7336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0" w:type="auto"/>
                  <w:noWrap w:val="0"/>
                  <w:vAlign w:val="top"/>
                </w:tcPr>
                <w:p w14:paraId="62630E46">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序号</w:t>
                  </w:r>
                </w:p>
              </w:tc>
              <w:tc>
                <w:tcPr>
                  <w:tcW w:w="0" w:type="auto"/>
                  <w:noWrap w:val="0"/>
                  <w:vAlign w:val="top"/>
                </w:tcPr>
                <w:p w14:paraId="0C603F35">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保险责任</w:t>
                  </w:r>
                </w:p>
              </w:tc>
              <w:tc>
                <w:tcPr>
                  <w:tcW w:w="1118" w:type="dxa"/>
                  <w:noWrap w:val="0"/>
                  <w:vAlign w:val="top"/>
                </w:tcPr>
                <w:p w14:paraId="1A3213D5">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招标文件要求的保险金额</w:t>
                  </w:r>
                </w:p>
              </w:tc>
              <w:tc>
                <w:tcPr>
                  <w:tcW w:w="2912" w:type="dxa"/>
                  <w:noWrap w:val="0"/>
                  <w:vAlign w:val="top"/>
                </w:tcPr>
                <w:p w14:paraId="3D1DD508">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投标人承诺给付保险金额</w:t>
                  </w:r>
                </w:p>
              </w:tc>
              <w:tc>
                <w:tcPr>
                  <w:tcW w:w="894" w:type="dxa"/>
                  <w:noWrap w:val="0"/>
                  <w:vAlign w:val="top"/>
                </w:tcPr>
                <w:p w14:paraId="12C5C57A">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得分</w:t>
                  </w:r>
                </w:p>
              </w:tc>
            </w:tr>
            <w:tr w14:paraId="110E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3" w:hRule="atLeast"/>
              </w:trPr>
              <w:tc>
                <w:tcPr>
                  <w:tcW w:w="0" w:type="auto"/>
                  <w:noWrap w:val="0"/>
                  <w:vAlign w:val="top"/>
                </w:tcPr>
                <w:p w14:paraId="63B223EF">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1</w:t>
                  </w:r>
                </w:p>
              </w:tc>
              <w:tc>
                <w:tcPr>
                  <w:tcW w:w="0" w:type="auto"/>
                  <w:noWrap w:val="0"/>
                  <w:vAlign w:val="top"/>
                </w:tcPr>
                <w:p w14:paraId="2F3BB6B1">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仿宋" w:hAnsi="仿宋" w:eastAsia="仿宋" w:cs="仿宋"/>
                      <w:strike w:val="0"/>
                      <w:dstrike w:val="0"/>
                      <w:color w:val="auto"/>
                      <w:kern w:val="0"/>
                      <w:sz w:val="24"/>
                      <w:szCs w:val="24"/>
                      <w:highlight w:val="none"/>
                      <w:lang w:val="en-US" w:eastAsia="zh-CN" w:bidi="ar"/>
                    </w:rPr>
                    <w:t>三级、二级医院的特级护理住院津贴</w:t>
                  </w:r>
                </w:p>
              </w:tc>
              <w:tc>
                <w:tcPr>
                  <w:tcW w:w="1118" w:type="dxa"/>
                  <w:noWrap w:val="0"/>
                  <w:vAlign w:val="top"/>
                </w:tcPr>
                <w:p w14:paraId="6DAA56B6">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190元/天</w:t>
                  </w:r>
                </w:p>
              </w:tc>
              <w:tc>
                <w:tcPr>
                  <w:tcW w:w="2912" w:type="dxa"/>
                  <w:noWrap w:val="0"/>
                  <w:vAlign w:val="top"/>
                </w:tcPr>
                <w:p w14:paraId="43DB2F2D">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仿宋" w:hAnsi="仿宋" w:eastAsia="仿宋" w:cs="仿宋"/>
                      <w:strike w:val="0"/>
                      <w:dstrike w:val="0"/>
                      <w:color w:val="auto"/>
                      <w:kern w:val="0"/>
                      <w:sz w:val="24"/>
                      <w:szCs w:val="24"/>
                      <w:highlight w:val="none"/>
                      <w:lang w:val="en-US" w:eastAsia="zh-CN" w:bidi="ar"/>
                    </w:rPr>
                    <w:t>190+X元/份;0≤X≤30，报价为5的倍数递增，高于30按30计，得分为(X</w:t>
                  </w:r>
                  <w:r>
                    <w:rPr>
                      <w:rFonts w:hint="default" w:ascii="仿宋" w:hAnsi="仿宋" w:eastAsia="仿宋" w:cs="仿宋"/>
                      <w:strike w:val="0"/>
                      <w:dstrike w:val="0"/>
                      <w:color w:val="auto"/>
                      <w:kern w:val="0"/>
                      <w:sz w:val="24"/>
                      <w:szCs w:val="24"/>
                      <w:highlight w:val="none"/>
                      <w:lang w:val="en-US" w:eastAsia="zh-CN" w:bidi="ar"/>
                    </w:rPr>
                    <w:t>÷</w:t>
                  </w:r>
                  <w:r>
                    <w:rPr>
                      <w:rFonts w:hint="eastAsia" w:ascii="仿宋" w:hAnsi="仿宋" w:eastAsia="仿宋" w:cs="仿宋"/>
                      <w:strike w:val="0"/>
                      <w:dstrike w:val="0"/>
                      <w:color w:val="auto"/>
                      <w:kern w:val="0"/>
                      <w:sz w:val="24"/>
                      <w:szCs w:val="24"/>
                      <w:highlight w:val="none"/>
                      <w:lang w:val="en-US" w:eastAsia="zh-CN" w:bidi="ar"/>
                    </w:rPr>
                    <w:t>30)</w:t>
                  </w:r>
                  <w:r>
                    <w:rPr>
                      <w:rFonts w:hint="default" w:ascii="仿宋" w:hAnsi="仿宋" w:eastAsia="仿宋" w:cs="仿宋"/>
                      <w:strike w:val="0"/>
                      <w:dstrike w:val="0"/>
                      <w:color w:val="auto"/>
                      <w:kern w:val="0"/>
                      <w:sz w:val="24"/>
                      <w:szCs w:val="24"/>
                      <w:highlight w:val="none"/>
                      <w:lang w:val="en-US" w:eastAsia="zh-CN" w:bidi="ar"/>
                    </w:rPr>
                    <w:t>×</w:t>
                  </w:r>
                  <w:r>
                    <w:rPr>
                      <w:rFonts w:hint="eastAsia" w:ascii="仿宋" w:hAnsi="仿宋" w:eastAsia="仿宋" w:cs="仿宋"/>
                      <w:strike w:val="0"/>
                      <w:dstrike w:val="0"/>
                      <w:color w:val="auto"/>
                      <w:kern w:val="0"/>
                      <w:sz w:val="24"/>
                      <w:szCs w:val="24"/>
                      <w:highlight w:val="none"/>
                      <w:lang w:val="en-US" w:eastAsia="zh-CN" w:bidi="ar"/>
                    </w:rPr>
                    <w:t>6=A</w:t>
                  </w:r>
                </w:p>
              </w:tc>
              <w:tc>
                <w:tcPr>
                  <w:tcW w:w="894" w:type="dxa"/>
                  <w:noWrap w:val="0"/>
                  <w:vAlign w:val="top"/>
                </w:tcPr>
                <w:p w14:paraId="16C81575">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A分(满</w:t>
                  </w:r>
                  <w:r>
                    <w:rPr>
                      <w:rFonts w:hint="eastAsia" w:ascii="宋体" w:hAnsi="宋体" w:cs="宋体"/>
                      <w:strike w:val="0"/>
                      <w:dstrike w:val="0"/>
                      <w:color w:val="auto"/>
                      <w:kern w:val="0"/>
                      <w:sz w:val="21"/>
                      <w:szCs w:val="21"/>
                      <w:highlight w:val="none"/>
                      <w:lang w:val="en-US" w:eastAsia="zh-CN" w:bidi="ar"/>
                    </w:rPr>
                    <w:t>6</w:t>
                  </w:r>
                  <w:r>
                    <w:rPr>
                      <w:rFonts w:hint="eastAsia" w:ascii="宋体" w:hAnsi="宋体" w:eastAsia="宋体" w:cs="宋体"/>
                      <w:strike w:val="0"/>
                      <w:dstrike w:val="0"/>
                      <w:color w:val="auto"/>
                      <w:kern w:val="0"/>
                      <w:sz w:val="21"/>
                      <w:szCs w:val="21"/>
                      <w:highlight w:val="none"/>
                      <w:lang w:val="en-US" w:eastAsia="zh-CN" w:bidi="ar"/>
                    </w:rPr>
                    <w:t>分)</w:t>
                  </w:r>
                </w:p>
              </w:tc>
            </w:tr>
            <w:tr w14:paraId="0848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noWrap w:val="0"/>
                  <w:vAlign w:val="top"/>
                </w:tcPr>
                <w:p w14:paraId="38B17D1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0" w:type="auto"/>
                  <w:noWrap w:val="0"/>
                  <w:vAlign w:val="top"/>
                </w:tcPr>
                <w:p w14:paraId="700927A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三级医院的三级护理住院津贴</w:t>
                  </w:r>
                </w:p>
              </w:tc>
              <w:tc>
                <w:tcPr>
                  <w:tcW w:w="1118" w:type="dxa"/>
                  <w:noWrap w:val="0"/>
                  <w:vAlign w:val="top"/>
                </w:tcPr>
                <w:p w14:paraId="2663135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50元/天</w:t>
                  </w:r>
                </w:p>
              </w:tc>
              <w:tc>
                <w:tcPr>
                  <w:tcW w:w="2912" w:type="dxa"/>
                  <w:noWrap w:val="0"/>
                  <w:vAlign w:val="top"/>
                </w:tcPr>
                <w:p w14:paraId="44228EB7">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50+X元/天，总分1分,具体计分规则：X</w:t>
                  </w:r>
                  <w:r>
                    <w:rPr>
                      <w:rFonts w:hint="eastAsia" w:ascii="东文宋体" w:hAnsi="东文宋体" w:eastAsia="东文宋体" w:cs="东文宋体"/>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0得1分；X&lt;0该项不得分；该项不得缺项不响应</w:t>
                  </w:r>
                  <w:r>
                    <w:rPr>
                      <w:rFonts w:hint="eastAsia" w:ascii="宋体" w:hAnsi="宋体" w:eastAsia="宋体" w:cs="宋体"/>
                      <w:color w:val="auto"/>
                      <w:kern w:val="0"/>
                      <w:sz w:val="21"/>
                      <w:szCs w:val="21"/>
                      <w:highlight w:val="none"/>
                      <w:lang w:val="en-US" w:eastAsia="zh-CN" w:bidi="ar"/>
                    </w:rPr>
                    <w:t>。</w:t>
                  </w:r>
                </w:p>
              </w:tc>
              <w:tc>
                <w:tcPr>
                  <w:tcW w:w="894" w:type="dxa"/>
                  <w:noWrap w:val="0"/>
                  <w:vAlign w:val="top"/>
                </w:tcPr>
                <w:p w14:paraId="7CC98DDA">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p>
                <w:p w14:paraId="5A88617C">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B</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分(满分</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w:t>
                  </w:r>
                </w:p>
              </w:tc>
            </w:tr>
            <w:tr w14:paraId="095A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trPr>
              <w:tc>
                <w:tcPr>
                  <w:tcW w:w="0" w:type="auto"/>
                  <w:noWrap w:val="0"/>
                  <w:vAlign w:val="top"/>
                </w:tcPr>
                <w:p w14:paraId="6E25EDDF">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3</w:t>
                  </w:r>
                </w:p>
              </w:tc>
              <w:tc>
                <w:tcPr>
                  <w:tcW w:w="0" w:type="auto"/>
                  <w:noWrap w:val="0"/>
                  <w:vAlign w:val="top"/>
                </w:tcPr>
                <w:p w14:paraId="10323D4D">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二级医院的三级护理住院津贴</w:t>
                  </w:r>
                </w:p>
              </w:tc>
              <w:tc>
                <w:tcPr>
                  <w:tcW w:w="1118" w:type="dxa"/>
                  <w:noWrap w:val="0"/>
                  <w:vAlign w:val="top"/>
                </w:tcPr>
                <w:p w14:paraId="076B0214">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50元/天</w:t>
                  </w:r>
                </w:p>
              </w:tc>
              <w:tc>
                <w:tcPr>
                  <w:tcW w:w="2912" w:type="dxa"/>
                  <w:noWrap w:val="0"/>
                  <w:vAlign w:val="top"/>
                </w:tcPr>
                <w:p w14:paraId="24D27CB3">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50+X元/天;</w:t>
                  </w:r>
                  <w:r>
                    <w:rPr>
                      <w:rFonts w:hint="eastAsia" w:ascii="仿宋" w:hAnsi="仿宋" w:eastAsia="仿宋" w:cs="仿宋"/>
                      <w:strike w:val="0"/>
                      <w:dstrike w:val="0"/>
                      <w:color w:val="auto"/>
                      <w:kern w:val="0"/>
                      <w:sz w:val="24"/>
                      <w:szCs w:val="24"/>
                      <w:highlight w:val="none"/>
                      <w:lang w:val="en-US" w:eastAsia="zh-CN" w:bidi="ar"/>
                    </w:rPr>
                    <w:t>0≤X≤30</w:t>
                  </w:r>
                  <w:r>
                    <w:rPr>
                      <w:rFonts w:hint="eastAsia" w:ascii="仿宋" w:hAnsi="仿宋" w:eastAsia="仿宋" w:cs="仿宋"/>
                      <w:color w:val="auto"/>
                      <w:kern w:val="0"/>
                      <w:sz w:val="24"/>
                      <w:szCs w:val="24"/>
                      <w:highlight w:val="none"/>
                      <w:lang w:val="en-US" w:eastAsia="zh-CN" w:bidi="ar"/>
                    </w:rPr>
                    <w:t>，报价按10的倍数递增，高于30按30计，得分为：总分3分，具体计分规则：(X</w:t>
                  </w:r>
                  <w:r>
                    <w:rPr>
                      <w:rFonts w:hint="default" w:ascii="仿宋" w:hAnsi="仿宋" w:eastAsia="仿宋" w:cs="仿宋"/>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30)</w:t>
                  </w:r>
                  <w:r>
                    <w:rPr>
                      <w:rFonts w:hint="default" w:ascii="仿宋" w:hAnsi="仿宋" w:eastAsia="仿宋" w:cs="仿宋"/>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3=B2</w:t>
                  </w:r>
                </w:p>
                <w:p w14:paraId="05235A08">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4"/>
                      <w:szCs w:val="24"/>
                      <w:highlight w:val="none"/>
                      <w:lang w:val="en-US" w:eastAsia="zh-CN" w:bidi="ar"/>
                    </w:rPr>
                  </w:pPr>
                </w:p>
              </w:tc>
              <w:tc>
                <w:tcPr>
                  <w:tcW w:w="894" w:type="dxa"/>
                  <w:noWrap w:val="0"/>
                  <w:vAlign w:val="top"/>
                </w:tcPr>
                <w:p w14:paraId="658EAC5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B2分(满分3分</w:t>
                  </w:r>
                </w:p>
              </w:tc>
            </w:tr>
            <w:tr w14:paraId="29B5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trPr>
              <w:tc>
                <w:tcPr>
                  <w:tcW w:w="0" w:type="auto"/>
                  <w:noWrap w:val="0"/>
                  <w:vAlign w:val="top"/>
                </w:tcPr>
                <w:p w14:paraId="3F7791B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4</w:t>
                  </w:r>
                </w:p>
              </w:tc>
              <w:tc>
                <w:tcPr>
                  <w:tcW w:w="0" w:type="auto"/>
                  <w:noWrap w:val="0"/>
                  <w:vAlign w:val="top"/>
                </w:tcPr>
                <w:p w14:paraId="38D625D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三级、二级医院的一级护理、二级护理住院津贴</w:t>
                  </w:r>
                </w:p>
              </w:tc>
              <w:tc>
                <w:tcPr>
                  <w:tcW w:w="1118" w:type="dxa"/>
                  <w:noWrap w:val="0"/>
                  <w:vAlign w:val="top"/>
                </w:tcPr>
                <w:p w14:paraId="39F2CC74">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150元/天</w:t>
                  </w:r>
                </w:p>
              </w:tc>
              <w:tc>
                <w:tcPr>
                  <w:tcW w:w="2912" w:type="dxa"/>
                  <w:noWrap w:val="0"/>
                  <w:vAlign w:val="top"/>
                </w:tcPr>
                <w:p w14:paraId="1F984DC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150+X元/份;</w:t>
                  </w:r>
                  <w:r>
                    <w:rPr>
                      <w:rFonts w:hint="eastAsia" w:ascii="仿宋" w:hAnsi="仿宋" w:eastAsia="仿宋" w:cs="仿宋"/>
                      <w:strike w:val="0"/>
                      <w:dstrike w:val="0"/>
                      <w:color w:val="auto"/>
                      <w:kern w:val="0"/>
                      <w:sz w:val="24"/>
                      <w:szCs w:val="24"/>
                      <w:highlight w:val="none"/>
                      <w:lang w:val="en-US" w:eastAsia="zh-CN" w:bidi="ar"/>
                    </w:rPr>
                    <w:t>0≤X≤30</w:t>
                  </w:r>
                  <w:r>
                    <w:rPr>
                      <w:rFonts w:hint="eastAsia" w:ascii="仿宋" w:hAnsi="仿宋" w:eastAsia="仿宋" w:cs="仿宋"/>
                      <w:color w:val="auto"/>
                      <w:kern w:val="0"/>
                      <w:sz w:val="24"/>
                      <w:szCs w:val="24"/>
                      <w:highlight w:val="none"/>
                      <w:lang w:val="en-US" w:eastAsia="zh-CN" w:bidi="ar"/>
                    </w:rPr>
                    <w:t>，报价按5的倍数递增，高于30按30计，得分为(X</w:t>
                  </w:r>
                  <w:r>
                    <w:rPr>
                      <w:rFonts w:hint="default" w:ascii="仿宋" w:hAnsi="仿宋" w:eastAsia="仿宋" w:cs="仿宋"/>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30)</w:t>
                  </w:r>
                  <w:r>
                    <w:rPr>
                      <w:rFonts w:hint="default" w:ascii="仿宋" w:hAnsi="仿宋" w:eastAsia="仿宋" w:cs="仿宋"/>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4=C</w:t>
                  </w:r>
                </w:p>
              </w:tc>
              <w:tc>
                <w:tcPr>
                  <w:tcW w:w="894" w:type="dxa"/>
                  <w:noWrap w:val="0"/>
                  <w:vAlign w:val="top"/>
                </w:tcPr>
                <w:p w14:paraId="40B46C6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C分（满分4分</w:t>
                  </w:r>
                  <w:r>
                    <w:rPr>
                      <w:rFonts w:hint="eastAsia" w:ascii="宋体" w:hAnsi="宋体" w:eastAsia="宋体" w:cs="宋体"/>
                      <w:color w:val="auto"/>
                      <w:kern w:val="0"/>
                      <w:sz w:val="21"/>
                      <w:szCs w:val="21"/>
                      <w:highlight w:val="none"/>
                      <w:lang w:val="en-US" w:eastAsia="zh-CN" w:bidi="ar"/>
                    </w:rPr>
                    <w:t>）</w:t>
                  </w:r>
                </w:p>
              </w:tc>
            </w:tr>
            <w:tr w14:paraId="05D4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3" w:hRule="atLeast"/>
              </w:trPr>
              <w:tc>
                <w:tcPr>
                  <w:tcW w:w="0" w:type="auto"/>
                  <w:noWrap w:val="0"/>
                  <w:vAlign w:val="top"/>
                </w:tcPr>
                <w:p w14:paraId="7FD66FF7">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5</w:t>
                  </w:r>
                </w:p>
              </w:tc>
              <w:tc>
                <w:tcPr>
                  <w:tcW w:w="0" w:type="auto"/>
                  <w:noWrap w:val="0"/>
                  <w:vAlign w:val="top"/>
                </w:tcPr>
                <w:p w14:paraId="0E0FC2E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北上广深就医的特级、一级、二级护理住院津贴</w:t>
                  </w:r>
                </w:p>
              </w:tc>
              <w:tc>
                <w:tcPr>
                  <w:tcW w:w="1118" w:type="dxa"/>
                  <w:noWrap w:val="0"/>
                  <w:vAlign w:val="top"/>
                </w:tcPr>
                <w:p w14:paraId="4407924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300元/天</w:t>
                  </w:r>
                </w:p>
              </w:tc>
              <w:tc>
                <w:tcPr>
                  <w:tcW w:w="2912" w:type="dxa"/>
                  <w:noWrap w:val="0"/>
                  <w:vAlign w:val="top"/>
                </w:tcPr>
                <w:p w14:paraId="1BD59F79">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仿宋" w:hAnsi="仿宋" w:eastAsia="仿宋" w:cs="仿宋"/>
                      <w:strike w:val="0"/>
                      <w:dstrike w:val="0"/>
                      <w:color w:val="auto"/>
                      <w:kern w:val="0"/>
                      <w:sz w:val="24"/>
                      <w:szCs w:val="24"/>
                      <w:highlight w:val="none"/>
                      <w:lang w:val="en-US" w:eastAsia="zh-CN" w:bidi="ar"/>
                    </w:rPr>
                    <w:t>300+X元/份;X</w:t>
                  </w:r>
                  <w:r>
                    <w:rPr>
                      <w:rFonts w:hint="eastAsia" w:ascii="东文宋体" w:hAnsi="东文宋体" w:eastAsia="东文宋体" w:cs="东文宋体"/>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0得1分，X&lt;0该项不得分,该项可以缺项不响应</w:t>
                  </w:r>
                  <w:r>
                    <w:rPr>
                      <w:rFonts w:hint="eastAsia" w:ascii="宋体" w:hAnsi="宋体" w:eastAsia="宋体" w:cs="宋体"/>
                      <w:color w:val="auto"/>
                      <w:kern w:val="0"/>
                      <w:sz w:val="21"/>
                      <w:szCs w:val="21"/>
                      <w:highlight w:val="none"/>
                      <w:lang w:val="en-US" w:eastAsia="zh-CN" w:bidi="ar"/>
                    </w:rPr>
                    <w:t>。</w:t>
                  </w:r>
                </w:p>
              </w:tc>
              <w:tc>
                <w:tcPr>
                  <w:tcW w:w="894" w:type="dxa"/>
                  <w:noWrap w:val="0"/>
                  <w:vAlign w:val="top"/>
                </w:tcPr>
                <w:p w14:paraId="0DD0FF7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D1分（满分1分）</w:t>
                  </w:r>
                </w:p>
              </w:tc>
            </w:tr>
            <w:tr w14:paraId="4F5A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trPr>
              <w:tc>
                <w:tcPr>
                  <w:tcW w:w="0" w:type="auto"/>
                  <w:noWrap w:val="0"/>
                  <w:vAlign w:val="top"/>
                </w:tcPr>
                <w:p w14:paraId="715AC3B4">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6</w:t>
                  </w:r>
                </w:p>
              </w:tc>
              <w:tc>
                <w:tcPr>
                  <w:tcW w:w="0" w:type="auto"/>
                  <w:noWrap w:val="0"/>
                  <w:vAlign w:val="top"/>
                </w:tcPr>
                <w:p w14:paraId="1FD280E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北上广深就医的三级护理住院津贴</w:t>
                  </w:r>
                </w:p>
              </w:tc>
              <w:tc>
                <w:tcPr>
                  <w:tcW w:w="1118" w:type="dxa"/>
                  <w:noWrap w:val="0"/>
                  <w:vAlign w:val="top"/>
                </w:tcPr>
                <w:p w14:paraId="41A94FD8">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100元/天</w:t>
                  </w:r>
                </w:p>
              </w:tc>
              <w:tc>
                <w:tcPr>
                  <w:tcW w:w="2912" w:type="dxa"/>
                  <w:noWrap w:val="0"/>
                  <w:vAlign w:val="top"/>
                </w:tcPr>
                <w:p w14:paraId="009245AE">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仿宋" w:hAnsi="仿宋" w:eastAsia="仿宋" w:cs="仿宋"/>
                      <w:strike w:val="0"/>
                      <w:dstrike w:val="0"/>
                      <w:color w:val="auto"/>
                      <w:kern w:val="0"/>
                      <w:sz w:val="24"/>
                      <w:szCs w:val="24"/>
                      <w:highlight w:val="none"/>
                      <w:lang w:val="en-US" w:eastAsia="zh-CN" w:bidi="ar"/>
                    </w:rPr>
                    <w:t>100+X元/份;X</w:t>
                  </w:r>
                  <w:r>
                    <w:rPr>
                      <w:rFonts w:hint="eastAsia" w:ascii="东文宋体" w:hAnsi="东文宋体" w:eastAsia="东文宋体" w:cs="东文宋体"/>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0得1分，X&lt;0该项不得分,该项可以缺项不响应</w:t>
                  </w:r>
                  <w:r>
                    <w:rPr>
                      <w:rFonts w:hint="eastAsia" w:ascii="宋体" w:hAnsi="宋体" w:eastAsia="宋体" w:cs="宋体"/>
                      <w:color w:val="auto"/>
                      <w:kern w:val="0"/>
                      <w:sz w:val="21"/>
                      <w:szCs w:val="21"/>
                      <w:highlight w:val="none"/>
                      <w:lang w:val="en-US" w:eastAsia="zh-CN" w:bidi="ar"/>
                    </w:rPr>
                    <w:t>。</w:t>
                  </w:r>
                </w:p>
              </w:tc>
              <w:tc>
                <w:tcPr>
                  <w:tcW w:w="894" w:type="dxa"/>
                  <w:noWrap w:val="0"/>
                  <w:vAlign w:val="top"/>
                </w:tcPr>
                <w:p w14:paraId="5255115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D2分（满分1分）</w:t>
                  </w:r>
                </w:p>
              </w:tc>
            </w:tr>
          </w:tbl>
          <w:p w14:paraId="75CE894E">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6BD3C6BF">
            <w:pPr>
              <w:keepNext w:val="0"/>
              <w:keepLines w:val="0"/>
              <w:widowControl/>
              <w:suppressLineNumbers w:val="0"/>
              <w:spacing w:before="0" w:beforeAutospacing="0" w:after="0" w:afterAutospacing="0"/>
              <w:ind w:left="0" w:right="0"/>
              <w:jc w:val="both"/>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（3）理赔服务方案分（满分 12 分）</w:t>
            </w:r>
          </w:p>
          <w:p w14:paraId="232E60E9">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一档（4 分）：理赔服务措施在满足采购</w:t>
            </w:r>
            <w:r>
              <w:rPr>
                <w:rFonts w:hint="eastAsia" w:ascii="宋体" w:hAnsi="宋体" w:cs="宋体"/>
                <w:color w:val="auto"/>
                <w:kern w:val="0"/>
                <w:sz w:val="21"/>
                <w:szCs w:val="21"/>
                <w:highlight w:val="none"/>
                <w:lang w:val="en-US" w:eastAsia="zh-CN" w:bidi="ar"/>
              </w:rPr>
              <w:t>需求</w:t>
            </w:r>
            <w:r>
              <w:rPr>
                <w:rFonts w:hint="eastAsia" w:ascii="宋体" w:hAnsi="宋体" w:eastAsia="宋体" w:cs="宋体"/>
                <w:color w:val="auto"/>
                <w:kern w:val="0"/>
                <w:sz w:val="21"/>
                <w:szCs w:val="21"/>
                <w:highlight w:val="none"/>
                <w:lang w:val="en-US" w:eastAsia="zh-CN" w:bidi="ar"/>
              </w:rPr>
              <w:t>的前提下，对于收到采购人提交的有效齐全的理赔资料后，投标人承诺按：赔付金额在 1 万元以下案件，3 个工作日内支付赔款；赔付金额在 1 万（含）至 5 万元（含）的案件，5 个工作日内支付赔款；</w:t>
            </w:r>
          </w:p>
          <w:p w14:paraId="4153BE3E">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二档（8 分）：理赔服务措施在满足采购</w:t>
            </w:r>
            <w:r>
              <w:rPr>
                <w:rFonts w:hint="eastAsia" w:ascii="宋体" w:hAnsi="宋体" w:cs="宋体"/>
                <w:color w:val="auto"/>
                <w:kern w:val="0"/>
                <w:sz w:val="21"/>
                <w:szCs w:val="21"/>
                <w:highlight w:val="none"/>
                <w:lang w:val="en-US" w:eastAsia="zh-CN" w:bidi="ar"/>
              </w:rPr>
              <w:t>需求</w:t>
            </w:r>
            <w:r>
              <w:rPr>
                <w:rFonts w:hint="eastAsia" w:ascii="宋体" w:hAnsi="宋体" w:eastAsia="宋体" w:cs="宋体"/>
                <w:color w:val="auto"/>
                <w:kern w:val="0"/>
                <w:sz w:val="21"/>
                <w:szCs w:val="21"/>
                <w:highlight w:val="none"/>
                <w:lang w:val="en-US" w:eastAsia="zh-CN" w:bidi="ar"/>
              </w:rPr>
              <w:t>的前提下，对于收到采购人提交的有效齐全的理赔资料后，投标人承诺按：赔付金额在 1 万元以下案件，2 个工作日内支付赔款；赔付金额在 1 万（含）至 5 万元（含）的案件，4 个工作日内支付赔款。且优化服务措施</w:t>
            </w:r>
            <w:r>
              <w:rPr>
                <w:rFonts w:hint="eastAsia" w:ascii="宋体" w:hAnsi="宋体" w:cs="宋体"/>
                <w:color w:val="auto"/>
                <w:kern w:val="0"/>
                <w:sz w:val="21"/>
                <w:szCs w:val="21"/>
                <w:highlight w:val="none"/>
                <w:lang w:val="en-US" w:eastAsia="zh-CN" w:bidi="ar"/>
              </w:rPr>
              <w:t>满足采购人需求</w:t>
            </w:r>
            <w:r>
              <w:rPr>
                <w:rFonts w:hint="eastAsia" w:ascii="宋体" w:hAnsi="宋体" w:eastAsia="宋体" w:cs="宋体"/>
                <w:color w:val="auto"/>
                <w:kern w:val="0"/>
                <w:sz w:val="21"/>
                <w:szCs w:val="21"/>
                <w:highlight w:val="none"/>
                <w:lang w:val="en-US" w:eastAsia="zh-CN" w:bidi="ar"/>
              </w:rPr>
              <w:t>的；</w:t>
            </w:r>
          </w:p>
          <w:p w14:paraId="2D5C7C08">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三档（12 分）：在满足二档的基础上，理赔服务措施内容丰富、可行性强，针对性强，理赔权限大，决策链条短，比二档更具有优势的。</w:t>
            </w:r>
          </w:p>
          <w:p w14:paraId="4B0D349F">
            <w:pPr>
              <w:keepNext w:val="0"/>
              <w:keepLines w:val="0"/>
              <w:widowControl/>
              <w:numPr>
                <w:ilvl w:val="0"/>
                <w:numId w:val="0"/>
              </w:numPr>
              <w:suppressLineNumbers w:val="0"/>
              <w:spacing w:before="0" w:beforeAutospacing="0" w:after="0" w:afterAutospacing="0"/>
              <w:ind w:left="0" w:leftChars="0" w:right="0" w:rightChars="0"/>
              <w:jc w:val="both"/>
              <w:rPr>
                <w:rFonts w:hint="eastAsia" w:ascii="宋体" w:hAnsi="宋体" w:cs="宋体"/>
                <w:b/>
                <w:bCs/>
                <w:color w:val="auto"/>
                <w:kern w:val="0"/>
                <w:sz w:val="21"/>
                <w:szCs w:val="21"/>
                <w:highlight w:val="none"/>
                <w:lang w:val="en-US" w:eastAsia="zh-CN" w:bidi="ar"/>
              </w:rPr>
            </w:pPr>
          </w:p>
          <w:p w14:paraId="620F771A">
            <w:pPr>
              <w:keepNext w:val="0"/>
              <w:keepLines w:val="0"/>
              <w:widowControl/>
              <w:numPr>
                <w:ilvl w:val="0"/>
                <w:numId w:val="0"/>
              </w:numPr>
              <w:suppressLineNumbers w:val="0"/>
              <w:spacing w:before="0" w:beforeAutospacing="0" w:after="0" w:afterAutospacing="0"/>
              <w:ind w:left="0" w:leftChars="0" w:right="0" w:rightChars="0"/>
              <w:jc w:val="both"/>
              <w:rPr>
                <w:rFonts w:hint="eastAsia" w:ascii="宋体" w:hAnsi="宋体" w:eastAsia="宋体" w:cs="宋体"/>
                <w:b/>
                <w:bCs/>
                <w:color w:val="auto"/>
                <w:kern w:val="0"/>
                <w:sz w:val="21"/>
                <w:szCs w:val="21"/>
                <w:highlight w:val="none"/>
                <w:lang w:val="en-US" w:eastAsia="zh-CN" w:bidi="ar"/>
              </w:rPr>
            </w:pPr>
            <w:r>
              <w:rPr>
                <w:rFonts w:hint="eastAsia" w:ascii="宋体" w:hAnsi="宋体" w:cs="宋体"/>
                <w:b/>
                <w:bCs/>
                <w:color w:val="auto"/>
                <w:kern w:val="0"/>
                <w:sz w:val="21"/>
                <w:szCs w:val="21"/>
                <w:highlight w:val="none"/>
                <w:lang w:val="en-US" w:eastAsia="zh-CN" w:bidi="ar"/>
              </w:rPr>
              <w:t>（4）</w:t>
            </w:r>
            <w:r>
              <w:rPr>
                <w:rFonts w:hint="eastAsia" w:ascii="宋体" w:hAnsi="宋体" w:eastAsia="宋体" w:cs="宋体"/>
                <w:b/>
                <w:bCs/>
                <w:color w:val="auto"/>
                <w:kern w:val="0"/>
                <w:sz w:val="21"/>
                <w:szCs w:val="21"/>
                <w:highlight w:val="none"/>
                <w:lang w:val="en-US" w:eastAsia="zh-CN" w:bidi="ar"/>
              </w:rPr>
              <w:t>增值服务分（满分 6 分）</w:t>
            </w:r>
          </w:p>
          <w:p w14:paraId="774C1FB9">
            <w:pPr>
              <w:keepNext w:val="0"/>
              <w:keepLines w:val="0"/>
              <w:widowControl/>
              <w:suppressLineNumbers w:val="0"/>
              <w:spacing w:before="0" w:beforeAutospacing="0" w:after="0" w:afterAutospacing="0"/>
              <w:ind w:left="0" w:right="0"/>
              <w:jc w:val="both"/>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增值服务</w:t>
            </w:r>
            <w:r>
              <w:rPr>
                <w:rFonts w:hint="eastAsia" w:ascii="宋体" w:hAnsi="宋体" w:cs="宋体"/>
                <w:color w:val="auto"/>
                <w:kern w:val="0"/>
                <w:sz w:val="21"/>
                <w:szCs w:val="21"/>
                <w:highlight w:val="none"/>
                <w:lang w:val="en-US" w:eastAsia="zh-CN" w:bidi="ar"/>
              </w:rPr>
              <w:t>包括但不限于意外身故、疾病身故、赔付额度的提高，补充完善二级以下医院的护理住院津贴，重点赔付上门慰问、便利化的理赔服务等直接与保险对象获益密切相关的服务。</w:t>
            </w:r>
          </w:p>
          <w:p w14:paraId="38EB2D68">
            <w:pPr>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一档（2分）：</w:t>
            </w:r>
            <w:r>
              <w:rPr>
                <w:rFonts w:hint="eastAsia" w:ascii="宋体" w:hAnsi="宋体" w:cs="Arial"/>
                <w:bCs/>
                <w:color w:val="auto"/>
                <w:kern w:val="0"/>
                <w:szCs w:val="21"/>
                <w:highlight w:val="none"/>
              </w:rPr>
              <w:t>投标人提供项目增值服务内容</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附加增值服务方案小于 5项的；</w:t>
            </w:r>
          </w:p>
          <w:p w14:paraId="76F1CC37">
            <w:pPr>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二档（4分）：增值服务方案合理，可行性、针对性一般即附加增值服务方案达到 5 项的；</w:t>
            </w:r>
          </w:p>
          <w:p w14:paraId="4C5C620A">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三档（6 分）：增值服务方案内容丰富、可行性强，针对性强，内容丰富，比二档更具有优势的，附加增值服务方案达到 6 项或以上的。</w:t>
            </w:r>
          </w:p>
          <w:p w14:paraId="35F7DDD4">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注：未提供增值服务不得分。</w:t>
            </w:r>
          </w:p>
          <w:p w14:paraId="19D5C669">
            <w:pPr>
              <w:keepNext w:val="0"/>
              <w:keepLines w:val="0"/>
              <w:widowControl/>
              <w:suppressLineNumbers w:val="0"/>
              <w:spacing w:before="0" w:beforeAutospacing="0" w:after="0" w:afterAutospacing="0"/>
              <w:ind w:left="0" w:right="0"/>
              <w:jc w:val="both"/>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（5）保险培训服务分（满分 4分）</w:t>
            </w:r>
          </w:p>
          <w:p w14:paraId="5E7A43F1">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一档（2 分）：有保险培训服务方案；</w:t>
            </w:r>
          </w:p>
          <w:p w14:paraId="131DD952">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二档（4 分）：有保险培训服务方案，方案包括有课程安排计划，课程有针对性，有</w:t>
            </w:r>
            <w:r>
              <w:rPr>
                <w:rFonts w:hint="eastAsia" w:ascii="宋体" w:hAnsi="宋体" w:cs="宋体"/>
                <w:color w:val="auto"/>
                <w:kern w:val="0"/>
                <w:sz w:val="21"/>
                <w:szCs w:val="21"/>
                <w:highlight w:val="none"/>
                <w:lang w:val="en-US" w:eastAsia="zh-CN" w:bidi="ar"/>
              </w:rPr>
              <w:t>培训经验</w:t>
            </w:r>
            <w:r>
              <w:rPr>
                <w:rFonts w:hint="eastAsia" w:ascii="宋体" w:hAnsi="宋体" w:eastAsia="宋体" w:cs="宋体"/>
                <w:color w:val="auto"/>
                <w:kern w:val="0"/>
                <w:sz w:val="21"/>
                <w:szCs w:val="21"/>
                <w:highlight w:val="none"/>
                <w:lang w:val="en-US" w:eastAsia="zh-CN" w:bidi="ar"/>
              </w:rPr>
              <w:t>，在</w:t>
            </w:r>
            <w:r>
              <w:rPr>
                <w:rFonts w:hint="eastAsia" w:ascii="宋体" w:hAnsi="宋体" w:cs="宋体"/>
                <w:color w:val="auto"/>
                <w:kern w:val="0"/>
                <w:sz w:val="21"/>
                <w:szCs w:val="21"/>
                <w:highlight w:val="none"/>
                <w:lang w:val="en-US" w:eastAsia="zh-CN" w:bidi="ar"/>
              </w:rPr>
              <w:t>当地</w:t>
            </w:r>
            <w:r>
              <w:rPr>
                <w:rFonts w:hint="eastAsia" w:ascii="宋体" w:hAnsi="宋体" w:eastAsia="宋体" w:cs="宋体"/>
                <w:color w:val="auto"/>
                <w:kern w:val="0"/>
                <w:sz w:val="21"/>
                <w:szCs w:val="21"/>
                <w:highlight w:val="none"/>
                <w:lang w:val="en-US" w:eastAsia="zh-CN" w:bidi="ar"/>
              </w:rPr>
              <w:t>拥有培训基地（教室场地）（</w:t>
            </w:r>
            <w:r>
              <w:rPr>
                <w:rFonts w:hint="eastAsia" w:ascii="宋体" w:hAnsi="宋体" w:cs="宋体"/>
                <w:color w:val="auto"/>
                <w:kern w:val="0"/>
                <w:sz w:val="21"/>
                <w:szCs w:val="21"/>
                <w:highlight w:val="none"/>
                <w:lang w:val="en-US" w:eastAsia="zh-CN" w:bidi="ar"/>
              </w:rPr>
              <w:t>提供培训案例</w:t>
            </w:r>
            <w:r>
              <w:rPr>
                <w:rFonts w:hint="eastAsia" w:ascii="宋体" w:hAnsi="宋体" w:eastAsia="宋体" w:cs="宋体"/>
                <w:color w:val="auto"/>
                <w:kern w:val="0"/>
                <w:sz w:val="21"/>
                <w:szCs w:val="21"/>
                <w:highlight w:val="none"/>
                <w:lang w:val="en-US" w:eastAsia="zh-CN" w:bidi="ar"/>
              </w:rPr>
              <w:t>和培训基地</w:t>
            </w:r>
            <w:r>
              <w:rPr>
                <w:rFonts w:hint="eastAsia" w:ascii="宋体" w:hAnsi="宋体" w:cs="宋体"/>
                <w:color w:val="auto"/>
                <w:kern w:val="0"/>
                <w:sz w:val="21"/>
                <w:szCs w:val="21"/>
                <w:highlight w:val="none"/>
                <w:lang w:val="en-US" w:eastAsia="zh-CN" w:bidi="ar"/>
              </w:rPr>
              <w:t>的相关</w:t>
            </w:r>
            <w:r>
              <w:rPr>
                <w:rFonts w:hint="eastAsia" w:ascii="宋体" w:hAnsi="宋体" w:eastAsia="宋体" w:cs="宋体"/>
                <w:color w:val="auto"/>
                <w:kern w:val="0"/>
                <w:sz w:val="21"/>
                <w:szCs w:val="21"/>
                <w:highlight w:val="none"/>
                <w:lang w:val="en-US" w:eastAsia="zh-CN" w:bidi="ar"/>
              </w:rPr>
              <w:t>证明材料）。</w:t>
            </w:r>
          </w:p>
          <w:p w14:paraId="0FF94826">
            <w:pPr>
              <w:keepNext w:val="0"/>
              <w:keepLines w:val="0"/>
              <w:widowControl/>
              <w:suppressLineNumbers w:val="0"/>
              <w:spacing w:before="0" w:beforeAutospacing="0" w:after="0" w:afterAutospacing="0"/>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注：未提供保险培训服务</w:t>
            </w:r>
            <w:r>
              <w:rPr>
                <w:rFonts w:hint="eastAsia" w:ascii="宋体" w:hAnsi="宋体" w:cs="宋体"/>
                <w:color w:val="auto"/>
                <w:kern w:val="0"/>
                <w:sz w:val="21"/>
                <w:szCs w:val="21"/>
                <w:highlight w:val="none"/>
                <w:lang w:val="en-US" w:eastAsia="zh-CN" w:bidi="ar"/>
              </w:rPr>
              <w:t>方案的</w:t>
            </w:r>
            <w:r>
              <w:rPr>
                <w:rFonts w:hint="eastAsia" w:ascii="宋体" w:hAnsi="宋体" w:eastAsia="宋体" w:cs="宋体"/>
                <w:color w:val="auto"/>
                <w:kern w:val="0"/>
                <w:sz w:val="21"/>
                <w:szCs w:val="21"/>
                <w:highlight w:val="none"/>
                <w:lang w:val="en-US" w:eastAsia="zh-CN" w:bidi="ar"/>
              </w:rPr>
              <w:t>不得分。</w:t>
            </w:r>
          </w:p>
        </w:tc>
      </w:tr>
      <w:tr w14:paraId="3894F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noWrap w:val="0"/>
            <w:vAlign w:val="center"/>
          </w:tcPr>
          <w:p w14:paraId="254CC3F4">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p>
        </w:tc>
        <w:tc>
          <w:tcPr>
            <w:tcW w:w="0" w:type="auto"/>
            <w:noWrap w:val="0"/>
            <w:vAlign w:val="center"/>
          </w:tcPr>
          <w:p w14:paraId="2477A0E3">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保险业务管</w:t>
            </w:r>
          </w:p>
          <w:p w14:paraId="4914D0C3">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理规章制度</w:t>
            </w:r>
          </w:p>
          <w:p w14:paraId="1445D63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分</w:t>
            </w:r>
          </w:p>
        </w:tc>
        <w:tc>
          <w:tcPr>
            <w:tcW w:w="661" w:type="dxa"/>
            <w:noWrap w:val="0"/>
            <w:vAlign w:val="center"/>
          </w:tcPr>
          <w:p w14:paraId="2C35457B">
            <w:pPr>
              <w:keepNext w:val="0"/>
              <w:keepLines w:val="0"/>
              <w:suppressLineNumbers w:val="0"/>
              <w:spacing w:before="0" w:beforeAutospacing="0" w:after="0" w:afterAutospacing="0" w:line="560" w:lineRule="exact"/>
              <w:ind w:left="0" w:right="0"/>
              <w:jc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8</w:t>
            </w:r>
            <w:r>
              <w:rPr>
                <w:rFonts w:hint="eastAsia" w:ascii="宋体" w:hAnsi="宋体" w:cs="宋体"/>
                <w:color w:val="auto"/>
                <w:kern w:val="0"/>
                <w:sz w:val="21"/>
                <w:szCs w:val="21"/>
                <w:highlight w:val="none"/>
                <w:lang w:val="en-US" w:eastAsia="zh-CN" w:bidi="ar"/>
              </w:rPr>
              <w:t>分</w:t>
            </w:r>
          </w:p>
        </w:tc>
        <w:tc>
          <w:tcPr>
            <w:tcW w:w="6888" w:type="dxa"/>
            <w:noWrap w:val="0"/>
            <w:vAlign w:val="center"/>
          </w:tcPr>
          <w:p w14:paraId="4A2A001A">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根据投标文件中提供的计划生育特殊家庭综合保险业务管理规章制度的完备性与可行性等内容分为三档（以投标文件提供的相关业务管理规章制度为准）： </w:t>
            </w:r>
          </w:p>
          <w:p w14:paraId="25348945">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一档（2 分）：投标人</w:t>
            </w:r>
            <w:r>
              <w:rPr>
                <w:rFonts w:hint="eastAsia" w:ascii="宋体" w:hAnsi="宋体" w:cs="宋体"/>
                <w:color w:val="auto"/>
                <w:kern w:val="0"/>
                <w:sz w:val="21"/>
                <w:szCs w:val="21"/>
                <w:highlight w:val="none"/>
                <w:lang w:val="en-US" w:eastAsia="zh-CN" w:bidi="ar"/>
              </w:rPr>
              <w:t>提供的</w:t>
            </w:r>
            <w:r>
              <w:rPr>
                <w:rFonts w:hint="eastAsia" w:ascii="宋体" w:hAnsi="宋体" w:eastAsia="宋体" w:cs="宋体"/>
                <w:color w:val="auto"/>
                <w:kern w:val="0"/>
                <w:sz w:val="21"/>
                <w:szCs w:val="21"/>
                <w:highlight w:val="none"/>
                <w:lang w:val="en-US" w:eastAsia="zh-CN" w:bidi="ar"/>
              </w:rPr>
              <w:t>计划生育特殊家庭综合保险业务管理规章制度中有承保管理、理赔管理办法的；</w:t>
            </w:r>
          </w:p>
          <w:p w14:paraId="029678BE">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二档（5分）：投标人提供的计划生育特殊家庭综合保险业务管理规章制度完备，涵盖业务管理、信息管理、单证管理、风险管理、客户服务的。 </w:t>
            </w:r>
          </w:p>
          <w:p w14:paraId="006CADF6">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三档（8 分）：投标人提供的计划生育特殊家庭综合保险业务管理规章制度完备，涵盖业务管理、信息管理、单证管理、风险管理、客户服务的，且有计划生育特殊家庭综合保险业务专项管理办法的。</w:t>
            </w:r>
          </w:p>
        </w:tc>
      </w:tr>
      <w:tr w14:paraId="31C40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69" w:hRule="atLeast"/>
          <w:jc w:val="center"/>
        </w:trPr>
        <w:tc>
          <w:tcPr>
            <w:tcW w:w="0" w:type="auto"/>
            <w:noWrap w:val="0"/>
            <w:vAlign w:val="center"/>
          </w:tcPr>
          <w:p w14:paraId="09B4D340">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p>
        </w:tc>
        <w:tc>
          <w:tcPr>
            <w:tcW w:w="0" w:type="auto"/>
            <w:noWrap w:val="0"/>
            <w:vAlign w:val="center"/>
          </w:tcPr>
          <w:p w14:paraId="518612A3">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分</w:t>
            </w:r>
          </w:p>
          <w:p w14:paraId="4177C5D2">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p>
        </w:tc>
        <w:tc>
          <w:tcPr>
            <w:tcW w:w="661" w:type="dxa"/>
            <w:noWrap w:val="0"/>
            <w:vAlign w:val="center"/>
          </w:tcPr>
          <w:p w14:paraId="6A792715">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16</w:t>
            </w:r>
            <w:r>
              <w:rPr>
                <w:rFonts w:hint="eastAsia" w:ascii="宋体" w:hAnsi="宋体" w:cs="宋体"/>
                <w:color w:val="auto"/>
                <w:kern w:val="0"/>
                <w:sz w:val="21"/>
                <w:szCs w:val="21"/>
                <w:highlight w:val="none"/>
                <w:lang w:val="en-US" w:eastAsia="zh-CN" w:bidi="ar"/>
              </w:rPr>
              <w:t>分</w:t>
            </w:r>
          </w:p>
          <w:p w14:paraId="5B7CF115">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
              </w:rPr>
            </w:pPr>
          </w:p>
        </w:tc>
        <w:tc>
          <w:tcPr>
            <w:tcW w:w="6888" w:type="dxa"/>
            <w:noWrap w:val="0"/>
            <w:vAlign w:val="center"/>
          </w:tcPr>
          <w:p w14:paraId="7597DFB7">
            <w:pPr>
              <w:keepNext w:val="0"/>
              <w:keepLines w:val="0"/>
              <w:widowControl/>
              <w:suppressLineNumbers w:val="0"/>
              <w:tabs>
                <w:tab w:val="left" w:pos="1440"/>
              </w:tabs>
              <w:spacing w:before="0" w:beforeAutospacing="0" w:after="0" w:afterAutospacing="0" w:line="360" w:lineRule="exact"/>
              <w:ind w:left="0" w:right="0" w:firstLine="420" w:firstLineChars="200"/>
              <w:jc w:val="left"/>
              <w:rPr>
                <w:rFonts w:hint="eastAsia" w:ascii="宋体" w:hAnsi="宋体" w:cs="Arial"/>
                <w:bCs/>
                <w:color w:val="auto"/>
                <w:kern w:val="0"/>
                <w:szCs w:val="21"/>
                <w:highlight w:val="none"/>
                <w:lang w:val="en-US" w:eastAsia="zh-CN"/>
              </w:rPr>
            </w:pPr>
            <w:r>
              <w:rPr>
                <w:rFonts w:hint="eastAsia" w:ascii="宋体" w:hAnsi="宋体" w:cs="Arial"/>
                <w:bCs/>
                <w:color w:val="auto"/>
                <w:kern w:val="0"/>
                <w:szCs w:val="21"/>
                <w:highlight w:val="none"/>
                <w:lang w:val="en-US" w:eastAsia="zh-CN"/>
              </w:rPr>
              <w:t>在满足采购需求的前提下，评标委员会根据投标人全区经营网点布局完整性、网点持证合规情况综合评审。</w:t>
            </w:r>
          </w:p>
          <w:p w14:paraId="2B2E4A7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 xml:space="preserve">  经营网点</w:t>
            </w:r>
            <w:r>
              <w:rPr>
                <w:rFonts w:hint="eastAsia" w:ascii="宋体" w:hAnsi="宋体" w:eastAsia="宋体" w:cs="宋体"/>
                <w:color w:val="auto"/>
                <w:kern w:val="0"/>
                <w:sz w:val="21"/>
                <w:szCs w:val="21"/>
                <w:highlight w:val="none"/>
                <w:lang w:val="en-US" w:eastAsia="zh-CN" w:bidi="ar"/>
              </w:rPr>
              <w:t xml:space="preserve">是指投标人所辖的分公司、中心支公司、支公司、营业部、营销服务部，投标人需提供监管下发的经营保险业务许可证复印件(不包括中介代理机构、远程出单点或服务点)。 </w:t>
            </w:r>
          </w:p>
          <w:p w14:paraId="76584EE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一档（7 分）：投标人设区市设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数量达到 14 个，县（市、区）设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（含营销部）数量在 1-70 个之间【其中县（市、区）（不含市辖区和开发区）设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 xml:space="preserve">1-50个之间】）的。 </w:t>
            </w:r>
          </w:p>
          <w:p w14:paraId="4C37AB3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二档（10 分）：投标人设区市设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数量达到 14 个，县（市、区）设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（含营销部）数量在 71-80 个之间【其中县（市、区）（不含市辖区和开发区）设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 xml:space="preserve">51-60个之间】的。 </w:t>
            </w:r>
          </w:p>
          <w:p w14:paraId="204CE0FA">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三档（14 分）：投标人设区市设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数量达到 14 个，县（市、区）设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（含营销部）数量在 81-90 个之间【其中县（市、区）（不含市辖区和开发区）设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 xml:space="preserve">61-65个之间】的。 </w:t>
            </w:r>
          </w:p>
          <w:p w14:paraId="01045E98">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四档（16 分）：投标人设区市设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数量达到 14 个，县（市、区）设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（含营销部）数量在 91 个及以上【其中县（市、区）（不含市辖区和开发区）设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66-70个之间】的。</w:t>
            </w:r>
          </w:p>
          <w:p w14:paraId="0ABDAA6A">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 xml:space="preserve">  备注：同一</w:t>
            </w:r>
            <w:r>
              <w:rPr>
                <w:rFonts w:hint="eastAsia" w:ascii="宋体" w:hAnsi="宋体" w:eastAsia="宋体" w:cs="宋体"/>
                <w:color w:val="auto"/>
                <w:kern w:val="0"/>
                <w:sz w:val="21"/>
                <w:szCs w:val="21"/>
                <w:highlight w:val="none"/>
                <w:lang w:val="en-US" w:eastAsia="zh-CN" w:bidi="ar"/>
              </w:rPr>
              <w:t>县（市、区）（不含市辖区和开发区）</w:t>
            </w:r>
            <w:r>
              <w:rPr>
                <w:rFonts w:hint="eastAsia" w:ascii="宋体" w:hAnsi="宋体" w:cs="宋体"/>
                <w:color w:val="auto"/>
                <w:kern w:val="0"/>
                <w:sz w:val="21"/>
                <w:szCs w:val="21"/>
                <w:highlight w:val="none"/>
                <w:lang w:val="en-US" w:eastAsia="zh-CN" w:bidi="ar"/>
              </w:rPr>
              <w:t>范围内设有多处经营网点的，仅按 1 个网点计分，不重复累加。</w:t>
            </w:r>
          </w:p>
        </w:tc>
      </w:tr>
      <w:tr w14:paraId="6BD61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39" w:hRule="atLeast"/>
          <w:jc w:val="center"/>
        </w:trPr>
        <w:tc>
          <w:tcPr>
            <w:tcW w:w="0" w:type="auto"/>
            <w:noWrap w:val="0"/>
            <w:vAlign w:val="center"/>
          </w:tcPr>
          <w:p w14:paraId="69644024">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p>
        </w:tc>
        <w:tc>
          <w:tcPr>
            <w:tcW w:w="0" w:type="auto"/>
            <w:noWrap w:val="0"/>
            <w:vAlign w:val="center"/>
          </w:tcPr>
          <w:p w14:paraId="1FA6721F">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综合能力分</w:t>
            </w:r>
          </w:p>
          <w:p w14:paraId="310EF41A">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p>
        </w:tc>
        <w:tc>
          <w:tcPr>
            <w:tcW w:w="661" w:type="dxa"/>
            <w:noWrap w:val="0"/>
            <w:vAlign w:val="center"/>
          </w:tcPr>
          <w:p w14:paraId="470BCEAA">
            <w:pPr>
              <w:keepNext w:val="0"/>
              <w:keepLines w:val="0"/>
              <w:widowControl/>
              <w:suppressLineNumbers w:val="0"/>
              <w:spacing w:before="0" w:beforeAutospacing="0" w:after="0" w:afterAutospacing="0"/>
              <w:ind w:left="0" w:right="0"/>
              <w:jc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12</w:t>
            </w:r>
            <w:r>
              <w:rPr>
                <w:rFonts w:hint="eastAsia" w:ascii="宋体" w:hAnsi="宋体" w:cs="宋体"/>
                <w:color w:val="auto"/>
                <w:kern w:val="0"/>
                <w:sz w:val="21"/>
                <w:szCs w:val="21"/>
                <w:highlight w:val="none"/>
                <w:lang w:val="en-US" w:eastAsia="zh-CN" w:bidi="ar"/>
              </w:rPr>
              <w:t>分</w:t>
            </w:r>
          </w:p>
        </w:tc>
        <w:tc>
          <w:tcPr>
            <w:tcW w:w="6888" w:type="dxa"/>
            <w:noWrap w:val="0"/>
            <w:vAlign w:val="center"/>
          </w:tcPr>
          <w:p w14:paraId="1FE7952C">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b/>
                <w:bCs/>
                <w:color w:val="auto"/>
                <w:kern w:val="0"/>
                <w:sz w:val="21"/>
                <w:szCs w:val="21"/>
                <w:highlight w:val="none"/>
                <w:lang w:val="en-US" w:eastAsia="zh-CN" w:bidi="ar"/>
              </w:rPr>
              <w:t xml:space="preserve">（1）综合偿付能力充足率（满分 6 分) </w:t>
            </w:r>
          </w:p>
          <w:p w14:paraId="31C3EBE3">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1）投标人法人机构（总公司）2026 年第 1 季度的综合偿付能力充足率高于保监委监管指标即 200%（不含）的得满分 6 分； </w:t>
            </w:r>
          </w:p>
          <w:p w14:paraId="27BD43E4">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2）2026 年第 1 季度综合偿付能力充足率在（不含）150%-200%（含）的得 5 分； </w:t>
            </w:r>
          </w:p>
          <w:p w14:paraId="5D151F7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3）2026 年第 1 季度综合偿付能力充足率在 </w:t>
            </w:r>
          </w:p>
          <w:p w14:paraId="1F7FC8B1">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（不含）100%-150%（含）的得 4 分； </w:t>
            </w:r>
          </w:p>
          <w:p w14:paraId="3F4219E8">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4）2026年第1季度综合偿付能力充足率在100%（含）的以下的得0分。 </w:t>
            </w:r>
          </w:p>
          <w:p w14:paraId="7180E1E5">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（提供投标人总公司 2026 年第 1 季度保险公司综合偿付能力季度报告摘要或证明文件，须加盖总公司公章为准。） </w:t>
            </w:r>
          </w:p>
          <w:p w14:paraId="482EA8B5">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b/>
                <w:bCs/>
                <w:color w:val="auto"/>
                <w:kern w:val="0"/>
                <w:sz w:val="21"/>
                <w:szCs w:val="21"/>
                <w:highlight w:val="none"/>
                <w:lang w:val="en-US" w:eastAsia="zh-CN" w:bidi="ar"/>
              </w:rPr>
              <w:t xml:space="preserve">（2）承保业绩(满分 3 分) </w:t>
            </w:r>
          </w:p>
          <w:p w14:paraId="2BFF9627">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2023年至今</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以合同签订日期为准</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，投标人有类似业绩的（指团体人寿保险），每有一项得 1 分，满分3分。（投标时应提供相关有效业绩证明文件，如有效的中标（成交）通知书、承保协议等能证明投标人业绩的材料的复印件并加盖公章。），特别提醒：分支机构投标的，总公司的非广西区域的业绩不能作为本项目的业绩。</w:t>
            </w:r>
          </w:p>
          <w:p w14:paraId="1B0FD6C3">
            <w:pPr>
              <w:keepNext w:val="0"/>
              <w:keepLines w:val="0"/>
              <w:widowControl/>
              <w:suppressLineNumbers w:val="0"/>
              <w:spacing w:before="0" w:beforeAutospacing="0" w:after="0" w:afterAutospacing="0"/>
              <w:ind w:left="0" w:right="0"/>
              <w:jc w:val="left"/>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（3）认证(满分1 分)</w:t>
            </w:r>
          </w:p>
          <w:p w14:paraId="6F4F92CA">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投标人或总公司通过ISO9001质量管理体系认证（投标时提供有效认证证书复印件），满足此项要求得1分，满分1分。</w:t>
            </w:r>
          </w:p>
          <w:p w14:paraId="15EAA67A">
            <w:pPr>
              <w:keepNext w:val="0"/>
              <w:keepLines w:val="0"/>
              <w:widowControl/>
              <w:suppressLineNumbers w:val="0"/>
              <w:spacing w:before="0" w:beforeAutospacing="0" w:after="0" w:afterAutospacing="0"/>
              <w:ind w:left="0" w:right="0"/>
              <w:jc w:val="left"/>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（4）履约承诺分(满分2 分)</w:t>
            </w:r>
          </w:p>
          <w:p w14:paraId="03E39361">
            <w:pPr>
              <w:keepNext w:val="0"/>
              <w:keepLines w:val="0"/>
              <w:widowControl/>
              <w:numPr>
                <w:ilvl w:val="0"/>
                <w:numId w:val="0"/>
              </w:numPr>
              <w:suppressLineNumbers w:val="0"/>
              <w:spacing w:before="0" w:beforeAutospacing="0" w:after="0" w:afterAutospacing="0"/>
              <w:ind w:left="0" w:leftChars="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提供履约保证承诺，并承诺对服务期内的服务实施情况进行考核，合同期结束，对接单、理赔、投诉处理进行考核验收。违约的以合同约定为准扣除相应比例违约金,考核合格无息退回履约保证金.得2分</w:t>
            </w:r>
          </w:p>
        </w:tc>
      </w:tr>
      <w:tr w14:paraId="1717C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8516" w:type="dxa"/>
            <w:gridSpan w:val="4"/>
            <w:noWrap w:val="0"/>
            <w:vAlign w:val="center"/>
          </w:tcPr>
          <w:p w14:paraId="0A0A2CEE">
            <w:pPr>
              <w:keepNext w:val="0"/>
              <w:keepLines w:val="0"/>
              <w:widowControl/>
              <w:numPr>
                <w:ilvl w:val="0"/>
                <w:numId w:val="0"/>
              </w:numPr>
              <w:suppressLineNumbers w:val="0"/>
              <w:spacing w:before="0" w:beforeAutospacing="0" w:after="0" w:afterAutospacing="0"/>
              <w:ind w:left="0" w:leftChars="0" w:right="0"/>
              <w:jc w:val="left"/>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总得分：</w:t>
            </w:r>
            <w:r>
              <w:rPr>
                <w:rFonts w:hint="eastAsia" w:ascii="宋体" w:hAnsi="宋体" w:cs="宋体"/>
                <w:color w:val="auto"/>
                <w:kern w:val="0"/>
                <w:sz w:val="21"/>
                <w:szCs w:val="21"/>
                <w:highlight w:val="none"/>
                <w:lang w:val="en-US" w:eastAsia="zh-CN" w:bidi="ar"/>
              </w:rPr>
              <w:t>1+2+3+4+5</w:t>
            </w:r>
          </w:p>
        </w:tc>
      </w:tr>
    </w:tbl>
    <w:p w14:paraId="328722EB">
      <w:pPr>
        <w:pStyle w:val="20"/>
        <w:keepNext w:val="0"/>
        <w:keepLines w:val="0"/>
        <w:suppressLineNumbers w:val="0"/>
        <w:snapToGrid w:val="0"/>
        <w:spacing w:before="0" w:beforeAutospacing="0" w:after="0" w:afterAutospacing="0" w:line="360" w:lineRule="atLeast"/>
        <w:ind w:left="0" w:right="0"/>
        <w:jc w:val="left"/>
        <w:rPr>
          <w:rFonts w:hint="eastAsia" w:hAnsi="宋体"/>
          <w:b/>
          <w:bCs w:val="0"/>
          <w:color w:val="auto"/>
          <w:sz w:val="21"/>
          <w:highlight w:val="none"/>
        </w:rPr>
      </w:pPr>
    </w:p>
    <w:p w14:paraId="4A8F9AE1">
      <w:pPr>
        <w:pStyle w:val="20"/>
        <w:keepNext w:val="0"/>
        <w:keepLines w:val="0"/>
        <w:suppressLineNumbers w:val="0"/>
        <w:snapToGrid w:val="0"/>
        <w:spacing w:before="0" w:beforeAutospacing="0" w:after="0" w:afterAutospacing="0" w:line="360" w:lineRule="atLeast"/>
        <w:ind w:left="0" w:right="0"/>
        <w:jc w:val="left"/>
        <w:rPr>
          <w:rFonts w:hint="default" w:hAnsi="宋体"/>
          <w:b/>
          <w:bCs w:val="0"/>
          <w:color w:val="auto"/>
          <w:sz w:val="21"/>
          <w:highlight w:val="none"/>
        </w:rPr>
      </w:pPr>
      <w:r>
        <w:rPr>
          <w:rFonts w:hint="eastAsia" w:hAnsi="宋体"/>
          <w:b/>
          <w:bCs w:val="0"/>
          <w:color w:val="auto"/>
          <w:sz w:val="21"/>
          <w:highlight w:val="none"/>
        </w:rPr>
        <w:t>注：1</w:t>
      </w:r>
      <w:r>
        <w:rPr>
          <w:rFonts w:hint="default" w:hAnsi="宋体"/>
          <w:b/>
          <w:bCs w:val="0"/>
          <w:color w:val="auto"/>
          <w:sz w:val="21"/>
          <w:highlight w:val="none"/>
        </w:rPr>
        <w:t>.</w:t>
      </w:r>
      <w:r>
        <w:rPr>
          <w:rFonts w:hint="eastAsia" w:hAnsi="宋体"/>
          <w:b/>
          <w:bCs w:val="0"/>
          <w:color w:val="auto"/>
          <w:sz w:val="21"/>
          <w:highlight w:val="none"/>
        </w:rPr>
        <w:t>本项目为服务项目，不适用节能、环保、区内产品政策功能加分。</w:t>
      </w:r>
    </w:p>
    <w:p w14:paraId="24270B6C">
      <w:pPr>
        <w:rPr>
          <w:rFonts w:hint="eastAsia" w:ascii="宋体" w:hAnsi="宋体" w:eastAsia="宋体" w:cs="宋体"/>
          <w:color w:val="auto"/>
          <w:highlight w:val="none"/>
        </w:rPr>
      </w:pPr>
      <w:r>
        <w:rPr>
          <w:rFonts w:hint="eastAsia" w:hAnsi="宋体"/>
          <w:b/>
          <w:bCs w:val="0"/>
          <w:color w:val="auto"/>
          <w:sz w:val="21"/>
          <w:highlight w:val="none"/>
        </w:rPr>
        <w:t>2</w:t>
      </w:r>
      <w:r>
        <w:rPr>
          <w:rFonts w:hint="default" w:hAnsi="宋体"/>
          <w:b/>
          <w:bCs w:val="0"/>
          <w:color w:val="auto"/>
          <w:sz w:val="21"/>
          <w:highlight w:val="none"/>
        </w:rPr>
        <w:t>.因</w:t>
      </w:r>
      <w:r>
        <w:rPr>
          <w:rFonts w:hint="eastAsia" w:hAnsi="宋体"/>
          <w:b/>
          <w:bCs w:val="0"/>
          <w:color w:val="auto"/>
          <w:sz w:val="21"/>
          <w:highlight w:val="none"/>
        </w:rPr>
        <w:t>本次项目价格不列为评审因素，因此对中小企业价格不进行政府采购政策性扣除。</w:t>
      </w:r>
      <w:r>
        <w:rPr>
          <w:rFonts w:hint="eastAsia" w:ascii="宋体" w:hAnsi="宋体" w:eastAsia="宋体" w:cs="宋体"/>
          <w:color w:val="auto"/>
          <w:highlight w:val="none"/>
        </w:rPr>
        <w:br w:type="page"/>
      </w:r>
    </w:p>
    <w:p w14:paraId="3DFD34F9">
      <w:pPr>
        <w:keepNext/>
        <w:keepLines/>
        <w:spacing w:before="260" w:after="260" w:line="413" w:lineRule="auto"/>
        <w:jc w:val="center"/>
        <w:outlineLvl w:val="1"/>
        <w:rPr>
          <w:rFonts w:hint="eastAsia" w:ascii="宋体" w:hAnsi="宋体" w:eastAsia="宋体" w:cs="宋体"/>
          <w:b/>
          <w:bCs w:val="0"/>
          <w:color w:val="auto"/>
          <w:sz w:val="30"/>
          <w:szCs w:val="30"/>
          <w:highlight w:val="none"/>
        </w:rPr>
      </w:pPr>
      <w:bookmarkStart w:id="182" w:name="_Toc3222"/>
      <w:r>
        <w:rPr>
          <w:rFonts w:hint="eastAsia" w:ascii="宋体" w:hAnsi="宋体" w:eastAsia="宋体" w:cs="宋体"/>
          <w:b/>
          <w:bCs w:val="0"/>
          <w:color w:val="auto"/>
          <w:sz w:val="30"/>
          <w:szCs w:val="30"/>
          <w:highlight w:val="none"/>
        </w:rPr>
        <w:t>四</w:t>
      </w:r>
      <w:r>
        <w:rPr>
          <w:rFonts w:hint="eastAsia" w:ascii="宋体" w:hAnsi="宋体" w:cs="宋体"/>
          <w:b/>
          <w:bCs w:val="0"/>
          <w:color w:val="auto"/>
          <w:sz w:val="30"/>
          <w:szCs w:val="30"/>
          <w:highlight w:val="none"/>
          <w:lang w:eastAsia="zh-CN"/>
        </w:rPr>
        <w:t>、</w:t>
      </w:r>
      <w:r>
        <w:rPr>
          <w:rFonts w:hint="eastAsia" w:ascii="宋体" w:hAnsi="宋体" w:eastAsia="宋体" w:cs="宋体"/>
          <w:b/>
          <w:bCs w:val="0"/>
          <w:color w:val="auto"/>
          <w:sz w:val="30"/>
          <w:szCs w:val="30"/>
          <w:highlight w:val="none"/>
        </w:rPr>
        <w:t>中标候选人推荐原则</w:t>
      </w:r>
      <w:bookmarkEnd w:id="182"/>
    </w:p>
    <w:p w14:paraId="07C5EE6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1237" w:leftChars="0" w:hanging="765" w:firstLineChars="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（一）</w:t>
      </w:r>
      <w:r>
        <w:rPr>
          <w:rFonts w:hint="eastAsia" w:ascii="宋体" w:hAnsi="宋体" w:eastAsia="宋体" w:cs="宋体"/>
          <w:b/>
          <w:bCs/>
          <w:color w:val="auto"/>
          <w:sz w:val="21"/>
          <w:szCs w:val="21"/>
          <w:highlight w:val="none"/>
        </w:rPr>
        <w:t>综合评分法</w:t>
      </w:r>
    </w:p>
    <w:p w14:paraId="18134E7F">
      <w:pPr>
        <w:keepNext w:val="0"/>
        <w:keepLines w:val="0"/>
        <w:pageBreakBefore w:val="0"/>
        <w:tabs>
          <w:tab w:val="left" w:pos="2472"/>
        </w:tabs>
        <w:kinsoku/>
        <w:wordWrap/>
        <w:overflowPunct/>
        <w:topLinePunct w:val="0"/>
        <w:autoSpaceDE/>
        <w:autoSpaceDN/>
        <w:bidi w:val="0"/>
        <w:snapToGrid/>
        <w:spacing w:line="4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评标委员会将根据得分由高到低排列次序（得分相同的，依次</w:t>
      </w:r>
      <w:r>
        <w:rPr>
          <w:rFonts w:hint="eastAsia" w:ascii="宋体" w:hAnsi="宋体" w:eastAsia="宋体" w:cs="宋体"/>
          <w:color w:val="auto"/>
          <w:sz w:val="21"/>
          <w:szCs w:val="21"/>
          <w:highlight w:val="none"/>
          <w:lang w:val="en-US" w:eastAsia="zh-CN"/>
        </w:rPr>
        <w:t>按</w:t>
      </w:r>
      <w:r>
        <w:rPr>
          <w:rFonts w:hint="eastAsia" w:ascii="宋体" w:hAnsi="宋体" w:cs="宋体"/>
          <w:color w:val="auto"/>
          <w:sz w:val="21"/>
          <w:szCs w:val="21"/>
          <w:highlight w:val="none"/>
          <w:lang w:eastAsia="zh-CN"/>
        </w:rPr>
        <w:t>：经营网点</w:t>
      </w:r>
      <w:r>
        <w:rPr>
          <w:rFonts w:hint="eastAsia" w:ascii="宋体" w:hAnsi="宋体" w:eastAsia="宋体" w:cs="宋体"/>
          <w:color w:val="auto"/>
          <w:sz w:val="21"/>
          <w:szCs w:val="21"/>
          <w:highlight w:val="none"/>
        </w:rPr>
        <w:t>分</w:t>
      </w:r>
      <w:r>
        <w:rPr>
          <w:rFonts w:hint="eastAsia" w:ascii="宋体" w:hAnsi="宋体" w:eastAsia="宋体" w:cs="宋体"/>
          <w:b w:val="0"/>
          <w:bCs w:val="0"/>
          <w:color w:val="auto"/>
          <w:sz w:val="21"/>
          <w:szCs w:val="21"/>
          <w:highlight w:val="none"/>
        </w:rPr>
        <w:t>→承保方案设计分→理赔服务方案分→增值服务分→保险业务管理规章制度分→保险培训服务分→</w:t>
      </w:r>
      <w:r>
        <w:rPr>
          <w:rFonts w:hint="eastAsia" w:ascii="宋体" w:hAnsi="宋体" w:eastAsia="宋体" w:cs="宋体"/>
          <w:color w:val="auto"/>
          <w:sz w:val="21"/>
          <w:szCs w:val="21"/>
          <w:highlight w:val="none"/>
        </w:rPr>
        <w:t>综合能力分顺序排列</w:t>
      </w:r>
      <w:r>
        <w:rPr>
          <w:rFonts w:hint="eastAsia" w:ascii="宋体" w:hAnsi="宋体" w:cs="宋体"/>
          <w:color w:val="auto"/>
          <w:szCs w:val="21"/>
          <w:highlight w:val="none"/>
        </w:rPr>
        <w:t>，评分高的顺序确定；</w:t>
      </w:r>
      <w:r>
        <w:rPr>
          <w:rFonts w:hint="eastAsia" w:ascii="宋体" w:hAnsi="宋体" w:eastAsia="宋体" w:cs="宋体"/>
          <w:color w:val="auto"/>
          <w:sz w:val="21"/>
          <w:szCs w:val="21"/>
          <w:highlight w:val="none"/>
        </w:rPr>
        <w:t>顺序排列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如以上都一致时则由评标委员会推荐代表随机抽取</w:t>
      </w:r>
      <w:r>
        <w:rPr>
          <w:rFonts w:hint="eastAsia" w:ascii="宋体" w:hAnsi="宋体" w:eastAsia="宋体" w:cs="宋体"/>
          <w:color w:val="auto"/>
          <w:sz w:val="21"/>
          <w:szCs w:val="21"/>
          <w:highlight w:val="none"/>
        </w:rPr>
        <w:t>）并推荐中标候选人。采购人应当确定评</w:t>
      </w:r>
      <w:r>
        <w:rPr>
          <w:rFonts w:hint="eastAsia" w:ascii="宋体" w:hAnsi="宋体" w:eastAsia="宋体" w:cs="宋体"/>
          <w:color w:val="auto"/>
          <w:sz w:val="21"/>
          <w:szCs w:val="21"/>
          <w:highlight w:val="none"/>
          <w:lang w:val="en-US" w:eastAsia="zh-CN"/>
        </w:rPr>
        <w:t>标</w:t>
      </w:r>
      <w:r>
        <w:rPr>
          <w:rFonts w:hint="eastAsia" w:ascii="宋体" w:hAnsi="宋体" w:eastAsia="宋体" w:cs="宋体"/>
          <w:color w:val="auto"/>
          <w:sz w:val="21"/>
          <w:szCs w:val="21"/>
          <w:highlight w:val="none"/>
        </w:rPr>
        <w:t>委员会推荐排名第一的中标候选人为中标人。排名第一的中标候选人放弃中标、因不可抗力提出不能履行合同，</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可以确定排名第二的中标候选人为中标人。排名第二的中标候选人因前款规定的同样原因不能签订合同的，</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可以确定排名第三的中标候选人为中标人，其余以此类推。采购人也可以决定重新采购。</w:t>
      </w:r>
    </w:p>
    <w:p w14:paraId="363AC3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1237" w:leftChars="0" w:hanging="765" w:firstLineChars="0"/>
        <w:contextualSpacing/>
        <w:textAlignment w:val="auto"/>
        <w:rPr>
          <w:rFonts w:hint="eastAsia" w:ascii="宋体" w:hAnsi="宋体" w:eastAsia="宋体" w:cs="宋体"/>
          <w:b/>
          <w:bCs/>
          <w:color w:val="auto"/>
          <w:sz w:val="21"/>
          <w:szCs w:val="21"/>
          <w:highlight w:val="none"/>
        </w:rPr>
      </w:pPr>
    </w:p>
    <w:p w14:paraId="259A2ADE">
      <w:pPr>
        <w:keepNext/>
        <w:keepLines/>
        <w:spacing w:before="260" w:after="260" w:line="413" w:lineRule="auto"/>
        <w:ind w:firstLine="0" w:firstLineChars="0"/>
        <w:jc w:val="center"/>
        <w:outlineLvl w:val="1"/>
        <w:rPr>
          <w:rFonts w:hint="eastAsia" w:ascii="宋体" w:hAnsi="宋体" w:eastAsia="宋体" w:cs="宋体"/>
          <w:b/>
          <w:bCs w:val="0"/>
          <w:color w:val="auto"/>
          <w:sz w:val="30"/>
          <w:szCs w:val="30"/>
          <w:highlight w:val="none"/>
        </w:rPr>
      </w:pPr>
      <w:bookmarkStart w:id="183" w:name="_Toc16783"/>
      <w:r>
        <w:rPr>
          <w:rFonts w:hint="eastAsia" w:ascii="宋体" w:hAnsi="宋体" w:eastAsia="宋体" w:cs="宋体"/>
          <w:b/>
          <w:bCs w:val="0"/>
          <w:color w:val="auto"/>
          <w:sz w:val="30"/>
          <w:szCs w:val="30"/>
          <w:highlight w:val="none"/>
        </w:rPr>
        <w:t>五</w:t>
      </w:r>
      <w:r>
        <w:rPr>
          <w:rFonts w:hint="eastAsia" w:ascii="宋体" w:hAnsi="宋体" w:cs="宋体"/>
          <w:b/>
          <w:bCs w:val="0"/>
          <w:color w:val="auto"/>
          <w:sz w:val="30"/>
          <w:szCs w:val="30"/>
          <w:highlight w:val="none"/>
          <w:lang w:eastAsia="zh-CN"/>
        </w:rPr>
        <w:t>、</w:t>
      </w:r>
      <w:r>
        <w:rPr>
          <w:rFonts w:hint="eastAsia" w:ascii="宋体" w:hAnsi="宋体" w:eastAsia="宋体" w:cs="宋体"/>
          <w:b/>
          <w:bCs w:val="0"/>
          <w:color w:val="auto"/>
          <w:sz w:val="30"/>
          <w:szCs w:val="30"/>
          <w:highlight w:val="none"/>
        </w:rPr>
        <w:t>评标报告</w:t>
      </w:r>
      <w:bookmarkEnd w:id="183"/>
    </w:p>
    <w:p w14:paraId="00D17581">
      <w:pPr>
        <w:keepNext w:val="0"/>
        <w:keepLines w:val="0"/>
        <w:pageBreakBefore w:val="0"/>
        <w:kinsoku/>
        <w:wordWrap/>
        <w:overflowPunct/>
        <w:topLinePunct w:val="0"/>
        <w:autoSpaceDE/>
        <w:autoSpaceDN/>
        <w:bidi w:val="0"/>
        <w:adjustRightInd w:val="0"/>
        <w:snapToGrid/>
        <w:spacing w:line="48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（一）评标报告与推荐中标候选人</w:t>
      </w:r>
    </w:p>
    <w:p w14:paraId="5AFBC598">
      <w:pPr>
        <w:keepNext w:val="0"/>
        <w:keepLines w:val="0"/>
        <w:pageBreakBefore w:val="0"/>
        <w:tabs>
          <w:tab w:val="left" w:pos="2472"/>
        </w:tabs>
        <w:kinsoku/>
        <w:wordWrap/>
        <w:overflowPunct/>
        <w:topLinePunct w:val="0"/>
        <w:autoSpaceDE/>
        <w:autoSpaceDN/>
        <w:bidi w:val="0"/>
        <w:snapToGrid/>
        <w:spacing w:line="4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评标委员会根据原始评标记录和评标结果编写评标报告，并通过电子交易平台向采购人、采购代理机构提交。</w:t>
      </w:r>
    </w:p>
    <w:p w14:paraId="3A0F4AFC">
      <w:pPr>
        <w:keepNext w:val="0"/>
        <w:keepLines w:val="0"/>
        <w:pageBreakBefore w:val="0"/>
        <w:widowControl/>
        <w:kinsoku/>
        <w:wordWrap/>
        <w:overflowPunct/>
        <w:topLinePunct w:val="0"/>
        <w:autoSpaceDE/>
        <w:autoSpaceDN/>
        <w:bidi w:val="0"/>
        <w:snapToGrid/>
        <w:spacing w:line="48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（二）评标争议事项处理</w:t>
      </w:r>
    </w:p>
    <w:p w14:paraId="1E9F3BEF">
      <w:pPr>
        <w:keepNext w:val="0"/>
        <w:keepLines w:val="0"/>
        <w:pageBreakBefore w:val="0"/>
        <w:tabs>
          <w:tab w:val="left" w:pos="2472"/>
        </w:tabs>
        <w:kinsoku/>
        <w:wordWrap/>
        <w:overflowPunct/>
        <w:topLinePunct w:val="0"/>
        <w:autoSpaceDE/>
        <w:autoSpaceDN/>
        <w:bidi w:val="0"/>
        <w:snapToGrid/>
        <w:spacing w:line="4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bookmarkEnd w:id="180"/>
    <w:bookmarkEnd w:id="181"/>
    <w:p w14:paraId="1942C4C7">
      <w:pPr>
        <w:jc w:val="center"/>
        <w:rPr>
          <w:rFonts w:hint="eastAsia" w:ascii="宋体" w:hAnsi="宋体" w:cs="宋体"/>
          <w:color w:val="auto"/>
          <w:highlight w:val="none"/>
        </w:rPr>
      </w:pPr>
      <w:bookmarkStart w:id="184" w:name="_Toc22428"/>
      <w:bookmarkStart w:id="185" w:name="_Toc25693"/>
      <w:bookmarkStart w:id="186" w:name="_Toc5182"/>
      <w:r>
        <w:rPr>
          <w:rFonts w:hint="eastAsia" w:ascii="宋体" w:hAnsi="宋体" w:cs="宋体"/>
          <w:color w:val="auto"/>
          <w:highlight w:val="none"/>
        </w:rPr>
        <w:br w:type="page"/>
      </w:r>
    </w:p>
    <w:p w14:paraId="31165967">
      <w:pPr>
        <w:pStyle w:val="3"/>
        <w:jc w:val="center"/>
        <w:rPr>
          <w:rFonts w:hint="eastAsia" w:ascii="宋体" w:hAnsi="宋体" w:eastAsia="宋体" w:cs="宋体"/>
          <w:b/>
          <w:bCs/>
          <w:color w:val="auto"/>
          <w:sz w:val="24"/>
          <w:szCs w:val="24"/>
          <w:highlight w:val="none"/>
        </w:rPr>
      </w:pPr>
      <w:r>
        <w:rPr>
          <w:rFonts w:hint="eastAsia" w:ascii="宋体" w:hAnsi="宋体" w:cs="宋体"/>
          <w:color w:val="auto"/>
          <w:highlight w:val="none"/>
        </w:rPr>
        <w:t>第五章  拟签订的合同文本</w:t>
      </w:r>
      <w:bookmarkEnd w:id="184"/>
      <w:bookmarkEnd w:id="185"/>
      <w:bookmarkEnd w:id="186"/>
    </w:p>
    <w:p w14:paraId="55D17DF4">
      <w:pPr>
        <w:pStyle w:val="3"/>
        <w:jc w:val="center"/>
        <w:rPr>
          <w:rFonts w:hint="eastAsia" w:ascii="宋体" w:hAnsi="宋体" w:cs="宋体"/>
          <w:color w:val="auto"/>
          <w:highlight w:val="none"/>
        </w:rPr>
        <w:sectPr>
          <w:pgSz w:w="11906" w:h="16838"/>
          <w:pgMar w:top="1440" w:right="1803" w:bottom="1440" w:left="1803" w:header="850" w:footer="850" w:gutter="0"/>
          <w:pgNumType w:fmt="decimal"/>
          <w:cols w:space="720" w:num="1"/>
          <w:docGrid w:linePitch="312" w:charSpace="0"/>
        </w:sectPr>
      </w:pPr>
      <w:bookmarkStart w:id="187" w:name="_Toc20718"/>
      <w:bookmarkStart w:id="188" w:name="_Toc30294"/>
      <w:bookmarkStart w:id="189" w:name="_Toc25427"/>
    </w:p>
    <w:p w14:paraId="6620EDF6">
      <w:pPr>
        <w:spacing w:line="360" w:lineRule="auto"/>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“广西政府采购云平台”合同编号：</w:t>
      </w:r>
      <w:r>
        <w:rPr>
          <w:rFonts w:hint="eastAsia" w:ascii="仿宋_GB2312" w:hAnsi="楷体" w:eastAsia="仿宋_GB2312"/>
          <w:color w:val="auto"/>
          <w:sz w:val="24"/>
          <w:highlight w:val="none"/>
          <w:u w:val="single"/>
        </w:rPr>
        <w:t xml:space="preserve">           </w:t>
      </w:r>
    </w:p>
    <w:p w14:paraId="6FF10DB2">
      <w:pPr>
        <w:spacing w:line="360" w:lineRule="auto"/>
        <w:jc w:val="center"/>
        <w:rPr>
          <w:rFonts w:hint="eastAsia" w:ascii="宋体"/>
          <w:b/>
          <w:bCs/>
          <w:color w:val="auto"/>
          <w:sz w:val="52"/>
          <w:highlight w:val="none"/>
        </w:rPr>
      </w:pPr>
      <w:r>
        <w:rPr>
          <w:rFonts w:hint="eastAsia" w:ascii="宋体"/>
          <w:b/>
          <w:bCs/>
          <w:color w:val="auto"/>
          <w:sz w:val="52"/>
          <w:highlight w:val="none"/>
        </w:rPr>
        <w:t>广西壮族自治区政府采购</w:t>
      </w:r>
    </w:p>
    <w:p w14:paraId="37667F27">
      <w:pPr>
        <w:spacing w:line="360" w:lineRule="auto"/>
        <w:ind w:firstLine="420" w:firstLineChars="200"/>
        <w:rPr>
          <w:rFonts w:hint="eastAsia" w:ascii="宋体"/>
          <w:color w:val="auto"/>
          <w:highlight w:val="none"/>
        </w:rPr>
      </w:pPr>
    </w:p>
    <w:p w14:paraId="36EB4E7C">
      <w:pPr>
        <w:spacing w:line="360" w:lineRule="auto"/>
        <w:ind w:firstLine="420" w:firstLineChars="200"/>
        <w:rPr>
          <w:rFonts w:hint="eastAsia" w:ascii="宋体"/>
          <w:color w:val="auto"/>
          <w:highlight w:val="none"/>
        </w:rPr>
      </w:pPr>
      <w:r>
        <w:rPr>
          <w:rFonts w:hint="eastAsia" w:ascii="宋体"/>
          <w:color w:val="auto"/>
          <w:highlight w:val="none"/>
        </w:rPr>
        <w:t xml:space="preserve">                                                 </w:t>
      </w:r>
    </w:p>
    <w:p w14:paraId="3EDE5DEC">
      <w:pPr>
        <w:spacing w:line="360" w:lineRule="auto"/>
        <w:jc w:val="center"/>
        <w:rPr>
          <w:rFonts w:hint="eastAsia" w:ascii="宋体"/>
          <w:b/>
          <w:bCs/>
          <w:color w:val="auto"/>
          <w:sz w:val="44"/>
          <w:highlight w:val="none"/>
        </w:rPr>
      </w:pPr>
      <w:r>
        <w:rPr>
          <w:rFonts w:hint="eastAsia" w:ascii="宋体"/>
          <w:b/>
          <w:bCs/>
          <w:color w:val="auto"/>
          <w:sz w:val="44"/>
          <w:highlight w:val="none"/>
          <w:u w:val="single"/>
        </w:rPr>
        <w:t xml:space="preserve">         （项目名称）         </w:t>
      </w:r>
      <w:r>
        <w:rPr>
          <w:rFonts w:hint="eastAsia" w:ascii="宋体"/>
          <w:b/>
          <w:bCs/>
          <w:color w:val="auto"/>
          <w:sz w:val="44"/>
          <w:highlight w:val="none"/>
        </w:rPr>
        <w:t>合同</w:t>
      </w:r>
    </w:p>
    <w:p w14:paraId="3C9BA81D">
      <w:pPr>
        <w:spacing w:line="360" w:lineRule="auto"/>
        <w:jc w:val="center"/>
        <w:rPr>
          <w:rFonts w:hint="eastAsia" w:ascii="宋体"/>
          <w:b/>
          <w:bCs/>
          <w:color w:val="auto"/>
          <w:sz w:val="44"/>
          <w:highlight w:val="none"/>
        </w:rPr>
      </w:pPr>
    </w:p>
    <w:p w14:paraId="49F8F7C5">
      <w:pPr>
        <w:spacing w:line="360" w:lineRule="auto"/>
        <w:jc w:val="center"/>
        <w:rPr>
          <w:rFonts w:hint="eastAsia" w:ascii="宋体"/>
          <w:b/>
          <w:bCs/>
          <w:color w:val="auto"/>
          <w:sz w:val="44"/>
          <w:highlight w:val="none"/>
        </w:rPr>
      </w:pPr>
    </w:p>
    <w:p w14:paraId="13272D5C">
      <w:pPr>
        <w:spacing w:line="360" w:lineRule="auto"/>
        <w:ind w:firstLine="3507" w:firstLineChars="794"/>
        <w:rPr>
          <w:rFonts w:hint="eastAsia" w:ascii="宋体"/>
          <w:b/>
          <w:bCs/>
          <w:color w:val="auto"/>
          <w:sz w:val="44"/>
          <w:highlight w:val="none"/>
        </w:rPr>
      </w:pPr>
    </w:p>
    <w:p w14:paraId="2ABDC0E8">
      <w:pPr>
        <w:spacing w:line="360" w:lineRule="auto"/>
        <w:ind w:firstLine="3507" w:firstLineChars="794"/>
        <w:rPr>
          <w:rFonts w:hint="eastAsia" w:ascii="宋体"/>
          <w:b/>
          <w:bCs/>
          <w:color w:val="auto"/>
          <w:sz w:val="44"/>
          <w:highlight w:val="none"/>
        </w:rPr>
      </w:pPr>
    </w:p>
    <w:p w14:paraId="168C1080">
      <w:pPr>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项目编号：</w:t>
      </w:r>
      <w:r>
        <w:rPr>
          <w:rFonts w:hint="eastAsia" w:ascii="宋体" w:hAnsi="宋体"/>
          <w:b/>
          <w:color w:val="auto"/>
          <w:sz w:val="36"/>
          <w:szCs w:val="36"/>
          <w:highlight w:val="none"/>
          <w:u w:val="single"/>
        </w:rPr>
        <w:t xml:space="preserve">                     </w:t>
      </w:r>
    </w:p>
    <w:p w14:paraId="04B120A7">
      <w:pPr>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计划编号：</w:t>
      </w:r>
      <w:r>
        <w:rPr>
          <w:rFonts w:hint="eastAsia" w:ascii="宋体" w:hAnsi="宋体"/>
          <w:b/>
          <w:color w:val="auto"/>
          <w:sz w:val="36"/>
          <w:szCs w:val="36"/>
          <w:highlight w:val="none"/>
          <w:u w:val="single"/>
        </w:rPr>
        <w:t xml:space="preserve">                     </w:t>
      </w:r>
    </w:p>
    <w:p w14:paraId="6B62171B">
      <w:pPr>
        <w:ind w:firstLine="1970" w:firstLineChars="545"/>
        <w:rPr>
          <w:rFonts w:hint="eastAsia" w:ascii="宋体" w:hAnsi="宋体"/>
          <w:b/>
          <w:color w:val="auto"/>
          <w:sz w:val="36"/>
          <w:szCs w:val="36"/>
          <w:highlight w:val="none"/>
          <w:u w:val="single"/>
        </w:rPr>
      </w:pPr>
    </w:p>
    <w:p w14:paraId="2272A990">
      <w:pPr>
        <w:ind w:firstLine="1995" w:firstLineChars="552"/>
        <w:rPr>
          <w:rFonts w:hint="eastAsia" w:ascii="宋体" w:hAnsi="宋体"/>
          <w:b/>
          <w:color w:val="auto"/>
          <w:sz w:val="36"/>
          <w:szCs w:val="36"/>
          <w:highlight w:val="none"/>
          <w:u w:val="single"/>
        </w:rPr>
      </w:pPr>
    </w:p>
    <w:p w14:paraId="1CB3CCEC">
      <w:pPr>
        <w:ind w:firstLine="1995" w:firstLineChars="552"/>
        <w:rPr>
          <w:rFonts w:hint="eastAsia" w:ascii="宋体" w:hAnsi="宋体"/>
          <w:b/>
          <w:color w:val="auto"/>
          <w:sz w:val="36"/>
          <w:szCs w:val="36"/>
          <w:highlight w:val="none"/>
          <w:u w:val="single"/>
        </w:rPr>
      </w:pPr>
    </w:p>
    <w:p w14:paraId="76B91CF8">
      <w:pPr>
        <w:tabs>
          <w:tab w:val="left" w:pos="7200"/>
        </w:tabs>
        <w:spacing w:line="360" w:lineRule="auto"/>
        <w:ind w:firstLine="1995" w:firstLineChars="552"/>
        <w:rPr>
          <w:rFonts w:hint="eastAsia"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 xml:space="preserve">                       </w:t>
      </w:r>
    </w:p>
    <w:p w14:paraId="233EBFF8">
      <w:pPr>
        <w:tabs>
          <w:tab w:val="left" w:pos="7380"/>
        </w:tabs>
        <w:spacing w:line="360" w:lineRule="auto"/>
        <w:ind w:firstLine="1995" w:firstLineChars="552"/>
        <w:rPr>
          <w:rFonts w:hint="eastAsia" w:ascii="宋体"/>
          <w:b/>
          <w:bCs/>
          <w:color w:val="auto"/>
          <w:sz w:val="44"/>
          <w:highlight w:val="none"/>
        </w:rPr>
      </w:pPr>
      <w:r>
        <w:rPr>
          <w:rFonts w:hint="eastAsia" w:ascii="宋体" w:hAnsi="宋体"/>
          <w:b/>
          <w:color w:val="auto"/>
          <w:sz w:val="36"/>
          <w:szCs w:val="36"/>
          <w:highlight w:val="none"/>
        </w:rPr>
        <w:t>中标供应商：</w:t>
      </w:r>
      <w:r>
        <w:rPr>
          <w:rFonts w:hint="eastAsia" w:ascii="宋体" w:hAnsi="宋体"/>
          <w:b/>
          <w:color w:val="auto"/>
          <w:sz w:val="36"/>
          <w:szCs w:val="36"/>
          <w:highlight w:val="none"/>
          <w:u w:val="single"/>
        </w:rPr>
        <w:t xml:space="preserve">                   </w:t>
      </w:r>
    </w:p>
    <w:p w14:paraId="24C5BCE3">
      <w:pPr>
        <w:tabs>
          <w:tab w:val="left" w:pos="7380"/>
        </w:tabs>
        <w:spacing w:line="360" w:lineRule="auto"/>
        <w:rPr>
          <w:rFonts w:hint="eastAsia" w:ascii="宋体"/>
          <w:b/>
          <w:bCs/>
          <w:color w:val="auto"/>
          <w:sz w:val="44"/>
          <w:highlight w:val="none"/>
        </w:rPr>
      </w:pPr>
    </w:p>
    <w:p w14:paraId="00C1A0CE">
      <w:pPr>
        <w:spacing w:before="120" w:line="360" w:lineRule="auto"/>
        <w:ind w:firstLine="960" w:firstLineChars="400"/>
        <w:rPr>
          <w:rFonts w:hint="eastAsia" w:ascii="仿宋_GB2312" w:hAnsi="楷体" w:eastAsia="仿宋_GB2312"/>
          <w:color w:val="auto"/>
          <w:sz w:val="24"/>
          <w:highlight w:val="none"/>
        </w:rPr>
      </w:pPr>
    </w:p>
    <w:p w14:paraId="755B2812">
      <w:pPr>
        <w:spacing w:before="120" w:line="360" w:lineRule="auto"/>
        <w:ind w:firstLine="960" w:firstLineChars="400"/>
        <w:rPr>
          <w:rFonts w:hint="eastAsia" w:ascii="仿宋_GB2312" w:hAnsi="楷体" w:eastAsia="仿宋_GB2312"/>
          <w:color w:val="auto"/>
          <w:sz w:val="24"/>
          <w:highlight w:val="none"/>
        </w:rPr>
      </w:pPr>
    </w:p>
    <w:p w14:paraId="7F7BA55C">
      <w:pPr>
        <w:spacing w:before="120" w:line="360" w:lineRule="auto"/>
        <w:ind w:firstLine="2280" w:firstLineChars="95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签订日期：</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年</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月</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w:t>
      </w:r>
    </w:p>
    <w:p w14:paraId="39E30796">
      <w:pPr>
        <w:pStyle w:val="103"/>
        <w:ind w:firstLine="883"/>
        <w:jc w:val="center"/>
        <w:rPr>
          <w:rFonts w:hint="eastAsia" w:ascii="宋体"/>
          <w:b/>
          <w:bCs/>
          <w:color w:val="auto"/>
          <w:sz w:val="44"/>
          <w:highlight w:val="none"/>
        </w:rPr>
      </w:pPr>
    </w:p>
    <w:p w14:paraId="4563A54F">
      <w:pPr>
        <w:jc w:val="center"/>
        <w:rPr>
          <w:rFonts w:hint="eastAsia" w:ascii="宋体" w:hAnsi="宋体" w:cs="宋体"/>
          <w:b/>
          <w:color w:val="auto"/>
          <w:sz w:val="36"/>
          <w:szCs w:val="36"/>
          <w:highlight w:val="none"/>
        </w:rPr>
      </w:pPr>
      <w:r>
        <w:rPr>
          <w:rFonts w:hint="eastAsia" w:ascii="宋体"/>
          <w:b/>
          <w:bCs/>
          <w:color w:val="auto"/>
          <w:sz w:val="44"/>
          <w:highlight w:val="none"/>
        </w:rPr>
        <w:br w:type="page"/>
      </w:r>
      <w:r>
        <w:rPr>
          <w:rFonts w:hint="eastAsia" w:ascii="宋体" w:hAnsi="宋体" w:cs="宋体"/>
          <w:b/>
          <w:color w:val="auto"/>
          <w:sz w:val="36"/>
          <w:szCs w:val="36"/>
          <w:highlight w:val="none"/>
        </w:rPr>
        <w:t>目  录</w:t>
      </w:r>
    </w:p>
    <w:p w14:paraId="1E2EDD33">
      <w:pPr>
        <w:tabs>
          <w:tab w:val="left" w:pos="1170"/>
        </w:tabs>
        <w:spacing w:line="360" w:lineRule="auto"/>
        <w:ind w:left="359" w:leftChars="171" w:firstLine="198" w:firstLineChars="71"/>
        <w:rPr>
          <w:rFonts w:hint="eastAsia" w:ascii="宋体" w:hAnsi="宋体" w:cs="宋体"/>
          <w:color w:val="auto"/>
          <w:sz w:val="28"/>
          <w:highlight w:val="none"/>
        </w:rPr>
      </w:pPr>
      <w:r>
        <w:rPr>
          <w:rFonts w:hint="eastAsia" w:ascii="宋体" w:hAnsi="宋体" w:cs="宋体"/>
          <w:color w:val="auto"/>
          <w:sz w:val="28"/>
          <w:highlight w:val="none"/>
        </w:rPr>
        <w:tab/>
      </w:r>
    </w:p>
    <w:p w14:paraId="402A268B">
      <w:pPr>
        <w:rPr>
          <w:rFonts w:hint="eastAsia" w:ascii="宋体" w:hAnsi="宋体" w:cs="宋体"/>
          <w:b/>
          <w:color w:val="auto"/>
          <w:sz w:val="30"/>
          <w:szCs w:val="30"/>
          <w:highlight w:val="none"/>
        </w:rPr>
      </w:pPr>
      <w:r>
        <w:rPr>
          <w:rFonts w:hint="eastAsia" w:ascii="宋体" w:hAnsi="宋体" w:cs="宋体"/>
          <w:b/>
          <w:color w:val="auto"/>
          <w:sz w:val="30"/>
          <w:szCs w:val="30"/>
          <w:highlight w:val="none"/>
          <w:lang w:bidi="ar"/>
        </w:rPr>
        <w:t xml:space="preserve">一、广西壮族自治区政府采购合同书 </w:t>
      </w:r>
    </w:p>
    <w:p w14:paraId="1A8F8004">
      <w:pPr>
        <w:rPr>
          <w:rFonts w:hint="eastAsia" w:ascii="宋体" w:hAnsi="宋体" w:cs="宋体"/>
          <w:b/>
          <w:color w:val="auto"/>
          <w:sz w:val="30"/>
          <w:szCs w:val="30"/>
          <w:highlight w:val="none"/>
        </w:rPr>
      </w:pPr>
      <w:r>
        <w:rPr>
          <w:rFonts w:hint="eastAsia" w:ascii="宋体" w:hAnsi="宋体" w:cs="宋体"/>
          <w:b/>
          <w:color w:val="auto"/>
          <w:sz w:val="30"/>
          <w:szCs w:val="30"/>
          <w:highlight w:val="none"/>
          <w:lang w:bidi="ar"/>
        </w:rPr>
        <w:t>二、合同附件</w:t>
      </w:r>
    </w:p>
    <w:p w14:paraId="3747503A">
      <w:pPr>
        <w:pStyle w:val="33"/>
        <w:spacing w:before="0" w:beforeAutospacing="0" w:after="0" w:afterAutospacing="0" w:line="360" w:lineRule="auto"/>
        <w:ind w:firstLine="560" w:firstLineChars="200"/>
        <w:jc w:val="both"/>
        <w:rPr>
          <w:rFonts w:hint="eastAsia" w:hAnsi="宋体" w:cs="宋体"/>
          <w:color w:val="auto"/>
          <w:sz w:val="28"/>
          <w:szCs w:val="28"/>
          <w:highlight w:val="none"/>
        </w:rPr>
      </w:pPr>
      <w:r>
        <w:rPr>
          <w:rFonts w:hint="eastAsia" w:hAnsi="宋体" w:cs="宋体"/>
          <w:color w:val="auto"/>
          <w:kern w:val="2"/>
          <w:sz w:val="28"/>
          <w:szCs w:val="28"/>
          <w:highlight w:val="none"/>
          <w:lang w:bidi="ar"/>
        </w:rPr>
        <w:t>1、中标通知书</w:t>
      </w:r>
    </w:p>
    <w:p w14:paraId="376B619B">
      <w:pPr>
        <w:pStyle w:val="33"/>
        <w:spacing w:before="0" w:beforeAutospacing="0" w:after="0" w:afterAutospacing="0" w:line="360" w:lineRule="auto"/>
        <w:ind w:firstLine="560" w:firstLineChars="200"/>
        <w:jc w:val="both"/>
        <w:rPr>
          <w:rFonts w:hint="eastAsia" w:hAnsi="宋体" w:cs="宋体"/>
          <w:color w:val="auto"/>
          <w:kern w:val="2"/>
          <w:sz w:val="28"/>
          <w:szCs w:val="28"/>
          <w:highlight w:val="none"/>
          <w:lang w:bidi="ar"/>
        </w:rPr>
      </w:pPr>
      <w:r>
        <w:rPr>
          <w:rFonts w:hint="eastAsia" w:hAnsi="宋体" w:cs="宋体"/>
          <w:color w:val="auto"/>
          <w:kern w:val="2"/>
          <w:sz w:val="28"/>
          <w:szCs w:val="28"/>
          <w:highlight w:val="none"/>
          <w:lang w:bidi="ar"/>
        </w:rPr>
        <w:t>2、招标项目采购需求</w:t>
      </w:r>
    </w:p>
    <w:p w14:paraId="2CC466AE">
      <w:pPr>
        <w:pStyle w:val="33"/>
        <w:spacing w:before="0" w:beforeAutospacing="0" w:after="0" w:afterAutospacing="0" w:line="360" w:lineRule="auto"/>
        <w:ind w:firstLine="560" w:firstLineChars="200"/>
        <w:jc w:val="both"/>
        <w:rPr>
          <w:rFonts w:hint="eastAsia" w:hAnsi="宋体" w:cs="宋体"/>
          <w:color w:val="auto"/>
          <w:kern w:val="2"/>
          <w:sz w:val="28"/>
          <w:szCs w:val="28"/>
          <w:highlight w:val="none"/>
          <w:lang w:bidi="ar"/>
        </w:rPr>
      </w:pPr>
      <w:r>
        <w:rPr>
          <w:rFonts w:hint="eastAsia" w:hAnsi="宋体" w:cs="宋体"/>
          <w:color w:val="auto"/>
          <w:kern w:val="2"/>
          <w:sz w:val="28"/>
          <w:szCs w:val="28"/>
          <w:highlight w:val="none"/>
          <w:lang w:bidi="ar"/>
        </w:rPr>
        <w:t>3、招标文件的澄清和修改（如有请提供）</w:t>
      </w:r>
    </w:p>
    <w:p w14:paraId="0B7269F8">
      <w:pPr>
        <w:pStyle w:val="33"/>
        <w:spacing w:line="360" w:lineRule="auto"/>
        <w:ind w:firstLine="560"/>
        <w:rPr>
          <w:rFonts w:hint="eastAsia" w:ascii="宋体" w:hAnsi="宋体" w:cs="宋体"/>
          <w:color w:val="auto"/>
          <w:kern w:val="2"/>
          <w:sz w:val="28"/>
          <w:szCs w:val="28"/>
          <w:highlight w:val="none"/>
          <w:lang w:bidi="ar"/>
        </w:rPr>
      </w:pPr>
      <w:r>
        <w:rPr>
          <w:rFonts w:hint="eastAsia" w:ascii="宋体" w:hAnsi="宋体" w:cs="宋体"/>
          <w:color w:val="auto"/>
          <w:spacing w:val="0"/>
          <w:kern w:val="2"/>
          <w:sz w:val="28"/>
          <w:szCs w:val="28"/>
          <w:highlight w:val="none"/>
          <w:lang w:bidi="ar"/>
        </w:rPr>
        <w:t>4、</w:t>
      </w:r>
      <w:r>
        <w:rPr>
          <w:rFonts w:hint="eastAsia" w:ascii="宋体" w:hAnsi="宋体" w:cs="宋体"/>
          <w:color w:val="auto"/>
          <w:kern w:val="2"/>
          <w:sz w:val="28"/>
          <w:szCs w:val="28"/>
          <w:highlight w:val="none"/>
          <w:lang w:bidi="ar"/>
        </w:rPr>
        <w:t>资格声明函</w:t>
      </w:r>
    </w:p>
    <w:p w14:paraId="1B4A8541">
      <w:pPr>
        <w:pStyle w:val="33"/>
        <w:spacing w:before="0" w:beforeAutospacing="0" w:after="0" w:afterAutospacing="0" w:line="360" w:lineRule="auto"/>
        <w:ind w:firstLine="560" w:firstLineChars="200"/>
        <w:jc w:val="both"/>
        <w:rPr>
          <w:rFonts w:hint="eastAsia" w:hAnsi="宋体" w:cs="宋体"/>
          <w:color w:val="auto"/>
          <w:kern w:val="2"/>
          <w:sz w:val="28"/>
          <w:szCs w:val="28"/>
          <w:highlight w:val="none"/>
          <w:lang w:bidi="ar"/>
        </w:rPr>
      </w:pPr>
      <w:r>
        <w:rPr>
          <w:rFonts w:hint="eastAsia" w:hAnsi="宋体" w:cs="宋体"/>
          <w:color w:val="auto"/>
          <w:kern w:val="2"/>
          <w:sz w:val="28"/>
          <w:szCs w:val="28"/>
          <w:highlight w:val="none"/>
          <w:lang w:bidi="ar"/>
        </w:rPr>
        <w:t>5、开标一览表</w:t>
      </w:r>
    </w:p>
    <w:p w14:paraId="08E2F534">
      <w:pPr>
        <w:pStyle w:val="33"/>
        <w:spacing w:before="0" w:beforeAutospacing="0" w:after="0" w:afterAutospacing="0" w:line="360" w:lineRule="auto"/>
        <w:ind w:firstLine="560" w:firstLineChars="200"/>
        <w:jc w:val="both"/>
        <w:rPr>
          <w:rFonts w:hint="eastAsia" w:hAnsi="宋体" w:cs="宋体"/>
          <w:color w:val="auto"/>
          <w:kern w:val="2"/>
          <w:sz w:val="28"/>
          <w:szCs w:val="28"/>
          <w:highlight w:val="none"/>
          <w:lang w:bidi="ar"/>
        </w:rPr>
      </w:pPr>
      <w:r>
        <w:rPr>
          <w:rFonts w:hint="eastAsia" w:hAnsi="宋体" w:cs="宋体"/>
          <w:color w:val="auto"/>
          <w:kern w:val="2"/>
          <w:sz w:val="28"/>
          <w:szCs w:val="28"/>
          <w:highlight w:val="none"/>
          <w:lang w:bidi="ar"/>
        </w:rPr>
        <w:t>6、商务条款偏离表</w:t>
      </w:r>
    </w:p>
    <w:p w14:paraId="5012E9D0">
      <w:pPr>
        <w:pStyle w:val="33"/>
        <w:spacing w:before="0" w:beforeAutospacing="0" w:after="0" w:afterAutospacing="0" w:line="360" w:lineRule="auto"/>
        <w:ind w:firstLine="560" w:firstLineChars="200"/>
        <w:jc w:val="both"/>
        <w:rPr>
          <w:rFonts w:hint="eastAsia" w:hAnsi="宋体" w:cs="宋体"/>
          <w:color w:val="auto"/>
          <w:kern w:val="2"/>
          <w:sz w:val="28"/>
          <w:szCs w:val="28"/>
          <w:highlight w:val="none"/>
          <w:lang w:bidi="ar"/>
        </w:rPr>
      </w:pPr>
      <w:r>
        <w:rPr>
          <w:rFonts w:hint="eastAsia" w:hAnsi="宋体" w:cs="宋体"/>
          <w:color w:val="auto"/>
          <w:kern w:val="2"/>
          <w:sz w:val="28"/>
          <w:szCs w:val="28"/>
          <w:highlight w:val="none"/>
          <w:lang w:bidi="ar"/>
        </w:rPr>
        <w:t>7、服务需求偏离表</w:t>
      </w:r>
    </w:p>
    <w:p w14:paraId="14FC0E71">
      <w:pPr>
        <w:pStyle w:val="33"/>
        <w:spacing w:before="0" w:beforeAutospacing="0" w:after="0" w:afterAutospacing="0" w:line="360" w:lineRule="auto"/>
        <w:ind w:firstLine="560" w:firstLineChars="200"/>
        <w:jc w:val="both"/>
        <w:rPr>
          <w:rFonts w:hint="eastAsia" w:hAnsi="宋体" w:cs="宋体"/>
          <w:color w:val="auto"/>
          <w:kern w:val="2"/>
          <w:sz w:val="28"/>
          <w:szCs w:val="28"/>
          <w:highlight w:val="none"/>
          <w:lang w:bidi="ar"/>
        </w:rPr>
      </w:pPr>
      <w:r>
        <w:rPr>
          <w:rFonts w:hint="eastAsia" w:hAnsi="宋体" w:cs="宋体"/>
          <w:color w:val="auto"/>
          <w:kern w:val="2"/>
          <w:sz w:val="28"/>
          <w:szCs w:val="28"/>
          <w:highlight w:val="none"/>
          <w:lang w:bidi="ar"/>
        </w:rPr>
        <w:t>8、售后服务承诺</w:t>
      </w:r>
    </w:p>
    <w:p w14:paraId="7B38D814">
      <w:pPr>
        <w:pStyle w:val="33"/>
        <w:spacing w:before="0" w:beforeAutospacing="0" w:after="0" w:afterAutospacing="0" w:line="360" w:lineRule="auto"/>
        <w:ind w:firstLine="560" w:firstLineChars="200"/>
        <w:jc w:val="both"/>
        <w:rPr>
          <w:rFonts w:hint="eastAsia" w:hAnsi="宋体" w:cs="宋体"/>
          <w:color w:val="auto"/>
          <w:sz w:val="28"/>
          <w:szCs w:val="28"/>
          <w:highlight w:val="none"/>
        </w:rPr>
      </w:pPr>
      <w:r>
        <w:rPr>
          <w:rFonts w:hint="eastAsia" w:hAnsi="宋体" w:cs="宋体"/>
          <w:color w:val="auto"/>
          <w:kern w:val="2"/>
          <w:sz w:val="28"/>
          <w:szCs w:val="28"/>
          <w:highlight w:val="none"/>
          <w:lang w:bidi="ar"/>
        </w:rPr>
        <w:t>9、中标供应商澄清函（如有请提</w:t>
      </w:r>
      <w:r>
        <w:rPr>
          <w:rFonts w:hint="eastAsia" w:hAnsi="宋体" w:cs="宋体"/>
          <w:color w:val="auto"/>
          <w:kern w:val="2"/>
          <w:sz w:val="30"/>
          <w:szCs w:val="30"/>
          <w:highlight w:val="none"/>
          <w:lang w:bidi="ar"/>
        </w:rPr>
        <w:t>供</w:t>
      </w:r>
      <w:r>
        <w:rPr>
          <w:rFonts w:hint="eastAsia" w:hAnsi="宋体" w:cs="宋体"/>
          <w:color w:val="auto"/>
          <w:kern w:val="2"/>
          <w:sz w:val="28"/>
          <w:szCs w:val="28"/>
          <w:highlight w:val="none"/>
          <w:lang w:bidi="ar"/>
        </w:rPr>
        <w:t>）</w:t>
      </w:r>
    </w:p>
    <w:p w14:paraId="2C492D65">
      <w:pPr>
        <w:ind w:firstLine="560" w:firstLineChars="200"/>
        <w:rPr>
          <w:rFonts w:hint="eastAsia" w:ascii="宋体" w:hAnsi="宋体" w:cs="宋体"/>
          <w:color w:val="auto"/>
          <w:szCs w:val="21"/>
          <w:highlight w:val="none"/>
        </w:rPr>
      </w:pPr>
      <w:r>
        <w:rPr>
          <w:rFonts w:hint="eastAsia" w:ascii="宋体" w:hAnsi="宋体" w:cs="宋体"/>
          <w:color w:val="auto"/>
          <w:sz w:val="28"/>
          <w:szCs w:val="28"/>
          <w:highlight w:val="none"/>
          <w:lang w:bidi="ar"/>
        </w:rPr>
        <w:t>10、其他与本合同相关的资料（如有请提</w:t>
      </w:r>
      <w:r>
        <w:rPr>
          <w:rFonts w:hint="eastAsia" w:ascii="宋体" w:hAnsi="宋体" w:cs="宋体"/>
          <w:color w:val="auto"/>
          <w:sz w:val="30"/>
          <w:szCs w:val="30"/>
          <w:highlight w:val="none"/>
          <w:lang w:bidi="ar"/>
        </w:rPr>
        <w:t>供</w:t>
      </w:r>
      <w:r>
        <w:rPr>
          <w:rFonts w:hint="eastAsia" w:ascii="宋体" w:hAnsi="宋体" w:cs="宋体"/>
          <w:color w:val="auto"/>
          <w:sz w:val="28"/>
          <w:szCs w:val="28"/>
          <w:highlight w:val="none"/>
          <w:lang w:bidi="ar"/>
        </w:rPr>
        <w:t>）</w:t>
      </w:r>
    </w:p>
    <w:p w14:paraId="4D03B913">
      <w:pPr>
        <w:pStyle w:val="20"/>
        <w:spacing w:line="720" w:lineRule="auto"/>
        <w:jc w:val="center"/>
        <w:rPr>
          <w:rFonts w:hint="eastAsia" w:hAnsi="宋体" w:cs="宋体"/>
          <w:b/>
          <w:bCs/>
          <w:color w:val="auto"/>
          <w:sz w:val="32"/>
          <w:szCs w:val="32"/>
          <w:highlight w:val="none"/>
        </w:rPr>
      </w:pPr>
    </w:p>
    <w:p w14:paraId="5C7EDDDD">
      <w:pPr>
        <w:snapToGrid w:val="0"/>
        <w:spacing w:line="400" w:lineRule="exact"/>
        <w:jc w:val="center"/>
        <w:rPr>
          <w:rFonts w:hint="eastAsia" w:ascii="宋体" w:hAnsi="宋体" w:eastAsia="宋体" w:cs="宋体"/>
          <w:b/>
          <w:bCs/>
          <w:color w:val="auto"/>
          <w:sz w:val="32"/>
          <w:szCs w:val="32"/>
          <w:highlight w:val="none"/>
        </w:rPr>
      </w:pPr>
      <w:r>
        <w:rPr>
          <w:rFonts w:hint="eastAsia" w:hAnsi="宋体" w:cs="宋体"/>
          <w:b/>
          <w:bCs/>
          <w:color w:val="auto"/>
          <w:sz w:val="32"/>
          <w:szCs w:val="32"/>
          <w:highlight w:val="none"/>
        </w:rPr>
        <w:br w:type="page"/>
      </w:r>
      <w:r>
        <w:rPr>
          <w:rFonts w:hint="eastAsia" w:ascii="宋体" w:hAnsi="宋体" w:eastAsia="宋体" w:cs="宋体"/>
          <w:b/>
          <w:bCs/>
          <w:color w:val="auto"/>
          <w:sz w:val="32"/>
          <w:szCs w:val="32"/>
          <w:highlight w:val="none"/>
        </w:rPr>
        <w:t>《采购合同》</w:t>
      </w:r>
    </w:p>
    <w:p w14:paraId="0F7F24E4">
      <w:pPr>
        <w:snapToGrid w:val="0"/>
        <w:spacing w:line="400" w:lineRule="exact"/>
        <w:ind w:right="480" w:firstLine="5250" w:firstLineChars="2500"/>
        <w:rPr>
          <w:rFonts w:hint="eastAsia" w:ascii="宋体" w:hAnsi="宋体" w:eastAsia="宋体" w:cs="宋体"/>
          <w:bCs/>
          <w:color w:val="auto"/>
          <w:szCs w:val="21"/>
          <w:highlight w:val="none"/>
        </w:rPr>
      </w:pPr>
    </w:p>
    <w:p w14:paraId="6BA697D1">
      <w:pPr>
        <w:keepNext w:val="0"/>
        <w:keepLines w:val="0"/>
        <w:pageBreakBefore w:val="0"/>
        <w:widowControl w:val="0"/>
        <w:kinsoku/>
        <w:wordWrap/>
        <w:overflowPunct/>
        <w:topLinePunct w:val="0"/>
        <w:autoSpaceDE/>
        <w:autoSpaceDN/>
        <w:bidi w:val="0"/>
        <w:adjustRightInd/>
        <w:snapToGrid/>
        <w:spacing w:line="480" w:lineRule="exact"/>
        <w:ind w:right="8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采购计划号：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bCs/>
          <w:color w:val="auto"/>
          <w:szCs w:val="21"/>
          <w:highlight w:val="none"/>
        </w:rPr>
        <w:t>合同编号：</w:t>
      </w:r>
      <w:r>
        <w:rPr>
          <w:rFonts w:hint="eastAsia" w:ascii="宋体" w:hAnsi="宋体" w:eastAsia="宋体" w:cs="宋体"/>
          <w:color w:val="auto"/>
          <w:szCs w:val="21"/>
          <w:highlight w:val="none"/>
          <w:u w:val="single"/>
        </w:rPr>
        <w:t xml:space="preserve">                  </w:t>
      </w:r>
    </w:p>
    <w:p w14:paraId="449DCE0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采购人（甲方）：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供应商（乙方）：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47995F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项目编号：</w:t>
      </w:r>
      <w:r>
        <w:rPr>
          <w:rFonts w:hint="eastAsia" w:ascii="宋体" w:hAnsi="宋体" w:eastAsia="宋体" w:cs="宋体"/>
          <w:color w:val="auto"/>
          <w:szCs w:val="21"/>
          <w:highlight w:val="none"/>
          <w:u w:val="single"/>
        </w:rPr>
        <w:t xml:space="preserve">                          </w:t>
      </w:r>
    </w:p>
    <w:p w14:paraId="63A1D49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签订地点：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签订时间：</w:t>
      </w:r>
      <w:r>
        <w:rPr>
          <w:rFonts w:hint="eastAsia" w:ascii="宋体" w:hAnsi="宋体" w:eastAsia="宋体" w:cs="宋体"/>
          <w:color w:val="auto"/>
          <w:szCs w:val="21"/>
          <w:highlight w:val="none"/>
          <w:u w:val="single"/>
        </w:rPr>
        <w:t xml:space="preserve">                        </w:t>
      </w:r>
    </w:p>
    <w:p w14:paraId="355C6BD1">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color w:val="auto"/>
          <w:szCs w:val="21"/>
          <w:highlight w:val="none"/>
        </w:rPr>
      </w:pPr>
    </w:p>
    <w:p w14:paraId="593361FC">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根据《中华人民共和国政府采购法》、《中华人民共和国</w:t>
      </w:r>
      <w:r>
        <w:rPr>
          <w:rFonts w:hint="eastAsia" w:ascii="宋体" w:hAnsi="宋体" w:eastAsia="宋体" w:cs="宋体"/>
          <w:color w:val="auto"/>
          <w:szCs w:val="21"/>
          <w:highlight w:val="none"/>
          <w:lang w:eastAsia="zh-CN"/>
        </w:rPr>
        <w:t>民法典</w:t>
      </w:r>
      <w:r>
        <w:rPr>
          <w:rFonts w:hint="eastAsia" w:ascii="宋体" w:hAnsi="宋体" w:eastAsia="宋体" w:cs="宋体"/>
          <w:color w:val="auto"/>
          <w:szCs w:val="21"/>
          <w:highlight w:val="none"/>
        </w:rPr>
        <w:t>》等法律、法规规定，按照招标文件（采购文件）规定条款和中标（成交）供应商承诺，甲乙双方签订本合同。</w:t>
      </w:r>
    </w:p>
    <w:p w14:paraId="45515A7C">
      <w:pPr>
        <w:keepNext w:val="0"/>
        <w:keepLines w:val="0"/>
        <w:pageBreakBefore w:val="0"/>
        <w:widowControl w:val="0"/>
        <w:kinsoku/>
        <w:wordWrap/>
        <w:overflowPunct/>
        <w:topLinePunct w:val="0"/>
        <w:autoSpaceDE/>
        <w:autoSpaceDN/>
        <w:bidi w:val="0"/>
        <w:adjustRightInd/>
        <w:snapToGri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第一条　合同标的</w:t>
      </w:r>
    </w:p>
    <w:p w14:paraId="46F6899E">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项目一览表</w:t>
      </w:r>
    </w:p>
    <w:tbl>
      <w:tblPr>
        <w:tblStyle w:val="39"/>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613"/>
        <w:gridCol w:w="1320"/>
        <w:gridCol w:w="1200"/>
        <w:gridCol w:w="1300"/>
        <w:gridCol w:w="1207"/>
      </w:tblGrid>
      <w:tr w14:paraId="5B34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5514E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613" w:type="dxa"/>
            <w:tcBorders>
              <w:top w:val="single" w:color="auto" w:sz="4" w:space="0"/>
              <w:left w:val="single" w:color="auto" w:sz="4" w:space="0"/>
              <w:bottom w:val="single" w:color="auto" w:sz="4" w:space="0"/>
              <w:right w:val="single" w:color="auto" w:sz="4" w:space="0"/>
            </w:tcBorders>
            <w:noWrap w:val="0"/>
            <w:vAlign w:val="center"/>
          </w:tcPr>
          <w:p w14:paraId="77464E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标的名称</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04939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833D7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63A7A1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p w14:paraId="599908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196DDA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p w14:paraId="1E382D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（元）</w:t>
            </w:r>
          </w:p>
        </w:tc>
      </w:tr>
      <w:tr w14:paraId="0869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C61FC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c>
          <w:tcPr>
            <w:tcW w:w="3613" w:type="dxa"/>
            <w:tcBorders>
              <w:top w:val="single" w:color="auto" w:sz="4" w:space="0"/>
              <w:left w:val="single" w:color="auto" w:sz="4" w:space="0"/>
              <w:bottom w:val="single" w:color="auto" w:sz="4" w:space="0"/>
              <w:right w:val="single" w:color="auto" w:sz="4" w:space="0"/>
            </w:tcBorders>
            <w:noWrap w:val="0"/>
            <w:vAlign w:val="center"/>
          </w:tcPr>
          <w:p w14:paraId="73D430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55ABC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BB005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148DB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08B653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r>
      <w:tr w14:paraId="04D91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5CD1CB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r>
      <w:tr w14:paraId="5D10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0F603B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人民币合计金额（大写）：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tc>
      </w:tr>
    </w:tbl>
    <w:p w14:paraId="2B9CBD5C">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合同合计金额</w:t>
      </w:r>
      <w:r>
        <w:rPr>
          <w:rFonts w:hint="eastAsia" w:ascii="宋体" w:hAnsi="宋体" w:eastAsia="宋体" w:cs="宋体"/>
          <w:color w:val="auto"/>
          <w:spacing w:val="-2"/>
          <w:sz w:val="21"/>
          <w:szCs w:val="21"/>
          <w:highlight w:val="none"/>
        </w:rPr>
        <w:t>包含本次采购范围内提供的服务、所涉及的人员劳务费、差旅费、履约验收、</w:t>
      </w:r>
      <w:r>
        <w:rPr>
          <w:rFonts w:hint="eastAsia" w:ascii="宋体" w:hAnsi="宋体" w:eastAsia="宋体" w:cs="宋体"/>
          <w:color w:val="auto"/>
          <w:spacing w:val="-3"/>
          <w:sz w:val="21"/>
          <w:szCs w:val="21"/>
          <w:highlight w:val="none"/>
        </w:rPr>
        <w:t>第三方风险管理服务费、培训及技术资料、代理服务费及其它所有成本费用的总和，在合同实施</w:t>
      </w:r>
      <w:r>
        <w:rPr>
          <w:rFonts w:hint="eastAsia" w:ascii="宋体" w:hAnsi="宋体" w:eastAsia="宋体" w:cs="宋体"/>
          <w:color w:val="auto"/>
          <w:sz w:val="21"/>
          <w:szCs w:val="21"/>
          <w:highlight w:val="none"/>
        </w:rPr>
        <w:t>时，甲方将不予支付乙方没有列入的项目费用，并认为此项目的费用已包括在总报</w:t>
      </w:r>
      <w:r>
        <w:rPr>
          <w:rFonts w:hint="eastAsia" w:ascii="宋体" w:hAnsi="宋体" w:eastAsia="宋体" w:cs="宋体"/>
          <w:color w:val="auto"/>
          <w:spacing w:val="-1"/>
          <w:sz w:val="21"/>
          <w:szCs w:val="21"/>
          <w:highlight w:val="none"/>
        </w:rPr>
        <w:t>价中。</w:t>
      </w:r>
    </w:p>
    <w:p w14:paraId="27825CCF">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第二条　质量保证</w:t>
      </w:r>
    </w:p>
    <w:p w14:paraId="64056A84">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乙方所提供的服务及服务内容必须与投标文件承诺相一致，有国家强制性标准的，还必须符合国家强制性标准的规定，没有国家强制性标准但有其他强制性标准的，必须符合其他强制性标准的规定。</w:t>
      </w:r>
    </w:p>
    <w:p w14:paraId="0355196C">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第三条　权利保证</w:t>
      </w:r>
    </w:p>
    <w:p w14:paraId="4CD4D682">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乙方应保证所提供服务在使用时不会侵犯任何第三方的专利权、商标权、工业设计权等知识产权及其他合法权利，且所有权、处分权等没有受到任何限制。</w:t>
      </w:r>
    </w:p>
    <w:p w14:paraId="0CB73584">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没有甲方事先书面同意，乙方不得将由甲方提供的有关合同或者任何合同条文或者资料提供给与履行本合同无关的任何其他人。即使向履行本合同有关的人员提供，也应注意保密并限于履行合同的必需范围。乙方的保密义务持续有效，不因本合同履行终止、解除或者无效而解除。</w:t>
      </w:r>
    </w:p>
    <w:p w14:paraId="580E3162">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第四条　交付和验收</w:t>
      </w:r>
    </w:p>
    <w:p w14:paraId="631E1DE7">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lang w:val="en-US" w:eastAsia="zh-CN"/>
        </w:rPr>
        <w:t>保险</w:t>
      </w:r>
      <w:r>
        <w:rPr>
          <w:rFonts w:hint="eastAsia" w:ascii="宋体" w:hAnsi="宋体" w:eastAsia="宋体" w:cs="宋体"/>
          <w:color w:val="auto"/>
          <w:szCs w:val="21"/>
          <w:highlight w:val="none"/>
        </w:rPr>
        <w:t>期限：</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，服务地点：广西辖区内甲方指定地点。</w:t>
      </w:r>
    </w:p>
    <w:p w14:paraId="0C7CFD73">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乙方应按投标文件的承诺向甲方提供相应的服务，并提供所服务内容的相关技术资料。</w:t>
      </w:r>
    </w:p>
    <w:p w14:paraId="456DC96C">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乙方提供不符合投标文件和本合同规定的服务成果，甲方有权拒绝接受。</w:t>
      </w:r>
    </w:p>
    <w:p w14:paraId="12728641">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eastAsia="宋体" w:cs="宋体"/>
          <w:color w:val="auto"/>
          <w:szCs w:val="21"/>
          <w:highlight w:val="none"/>
        </w:rPr>
        <w:t>乙方</w:t>
      </w:r>
      <w:r>
        <w:rPr>
          <w:rFonts w:hint="eastAsia" w:ascii="宋体" w:hAnsi="宋体" w:eastAsia="宋体" w:cs="宋体"/>
          <w:color w:val="auto"/>
          <w:spacing w:val="-4"/>
          <w:sz w:val="21"/>
          <w:szCs w:val="21"/>
          <w:highlight w:val="none"/>
        </w:rPr>
        <w:t>出具投保单</w:t>
      </w:r>
      <w:r>
        <w:rPr>
          <w:rFonts w:hint="eastAsia" w:ascii="宋体" w:hAnsi="宋体" w:eastAsia="宋体" w:cs="宋体"/>
          <w:color w:val="auto"/>
          <w:szCs w:val="21"/>
          <w:highlight w:val="none"/>
        </w:rPr>
        <w:t>及时书面通知甲方进行验收，甲方应在收到通知后七个工作日内进行验收，逾期不开始验收的，乙方可视同验收合格。验收合格后由甲乙双方签署验收单并加盖采购人公章，甲乙双方各执一份。</w:t>
      </w:r>
    </w:p>
    <w:p w14:paraId="26A6CC1F">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eastAsia="宋体" w:cs="宋体"/>
          <w:color w:val="auto"/>
          <w:szCs w:val="21"/>
          <w:highlight w:val="none"/>
        </w:rPr>
        <w:t>甲乙双方应按照《广西壮族自治区政府采购项目履约验收管理办法》、双方合同、投标文件验收。</w:t>
      </w:r>
    </w:p>
    <w:p w14:paraId="1F02F1F9">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eastAsia="宋体" w:cs="宋体"/>
          <w:color w:val="auto"/>
          <w:szCs w:val="21"/>
          <w:highlight w:val="none"/>
        </w:rPr>
        <w:t>甲方在初步验收或者最终验收过程中如发现乙方提供的</w:t>
      </w:r>
      <w:r>
        <w:rPr>
          <w:rFonts w:hint="eastAsia" w:ascii="宋体" w:hAnsi="宋体" w:eastAsia="宋体" w:cs="宋体"/>
          <w:color w:val="auto"/>
          <w:spacing w:val="-4"/>
          <w:sz w:val="21"/>
          <w:szCs w:val="21"/>
          <w:highlight w:val="none"/>
        </w:rPr>
        <w:t>投保单</w:t>
      </w:r>
      <w:r>
        <w:rPr>
          <w:rFonts w:hint="eastAsia" w:ascii="宋体" w:hAnsi="宋体" w:eastAsia="宋体" w:cs="宋体"/>
          <w:color w:val="auto"/>
          <w:szCs w:val="21"/>
          <w:highlight w:val="none"/>
        </w:rPr>
        <w:t>不满足投标文件及本合同规定的，可暂缓向乙方付款，直到乙方及时完善并提交相应的</w:t>
      </w:r>
      <w:r>
        <w:rPr>
          <w:rFonts w:hint="eastAsia" w:ascii="宋体" w:hAnsi="宋体" w:eastAsia="宋体" w:cs="宋体"/>
          <w:color w:val="auto"/>
          <w:spacing w:val="-4"/>
          <w:sz w:val="21"/>
          <w:szCs w:val="21"/>
          <w:highlight w:val="none"/>
        </w:rPr>
        <w:t>投保单</w:t>
      </w:r>
      <w:r>
        <w:rPr>
          <w:rFonts w:hint="eastAsia" w:ascii="宋体" w:hAnsi="宋体" w:eastAsia="宋体" w:cs="宋体"/>
          <w:color w:val="auto"/>
          <w:szCs w:val="21"/>
          <w:highlight w:val="none"/>
        </w:rPr>
        <w:t>且经甲方验收合格后，方可办理付款。</w:t>
      </w:r>
    </w:p>
    <w:p w14:paraId="5ED6FA32">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7.</w:t>
      </w:r>
      <w:r>
        <w:rPr>
          <w:rFonts w:hint="eastAsia" w:ascii="宋体" w:hAnsi="宋体" w:eastAsia="宋体" w:cs="宋体"/>
          <w:color w:val="auto"/>
          <w:szCs w:val="21"/>
          <w:highlight w:val="none"/>
        </w:rPr>
        <w:t>甲方验收时以书面形式提出异议的，乙方应自收到甲方书面异议后五个工作日内及时予以解决，否则甲方有权不出具服务验收合格单。</w:t>
      </w:r>
    </w:p>
    <w:p w14:paraId="1C676BE1">
      <w:pPr>
        <w:keepNext w:val="0"/>
        <w:keepLines w:val="0"/>
        <w:pageBreakBefore w:val="0"/>
        <w:widowControl w:val="0"/>
        <w:kinsoku/>
        <w:wordWrap/>
        <w:overflowPunct/>
        <w:topLinePunct w:val="0"/>
        <w:autoSpaceDE/>
        <w:autoSpaceDN/>
        <w:bidi w:val="0"/>
        <w:adjustRightInd/>
        <w:snapToGrid w:val="0"/>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第五条  服务及培训</w:t>
      </w:r>
    </w:p>
    <w:p w14:paraId="2E449712">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乙方应按照国家有关法律法规和本合同所附的《服务承诺》要求为甲方提供相应的服务。</w:t>
      </w:r>
    </w:p>
    <w:p w14:paraId="39BE8E26">
      <w:pPr>
        <w:keepNext w:val="0"/>
        <w:keepLines w:val="0"/>
        <w:pageBreakBefore w:val="0"/>
        <w:widowControl w:val="0"/>
        <w:kinsoku/>
        <w:wordWrap/>
        <w:overflowPunct/>
        <w:topLinePunct w:val="0"/>
        <w:autoSpaceDE/>
        <w:autoSpaceDN/>
        <w:bidi w:val="0"/>
        <w:adjustRightInd/>
        <w:snapToGrid w:val="0"/>
        <w:spacing w:line="480" w:lineRule="exact"/>
        <w:ind w:firstLine="422" w:firstLineChars="200"/>
        <w:textAlignment w:val="auto"/>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第六条　付款方式</w:t>
      </w:r>
    </w:p>
    <w:p w14:paraId="17FB7D98">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b w:val="0"/>
          <w:bCs/>
          <w:color w:val="auto"/>
          <w:szCs w:val="21"/>
          <w:highlight w:val="none"/>
          <w:u w:val="single"/>
        </w:rPr>
      </w:pPr>
      <w:r>
        <w:rPr>
          <w:rFonts w:hint="eastAsia" w:ascii="宋体" w:hAnsi="宋体" w:eastAsia="宋体" w:cs="宋体"/>
          <w:b w:val="0"/>
          <w:bCs/>
          <w:color w:val="auto"/>
          <w:szCs w:val="21"/>
          <w:highlight w:val="none"/>
          <w:u w:val="single"/>
        </w:rPr>
        <w:t xml:space="preserve">自治区本级财政保险费资金由自治区计划生育协会一次性支付给中标人。 </w:t>
      </w:r>
    </w:p>
    <w:p w14:paraId="1B999E29">
      <w:pPr>
        <w:keepNext w:val="0"/>
        <w:keepLines w:val="0"/>
        <w:pageBreakBefore w:val="0"/>
        <w:widowControl w:val="0"/>
        <w:kinsoku/>
        <w:wordWrap/>
        <w:overflowPunct/>
        <w:topLinePunct w:val="0"/>
        <w:autoSpaceDE/>
        <w:autoSpaceDN/>
        <w:bidi w:val="0"/>
        <w:adjustRightInd/>
        <w:snapToGrid w:val="0"/>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履约保证金</w:t>
      </w:r>
    </w:p>
    <w:p w14:paraId="1539D118">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b w:val="0"/>
          <w:bCs/>
          <w:color w:val="auto"/>
          <w:szCs w:val="21"/>
          <w:highlight w:val="none"/>
          <w:u w:val="single"/>
        </w:rPr>
      </w:pPr>
      <w:r>
        <w:rPr>
          <w:rFonts w:hint="eastAsia" w:ascii="宋体" w:hAnsi="宋体" w:eastAsia="宋体" w:cs="宋体"/>
          <w:b w:val="0"/>
          <w:bCs/>
          <w:color w:val="auto"/>
          <w:szCs w:val="21"/>
          <w:highlight w:val="none"/>
          <w:u w:val="single"/>
        </w:rPr>
        <w:t>履约保证金金额：按中标金额的2%（注：中小企业履约保证金不超过政府采购合同金额的2%）。【</w:t>
      </w:r>
      <w:r>
        <w:rPr>
          <w:rFonts w:hint="eastAsia" w:ascii="宋体" w:hAnsi="宋体" w:cs="宋体"/>
          <w:b w:val="0"/>
          <w:bCs/>
          <w:color w:val="auto"/>
          <w:szCs w:val="21"/>
          <w:highlight w:val="none"/>
          <w:u w:val="single"/>
          <w:lang w:eastAsia="zh-CN"/>
        </w:rPr>
        <w:t>中标人可以选择</w:t>
      </w:r>
      <w:r>
        <w:rPr>
          <w:rFonts w:hint="eastAsia" w:ascii="宋体" w:hAnsi="宋体" w:cs="宋体"/>
          <w:b w:val="0"/>
          <w:bCs/>
          <w:color w:val="auto"/>
          <w:szCs w:val="21"/>
          <w:highlight w:val="none"/>
          <w:u w:val="single"/>
          <w:lang w:val="en-US" w:eastAsia="zh-CN"/>
        </w:rPr>
        <w:t>:</w:t>
      </w:r>
      <w:r>
        <w:rPr>
          <w:rFonts w:hint="eastAsia" w:ascii="宋体" w:hAnsi="宋体" w:cs="宋体"/>
          <w:b w:val="0"/>
          <w:bCs/>
          <w:color w:val="auto"/>
          <w:szCs w:val="21"/>
          <w:highlight w:val="none"/>
          <w:u w:val="single"/>
          <w:lang w:eastAsia="zh-CN"/>
        </w:rPr>
        <w:t>按</w:t>
      </w:r>
      <w:r>
        <w:rPr>
          <w:rFonts w:hint="eastAsia" w:ascii="宋体" w:hAnsi="宋体" w:eastAsia="宋体" w:cs="宋体"/>
          <w:b w:val="0"/>
          <w:bCs/>
          <w:color w:val="auto"/>
          <w:szCs w:val="21"/>
          <w:highlight w:val="none"/>
          <w:u w:val="single"/>
        </w:rPr>
        <w:t>合同</w:t>
      </w:r>
      <w:r>
        <w:rPr>
          <w:rFonts w:hint="eastAsia" w:ascii="宋体" w:hAnsi="宋体" w:cs="宋体"/>
          <w:b w:val="0"/>
          <w:bCs/>
          <w:color w:val="auto"/>
          <w:szCs w:val="21"/>
          <w:highlight w:val="none"/>
          <w:u w:val="single"/>
          <w:lang w:eastAsia="zh-CN"/>
        </w:rPr>
        <w:t>预算</w:t>
      </w:r>
      <w:r>
        <w:rPr>
          <w:rFonts w:hint="eastAsia" w:ascii="宋体" w:hAnsi="宋体" w:eastAsia="宋体" w:cs="宋体"/>
          <w:b w:val="0"/>
          <w:bCs/>
          <w:color w:val="auto"/>
          <w:szCs w:val="21"/>
          <w:highlight w:val="none"/>
          <w:u w:val="single"/>
        </w:rPr>
        <w:t>金额：1700万元</w:t>
      </w:r>
      <w:r>
        <w:rPr>
          <w:rFonts w:hint="eastAsia" w:ascii="宋体" w:hAnsi="宋体" w:cs="宋体"/>
          <w:b w:val="0"/>
          <w:bCs/>
          <w:color w:val="auto"/>
          <w:szCs w:val="21"/>
          <w:highlight w:val="none"/>
          <w:u w:val="single"/>
          <w:lang w:eastAsia="zh-CN"/>
        </w:rPr>
        <w:t>或者则实际核定人数后的合同金额计算</w:t>
      </w:r>
      <w:r>
        <w:rPr>
          <w:rFonts w:hint="eastAsia" w:ascii="宋体" w:hAnsi="宋体" w:eastAsia="宋体" w:cs="宋体"/>
          <w:b w:val="0"/>
          <w:bCs/>
          <w:color w:val="auto"/>
          <w:szCs w:val="21"/>
          <w:highlight w:val="none"/>
          <w:u w:val="single"/>
        </w:rPr>
        <w:t>】</w:t>
      </w:r>
    </w:p>
    <w:p w14:paraId="26F1AA73">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b w:val="0"/>
          <w:bCs/>
          <w:color w:val="auto"/>
          <w:szCs w:val="21"/>
          <w:highlight w:val="none"/>
          <w:u w:val="single"/>
        </w:rPr>
      </w:pPr>
      <w:r>
        <w:rPr>
          <w:rFonts w:hint="eastAsia" w:ascii="宋体" w:hAnsi="宋体" w:eastAsia="宋体" w:cs="宋体"/>
          <w:b w:val="0"/>
          <w:bCs/>
          <w:color w:val="auto"/>
          <w:szCs w:val="21"/>
          <w:highlight w:val="none"/>
          <w:u w:val="single"/>
        </w:rPr>
        <w:t>履约保证金递交方式：银行转账、支票、汇票、本票或者金融机构、担保机构出具的保函（含电子保函）等非现金方式</w:t>
      </w:r>
    </w:p>
    <w:p w14:paraId="2A4C1734">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b w:val="0"/>
          <w:bCs/>
          <w:color w:val="auto"/>
          <w:szCs w:val="21"/>
          <w:highlight w:val="none"/>
          <w:u w:val="single"/>
        </w:rPr>
      </w:pPr>
      <w:r>
        <w:rPr>
          <w:rFonts w:hint="eastAsia" w:ascii="宋体" w:hAnsi="宋体" w:eastAsia="宋体" w:cs="宋体"/>
          <w:b w:val="0"/>
          <w:bCs/>
          <w:color w:val="auto"/>
          <w:szCs w:val="21"/>
          <w:highlight w:val="none"/>
          <w:u w:val="single"/>
        </w:rPr>
        <w:t>履约保证金缴纳期限: 自中标通知书发出之日起 5日内。</w:t>
      </w:r>
    </w:p>
    <w:p w14:paraId="5AFE7CD5">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b w:val="0"/>
          <w:bCs/>
          <w:color w:val="auto"/>
          <w:szCs w:val="21"/>
          <w:highlight w:val="none"/>
          <w:u w:val="single"/>
        </w:rPr>
      </w:pPr>
      <w:r>
        <w:rPr>
          <w:rFonts w:hint="eastAsia" w:ascii="宋体" w:hAnsi="宋体" w:eastAsia="宋体" w:cs="宋体"/>
          <w:b w:val="0"/>
          <w:bCs/>
          <w:color w:val="auto"/>
          <w:szCs w:val="21"/>
          <w:highlight w:val="none"/>
          <w:u w:val="single"/>
        </w:rPr>
        <w:t>履约保证金退付方式、时间及条件：非保函方式的履约保证金在项目验收完成后无息退还。由中标人向履约保证金收取单位提供《广西壮族自治区政府采购项目合同验收书》（详见桂财采〔2015〕22号），保证金收取单位在收到合格材料后5个工作日内办理退还手续（不计利息）。</w:t>
      </w:r>
    </w:p>
    <w:p w14:paraId="73C85FDA">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b w:val="0"/>
          <w:bCs/>
          <w:color w:val="auto"/>
          <w:szCs w:val="21"/>
          <w:highlight w:val="none"/>
          <w:u w:val="single"/>
        </w:rPr>
      </w:pPr>
      <w:r>
        <w:rPr>
          <w:rFonts w:hint="eastAsia" w:ascii="宋体" w:hAnsi="宋体" w:eastAsia="宋体" w:cs="宋体"/>
          <w:b w:val="0"/>
          <w:bCs/>
          <w:color w:val="auto"/>
          <w:szCs w:val="21"/>
          <w:highlight w:val="none"/>
          <w:u w:val="single"/>
        </w:rPr>
        <w:t>不予退还的情形：签订合同后，如中标人不按双方签订的合同规定履约，则其全部履约保证金不予退还。</w:t>
      </w:r>
    </w:p>
    <w:p w14:paraId="1BA94CEB">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第八条  税费</w:t>
      </w:r>
    </w:p>
    <w:p w14:paraId="725246B2">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本合同执行中相关的一切税费均由乙方负担，合同另有约定的除外。</w:t>
      </w:r>
    </w:p>
    <w:p w14:paraId="5E03C1E2">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第九条　违约责任</w:t>
      </w:r>
    </w:p>
    <w:p w14:paraId="4BAE0639">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除不可抗力原因外，乙方没有按照合同规定的时间提供服务的，甲方可要求乙方支付违约金。每推迟一天按合同金额的3‰支付违约金，该违约金累计不超过合同金额的10%。</w:t>
      </w:r>
    </w:p>
    <w:p w14:paraId="4FC87205">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乙方提供的服务如侵犯了第三方合法权益而引发的任何纠纷或者诉讼，均由乙方负责交涉并承担全部责任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给甲方造成损失的，还应向甲方赔偿损失，损失范围包括但不限于直接经济损失及为维权所产生的交通费、诉讼费、公告费、保全保函费、律师费。</w:t>
      </w:r>
    </w:p>
    <w:p w14:paraId="43022EA3">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甲方延期付款的，每天向乙方偿付延期款额3‰滞纳金，但滞纳金累计不得超过延期款额5%。</w:t>
      </w:r>
    </w:p>
    <w:p w14:paraId="2DF49AA5">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第十条  不可抗力事件处理</w:t>
      </w:r>
    </w:p>
    <w:p w14:paraId="4C17C08B">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在合同有效期内，任何一方因不可抗力事件导致不能履行合同，则合同履行期可延长，其延长期与不可抗力影响期相同。</w:t>
      </w:r>
    </w:p>
    <w:p w14:paraId="737D729D">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不可抗力事件发生后，应立即通知对方，并寄送有关权威机构出具的证明。</w:t>
      </w:r>
    </w:p>
    <w:p w14:paraId="265B5C3B">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不可抗力事件延续一百二十天以上，双方应通过友好协商，确定是否继续履行合同。</w:t>
      </w:r>
    </w:p>
    <w:p w14:paraId="5C42B038">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第十一条  合同争议解决</w:t>
      </w:r>
    </w:p>
    <w:p w14:paraId="5076C950">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因服务质量问题发生争议的，应邀请国家认可的</w:t>
      </w:r>
      <w:r>
        <w:rPr>
          <w:rFonts w:hint="eastAsia" w:ascii="宋体" w:hAnsi="宋体" w:eastAsia="宋体" w:cs="宋体"/>
          <w:color w:val="auto"/>
          <w:szCs w:val="21"/>
          <w:highlight w:val="none"/>
          <w:lang w:val="en-US" w:eastAsia="zh-CN"/>
        </w:rPr>
        <w:t>第三方</w:t>
      </w:r>
      <w:r>
        <w:rPr>
          <w:rFonts w:hint="eastAsia" w:ascii="宋体" w:hAnsi="宋体" w:eastAsia="宋体" w:cs="宋体"/>
          <w:color w:val="auto"/>
          <w:szCs w:val="21"/>
          <w:highlight w:val="none"/>
        </w:rPr>
        <w:t>机构进行鉴定。服务符合标准的，鉴定费由甲方承担；服务不符合标准的，鉴定费由乙方承担。</w:t>
      </w:r>
    </w:p>
    <w:p w14:paraId="2B72C55B">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因履行本合同引起的或者与本合同有关的争议，甲乙双方应首先通过友好协商解决，如果协商不能解决，可向甲方所在地有管辖权人民法院提起诉讼。</w:t>
      </w:r>
    </w:p>
    <w:p w14:paraId="07CB5335">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诉讼期间，本合同继续履行。</w:t>
      </w:r>
    </w:p>
    <w:p w14:paraId="357CB884">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第十二条  合同生效及其它</w:t>
      </w:r>
    </w:p>
    <w:p w14:paraId="16E5B73A">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合同经双方法定代表人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或负责人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rPr>
        <w:t>或者授权代表签字并加盖单位公章后生效（委托代理人签字的需后附法定代表人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或负责人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rPr>
        <w:t>授权委托书，格式自拟）。</w:t>
      </w:r>
    </w:p>
    <w:p w14:paraId="2C5A163E">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合同执行中涉及采购资金和采购内容修改或者补充的，须经财政部门审批，并</w:t>
      </w:r>
      <w:r>
        <w:rPr>
          <w:rFonts w:hint="eastAsia" w:ascii="宋体" w:hAnsi="宋体" w:cs="宋体"/>
          <w:color w:val="auto"/>
          <w:szCs w:val="21"/>
          <w:highlight w:val="none"/>
          <w:lang w:eastAsia="zh-CN"/>
        </w:rPr>
        <w:t>签订</w:t>
      </w:r>
      <w:r>
        <w:rPr>
          <w:rFonts w:hint="eastAsia" w:ascii="宋体" w:hAnsi="宋体" w:eastAsia="宋体" w:cs="宋体"/>
          <w:color w:val="auto"/>
          <w:szCs w:val="21"/>
          <w:highlight w:val="none"/>
        </w:rPr>
        <w:t>书面补充协议报财政部门备案，方可作为主合同不可分割的一部分。</w:t>
      </w:r>
    </w:p>
    <w:p w14:paraId="2D4A9C6E">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本合同未尽事宜，遵照《中华人民共和国</w:t>
      </w:r>
      <w:r>
        <w:rPr>
          <w:rFonts w:hint="eastAsia" w:ascii="宋体" w:hAnsi="宋体" w:eastAsia="宋体" w:cs="宋体"/>
          <w:color w:val="auto"/>
          <w:szCs w:val="21"/>
          <w:highlight w:val="none"/>
          <w:lang w:eastAsia="zh-CN"/>
        </w:rPr>
        <w:t>民法典</w:t>
      </w:r>
      <w:r>
        <w:rPr>
          <w:rFonts w:hint="eastAsia" w:ascii="宋体" w:hAnsi="宋体" w:eastAsia="宋体" w:cs="宋体"/>
          <w:color w:val="auto"/>
          <w:szCs w:val="21"/>
          <w:highlight w:val="none"/>
        </w:rPr>
        <w:t>》有关条文执行。</w:t>
      </w:r>
    </w:p>
    <w:p w14:paraId="4C225C92">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第十三条　合同的变更、终止与转让</w:t>
      </w:r>
    </w:p>
    <w:p w14:paraId="1C4698F2">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除《中华人民共和国政府采购法》第五十条规定的情形外，本合同一经签订，甲乙双方不得擅自变更、中止或者终止。</w:t>
      </w:r>
    </w:p>
    <w:p w14:paraId="78931724">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乙方不得擅自转让其应履行的合同义务。</w:t>
      </w:r>
    </w:p>
    <w:p w14:paraId="593AF207">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第十四条　签订本合同依据</w:t>
      </w:r>
    </w:p>
    <w:p w14:paraId="16147AFC">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中标通知书；</w:t>
      </w:r>
    </w:p>
    <w:p w14:paraId="2BD40B8C">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开标一览表；</w:t>
      </w:r>
    </w:p>
    <w:p w14:paraId="30E8863A">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商务条款偏离表和技术需求偏离表；</w:t>
      </w:r>
    </w:p>
    <w:p w14:paraId="6D61A679">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4.保险服务方案</w:t>
      </w:r>
      <w:r>
        <w:rPr>
          <w:rFonts w:hint="eastAsia" w:ascii="宋体" w:hAnsi="宋体" w:eastAsia="宋体" w:cs="宋体"/>
          <w:color w:val="auto"/>
          <w:szCs w:val="21"/>
          <w:highlight w:val="none"/>
        </w:rPr>
        <w:t>；</w:t>
      </w:r>
    </w:p>
    <w:p w14:paraId="4C0B4BD2">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eastAsia="宋体" w:cs="宋体"/>
          <w:color w:val="auto"/>
          <w:szCs w:val="21"/>
          <w:highlight w:val="none"/>
        </w:rPr>
        <w:t>投标文件中的其他相关文件。</w:t>
      </w:r>
    </w:p>
    <w:p w14:paraId="10B2563E">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eastAsia="宋体" w:cs="宋体"/>
          <w:color w:val="auto"/>
          <w:szCs w:val="21"/>
          <w:highlight w:val="none"/>
        </w:rPr>
        <w:t>上述合同文件互相补充和解释。如果合同文件之间存在矛盾或者不一致之处，以上述文件的排列顺序在先者为准。</w:t>
      </w:r>
    </w:p>
    <w:p w14:paraId="0C63CFB7">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第十五条　</w:t>
      </w:r>
      <w:r>
        <w:rPr>
          <w:rFonts w:hint="eastAsia" w:ascii="宋体" w:hAnsi="宋体" w:eastAsia="宋体" w:cs="宋体"/>
          <w:color w:val="auto"/>
          <w:szCs w:val="21"/>
          <w:highlight w:val="none"/>
        </w:rPr>
        <w:t>本合同</w:t>
      </w:r>
      <w:r>
        <w:rPr>
          <w:rFonts w:hint="eastAsia" w:ascii="宋体" w:hAnsi="宋体" w:cs="宋体"/>
          <w:color w:val="auto"/>
          <w:szCs w:val="21"/>
          <w:highlight w:val="none"/>
          <w:lang w:val="en-US" w:eastAsia="zh-CN"/>
        </w:rPr>
        <w:t>捌</w:t>
      </w:r>
      <w:r>
        <w:rPr>
          <w:rFonts w:hint="eastAsia" w:ascii="宋体" w:hAnsi="宋体" w:eastAsia="宋体" w:cs="宋体"/>
          <w:color w:val="auto"/>
          <w:szCs w:val="21"/>
          <w:highlight w:val="none"/>
        </w:rPr>
        <w:t>份，具有同等法律效力，甲方</w:t>
      </w:r>
      <w:r>
        <w:rPr>
          <w:rFonts w:hint="eastAsia" w:ascii="宋体" w:hAnsi="宋体" w:cs="宋体"/>
          <w:color w:val="auto"/>
          <w:szCs w:val="21"/>
          <w:highlight w:val="none"/>
          <w:lang w:val="en-US" w:eastAsia="zh-CN"/>
        </w:rPr>
        <w:t>肆</w:t>
      </w:r>
      <w:r>
        <w:rPr>
          <w:rFonts w:hint="eastAsia" w:ascii="宋体" w:hAnsi="宋体" w:eastAsia="宋体" w:cs="宋体"/>
          <w:color w:val="auto"/>
          <w:szCs w:val="21"/>
          <w:highlight w:val="none"/>
        </w:rPr>
        <w:t>份、乙方</w:t>
      </w:r>
      <w:r>
        <w:rPr>
          <w:rFonts w:hint="eastAsia" w:ascii="宋体" w:hAnsi="宋体" w:cs="宋体"/>
          <w:color w:val="auto"/>
          <w:szCs w:val="21"/>
          <w:highlight w:val="none"/>
          <w:lang w:val="en-US" w:eastAsia="zh-CN"/>
        </w:rPr>
        <w:t>叁</w:t>
      </w:r>
      <w:r>
        <w:rPr>
          <w:rFonts w:hint="eastAsia" w:ascii="宋体" w:hAnsi="宋体" w:eastAsia="宋体" w:cs="宋体"/>
          <w:color w:val="auto"/>
          <w:szCs w:val="21"/>
          <w:highlight w:val="none"/>
        </w:rPr>
        <w:t>份、采购代理机构壹份（可根据需要</w:t>
      </w:r>
      <w:r>
        <w:rPr>
          <w:rFonts w:hint="eastAsia" w:ascii="宋体" w:hAnsi="宋体" w:cs="宋体"/>
          <w:color w:val="auto"/>
          <w:szCs w:val="21"/>
          <w:highlight w:val="none"/>
          <w:lang w:eastAsia="zh-CN"/>
        </w:rPr>
        <w:t>另行</w:t>
      </w:r>
      <w:r>
        <w:rPr>
          <w:rFonts w:hint="eastAsia" w:ascii="宋体" w:hAnsi="宋体" w:eastAsia="宋体" w:cs="宋体"/>
          <w:color w:val="auto"/>
          <w:szCs w:val="21"/>
          <w:highlight w:val="none"/>
        </w:rPr>
        <w:t>增加）。</w:t>
      </w:r>
    </w:p>
    <w:p w14:paraId="37590607">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本合同自签订之日起2个工作日内，由采购代理机构将采购合同在广西壮族自治区财政厅指定的媒体上公告。</w:t>
      </w:r>
    </w:p>
    <w:tbl>
      <w:tblPr>
        <w:tblStyle w:val="39"/>
        <w:tblpPr w:leftFromText="180" w:rightFromText="180" w:vertAnchor="text" w:horzAnchor="margin" w:tblpXSpec="center"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2926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2B6263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甲方：（章）</w:t>
            </w:r>
          </w:p>
          <w:p w14:paraId="4E93AFA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p>
          <w:p w14:paraId="0112C17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p>
          <w:p w14:paraId="5473CEC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firstLine="945" w:firstLineChars="450"/>
              <w:jc w:val="right"/>
              <w:textAlignment w:val="auto"/>
              <w:rPr>
                <w:rFonts w:hint="eastAsia" w:ascii="宋体" w:hAnsi="宋体" w:eastAsia="宋体" w:cs="宋体"/>
                <w:color w:val="auto"/>
                <w:sz w:val="21"/>
                <w:szCs w:val="21"/>
                <w:highlight w:val="none"/>
              </w:rPr>
            </w:pPr>
          </w:p>
          <w:p w14:paraId="2608D59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firstLine="945" w:firstLineChars="45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A9D0AE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乙方：（章）       </w:t>
            </w:r>
          </w:p>
          <w:p w14:paraId="59397F2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p>
          <w:p w14:paraId="7730930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B40235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jc w:val="right"/>
              <w:textAlignment w:val="auto"/>
              <w:rPr>
                <w:rFonts w:hint="eastAsia" w:ascii="宋体" w:hAnsi="宋体" w:eastAsia="宋体" w:cs="宋体"/>
                <w:color w:val="auto"/>
                <w:sz w:val="21"/>
                <w:szCs w:val="21"/>
                <w:highlight w:val="none"/>
              </w:rPr>
            </w:pPr>
          </w:p>
          <w:p w14:paraId="18A7C65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34DE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648675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单位地址：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DD73CE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单位地址： </w:t>
            </w:r>
          </w:p>
        </w:tc>
      </w:tr>
      <w:tr w14:paraId="0C6F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449179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D25591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r>
      <w:tr w14:paraId="2C71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B5B002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F70CD9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p>
        </w:tc>
      </w:tr>
      <w:tr w14:paraId="5943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D39213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E4291E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r>
      <w:tr w14:paraId="39EB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A47404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BE3EE4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 </w:t>
            </w:r>
          </w:p>
        </w:tc>
      </w:tr>
      <w:tr w14:paraId="01CC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A59E30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3D3EFD6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r>
      <w:tr w14:paraId="2598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397181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244635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r>
    </w:tbl>
    <w:p w14:paraId="3452EE7E">
      <w:pPr>
        <w:snapToGrid w:val="0"/>
        <w:rPr>
          <w:rFonts w:hint="eastAsia" w:ascii="宋体" w:hAnsi="宋体" w:eastAsia="宋体" w:cs="宋体"/>
          <w:color w:val="auto"/>
          <w:sz w:val="21"/>
          <w:szCs w:val="21"/>
          <w:highlight w:val="none"/>
        </w:rPr>
      </w:pPr>
    </w:p>
    <w:p w14:paraId="25DC555C">
      <w:pPr>
        <w:spacing w:line="360" w:lineRule="auto"/>
        <w:outlineLvl w:val="0"/>
        <w:rPr>
          <w:rFonts w:hint="eastAsia" w:ascii="宋体" w:hAnsi="宋体" w:eastAsia="宋体" w:cs="宋体"/>
          <w:b/>
          <w:color w:val="auto"/>
          <w:sz w:val="21"/>
          <w:szCs w:val="21"/>
          <w:highlight w:val="none"/>
        </w:rPr>
      </w:pPr>
    </w:p>
    <w:p w14:paraId="5A40CF84">
      <w:pPr>
        <w:tabs>
          <w:tab w:val="left" w:pos="7380"/>
        </w:tabs>
        <w:spacing w:line="360" w:lineRule="auto"/>
        <w:jc w:val="both"/>
        <w:rPr>
          <w:rFonts w:hint="eastAsia" w:ascii="宋体" w:hAnsi="宋体" w:eastAsia="宋体" w:cs="宋体"/>
          <w:color w:val="auto"/>
          <w:sz w:val="21"/>
          <w:szCs w:val="21"/>
          <w:highlight w:val="none"/>
        </w:rPr>
      </w:pPr>
    </w:p>
    <w:p w14:paraId="3445BA13">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合 同 附 件</w:t>
      </w:r>
    </w:p>
    <w:tbl>
      <w:tblPr>
        <w:tblStyle w:val="39"/>
        <w:tblW w:w="0" w:type="auto"/>
        <w:jc w:val="center"/>
        <w:tblLayout w:type="fixed"/>
        <w:tblCellMar>
          <w:top w:w="0" w:type="dxa"/>
          <w:left w:w="108" w:type="dxa"/>
          <w:bottom w:w="0" w:type="dxa"/>
          <w:right w:w="108" w:type="dxa"/>
        </w:tblCellMar>
      </w:tblPr>
      <w:tblGrid>
        <w:gridCol w:w="4788"/>
        <w:gridCol w:w="4680"/>
      </w:tblGrid>
      <w:tr w14:paraId="29C87B2F">
        <w:tblPrEx>
          <w:tblCellMar>
            <w:top w:w="0" w:type="dxa"/>
            <w:left w:w="108" w:type="dxa"/>
            <w:bottom w:w="0" w:type="dxa"/>
            <w:right w:w="108" w:type="dxa"/>
          </w:tblCellMar>
        </w:tblPrEx>
        <w:trPr>
          <w:trHeight w:val="3320" w:hRule="atLeast"/>
          <w:jc w:val="center"/>
        </w:trPr>
        <w:tc>
          <w:tcPr>
            <w:tcW w:w="9468" w:type="dxa"/>
            <w:gridSpan w:val="2"/>
            <w:tcBorders>
              <w:top w:val="single" w:color="auto" w:sz="4" w:space="0"/>
              <w:left w:val="single" w:color="auto" w:sz="4" w:space="0"/>
              <w:bottom w:val="nil"/>
              <w:right w:val="single" w:color="auto" w:sz="4" w:space="0"/>
            </w:tcBorders>
            <w:noWrap w:val="0"/>
            <w:vAlign w:val="top"/>
          </w:tcPr>
          <w:p w14:paraId="01608AB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供应商承诺具体事项：</w:t>
            </w:r>
          </w:p>
        </w:tc>
      </w:tr>
      <w:tr w14:paraId="18D02B4D">
        <w:tblPrEx>
          <w:tblCellMar>
            <w:top w:w="0" w:type="dxa"/>
            <w:left w:w="108" w:type="dxa"/>
            <w:bottom w:w="0" w:type="dxa"/>
            <w:right w:w="108" w:type="dxa"/>
          </w:tblCellMar>
        </w:tblPrEx>
        <w:trPr>
          <w:trHeight w:val="2938" w:hRule="atLeast"/>
          <w:jc w:val="center"/>
        </w:trPr>
        <w:tc>
          <w:tcPr>
            <w:tcW w:w="9468" w:type="dxa"/>
            <w:gridSpan w:val="2"/>
            <w:tcBorders>
              <w:top w:val="single" w:color="auto" w:sz="4" w:space="0"/>
              <w:left w:val="single" w:color="auto" w:sz="4" w:space="0"/>
              <w:bottom w:val="nil"/>
              <w:right w:val="single" w:color="auto" w:sz="4" w:space="0"/>
            </w:tcBorders>
            <w:noWrap w:val="0"/>
            <w:vAlign w:val="top"/>
          </w:tcPr>
          <w:p w14:paraId="5F411F5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售后服务具体事项：</w:t>
            </w:r>
          </w:p>
        </w:tc>
      </w:tr>
      <w:tr w14:paraId="53820EDB">
        <w:tblPrEx>
          <w:tblCellMar>
            <w:top w:w="0" w:type="dxa"/>
            <w:left w:w="108" w:type="dxa"/>
            <w:bottom w:w="0" w:type="dxa"/>
            <w:right w:w="108" w:type="dxa"/>
          </w:tblCellMar>
        </w:tblPrEx>
        <w:trPr>
          <w:trHeight w:val="2948" w:hRule="atLeast"/>
          <w:jc w:val="center"/>
        </w:trPr>
        <w:tc>
          <w:tcPr>
            <w:tcW w:w="9468" w:type="dxa"/>
            <w:gridSpan w:val="2"/>
            <w:tcBorders>
              <w:top w:val="single" w:color="auto" w:sz="4" w:space="0"/>
              <w:left w:val="single" w:color="auto" w:sz="4" w:space="0"/>
              <w:bottom w:val="nil"/>
              <w:right w:val="single" w:color="auto" w:sz="4" w:space="0"/>
            </w:tcBorders>
            <w:noWrap w:val="0"/>
            <w:vAlign w:val="top"/>
          </w:tcPr>
          <w:p w14:paraId="4D69DD6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其他具体事项：</w:t>
            </w:r>
          </w:p>
        </w:tc>
      </w:tr>
      <w:tr w14:paraId="4300E6C5">
        <w:tblPrEx>
          <w:tblCellMar>
            <w:top w:w="0" w:type="dxa"/>
            <w:left w:w="108" w:type="dxa"/>
            <w:bottom w:w="0" w:type="dxa"/>
            <w:right w:w="108" w:type="dxa"/>
          </w:tblCellMar>
        </w:tblPrEx>
        <w:trPr>
          <w:trHeight w:val="3421" w:hRule="atLeast"/>
          <w:jc w:val="center"/>
        </w:trPr>
        <w:tc>
          <w:tcPr>
            <w:tcW w:w="4788" w:type="dxa"/>
            <w:tcBorders>
              <w:top w:val="single" w:color="auto" w:sz="4" w:space="0"/>
              <w:left w:val="single" w:color="auto" w:sz="4" w:space="0"/>
              <w:bottom w:val="single" w:color="auto" w:sz="4" w:space="0"/>
              <w:right w:val="single" w:color="auto" w:sz="4" w:space="0"/>
            </w:tcBorders>
            <w:noWrap w:val="0"/>
            <w:vAlign w:val="center"/>
          </w:tcPr>
          <w:p w14:paraId="017ACEB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2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甲方（章）</w:t>
            </w:r>
          </w:p>
          <w:p w14:paraId="607D6A3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22"/>
              <w:textAlignment w:val="auto"/>
              <w:rPr>
                <w:rFonts w:hint="eastAsia" w:ascii="宋体" w:hAnsi="宋体" w:eastAsia="宋体" w:cs="宋体"/>
                <w:color w:val="auto"/>
                <w:sz w:val="21"/>
                <w:szCs w:val="21"/>
                <w:highlight w:val="none"/>
              </w:rPr>
            </w:pPr>
          </w:p>
          <w:p w14:paraId="0C86BF2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2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10462D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2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乙方（章）</w:t>
            </w:r>
          </w:p>
          <w:p w14:paraId="5227D44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22"/>
              <w:textAlignment w:val="auto"/>
              <w:rPr>
                <w:rFonts w:hint="eastAsia" w:ascii="宋体" w:hAnsi="宋体" w:eastAsia="宋体" w:cs="宋体"/>
                <w:color w:val="auto"/>
                <w:sz w:val="21"/>
                <w:szCs w:val="21"/>
                <w:highlight w:val="none"/>
              </w:rPr>
            </w:pPr>
          </w:p>
          <w:p w14:paraId="65E5F32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2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bl>
    <w:p w14:paraId="55A1EFF4">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注：售后服务事项填不下时可另加附页</w:t>
      </w:r>
    </w:p>
    <w:p w14:paraId="341BBF13">
      <w:pPr>
        <w:keepNext w:val="0"/>
        <w:keepLines w:val="0"/>
        <w:pageBreakBefore w:val="0"/>
        <w:widowControl w:val="0"/>
        <w:tabs>
          <w:tab w:val="left" w:pos="7380"/>
        </w:tabs>
        <w:kinsoku/>
        <w:wordWrap/>
        <w:overflowPunct/>
        <w:topLinePunct w:val="0"/>
        <w:autoSpaceDE/>
        <w:autoSpaceDN/>
        <w:bidi w:val="0"/>
        <w:adjustRightInd/>
        <w:spacing w:line="480" w:lineRule="exact"/>
        <w:jc w:val="both"/>
        <w:textAlignment w:val="auto"/>
        <w:rPr>
          <w:rFonts w:hint="eastAsia" w:ascii="宋体" w:hAnsi="宋体" w:eastAsia="宋体" w:cs="宋体"/>
          <w:color w:val="auto"/>
          <w:sz w:val="21"/>
          <w:szCs w:val="21"/>
          <w:highlight w:val="none"/>
        </w:rPr>
        <w:sectPr>
          <w:pgSz w:w="11906" w:h="16838"/>
          <w:pgMar w:top="1134" w:right="1134" w:bottom="1134" w:left="1134"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p>
    <w:p w14:paraId="43D46CEA">
      <w:pPr>
        <w:snapToGrid w:val="0"/>
        <w:spacing w:line="360" w:lineRule="exact"/>
        <w:jc w:val="left"/>
        <w:rPr>
          <w:rFonts w:hAnsi="宋体" w:cs="宋体"/>
          <w:color w:val="auto"/>
          <w:highlight w:val="none"/>
        </w:rPr>
      </w:pPr>
      <w:r>
        <w:rPr>
          <w:rFonts w:hint="eastAsia" w:hAnsi="宋体" w:cs="宋体"/>
          <w:b/>
          <w:color w:val="auto"/>
          <w:highlight w:val="none"/>
        </w:rPr>
        <w:t>附件I：</w:t>
      </w:r>
    </w:p>
    <w:p w14:paraId="38C5750C">
      <w:pPr>
        <w:widowControl/>
        <w:jc w:val="center"/>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政府采购项目合同验收报告（格式）</w:t>
      </w:r>
    </w:p>
    <w:p w14:paraId="0F890EDF">
      <w:pPr>
        <w:widowControl/>
        <w:spacing w:line="360" w:lineRule="auto"/>
        <w:jc w:val="center"/>
        <w:rPr>
          <w:rFonts w:hint="eastAsia" w:ascii="宋体" w:hAnsi="宋体" w:cs="宋体"/>
          <w:b/>
          <w:bCs/>
          <w:color w:val="auto"/>
          <w:kern w:val="0"/>
          <w:szCs w:val="21"/>
          <w:highlight w:val="none"/>
        </w:rPr>
      </w:pPr>
    </w:p>
    <w:p w14:paraId="3EEDF158">
      <w:pPr>
        <w:widowControl/>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根据政府采购合同（采购合同编号：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（采购项目名称）       </w:t>
      </w:r>
      <w:r>
        <w:rPr>
          <w:rFonts w:hint="eastAsia" w:ascii="宋体" w:hAnsi="宋体" w:cs="宋体"/>
          <w:color w:val="auto"/>
          <w:kern w:val="0"/>
          <w:szCs w:val="21"/>
          <w:highlight w:val="none"/>
        </w:rPr>
        <w:t>政府采购项目中标（或成交）供应商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提供的货物（或服务）进行了验收，验收情况如下：</w:t>
      </w:r>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92"/>
        <w:gridCol w:w="744"/>
        <w:gridCol w:w="1961"/>
        <w:gridCol w:w="1278"/>
        <w:gridCol w:w="1822"/>
        <w:gridCol w:w="13"/>
        <w:gridCol w:w="847"/>
        <w:gridCol w:w="893"/>
        <w:gridCol w:w="1297"/>
      </w:tblGrid>
      <w:tr w14:paraId="4270F3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592" w:type="dxa"/>
            <w:tcBorders>
              <w:top w:val="single" w:color="auto" w:sz="4" w:space="0"/>
              <w:left w:val="single" w:color="auto" w:sz="8" w:space="0"/>
              <w:bottom w:val="single" w:color="auto" w:sz="8" w:space="0"/>
              <w:right w:val="single" w:color="auto" w:sz="4" w:space="0"/>
            </w:tcBorders>
            <w:noWrap w:val="0"/>
            <w:vAlign w:val="center"/>
          </w:tcPr>
          <w:p w14:paraId="608B7A15">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2705" w:type="dxa"/>
            <w:gridSpan w:val="2"/>
            <w:tcBorders>
              <w:top w:val="single" w:color="auto" w:sz="4" w:space="0"/>
              <w:left w:val="single" w:color="auto" w:sz="4" w:space="0"/>
              <w:bottom w:val="single" w:color="auto" w:sz="8" w:space="0"/>
              <w:right w:val="single" w:color="auto" w:sz="8" w:space="0"/>
            </w:tcBorders>
            <w:noWrap w:val="0"/>
            <w:vAlign w:val="center"/>
          </w:tcPr>
          <w:p w14:paraId="6CDBC5E9">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名    称</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1662128E">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货物型号规格、标准及配置</w:t>
            </w:r>
          </w:p>
          <w:p w14:paraId="16D461C9">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（或服务内容、标准）</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37D58611">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数量</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37D861F5">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金额</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7E574B20">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与合同约定</w:t>
            </w:r>
          </w:p>
          <w:p w14:paraId="54B70CE3">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是否一致</w:t>
            </w:r>
          </w:p>
        </w:tc>
      </w:tr>
      <w:tr w14:paraId="693F62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69CCB57C">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3B25B8F8">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10CBE5BD">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7BEF8232">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5A230089">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340BB2D2">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766AB0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130FCB09">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28A40741">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4D0776B7">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4C5A6084">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53D243AA">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0AF27A55">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4E9B3E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5FE8F050">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7DA4EE18">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0E0EA259">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3AAE6C30">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73F062E1">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05A25DEB">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4DF5E7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26EDE605">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011FCFF4">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242A9911">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61CC013A">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4DF0208C">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418F1455">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7C0A9A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34FFE70C">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1204C66A">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79EC88F0">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669F4FE4">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893" w:type="dxa"/>
            <w:tcBorders>
              <w:top w:val="single" w:color="auto" w:sz="8" w:space="0"/>
              <w:left w:val="single" w:color="auto" w:sz="8" w:space="0"/>
              <w:bottom w:val="single" w:color="auto" w:sz="8" w:space="0"/>
              <w:right w:val="single" w:color="auto" w:sz="4" w:space="0"/>
            </w:tcBorders>
            <w:noWrap w:val="0"/>
            <w:vAlign w:val="center"/>
          </w:tcPr>
          <w:p w14:paraId="74D4EEDA">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1297" w:type="dxa"/>
            <w:tcBorders>
              <w:top w:val="single" w:color="auto" w:sz="8" w:space="0"/>
              <w:left w:val="single" w:color="auto" w:sz="4" w:space="0"/>
              <w:bottom w:val="single" w:color="auto" w:sz="8" w:space="0"/>
              <w:right w:val="single" w:color="auto" w:sz="8" w:space="0"/>
            </w:tcBorders>
            <w:noWrap w:val="0"/>
            <w:vAlign w:val="center"/>
          </w:tcPr>
          <w:p w14:paraId="3FE749DA">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4E0070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6397" w:type="dxa"/>
            <w:gridSpan w:val="5"/>
            <w:tcBorders>
              <w:top w:val="single" w:color="auto" w:sz="8" w:space="0"/>
              <w:left w:val="single" w:color="auto" w:sz="8" w:space="0"/>
              <w:bottom w:val="single" w:color="auto" w:sz="8" w:space="0"/>
              <w:right w:val="single" w:color="auto" w:sz="8" w:space="0"/>
            </w:tcBorders>
            <w:noWrap w:val="0"/>
            <w:vAlign w:val="center"/>
          </w:tcPr>
          <w:p w14:paraId="6899696F">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     计</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3CE37181">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893" w:type="dxa"/>
            <w:tcBorders>
              <w:top w:val="single" w:color="auto" w:sz="8" w:space="0"/>
              <w:left w:val="single" w:color="auto" w:sz="8" w:space="0"/>
              <w:bottom w:val="single" w:color="auto" w:sz="8" w:space="0"/>
              <w:right w:val="single" w:color="auto" w:sz="4" w:space="0"/>
            </w:tcBorders>
            <w:noWrap w:val="0"/>
            <w:vAlign w:val="center"/>
          </w:tcPr>
          <w:p w14:paraId="64B3CBE2">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1297" w:type="dxa"/>
            <w:tcBorders>
              <w:top w:val="single" w:color="auto" w:sz="8" w:space="0"/>
              <w:left w:val="single" w:color="auto" w:sz="4" w:space="0"/>
              <w:bottom w:val="single" w:color="auto" w:sz="8" w:space="0"/>
              <w:right w:val="single" w:color="auto" w:sz="8" w:space="0"/>
            </w:tcBorders>
            <w:noWrap w:val="0"/>
            <w:vAlign w:val="center"/>
          </w:tcPr>
          <w:p w14:paraId="24446ADD">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1CD6E7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9447" w:type="dxa"/>
            <w:gridSpan w:val="9"/>
            <w:tcBorders>
              <w:top w:val="single" w:color="auto" w:sz="8" w:space="0"/>
              <w:left w:val="single" w:color="auto" w:sz="8" w:space="0"/>
              <w:bottom w:val="single" w:color="auto" w:sz="8" w:space="0"/>
              <w:right w:val="single" w:color="auto" w:sz="8" w:space="0"/>
            </w:tcBorders>
            <w:noWrap w:val="0"/>
            <w:vAlign w:val="center"/>
          </w:tcPr>
          <w:p w14:paraId="1D0B8263">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 计 大 写 金 额 ：人民币                             元</w:t>
            </w:r>
          </w:p>
        </w:tc>
      </w:tr>
      <w:tr w14:paraId="283157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80" w:hRule="atLeast"/>
          <w:jc w:val="center"/>
        </w:trPr>
        <w:tc>
          <w:tcPr>
            <w:tcW w:w="1336" w:type="dxa"/>
            <w:gridSpan w:val="2"/>
            <w:tcBorders>
              <w:top w:val="single" w:color="auto" w:sz="8" w:space="0"/>
              <w:left w:val="single" w:color="auto" w:sz="8" w:space="0"/>
              <w:bottom w:val="single" w:color="auto" w:sz="8" w:space="0"/>
              <w:right w:val="single" w:color="auto" w:sz="8" w:space="0"/>
            </w:tcBorders>
            <w:noWrap w:val="0"/>
            <w:vAlign w:val="center"/>
          </w:tcPr>
          <w:p w14:paraId="3C995271">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实际供货日期</w:t>
            </w:r>
          </w:p>
        </w:tc>
        <w:tc>
          <w:tcPr>
            <w:tcW w:w="3239" w:type="dxa"/>
            <w:gridSpan w:val="2"/>
            <w:tcBorders>
              <w:top w:val="single" w:color="auto" w:sz="8" w:space="0"/>
              <w:left w:val="single" w:color="auto" w:sz="8" w:space="0"/>
              <w:bottom w:val="single" w:color="auto" w:sz="8" w:space="0"/>
              <w:right w:val="single" w:color="auto" w:sz="8" w:space="0"/>
            </w:tcBorders>
            <w:noWrap w:val="0"/>
            <w:vAlign w:val="center"/>
          </w:tcPr>
          <w:p w14:paraId="71B4C05E">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1835" w:type="dxa"/>
            <w:gridSpan w:val="2"/>
            <w:tcBorders>
              <w:top w:val="single" w:color="auto" w:sz="8" w:space="0"/>
              <w:left w:val="single" w:color="auto" w:sz="8" w:space="0"/>
              <w:bottom w:val="single" w:color="auto" w:sz="8" w:space="0"/>
              <w:right w:val="single" w:color="auto" w:sz="8" w:space="0"/>
            </w:tcBorders>
            <w:noWrap w:val="0"/>
            <w:vAlign w:val="center"/>
          </w:tcPr>
          <w:p w14:paraId="198F5FE7">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合同交货验收日期</w:t>
            </w:r>
          </w:p>
        </w:tc>
        <w:tc>
          <w:tcPr>
            <w:tcW w:w="3037" w:type="dxa"/>
            <w:gridSpan w:val="3"/>
            <w:tcBorders>
              <w:top w:val="single" w:color="auto" w:sz="8" w:space="0"/>
              <w:left w:val="single" w:color="auto" w:sz="8" w:space="0"/>
              <w:bottom w:val="single" w:color="auto" w:sz="8" w:space="0"/>
              <w:right w:val="single" w:color="auto" w:sz="8" w:space="0"/>
            </w:tcBorders>
            <w:noWrap w:val="0"/>
            <w:vAlign w:val="center"/>
          </w:tcPr>
          <w:p w14:paraId="36C03C43">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785682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37" w:hRule="atLeast"/>
          <w:jc w:val="center"/>
        </w:trPr>
        <w:tc>
          <w:tcPr>
            <w:tcW w:w="1336"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923BB55">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验收具体内容</w:t>
            </w:r>
          </w:p>
        </w:tc>
        <w:tc>
          <w:tcPr>
            <w:tcW w:w="8111" w:type="dxa"/>
            <w:gridSpan w:val="7"/>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6DAF23E">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应按采购合同、采购文件、投标响应文件及验收方案等进行验收；并核对中标或成交供应商在安装调试等方面是否违反合同约定或服务规范要求、提供的质量保证证明材料是否齐全、应有的配件及附件是否达到合同约定等。可附件)</w:t>
            </w:r>
          </w:p>
        </w:tc>
      </w:tr>
      <w:tr w14:paraId="372198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5" w:hRule="atLeast"/>
          <w:jc w:val="center"/>
        </w:trPr>
        <w:tc>
          <w:tcPr>
            <w:tcW w:w="1336" w:type="dxa"/>
            <w:gridSpan w:val="2"/>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3A24176">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验收小组意见</w:t>
            </w:r>
          </w:p>
        </w:tc>
        <w:tc>
          <w:tcPr>
            <w:tcW w:w="8111" w:type="dxa"/>
            <w:gridSpan w:val="7"/>
            <w:tcBorders>
              <w:top w:val="single" w:color="auto" w:sz="8" w:space="0"/>
              <w:left w:val="single" w:color="auto" w:sz="8" w:space="0"/>
              <w:bottom w:val="single" w:color="auto" w:sz="4" w:space="0"/>
              <w:right w:val="single" w:color="auto" w:sz="8" w:space="0"/>
            </w:tcBorders>
            <w:noWrap w:val="0"/>
            <w:vAlign w:val="center"/>
          </w:tcPr>
          <w:p w14:paraId="64ADDFF6">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验收结论性意见：</w:t>
            </w:r>
          </w:p>
          <w:p w14:paraId="294F2943">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11B82907">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59DA69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8" w:hRule="atLeast"/>
          <w:jc w:val="center"/>
        </w:trPr>
        <w:tc>
          <w:tcPr>
            <w:tcW w:w="600" w:type="dxa"/>
            <w:gridSpan w:val="2"/>
            <w:vMerge w:val="continue"/>
            <w:tcBorders>
              <w:top w:val="single" w:color="auto" w:sz="8" w:space="0"/>
              <w:left w:val="single" w:color="auto" w:sz="8" w:space="0"/>
              <w:bottom w:val="single" w:color="auto" w:sz="8" w:space="0"/>
              <w:right w:val="single" w:color="auto" w:sz="8" w:space="0"/>
            </w:tcBorders>
            <w:noWrap w:val="0"/>
            <w:vAlign w:val="center"/>
          </w:tcPr>
          <w:p w14:paraId="29FB7D55">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8111" w:type="dxa"/>
            <w:gridSpan w:val="7"/>
            <w:tcBorders>
              <w:top w:val="single" w:color="auto" w:sz="4" w:space="0"/>
              <w:left w:val="single" w:color="auto" w:sz="8" w:space="0"/>
              <w:bottom w:val="single" w:color="auto" w:sz="8" w:space="0"/>
              <w:right w:val="single" w:color="auto" w:sz="8" w:space="0"/>
            </w:tcBorders>
            <w:noWrap w:val="0"/>
            <w:vAlign w:val="center"/>
          </w:tcPr>
          <w:p w14:paraId="6207F790">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有异议的意见和说明理由：</w:t>
            </w:r>
          </w:p>
          <w:p w14:paraId="4AF7F153">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46735EEF">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085A56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2" w:hRule="atLeast"/>
          <w:jc w:val="center"/>
        </w:trPr>
        <w:tc>
          <w:tcPr>
            <w:tcW w:w="9447" w:type="dxa"/>
            <w:gridSpan w:val="9"/>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1C3B532">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验收小组成员签字：</w:t>
            </w:r>
          </w:p>
        </w:tc>
      </w:tr>
      <w:tr w14:paraId="578F99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0" w:hRule="atLeast"/>
          <w:jc w:val="center"/>
        </w:trPr>
        <w:tc>
          <w:tcPr>
            <w:tcW w:w="9447" w:type="dxa"/>
            <w:gridSpan w:val="9"/>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5E23914">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参与验收其他或监督人员签字：</w:t>
            </w:r>
          </w:p>
        </w:tc>
      </w:tr>
      <w:tr w14:paraId="7C5E4B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4" w:hRule="atLeast"/>
          <w:jc w:val="center"/>
        </w:trPr>
        <w:tc>
          <w:tcPr>
            <w:tcW w:w="4575" w:type="dxa"/>
            <w:gridSpan w:val="4"/>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68B1819">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中标（或成交）供应商签字或盖章：</w:t>
            </w:r>
          </w:p>
          <w:p w14:paraId="04313E69">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2A4738A4">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联系电话：</w:t>
            </w:r>
          </w:p>
          <w:p w14:paraId="290A42C5">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4C573AE2">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年  月   日</w:t>
            </w:r>
          </w:p>
        </w:tc>
        <w:tc>
          <w:tcPr>
            <w:tcW w:w="4872" w:type="dxa"/>
            <w:gridSpan w:val="5"/>
            <w:tcBorders>
              <w:top w:val="single" w:color="auto" w:sz="8" w:space="0"/>
              <w:left w:val="single" w:color="auto" w:sz="8" w:space="0"/>
              <w:bottom w:val="single" w:color="auto" w:sz="8" w:space="0"/>
              <w:right w:val="single" w:color="auto" w:sz="8" w:space="0"/>
            </w:tcBorders>
            <w:noWrap w:val="0"/>
            <w:vAlign w:val="center"/>
          </w:tcPr>
          <w:p w14:paraId="699F4CE4">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采购人的意见（盖章）：</w:t>
            </w:r>
          </w:p>
          <w:p w14:paraId="43B91222">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336E315B">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2864012B">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联系电话：</w:t>
            </w:r>
          </w:p>
          <w:p w14:paraId="68793030">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61BF39C0">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xml:space="preserve">   年  月   日</w:t>
            </w:r>
          </w:p>
        </w:tc>
      </w:tr>
    </w:tbl>
    <w:p w14:paraId="4F172FE4">
      <w:pPr>
        <w:widowControl/>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备注：本报告单一式三份（采购人1份、中标人1份、采购代理机构1份）。</w:t>
      </w:r>
    </w:p>
    <w:p w14:paraId="2967D88E">
      <w:pPr>
        <w:snapToGrid w:val="0"/>
        <w:rPr>
          <w:rFonts w:hint="eastAsia"/>
          <w:color w:val="auto"/>
          <w:highlight w:val="none"/>
        </w:rPr>
        <w:sectPr>
          <w:pgSz w:w="11906" w:h="16838"/>
          <w:pgMar w:top="1440" w:right="1803" w:bottom="1440" w:left="1803" w:header="850" w:footer="850" w:gutter="0"/>
          <w:pgNumType w:fmt="decimal"/>
          <w:cols w:space="720" w:num="1"/>
          <w:docGrid w:linePitch="312" w:charSpace="0"/>
        </w:sectPr>
      </w:pPr>
      <w:r>
        <w:rPr>
          <w:rFonts w:ascii="宋体" w:hAnsi="宋体" w:cs="宋体"/>
          <w:b/>
          <w:color w:val="auto"/>
          <w:szCs w:val="20"/>
          <w:highlight w:val="none"/>
        </w:rPr>
        <w:br w:type="page"/>
      </w:r>
    </w:p>
    <w:p w14:paraId="37564CE1">
      <w:pPr>
        <w:rPr>
          <w:rFonts w:hint="eastAsia"/>
          <w:color w:val="auto"/>
          <w:highlight w:val="none"/>
        </w:rPr>
      </w:pPr>
    </w:p>
    <w:p w14:paraId="6596BF46">
      <w:pPr>
        <w:pStyle w:val="3"/>
        <w:jc w:val="center"/>
        <w:rPr>
          <w:rFonts w:hint="eastAsia" w:ascii="宋体" w:hAnsi="宋体" w:cs="宋体"/>
          <w:color w:val="auto"/>
          <w:highlight w:val="none"/>
        </w:rPr>
      </w:pPr>
      <w:r>
        <w:rPr>
          <w:rFonts w:hint="eastAsia" w:ascii="宋体" w:hAnsi="宋体" w:cs="宋体"/>
          <w:color w:val="auto"/>
          <w:highlight w:val="none"/>
        </w:rPr>
        <w:t>第六章　投标文件格式</w:t>
      </w:r>
      <w:bookmarkEnd w:id="187"/>
      <w:bookmarkEnd w:id="188"/>
      <w:bookmarkEnd w:id="189"/>
    </w:p>
    <w:p w14:paraId="70960E77">
      <w:pPr>
        <w:outlineLvl w:val="1"/>
        <w:rPr>
          <w:rFonts w:hint="eastAsia" w:ascii="宋体" w:hAnsi="宋体" w:cs="宋体"/>
          <w:b/>
          <w:color w:val="auto"/>
          <w:sz w:val="28"/>
          <w:szCs w:val="28"/>
          <w:highlight w:val="none"/>
        </w:rPr>
      </w:pPr>
      <w:bookmarkStart w:id="190" w:name="_Toc2369"/>
      <w:bookmarkStart w:id="191" w:name="_Toc7400"/>
      <w:bookmarkStart w:id="192" w:name="_Toc19686836"/>
      <w:bookmarkStart w:id="193" w:name="_Toc254970557"/>
      <w:bookmarkStart w:id="194" w:name="_Toc254970698"/>
      <w:r>
        <w:rPr>
          <w:rFonts w:hint="eastAsia" w:ascii="宋体" w:hAnsi="宋体" w:cs="宋体"/>
          <w:b/>
          <w:color w:val="auto"/>
          <w:sz w:val="28"/>
          <w:szCs w:val="28"/>
          <w:highlight w:val="none"/>
        </w:rPr>
        <w:t>一、报价文件格式</w:t>
      </w:r>
      <w:bookmarkEnd w:id="190"/>
      <w:bookmarkEnd w:id="191"/>
      <w:bookmarkEnd w:id="192"/>
    </w:p>
    <w:p w14:paraId="22B1FE91">
      <w:pPr>
        <w:snapToGrid w:val="0"/>
        <w:spacing w:before="120" w:beforeLines="50" w:after="50" w:line="360" w:lineRule="auto"/>
        <w:ind w:left="142"/>
        <w:jc w:val="left"/>
        <w:rPr>
          <w:rFonts w:hint="eastAsia" w:ascii="宋体" w:hAnsi="宋体" w:cs="宋体"/>
          <w:color w:val="auto"/>
          <w:sz w:val="24"/>
          <w:szCs w:val="20"/>
          <w:highlight w:val="none"/>
        </w:rPr>
      </w:pPr>
      <w:r>
        <w:rPr>
          <w:rFonts w:hint="eastAsia" w:ascii="宋体" w:hAnsi="宋体" w:cs="宋体"/>
          <w:b/>
          <w:color w:val="auto"/>
          <w:sz w:val="24"/>
          <w:highlight w:val="none"/>
        </w:rPr>
        <w:t xml:space="preserve">1. 报价文件封面格式： </w:t>
      </w:r>
    </w:p>
    <w:p w14:paraId="680CF1A4">
      <w:pPr>
        <w:snapToGrid w:val="0"/>
        <w:spacing w:before="120" w:beforeLines="50" w:after="50" w:line="360" w:lineRule="auto"/>
        <w:ind w:left="142"/>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75EE620C">
      <w:pPr>
        <w:snapToGrid w:val="0"/>
        <w:spacing w:before="120" w:beforeLines="50" w:after="50" w:line="400" w:lineRule="exact"/>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29BE6EE2">
      <w:pPr>
        <w:snapToGrid w:val="0"/>
        <w:spacing w:before="120" w:beforeLines="50" w:after="50" w:line="400" w:lineRule="exact"/>
        <w:jc w:val="center"/>
        <w:rPr>
          <w:rFonts w:hint="eastAsia" w:ascii="宋体" w:hAnsi="宋体" w:cs="宋体"/>
          <w:bCs/>
          <w:color w:val="auto"/>
          <w:sz w:val="24"/>
          <w:szCs w:val="20"/>
          <w:highlight w:val="none"/>
        </w:rPr>
      </w:pPr>
    </w:p>
    <w:p w14:paraId="26F2E52C">
      <w:pPr>
        <w:snapToGrid w:val="0"/>
        <w:spacing w:before="120" w:beforeLines="50" w:after="50"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w:t>
      </w:r>
    </w:p>
    <w:p w14:paraId="32BA2EF4">
      <w:pPr>
        <w:snapToGrid w:val="0"/>
        <w:spacing w:before="120" w:beforeLines="50" w:after="50" w:line="400" w:lineRule="exact"/>
        <w:rPr>
          <w:rFonts w:hint="eastAsia" w:ascii="宋体" w:hAnsi="宋体" w:cs="宋体"/>
          <w:bCs/>
          <w:color w:val="auto"/>
          <w:sz w:val="24"/>
          <w:szCs w:val="20"/>
          <w:highlight w:val="none"/>
        </w:rPr>
      </w:pPr>
    </w:p>
    <w:p w14:paraId="0C20A093">
      <w:pPr>
        <w:snapToGrid w:val="0"/>
        <w:spacing w:before="120" w:beforeLines="50" w:after="50" w:line="400" w:lineRule="exact"/>
        <w:rPr>
          <w:rFonts w:hint="eastAsia" w:ascii="宋体" w:hAnsi="宋体" w:cs="宋体"/>
          <w:bCs/>
          <w:color w:val="auto"/>
          <w:sz w:val="24"/>
          <w:szCs w:val="20"/>
          <w:highlight w:val="none"/>
        </w:rPr>
      </w:pPr>
    </w:p>
    <w:p w14:paraId="6A9A6B5A">
      <w:pPr>
        <w:snapToGrid w:val="0"/>
        <w:spacing w:before="120" w:beforeLines="50" w:after="50" w:line="400" w:lineRule="exact"/>
        <w:rPr>
          <w:rFonts w:hint="eastAsia" w:ascii="宋体" w:hAnsi="宋体" w:cs="宋体"/>
          <w:bCs/>
          <w:color w:val="auto"/>
          <w:sz w:val="24"/>
          <w:szCs w:val="20"/>
          <w:highlight w:val="none"/>
        </w:rPr>
      </w:pPr>
    </w:p>
    <w:p w14:paraId="7D0FE64D">
      <w:pPr>
        <w:snapToGrid w:val="0"/>
        <w:spacing w:before="120" w:beforeLines="50" w:after="50" w:line="400" w:lineRule="exact"/>
        <w:rPr>
          <w:rFonts w:hint="eastAsia" w:ascii="宋体" w:hAnsi="宋体" w:cs="宋体"/>
          <w:bCs/>
          <w:color w:val="auto"/>
          <w:sz w:val="24"/>
          <w:szCs w:val="20"/>
          <w:highlight w:val="none"/>
        </w:rPr>
      </w:pPr>
    </w:p>
    <w:p w14:paraId="200E6300">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1D6772C7">
      <w:pPr>
        <w:snapToGrid w:val="0"/>
        <w:spacing w:before="120" w:beforeLines="50" w:after="50" w:line="400" w:lineRule="exact"/>
        <w:ind w:firstLine="360" w:firstLineChars="150"/>
        <w:rPr>
          <w:rFonts w:hint="eastAsia" w:ascii="宋体" w:hAnsi="宋体" w:cs="宋体"/>
          <w:bCs/>
          <w:color w:val="auto"/>
          <w:sz w:val="24"/>
          <w:highlight w:val="none"/>
        </w:rPr>
      </w:pPr>
    </w:p>
    <w:p w14:paraId="353FA0DA">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3E3F5E78">
      <w:pPr>
        <w:snapToGrid w:val="0"/>
        <w:spacing w:before="120" w:beforeLines="50" w:after="50" w:line="400" w:lineRule="exact"/>
        <w:ind w:firstLine="360" w:firstLineChars="150"/>
        <w:rPr>
          <w:rFonts w:hint="eastAsia" w:ascii="宋体" w:hAnsi="宋体" w:cs="宋体"/>
          <w:bCs/>
          <w:color w:val="auto"/>
          <w:sz w:val="24"/>
          <w:highlight w:val="none"/>
        </w:rPr>
      </w:pPr>
    </w:p>
    <w:p w14:paraId="40684E60">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6EA02F2D">
      <w:pPr>
        <w:snapToGrid w:val="0"/>
        <w:spacing w:before="120" w:beforeLines="50" w:after="50" w:line="400" w:lineRule="exact"/>
        <w:ind w:firstLine="360" w:firstLineChars="150"/>
        <w:rPr>
          <w:rFonts w:hint="eastAsia" w:ascii="宋体" w:hAnsi="宋体" w:cs="宋体"/>
          <w:bCs/>
          <w:color w:val="auto"/>
          <w:sz w:val="24"/>
          <w:highlight w:val="none"/>
        </w:rPr>
      </w:pPr>
    </w:p>
    <w:p w14:paraId="55FCBB03">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2B0BB808">
      <w:pPr>
        <w:snapToGrid w:val="0"/>
        <w:spacing w:before="120" w:beforeLines="50" w:after="50" w:line="400" w:lineRule="exact"/>
        <w:ind w:firstLine="360" w:firstLineChars="150"/>
        <w:rPr>
          <w:rFonts w:hint="eastAsia" w:ascii="宋体" w:hAnsi="宋体" w:cs="宋体"/>
          <w:bCs/>
          <w:color w:val="auto"/>
          <w:sz w:val="24"/>
          <w:highlight w:val="none"/>
        </w:rPr>
      </w:pPr>
    </w:p>
    <w:p w14:paraId="35FB33BF">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4F916E9C">
      <w:pPr>
        <w:pStyle w:val="9"/>
        <w:snapToGrid w:val="0"/>
        <w:spacing w:before="50" w:after="50" w:line="400" w:lineRule="exact"/>
        <w:ind w:firstLine="960" w:firstLineChars="400"/>
        <w:rPr>
          <w:rFonts w:hint="eastAsia" w:ascii="宋体" w:hAnsi="宋体" w:cs="宋体"/>
          <w:bCs/>
          <w:color w:val="auto"/>
          <w:sz w:val="24"/>
          <w:szCs w:val="24"/>
          <w:highlight w:val="none"/>
        </w:rPr>
      </w:pPr>
    </w:p>
    <w:p w14:paraId="141303BE">
      <w:pPr>
        <w:snapToGrid w:val="0"/>
        <w:spacing w:before="120" w:beforeLines="50" w:after="50" w:line="400" w:lineRule="exact"/>
        <w:rPr>
          <w:rFonts w:hint="eastAsia" w:ascii="宋体" w:hAnsi="宋体" w:cs="宋体"/>
          <w:color w:val="auto"/>
          <w:sz w:val="30"/>
          <w:szCs w:val="20"/>
          <w:highlight w:val="none"/>
        </w:rPr>
      </w:pPr>
      <w:r>
        <w:rPr>
          <w:rFonts w:hint="eastAsia" w:ascii="宋体" w:hAnsi="宋体" w:cs="宋体"/>
          <w:color w:val="auto"/>
          <w:sz w:val="24"/>
          <w:highlight w:val="none"/>
        </w:rPr>
        <w:t xml:space="preserve">                                   年  月  日</w:t>
      </w:r>
    </w:p>
    <w:p w14:paraId="4C04F394">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14:paraId="0D30157E">
      <w:pPr>
        <w:keepNext w:val="0"/>
        <w:keepLines w:val="0"/>
        <w:pageBreakBefore w:val="0"/>
        <w:widowControl w:val="0"/>
        <w:kinsoku/>
        <w:wordWrap/>
        <w:overflowPunct/>
        <w:topLinePunct w:val="0"/>
        <w:autoSpaceDE/>
        <w:autoSpaceDN/>
        <w:bidi w:val="0"/>
        <w:adjustRightInd/>
        <w:snapToGrid w:val="0"/>
        <w:spacing w:before="50" w:after="120" w:afterLines="50" w:line="400" w:lineRule="exact"/>
        <w:jc w:val="left"/>
        <w:textAlignment w:val="auto"/>
        <w:rPr>
          <w:rFonts w:hint="eastAsia"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0D7F032F">
      <w:pPr>
        <w:snapToGrid w:val="0"/>
        <w:spacing w:before="120" w:beforeLines="50" w:after="50"/>
        <w:rPr>
          <w:rFonts w:hint="eastAsia" w:ascii="宋体" w:hAnsi="宋体" w:cs="宋体"/>
          <w:b/>
          <w:color w:val="auto"/>
          <w:sz w:val="24"/>
          <w:highlight w:val="none"/>
        </w:rPr>
      </w:pPr>
    </w:p>
    <w:p w14:paraId="3AC2D3C9">
      <w:pPr>
        <w:snapToGrid w:val="0"/>
        <w:spacing w:before="120" w:beforeLines="50" w:after="50"/>
        <w:rPr>
          <w:rFonts w:hint="eastAsia" w:ascii="宋体" w:hAnsi="宋体" w:cs="宋体"/>
          <w:b/>
          <w:color w:val="auto"/>
          <w:sz w:val="24"/>
          <w:highlight w:val="none"/>
        </w:rPr>
      </w:pPr>
    </w:p>
    <w:p w14:paraId="67CBD23D">
      <w:pPr>
        <w:snapToGrid w:val="0"/>
        <w:spacing w:before="120" w:beforeLines="50" w:after="50"/>
        <w:rPr>
          <w:rFonts w:hint="eastAsia" w:ascii="宋体" w:hAnsi="宋体" w:cs="宋体"/>
          <w:b/>
          <w:color w:val="auto"/>
          <w:sz w:val="24"/>
          <w:highlight w:val="none"/>
        </w:rPr>
      </w:pPr>
    </w:p>
    <w:p w14:paraId="1B2BAD24">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 投标函格式：</w:t>
      </w:r>
    </w:p>
    <w:p w14:paraId="77AA331D">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 标 函</w:t>
      </w:r>
    </w:p>
    <w:p w14:paraId="6AAACD3B">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p>
    <w:p w14:paraId="55887BAC">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eastAsia" w:ascii="宋体" w:hAnsi="宋体" w:cs="宋体"/>
          <w:color w:val="auto"/>
          <w:szCs w:val="21"/>
          <w:highlight w:val="none"/>
        </w:rPr>
      </w:pPr>
      <w:r>
        <w:rPr>
          <w:rFonts w:hint="eastAsia" w:ascii="宋体" w:hAnsi="宋体" w:cs="宋体"/>
          <w:color w:val="auto"/>
          <w:szCs w:val="21"/>
          <w:highlight w:val="none"/>
        </w:rPr>
        <w:t>根据贵方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）的招标文件，签字代表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（姓名）经正式授权并代表投标人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（投标人名称）提交投标文件。</w:t>
      </w:r>
    </w:p>
    <w:p w14:paraId="02CD6A5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据此函，我方宣布同意如下：</w:t>
      </w:r>
    </w:p>
    <w:p w14:paraId="6EC17A6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6E022351">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2.我方在投标之前已经完全理解并接受招标文件的各项规定和要求，对招标文件的合理性、合法性不再有异议。</w:t>
      </w:r>
    </w:p>
    <w:p w14:paraId="3AD4552A">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3.本投标有效期自投标截止之日起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3BF2B57">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4.如中标，本投标文件至本项目合同履行完毕止均保持有效，我方将按“招标文件”及政府采购</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的规定履行合同责任和义务。</w:t>
      </w:r>
    </w:p>
    <w:p w14:paraId="54A9031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5.我方同意按照贵方要求提供与投标有关的一切数据或者资料。</w:t>
      </w:r>
    </w:p>
    <w:p w14:paraId="02449BF6">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6.我方向贵方提交的所有投标文件、资料都是准确的和真实的。</w:t>
      </w:r>
    </w:p>
    <w:p w14:paraId="6773813A">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7DE23B50">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69FFF176">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297EC0A7">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1A768B88">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9.与本项目有关的一切正式往来信函请寄：</w:t>
      </w:r>
    </w:p>
    <w:p w14:paraId="030A90AA">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single"/>
        </w:rPr>
        <w:t xml:space="preserve">            </w:t>
      </w:r>
    </w:p>
    <w:p w14:paraId="4A683AF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电子邮箱：</w:t>
      </w:r>
      <w:r>
        <w:rPr>
          <w:rFonts w:hint="eastAsia" w:ascii="宋体" w:hAnsi="宋体" w:cs="宋体"/>
          <w:color w:val="auto"/>
          <w:szCs w:val="21"/>
          <w:highlight w:val="none"/>
          <w:u w:val="single"/>
        </w:rPr>
        <w:t xml:space="preserve">         </w:t>
      </w:r>
    </w:p>
    <w:p w14:paraId="2F24EF4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28F9F7B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9F2C939">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107BF4D5">
      <w:pPr>
        <w:keepNext w:val="0"/>
        <w:keepLines w:val="0"/>
        <w:pageBreakBefore w:val="0"/>
        <w:widowControl w:val="0"/>
        <w:kinsoku/>
        <w:wordWrap/>
        <w:overflowPunct/>
        <w:topLinePunct w:val="0"/>
        <w:autoSpaceDE/>
        <w:autoSpaceDN/>
        <w:bidi w:val="0"/>
        <w:adjustRightInd/>
        <w:snapToGrid w:val="0"/>
        <w:spacing w:line="400" w:lineRule="exact"/>
        <w:ind w:firstLine="3045" w:firstLineChars="14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r>
        <w:rPr>
          <w:rFonts w:hint="eastAsia" w:ascii="宋体" w:hAnsi="宋体" w:cs="宋体"/>
          <w:color w:val="auto"/>
          <w:szCs w:val="21"/>
          <w:highlight w:val="none"/>
          <w:u w:val="single"/>
        </w:rPr>
        <w:t xml:space="preserve">          </w:t>
      </w:r>
    </w:p>
    <w:p w14:paraId="16BA89A8">
      <w:pPr>
        <w:pStyle w:val="20"/>
        <w:keepNext w:val="0"/>
        <w:keepLines w:val="0"/>
        <w:pageBreakBefore w:val="0"/>
        <w:widowControl w:val="0"/>
        <w:kinsoku/>
        <w:wordWrap/>
        <w:overflowPunct/>
        <w:topLinePunct w:val="0"/>
        <w:autoSpaceDE/>
        <w:autoSpaceDN/>
        <w:bidi w:val="0"/>
        <w:adjustRightInd/>
        <w:snapToGrid w:val="0"/>
        <w:spacing w:before="295" w:after="295" w:line="400" w:lineRule="exact"/>
        <w:jc w:val="center"/>
        <w:textAlignment w:val="auto"/>
        <w:rPr>
          <w:rFonts w:hint="eastAsia" w:hAnsi="宋体" w:cs="宋体"/>
          <w:color w:val="auto"/>
          <w:highlight w:val="none"/>
          <w:u w:val="single"/>
        </w:rPr>
      </w:pPr>
      <w:r>
        <w:rPr>
          <w:rFonts w:hint="eastAsia" w:hAnsi="宋体" w:cs="宋体"/>
          <w:color w:val="auto"/>
          <w:highlight w:val="none"/>
        </w:rPr>
        <w:t xml:space="preserve">                                     投标人名称（电子签章）：</w:t>
      </w:r>
      <w:r>
        <w:rPr>
          <w:rFonts w:hint="eastAsia" w:hAnsi="宋体" w:cs="宋体"/>
          <w:color w:val="auto"/>
          <w:highlight w:val="none"/>
          <w:u w:val="single"/>
        </w:rPr>
        <w:t xml:space="preserve">          </w:t>
      </w:r>
    </w:p>
    <w:p w14:paraId="37E73EBC">
      <w:pPr>
        <w:pStyle w:val="20"/>
        <w:keepNext w:val="0"/>
        <w:keepLines w:val="0"/>
        <w:pageBreakBefore w:val="0"/>
        <w:widowControl w:val="0"/>
        <w:kinsoku/>
        <w:wordWrap/>
        <w:overflowPunct/>
        <w:topLinePunct w:val="0"/>
        <w:autoSpaceDE/>
        <w:autoSpaceDN/>
        <w:bidi w:val="0"/>
        <w:adjustRightInd/>
        <w:snapToGrid w:val="0"/>
        <w:spacing w:before="295" w:after="295" w:line="400" w:lineRule="exact"/>
        <w:textAlignment w:val="auto"/>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4BA80216">
      <w:pPr>
        <w:snapToGrid w:val="0"/>
        <w:spacing w:before="120" w:beforeLines="50" w:after="50"/>
        <w:jc w:val="left"/>
        <w:rPr>
          <w:rFonts w:hint="eastAsia" w:ascii="宋体" w:hAnsi="宋体" w:cs="宋体"/>
          <w:b/>
          <w:color w:val="auto"/>
          <w:sz w:val="24"/>
          <w:szCs w:val="20"/>
          <w:highlight w:val="none"/>
        </w:rPr>
      </w:pPr>
      <w:r>
        <w:rPr>
          <w:rFonts w:hint="eastAsia" w:ascii="宋体" w:hAnsi="宋体" w:cs="宋体"/>
          <w:color w:val="auto"/>
          <w:highlight w:val="none"/>
          <w:u w:val="single"/>
        </w:rPr>
        <w:br w:type="page"/>
      </w:r>
      <w:r>
        <w:rPr>
          <w:rFonts w:hint="eastAsia" w:ascii="宋体" w:hAnsi="宋体" w:cs="宋体"/>
          <w:b/>
          <w:color w:val="auto"/>
          <w:sz w:val="24"/>
          <w:highlight w:val="none"/>
        </w:rPr>
        <w:t>4.开标一览表（服务类格式）</w:t>
      </w:r>
    </w:p>
    <w:p w14:paraId="49C81D18">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开标一览表</w:t>
      </w:r>
    </w:p>
    <w:p w14:paraId="595545DB">
      <w:pPr>
        <w:keepNext w:val="0"/>
        <w:keepLines w:val="0"/>
        <w:pageBreakBefore w:val="0"/>
        <w:wordWrap/>
        <w:overflowPunct/>
        <w:topLinePunct w:val="0"/>
        <w:bidi w:val="0"/>
        <w:snapToGrid w:val="0"/>
        <w:spacing w:before="50" w:after="50"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分标：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p>
    <w:p w14:paraId="390B4036">
      <w:pPr>
        <w:keepNext w:val="0"/>
        <w:keepLines w:val="0"/>
        <w:pageBreakBefore w:val="0"/>
        <w:wordWrap/>
        <w:overflowPunct/>
        <w:topLinePunct w:val="0"/>
        <w:bidi w:val="0"/>
        <w:snapToGrid w:val="0"/>
        <w:spacing w:before="50" w:after="50"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tbl>
      <w:tblPr>
        <w:tblStyle w:val="39"/>
        <w:tblW w:w="95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2657"/>
        <w:gridCol w:w="993"/>
        <w:gridCol w:w="992"/>
        <w:gridCol w:w="2835"/>
        <w:gridCol w:w="1460"/>
      </w:tblGrid>
      <w:tr w14:paraId="4660E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16" w:hRule="atLeast"/>
          <w:jc w:val="center"/>
        </w:trPr>
        <w:tc>
          <w:tcPr>
            <w:tcW w:w="638" w:type="dxa"/>
            <w:tcBorders>
              <w:top w:val="single" w:color="000000" w:sz="2" w:space="0"/>
              <w:left w:val="single" w:color="000000" w:sz="2" w:space="0"/>
              <w:bottom w:val="single" w:color="000000" w:sz="2" w:space="0"/>
              <w:right w:val="single" w:color="000000" w:sz="2" w:space="0"/>
            </w:tcBorders>
            <w:noWrap w:val="0"/>
            <w:vAlign w:val="top"/>
          </w:tcPr>
          <w:p w14:paraId="33510F9D">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eastAsia"/>
                <w:color w:val="auto"/>
                <w:highlight w:val="none"/>
              </w:rPr>
            </w:pPr>
            <w:r>
              <w:rPr>
                <w:rFonts w:hint="eastAsia"/>
                <w:color w:val="auto"/>
                <w:spacing w:val="1"/>
                <w:highlight w:val="none"/>
              </w:rPr>
              <w:t>序号</w:t>
            </w:r>
          </w:p>
        </w:tc>
        <w:tc>
          <w:tcPr>
            <w:tcW w:w="2657" w:type="dxa"/>
            <w:tcBorders>
              <w:top w:val="single" w:color="000000" w:sz="2" w:space="0"/>
              <w:left w:val="single" w:color="000000" w:sz="2" w:space="0"/>
              <w:bottom w:val="single" w:color="000000" w:sz="2" w:space="0"/>
              <w:right w:val="single" w:color="000000" w:sz="2" w:space="0"/>
            </w:tcBorders>
            <w:noWrap w:val="0"/>
            <w:vAlign w:val="top"/>
          </w:tcPr>
          <w:p w14:paraId="5D028D2C">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eastAsia"/>
                <w:color w:val="auto"/>
                <w:spacing w:val="1"/>
                <w:highlight w:val="none"/>
              </w:rPr>
            </w:pPr>
            <w:r>
              <w:rPr>
                <w:rFonts w:hint="eastAsia"/>
                <w:color w:val="auto"/>
                <w:spacing w:val="1"/>
                <w:highlight w:val="none"/>
              </w:rPr>
              <w:t>标的名称</w:t>
            </w:r>
          </w:p>
        </w:tc>
        <w:tc>
          <w:tcPr>
            <w:tcW w:w="993" w:type="dxa"/>
            <w:tcBorders>
              <w:top w:val="single" w:color="000000" w:sz="2" w:space="0"/>
              <w:left w:val="single" w:color="000000" w:sz="2" w:space="0"/>
              <w:bottom w:val="single" w:color="000000" w:sz="2" w:space="0"/>
              <w:right w:val="single" w:color="000000" w:sz="2" w:space="0"/>
            </w:tcBorders>
            <w:noWrap w:val="0"/>
            <w:vAlign w:val="top"/>
          </w:tcPr>
          <w:p w14:paraId="443428B9">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eastAsia" w:eastAsia="宋体"/>
                <w:color w:val="auto"/>
                <w:spacing w:val="1"/>
                <w:highlight w:val="none"/>
                <w:lang w:val="en-US" w:eastAsia="zh-CN"/>
              </w:rPr>
            </w:pPr>
            <w:r>
              <w:rPr>
                <w:rFonts w:hint="eastAsia"/>
                <w:color w:val="auto"/>
                <w:spacing w:val="1"/>
                <w:highlight w:val="none"/>
              </w:rPr>
              <w:t>数量</w:t>
            </w:r>
            <w:r>
              <w:rPr>
                <w:rFonts w:hint="eastAsia"/>
                <w:color w:val="auto"/>
                <w:spacing w:val="1"/>
                <w:highlight w:val="none"/>
                <w:lang w:val="en-US" w:eastAsia="zh-CN"/>
              </w:rPr>
              <w:t>①</w:t>
            </w:r>
          </w:p>
        </w:tc>
        <w:tc>
          <w:tcPr>
            <w:tcW w:w="992" w:type="dxa"/>
            <w:tcBorders>
              <w:top w:val="single" w:color="000000" w:sz="2" w:space="0"/>
              <w:left w:val="single" w:color="000000" w:sz="2" w:space="0"/>
              <w:bottom w:val="single" w:color="000000" w:sz="2" w:space="0"/>
              <w:right w:val="single" w:color="000000" w:sz="2" w:space="0"/>
            </w:tcBorders>
            <w:noWrap w:val="0"/>
            <w:vAlign w:val="top"/>
          </w:tcPr>
          <w:p w14:paraId="19199DD4">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default" w:eastAsia="宋体"/>
                <w:color w:val="auto"/>
                <w:spacing w:val="1"/>
                <w:highlight w:val="none"/>
                <w:lang w:val="en-US" w:eastAsia="zh-CN"/>
              </w:rPr>
            </w:pPr>
            <w:r>
              <w:rPr>
                <w:rFonts w:hint="eastAsia"/>
                <w:color w:val="auto"/>
                <w:spacing w:val="1"/>
                <w:highlight w:val="none"/>
                <w:lang w:val="en-US" w:eastAsia="zh-CN"/>
              </w:rPr>
              <w:t>单价②</w:t>
            </w:r>
          </w:p>
        </w:tc>
        <w:tc>
          <w:tcPr>
            <w:tcW w:w="2835" w:type="dxa"/>
            <w:tcBorders>
              <w:top w:val="single" w:color="000000" w:sz="2" w:space="0"/>
              <w:left w:val="single" w:color="000000" w:sz="2" w:space="0"/>
              <w:bottom w:val="single" w:color="000000" w:sz="2" w:space="0"/>
              <w:right w:val="single" w:color="000000" w:sz="2" w:space="0"/>
            </w:tcBorders>
            <w:noWrap w:val="0"/>
            <w:vAlign w:val="top"/>
          </w:tcPr>
          <w:p w14:paraId="117E215E">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eastAsia"/>
                <w:color w:val="auto"/>
                <w:spacing w:val="1"/>
                <w:highlight w:val="none"/>
              </w:rPr>
            </w:pPr>
            <w:r>
              <w:rPr>
                <w:rFonts w:hint="eastAsia"/>
                <w:color w:val="auto"/>
                <w:spacing w:val="1"/>
                <w:highlight w:val="none"/>
              </w:rPr>
              <w:t>单项合价（元）</w:t>
            </w:r>
          </w:p>
          <w:p w14:paraId="1414FBBC">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eastAsia"/>
                <w:color w:val="auto"/>
                <w:spacing w:val="1"/>
                <w:highlight w:val="none"/>
              </w:rPr>
            </w:pPr>
            <w:r>
              <w:rPr>
                <w:rFonts w:hint="eastAsia"/>
                <w:color w:val="auto"/>
                <w:spacing w:val="1"/>
                <w:highlight w:val="none"/>
              </w:rPr>
              <w:t>③＝①×②</w:t>
            </w:r>
          </w:p>
        </w:tc>
        <w:tc>
          <w:tcPr>
            <w:tcW w:w="1460" w:type="dxa"/>
            <w:tcBorders>
              <w:top w:val="single" w:color="000000" w:sz="2" w:space="0"/>
              <w:left w:val="single" w:color="000000" w:sz="2" w:space="0"/>
              <w:bottom w:val="single" w:color="000000" w:sz="2" w:space="0"/>
              <w:right w:val="single" w:color="000000" w:sz="2" w:space="0"/>
            </w:tcBorders>
            <w:noWrap w:val="0"/>
            <w:vAlign w:val="top"/>
          </w:tcPr>
          <w:p w14:paraId="2BA6D013">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eastAsia"/>
                <w:color w:val="auto"/>
                <w:spacing w:val="1"/>
                <w:highlight w:val="none"/>
              </w:rPr>
            </w:pPr>
            <w:r>
              <w:rPr>
                <w:rFonts w:hint="eastAsia"/>
                <w:color w:val="auto"/>
                <w:spacing w:val="1"/>
                <w:highlight w:val="none"/>
              </w:rPr>
              <w:t>备注</w:t>
            </w:r>
          </w:p>
        </w:tc>
      </w:tr>
      <w:tr w14:paraId="1606F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jc w:val="center"/>
        </w:trPr>
        <w:tc>
          <w:tcPr>
            <w:tcW w:w="638" w:type="dxa"/>
            <w:tcBorders>
              <w:top w:val="single" w:color="000000" w:sz="2" w:space="0"/>
              <w:left w:val="single" w:color="000000" w:sz="2" w:space="0"/>
              <w:bottom w:val="single" w:color="000000" w:sz="2" w:space="0"/>
              <w:right w:val="single" w:color="000000" w:sz="2" w:space="0"/>
            </w:tcBorders>
            <w:noWrap w:val="0"/>
            <w:vAlign w:val="center"/>
          </w:tcPr>
          <w:p w14:paraId="5C1141B2">
            <w:pPr>
              <w:keepNext w:val="0"/>
              <w:keepLines w:val="0"/>
              <w:pageBreakBefore w:val="0"/>
              <w:suppressLineNumbers w:val="0"/>
              <w:kinsoku w:val="0"/>
              <w:wordWrap/>
              <w:overflowPunct/>
              <w:topLinePunct w:val="0"/>
              <w:autoSpaceDE w:val="0"/>
              <w:autoSpaceDN w:val="0"/>
              <w:bidi w:val="0"/>
              <w:adjustRightInd w:val="0"/>
              <w:snapToGrid w:val="0"/>
              <w:spacing w:before="60" w:beforeAutospacing="0" w:after="0" w:afterAutospacing="0" w:line="400" w:lineRule="exact"/>
              <w:ind w:left="288" w:right="0"/>
              <w:textAlignment w:val="baseline"/>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2657" w:type="dxa"/>
            <w:tcBorders>
              <w:top w:val="single" w:color="000000" w:sz="2" w:space="0"/>
              <w:left w:val="single" w:color="000000" w:sz="2" w:space="0"/>
              <w:bottom w:val="single" w:color="000000" w:sz="2" w:space="0"/>
              <w:right w:val="single" w:color="000000" w:sz="2" w:space="0"/>
            </w:tcBorders>
            <w:noWrap w:val="0"/>
            <w:vAlign w:val="center"/>
          </w:tcPr>
          <w:p w14:paraId="09484B2A">
            <w:pPr>
              <w:pStyle w:val="126"/>
              <w:keepNext w:val="0"/>
              <w:keepLines w:val="0"/>
              <w:pageBreakBefore w:val="0"/>
              <w:suppressLineNumbers w:val="0"/>
              <w:wordWrap/>
              <w:overflowPunct/>
              <w:topLinePunct w:val="0"/>
              <w:bidi w:val="0"/>
              <w:snapToGrid w:val="0"/>
              <w:spacing w:before="107" w:beforeAutospacing="0" w:after="0" w:afterAutospacing="0" w:line="400" w:lineRule="exact"/>
              <w:ind w:left="205" w:right="195"/>
              <w:jc w:val="center"/>
              <w:rPr>
                <w:rFonts w:hint="eastAsia"/>
                <w:color w:val="auto"/>
                <w:highlight w:val="none"/>
              </w:rPr>
            </w:pPr>
            <w:r>
              <w:rPr>
                <w:rFonts w:hint="eastAsia" w:cs="宋体"/>
                <w:color w:val="auto"/>
                <w:highlight w:val="none"/>
                <w:lang w:eastAsia="zh-CN"/>
              </w:rPr>
              <w:t xml:space="preserve">广西壮族自治区2026年度计划生育特殊家庭综合保险项目 </w:t>
            </w:r>
          </w:p>
        </w:tc>
        <w:tc>
          <w:tcPr>
            <w:tcW w:w="993" w:type="dxa"/>
            <w:tcBorders>
              <w:top w:val="single" w:color="000000" w:sz="2" w:space="0"/>
              <w:left w:val="single" w:color="000000" w:sz="2" w:space="0"/>
              <w:bottom w:val="single" w:color="000000" w:sz="2" w:space="0"/>
              <w:right w:val="single" w:color="000000" w:sz="2" w:space="0"/>
            </w:tcBorders>
            <w:noWrap w:val="0"/>
            <w:vAlign w:val="center"/>
          </w:tcPr>
          <w:p w14:paraId="3D879F36">
            <w:pPr>
              <w:keepNext w:val="0"/>
              <w:keepLines w:val="0"/>
              <w:pageBreakBefore w:val="0"/>
              <w:suppressLineNumbers w:val="0"/>
              <w:kinsoku w:val="0"/>
              <w:wordWrap/>
              <w:overflowPunct/>
              <w:topLinePunct w:val="0"/>
              <w:autoSpaceDE w:val="0"/>
              <w:autoSpaceDN w:val="0"/>
              <w:bidi w:val="0"/>
              <w:adjustRightInd w:val="0"/>
              <w:snapToGrid w:val="0"/>
              <w:spacing w:before="60" w:beforeAutospacing="0" w:after="0" w:afterAutospacing="0" w:line="400" w:lineRule="exact"/>
              <w:ind w:left="0" w:right="0"/>
              <w:textAlignment w:val="baseline"/>
              <w:rPr>
                <w:rFonts w:hint="default" w:ascii="宋体" w:hAnsi="宋体" w:cs="宋体"/>
                <w:color w:val="auto"/>
                <w:szCs w:val="21"/>
                <w:highlight w:val="none"/>
                <w:lang w:val="en-US"/>
              </w:rPr>
            </w:pPr>
            <w:r>
              <w:rPr>
                <w:rFonts w:hint="eastAsia" w:ascii="宋体" w:hAnsi="宋体" w:eastAsia="宋体" w:cs="宋体"/>
                <w:b w:val="0"/>
                <w:bCs w:val="0"/>
                <w:color w:val="auto"/>
                <w:kern w:val="2"/>
                <w:sz w:val="21"/>
                <w:szCs w:val="21"/>
                <w:highlight w:val="none"/>
                <w:lang w:val="en-US" w:eastAsia="zh-CN" w:bidi="ar"/>
              </w:rPr>
              <w:t>34000</w:t>
            </w:r>
            <w:r>
              <w:rPr>
                <w:rFonts w:hint="eastAsia" w:ascii="宋体" w:hAnsi="宋体" w:cs="宋体"/>
                <w:b w:val="0"/>
                <w:bCs w:val="0"/>
                <w:color w:val="auto"/>
                <w:kern w:val="2"/>
                <w:sz w:val="21"/>
                <w:szCs w:val="21"/>
                <w:highlight w:val="none"/>
                <w:lang w:val="en-US" w:eastAsia="zh-CN" w:bidi="ar"/>
              </w:rPr>
              <w:t>份</w:t>
            </w:r>
          </w:p>
        </w:tc>
        <w:tc>
          <w:tcPr>
            <w:tcW w:w="992" w:type="dxa"/>
            <w:tcBorders>
              <w:top w:val="single" w:color="000000" w:sz="2" w:space="0"/>
              <w:left w:val="single" w:color="000000" w:sz="2" w:space="0"/>
              <w:bottom w:val="single" w:color="000000" w:sz="2" w:space="0"/>
              <w:right w:val="single" w:color="000000" w:sz="2" w:space="0"/>
            </w:tcBorders>
            <w:noWrap w:val="0"/>
            <w:vAlign w:val="center"/>
          </w:tcPr>
          <w:p w14:paraId="49C868F4">
            <w:pPr>
              <w:pStyle w:val="126"/>
              <w:keepNext w:val="0"/>
              <w:keepLines w:val="0"/>
              <w:pageBreakBefore w:val="0"/>
              <w:suppressLineNumbers w:val="0"/>
              <w:wordWrap/>
              <w:overflowPunct/>
              <w:topLinePunct w:val="0"/>
              <w:bidi w:val="0"/>
              <w:snapToGrid w:val="0"/>
              <w:spacing w:before="68" w:beforeAutospacing="0" w:after="0" w:afterAutospacing="0" w:line="400" w:lineRule="exact"/>
              <w:ind w:left="0" w:right="0"/>
              <w:jc w:val="center"/>
              <w:rPr>
                <w:rFonts w:hint="default" w:eastAsia="宋体"/>
                <w:color w:val="auto"/>
                <w:highlight w:val="none"/>
                <w:lang w:val="en-US" w:eastAsia="zh-CN"/>
              </w:rPr>
            </w:pPr>
            <w:r>
              <w:rPr>
                <w:rFonts w:hint="eastAsia"/>
                <w:color w:val="auto"/>
                <w:highlight w:val="none"/>
                <w:lang w:val="en-US" w:eastAsia="zh-CN"/>
              </w:rPr>
              <w:t>500</w:t>
            </w:r>
          </w:p>
        </w:tc>
        <w:tc>
          <w:tcPr>
            <w:tcW w:w="2835" w:type="dxa"/>
            <w:tcBorders>
              <w:top w:val="single" w:color="000000" w:sz="2" w:space="0"/>
              <w:left w:val="single" w:color="000000" w:sz="2" w:space="0"/>
              <w:bottom w:val="single" w:color="000000" w:sz="2" w:space="0"/>
              <w:right w:val="single" w:color="000000" w:sz="2" w:space="0"/>
            </w:tcBorders>
            <w:noWrap w:val="0"/>
            <w:vAlign w:val="center"/>
          </w:tcPr>
          <w:p w14:paraId="178F7E9D">
            <w:pPr>
              <w:keepNext w:val="0"/>
              <w:keepLines w:val="0"/>
              <w:pageBreakBefore w:val="0"/>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17000000.00</w:t>
            </w:r>
          </w:p>
        </w:tc>
        <w:tc>
          <w:tcPr>
            <w:tcW w:w="1460" w:type="dxa"/>
            <w:tcBorders>
              <w:top w:val="single" w:color="000000" w:sz="2" w:space="0"/>
              <w:left w:val="single" w:color="000000" w:sz="2" w:space="0"/>
              <w:bottom w:val="single" w:color="000000" w:sz="2" w:space="0"/>
              <w:right w:val="single" w:color="000000" w:sz="2" w:space="0"/>
            </w:tcBorders>
            <w:noWrap w:val="0"/>
            <w:vAlign w:val="center"/>
          </w:tcPr>
          <w:p w14:paraId="5CC3CA75">
            <w:pPr>
              <w:keepNext w:val="0"/>
              <w:keepLines w:val="0"/>
              <w:pageBreakBefore w:val="0"/>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合同金额以双方实际确认的人数为准</w:t>
            </w:r>
          </w:p>
        </w:tc>
      </w:tr>
      <w:tr w14:paraId="583FC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9575" w:type="dxa"/>
            <w:gridSpan w:val="6"/>
            <w:tcBorders>
              <w:top w:val="single" w:color="000000" w:sz="2" w:space="0"/>
              <w:left w:val="single" w:color="000000" w:sz="2" w:space="0"/>
              <w:right w:val="single" w:color="000000" w:sz="2" w:space="0"/>
            </w:tcBorders>
            <w:noWrap w:val="0"/>
            <w:vAlign w:val="top"/>
          </w:tcPr>
          <w:p w14:paraId="3D2953A4">
            <w:pPr>
              <w:keepNext w:val="0"/>
              <w:keepLines w:val="0"/>
              <w:pageBreakBefore w:val="0"/>
              <w:suppressLineNumbers w:val="0"/>
              <w:wordWrap/>
              <w:overflowPunct/>
              <w:topLinePunct w:val="0"/>
              <w:bidi w:val="0"/>
              <w:snapToGrid w:val="0"/>
              <w:spacing w:before="50" w:beforeAutospacing="0" w:after="50" w:afterAutospacing="0"/>
              <w:ind w:left="0" w:right="0" w:firstLine="602" w:firstLineChars="250"/>
              <w:jc w:val="both"/>
              <w:rPr>
                <w:rFonts w:hint="eastAsia"/>
                <w:color w:val="auto"/>
                <w:highlight w:val="none"/>
              </w:rPr>
            </w:pPr>
            <w:r>
              <w:rPr>
                <w:rFonts w:hint="eastAsia" w:ascii="宋体" w:hAnsi="宋体" w:cs="宋体"/>
                <w:b/>
                <w:color w:val="auto"/>
                <w:sz w:val="24"/>
                <w:highlight w:val="none"/>
              </w:rPr>
              <w:t>投标报价：</w:t>
            </w:r>
            <w:r>
              <w:rPr>
                <w:rFonts w:hint="eastAsia" w:ascii="宋体" w:hAnsi="宋体"/>
                <w:color w:val="auto"/>
                <w:szCs w:val="22"/>
                <w:highlight w:val="none"/>
                <w:u w:val="single"/>
              </w:rPr>
              <w:t xml:space="preserve">（大写）人民币 </w:t>
            </w:r>
            <w:r>
              <w:rPr>
                <w:rFonts w:hint="eastAsia" w:ascii="宋体" w:hAnsi="宋体"/>
                <w:color w:val="auto"/>
                <w:szCs w:val="22"/>
                <w:highlight w:val="none"/>
                <w:u w:val="single"/>
                <w:lang w:val="en-US" w:eastAsia="zh-CN"/>
              </w:rPr>
              <w:t>壹仟柒佰万元整</w:t>
            </w:r>
            <w:r>
              <w:rPr>
                <w:rFonts w:hint="eastAsia" w:ascii="宋体" w:hAnsi="宋体"/>
                <w:color w:val="auto"/>
                <w:szCs w:val="22"/>
                <w:highlight w:val="none"/>
                <w:u w:val="single"/>
              </w:rPr>
              <w:t>（￥</w:t>
            </w:r>
            <w:r>
              <w:rPr>
                <w:rFonts w:hint="eastAsia" w:ascii="宋体" w:hAnsi="宋体"/>
                <w:color w:val="auto"/>
                <w:szCs w:val="22"/>
                <w:highlight w:val="none"/>
                <w:u w:val="single"/>
                <w:lang w:val="en-US" w:eastAsia="zh-CN"/>
              </w:rPr>
              <w:t>1700</w:t>
            </w:r>
            <w:r>
              <w:rPr>
                <w:rFonts w:hint="default" w:ascii="宋体" w:hAnsi="宋体"/>
                <w:color w:val="auto"/>
                <w:szCs w:val="22"/>
                <w:highlight w:val="none"/>
                <w:u w:val="single"/>
              </w:rPr>
              <w:t>0000</w:t>
            </w:r>
            <w:r>
              <w:rPr>
                <w:rFonts w:hint="eastAsia" w:ascii="宋体" w:hAnsi="宋体"/>
                <w:color w:val="auto"/>
                <w:szCs w:val="22"/>
                <w:highlight w:val="none"/>
                <w:u w:val="single"/>
              </w:rPr>
              <w:t>.00元）</w:t>
            </w:r>
            <w:r>
              <w:rPr>
                <w:rFonts w:hint="eastAsia" w:ascii="宋体" w:hAnsi="宋体" w:cs="宋体"/>
                <w:b/>
                <w:bCs/>
                <w:color w:val="auto"/>
                <w:sz w:val="24"/>
                <w:highlight w:val="none"/>
              </w:rPr>
              <w:t>。</w:t>
            </w:r>
          </w:p>
        </w:tc>
      </w:tr>
    </w:tbl>
    <w:p w14:paraId="306EF64B">
      <w:pPr>
        <w:keepNext w:val="0"/>
        <w:keepLines w:val="0"/>
        <w:pageBreakBefore w:val="0"/>
        <w:wordWrap/>
        <w:overflowPunct/>
        <w:topLinePunct w:val="0"/>
        <w:bidi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注： </w:t>
      </w:r>
    </w:p>
    <w:p w14:paraId="200729FE">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1.投标人的开标一览表必须加盖投标人电子签章并由法定代表人或者委托代理人签字或者电子签名，</w:t>
      </w:r>
      <w:r>
        <w:rPr>
          <w:rFonts w:hint="eastAsia" w:ascii="宋体" w:hAnsi="宋体" w:cs="宋体"/>
          <w:b/>
          <w:color w:val="auto"/>
          <w:szCs w:val="21"/>
          <w:highlight w:val="none"/>
        </w:rPr>
        <w:t>否则其投标作无效标处理</w:t>
      </w:r>
      <w:r>
        <w:rPr>
          <w:rFonts w:hint="eastAsia" w:ascii="宋体" w:hAnsi="宋体" w:cs="宋体"/>
          <w:color w:val="auto"/>
          <w:szCs w:val="21"/>
          <w:highlight w:val="none"/>
        </w:rPr>
        <w:t>。</w:t>
      </w:r>
    </w:p>
    <w:p w14:paraId="4A8639BE">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b/>
          <w:bCs w:val="0"/>
          <w:color w:val="auto"/>
          <w:szCs w:val="21"/>
          <w:highlight w:val="none"/>
        </w:rPr>
        <w:t>本项目采用固定报价的方式，以上报价为本项目的保险费标准，投标人不得修改。否则其投标作无效标处理。</w:t>
      </w:r>
    </w:p>
    <w:p w14:paraId="583D4E05">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3.如为联合体投标，“投标人名称”处必须列明联合体各方名称，并标注联合体牵头人名称，</w:t>
      </w:r>
      <w:r>
        <w:rPr>
          <w:rFonts w:hint="eastAsia" w:ascii="宋体" w:hAnsi="宋体" w:cs="宋体"/>
          <w:b/>
          <w:color w:val="auto"/>
          <w:szCs w:val="21"/>
          <w:highlight w:val="none"/>
        </w:rPr>
        <w:t>否则其投标作无效标处理。</w:t>
      </w:r>
    </w:p>
    <w:p w14:paraId="2EB086FD">
      <w:pPr>
        <w:keepNext w:val="0"/>
        <w:keepLines w:val="0"/>
        <w:pageBreakBefore w:val="0"/>
        <w:wordWrap/>
        <w:overflowPunct/>
        <w:topLinePunct w:val="0"/>
        <w:bidi w:val="0"/>
        <w:snapToGrid w:val="0"/>
        <w:spacing w:line="400" w:lineRule="exact"/>
        <w:ind w:firstLine="396" w:firstLineChars="200"/>
        <w:jc w:val="left"/>
        <w:rPr>
          <w:rFonts w:hint="eastAsia" w:ascii="宋体" w:hAnsi="宋体" w:cs="宋体"/>
          <w:color w:val="auto"/>
          <w:spacing w:val="-6"/>
          <w:szCs w:val="21"/>
          <w:highlight w:val="none"/>
        </w:rPr>
      </w:pPr>
      <w:r>
        <w:rPr>
          <w:rFonts w:hint="eastAsia" w:ascii="宋体" w:hAnsi="宋体" w:cs="宋体"/>
          <w:color w:val="auto"/>
          <w:spacing w:val="-6"/>
          <w:szCs w:val="21"/>
          <w:highlight w:val="none"/>
        </w:rPr>
        <w:t>4.如为联合体投标，盖章处须加盖联合体牵头人电子签章，</w:t>
      </w:r>
      <w:r>
        <w:rPr>
          <w:rFonts w:hint="eastAsia" w:ascii="宋体" w:hAnsi="宋体" w:cs="宋体"/>
          <w:b/>
          <w:color w:val="auto"/>
          <w:spacing w:val="-6"/>
          <w:szCs w:val="21"/>
          <w:highlight w:val="none"/>
        </w:rPr>
        <w:t>否则其投标作无效标处理。</w:t>
      </w:r>
    </w:p>
    <w:p w14:paraId="7C207F5B">
      <w:pPr>
        <w:keepNext w:val="0"/>
        <w:keepLines w:val="0"/>
        <w:pageBreakBefore w:val="0"/>
        <w:wordWrap/>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5.如有多分标，按分标分别提供开标一览表，</w:t>
      </w:r>
      <w:r>
        <w:rPr>
          <w:rFonts w:hint="eastAsia" w:ascii="宋体" w:hAnsi="宋体" w:cs="宋体"/>
          <w:b/>
          <w:color w:val="auto"/>
          <w:szCs w:val="21"/>
          <w:highlight w:val="none"/>
        </w:rPr>
        <w:t>否则投标无效。</w:t>
      </w:r>
    </w:p>
    <w:p w14:paraId="040A7315">
      <w:pPr>
        <w:keepNext w:val="0"/>
        <w:keepLines w:val="0"/>
        <w:pageBreakBefore w:val="0"/>
        <w:wordWrap/>
        <w:overflowPunct/>
        <w:topLinePunct w:val="0"/>
        <w:bidi w:val="0"/>
        <w:snapToGrid w:val="0"/>
        <w:spacing w:line="400" w:lineRule="exact"/>
        <w:ind w:left="-2" w:leftChars="-1" w:right="-817" w:rightChars="-389"/>
        <w:rPr>
          <w:rFonts w:hint="eastAsia" w:ascii="宋体" w:hAnsi="宋体" w:cs="宋体"/>
          <w:color w:val="auto"/>
          <w:szCs w:val="21"/>
          <w:highlight w:val="none"/>
        </w:rPr>
      </w:pPr>
    </w:p>
    <w:p w14:paraId="6547A8C1">
      <w:pPr>
        <w:keepNext w:val="0"/>
        <w:keepLines w:val="0"/>
        <w:pageBreakBefore w:val="0"/>
        <w:wordWrap/>
        <w:overflowPunct/>
        <w:topLinePunct w:val="0"/>
        <w:bidi w:val="0"/>
        <w:snapToGrid w:val="0"/>
        <w:spacing w:line="400" w:lineRule="exact"/>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法定代表人或者委托代理人（签字或者电子签名）： </w:t>
      </w:r>
    </w:p>
    <w:p w14:paraId="0CD0A07C">
      <w:pPr>
        <w:keepNext w:val="0"/>
        <w:keepLines w:val="0"/>
        <w:pageBreakBefore w:val="0"/>
        <w:wordWrap/>
        <w:overflowPunct/>
        <w:topLinePunct w:val="0"/>
        <w:bidi w:val="0"/>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14A39677">
      <w:pPr>
        <w:keepNext w:val="0"/>
        <w:keepLines w:val="0"/>
        <w:pageBreakBefore w:val="0"/>
        <w:wordWrap/>
        <w:overflowPunct/>
        <w:topLinePunct w:val="0"/>
        <w:bidi w:val="0"/>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7EEA78FE">
      <w:pPr>
        <w:rPr>
          <w:rFonts w:hint="eastAsia" w:ascii="宋体" w:hAnsi="宋体" w:cs="宋体"/>
          <w:color w:val="auto"/>
          <w:highlight w:val="none"/>
        </w:rPr>
      </w:pPr>
      <w:r>
        <w:rPr>
          <w:rFonts w:hint="eastAsia" w:ascii="宋体" w:hAnsi="宋体" w:cs="宋体"/>
          <w:b/>
          <w:bCs/>
          <w:color w:val="auto"/>
          <w:sz w:val="24"/>
          <w:highlight w:val="none"/>
        </w:rPr>
        <w:br w:type="page"/>
      </w:r>
      <w:bookmarkStart w:id="195" w:name="_Toc19686837"/>
      <w:r>
        <w:rPr>
          <w:rFonts w:hint="eastAsia" w:ascii="宋体" w:hAnsi="宋体" w:cs="宋体"/>
          <w:b/>
          <w:color w:val="auto"/>
          <w:sz w:val="24"/>
          <w:highlight w:val="none"/>
        </w:rPr>
        <w:t>3.中小企业声明函格式</w:t>
      </w:r>
    </w:p>
    <w:p w14:paraId="4B8EE5C3">
      <w:pPr>
        <w:rPr>
          <w:rFonts w:hint="eastAsia" w:ascii="宋体" w:hAnsi="宋体" w:cs="宋体"/>
          <w:color w:val="auto"/>
          <w:highlight w:val="none"/>
        </w:rPr>
      </w:pPr>
    </w:p>
    <w:p w14:paraId="14AD950D">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中小企业声明函（服务）</w:t>
      </w:r>
    </w:p>
    <w:p w14:paraId="5C9AF50B">
      <w:pPr>
        <w:spacing w:before="2" w:line="500" w:lineRule="exact"/>
        <w:rPr>
          <w:rFonts w:hint="eastAsia" w:ascii="宋体" w:hAnsi="宋体" w:cs="宋体"/>
          <w:b/>
          <w:bCs/>
          <w:color w:val="auto"/>
          <w:szCs w:val="21"/>
          <w:highlight w:val="none"/>
        </w:rPr>
      </w:pPr>
    </w:p>
    <w:p w14:paraId="7F66E291">
      <w:pPr>
        <w:pStyle w:val="15"/>
        <w:keepNext w:val="0"/>
        <w:keepLines w:val="0"/>
        <w:pageBreakBefore w:val="0"/>
        <w:widowControl w:val="0"/>
        <w:kinsoku/>
        <w:wordWrap/>
        <w:overflowPunct/>
        <w:topLinePunct w:val="0"/>
        <w:autoSpaceDE/>
        <w:autoSpaceDN/>
        <w:bidi w:val="0"/>
        <w:adjustRightInd/>
        <w:snapToGrid/>
        <w:spacing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本公司（联合体）郑重声明，根据《政府采购促进中小企业发展管理办法》（财库﹝2020﹞46号）的规定，本公司（联合体）参加</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采购活动，服务全部由符合政策要求的中小企业承接。相关企业（含联合体中的中小企业、签订分包意向协议的中小企业）的具体情况如下：</w:t>
      </w:r>
    </w:p>
    <w:p w14:paraId="5DD65EE7">
      <w:pPr>
        <w:keepNext w:val="0"/>
        <w:keepLines w:val="0"/>
        <w:pageBreakBefore w:val="0"/>
        <w:widowControl w:val="0"/>
        <w:tabs>
          <w:tab w:val="left" w:pos="1384"/>
          <w:tab w:val="left" w:pos="4562"/>
          <w:tab w:val="left" w:pos="6803"/>
        </w:tabs>
        <w:kinsoku/>
        <w:wordWrap/>
        <w:overflowPunct/>
        <w:topLinePunct w:val="0"/>
        <w:autoSpaceDE/>
        <w:autoSpaceDN/>
        <w:bidi w:val="0"/>
        <w:adjustRightInd/>
        <w:snapToGrid/>
        <w:spacing w:before="13" w:line="400" w:lineRule="exact"/>
        <w:ind w:right="142" w:firstLine="600" w:firstLineChars="286"/>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7B2DE2E7">
      <w:pPr>
        <w:pStyle w:val="15"/>
        <w:keepNext w:val="0"/>
        <w:keepLines w:val="0"/>
        <w:pageBreakBefore w:val="0"/>
        <w:widowControl w:val="0"/>
        <w:kinsoku/>
        <w:wordWrap/>
        <w:overflowPunct/>
        <w:topLinePunct w:val="0"/>
        <w:autoSpaceDE/>
        <w:autoSpaceDN/>
        <w:bidi w:val="0"/>
        <w:adjustRightInd/>
        <w:snapToGrid/>
        <w:spacing w:before="34" w:line="400" w:lineRule="exact"/>
        <w:ind w:left="765" w:right="142" w:hanging="5"/>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21EE2D95">
      <w:pPr>
        <w:pStyle w:val="15"/>
        <w:keepNext w:val="0"/>
        <w:keepLines w:val="0"/>
        <w:pageBreakBefore w:val="0"/>
        <w:widowControl w:val="0"/>
        <w:kinsoku/>
        <w:wordWrap/>
        <w:overflowPunct/>
        <w:topLinePunct w:val="0"/>
        <w:autoSpaceDE/>
        <w:autoSpaceDN/>
        <w:bidi w:val="0"/>
        <w:adjustRightInd/>
        <w:snapToGrid/>
        <w:spacing w:before="34"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14:paraId="183B1FC9">
      <w:pPr>
        <w:pStyle w:val="15"/>
        <w:keepNext w:val="0"/>
        <w:keepLines w:val="0"/>
        <w:pageBreakBefore w:val="0"/>
        <w:widowControl w:val="0"/>
        <w:kinsoku/>
        <w:wordWrap/>
        <w:overflowPunct/>
        <w:topLinePunct w:val="0"/>
        <w:autoSpaceDE/>
        <w:autoSpaceDN/>
        <w:bidi w:val="0"/>
        <w:adjustRightInd/>
        <w:snapToGrid/>
        <w:spacing w:before="34"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本企业对上述声明内容的真实性负责。如有虚假，将依法承担相应责任。</w:t>
      </w:r>
    </w:p>
    <w:p w14:paraId="0116D3C7">
      <w:pPr>
        <w:pStyle w:val="15"/>
        <w:keepNext w:val="0"/>
        <w:keepLines w:val="0"/>
        <w:pageBreakBefore w:val="0"/>
        <w:widowControl w:val="0"/>
        <w:kinsoku/>
        <w:wordWrap/>
        <w:overflowPunct/>
        <w:topLinePunct w:val="0"/>
        <w:autoSpaceDE/>
        <w:autoSpaceDN/>
        <w:bidi w:val="0"/>
        <w:adjustRightInd/>
        <w:snapToGrid/>
        <w:spacing w:before="56" w:line="400" w:lineRule="exact"/>
        <w:ind w:left="3960" w:right="1808"/>
        <w:textAlignment w:val="auto"/>
        <w:rPr>
          <w:rFonts w:hint="eastAsia" w:ascii="宋体" w:hAnsi="宋体" w:cs="宋体"/>
          <w:color w:val="auto"/>
          <w:szCs w:val="21"/>
          <w:highlight w:val="none"/>
        </w:rPr>
      </w:pPr>
      <w:r>
        <w:rPr>
          <w:rFonts w:hint="eastAsia" w:ascii="宋体" w:hAnsi="宋体" w:cs="宋体"/>
          <w:color w:val="auto"/>
          <w:kern w:val="24"/>
          <w:szCs w:val="21"/>
          <w:highlight w:val="none"/>
        </w:rPr>
        <w:t>企业名称（电子签章）：</w:t>
      </w:r>
      <w:r>
        <w:rPr>
          <w:rFonts w:hint="eastAsia" w:ascii="宋体" w:hAnsi="宋体" w:cs="宋体"/>
          <w:color w:val="auto"/>
          <w:szCs w:val="21"/>
          <w:highlight w:val="none"/>
        </w:rPr>
        <w:t xml:space="preserve"> </w:t>
      </w:r>
    </w:p>
    <w:p w14:paraId="044029F0">
      <w:pPr>
        <w:pStyle w:val="15"/>
        <w:keepNext w:val="0"/>
        <w:keepLines w:val="0"/>
        <w:pageBreakBefore w:val="0"/>
        <w:widowControl w:val="0"/>
        <w:kinsoku/>
        <w:wordWrap/>
        <w:overflowPunct/>
        <w:topLinePunct w:val="0"/>
        <w:autoSpaceDE/>
        <w:autoSpaceDN/>
        <w:bidi w:val="0"/>
        <w:adjustRightInd/>
        <w:snapToGrid/>
        <w:spacing w:before="56" w:line="400" w:lineRule="exact"/>
        <w:ind w:left="3960" w:right="1808"/>
        <w:textAlignment w:val="auto"/>
        <w:rPr>
          <w:rFonts w:hint="eastAsia" w:ascii="宋体" w:hAnsi="宋体" w:cs="宋体"/>
          <w:color w:val="auto"/>
          <w:szCs w:val="21"/>
          <w:highlight w:val="none"/>
        </w:rPr>
      </w:pPr>
      <w:r>
        <w:rPr>
          <w:rFonts w:hint="eastAsia" w:ascii="宋体" w:hAnsi="宋体" w:cs="宋体"/>
          <w:color w:val="auto"/>
          <w:szCs w:val="21"/>
          <w:highlight w:val="none"/>
        </w:rPr>
        <w:t>日 期：</w:t>
      </w:r>
    </w:p>
    <w:p w14:paraId="6CE8C5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pacing w:val="6"/>
          <w:szCs w:val="21"/>
          <w:highlight w:val="none"/>
        </w:rPr>
        <w:t xml:space="preserve"> </w:t>
      </w:r>
    </w:p>
    <w:p w14:paraId="429BDF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4"/>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cs="宋体"/>
          <w:color w:val="auto"/>
          <w:highlight w:val="none"/>
        </w:rPr>
        <w:br w:type="page"/>
      </w:r>
      <w:r>
        <w:rPr>
          <w:rFonts w:hint="eastAsia" w:ascii="宋体" w:hAnsi="宋体" w:cs="宋体"/>
          <w:color w:val="auto"/>
          <w:highlight w:val="none"/>
        </w:rPr>
        <w:t>4</w:t>
      </w:r>
      <w:r>
        <w:rPr>
          <w:rFonts w:hint="eastAsia" w:ascii="宋体" w:hAnsi="宋体" w:cs="宋体"/>
          <w:b/>
          <w:color w:val="auto"/>
          <w:sz w:val="24"/>
          <w:highlight w:val="none"/>
        </w:rPr>
        <w:t>.残疾人福利性单位声明函格式</w:t>
      </w:r>
    </w:p>
    <w:p w14:paraId="02D47E7C">
      <w:pPr>
        <w:spacing w:line="588" w:lineRule="exact"/>
        <w:jc w:val="center"/>
        <w:rPr>
          <w:rFonts w:hint="eastAsia" w:ascii="宋体" w:hAnsi="宋体" w:cs="宋体"/>
          <w:b/>
          <w:color w:val="auto"/>
          <w:spacing w:val="6"/>
          <w:sz w:val="32"/>
          <w:szCs w:val="32"/>
          <w:highlight w:val="none"/>
        </w:rPr>
      </w:pPr>
    </w:p>
    <w:p w14:paraId="3BA331CA">
      <w:pPr>
        <w:spacing w:line="588" w:lineRule="exact"/>
        <w:jc w:val="center"/>
        <w:rPr>
          <w:rFonts w:hint="eastAsia" w:ascii="宋体" w:hAnsi="宋体" w:cs="宋体"/>
          <w:b/>
          <w:bCs/>
          <w:color w:val="auto"/>
          <w:spacing w:val="6"/>
          <w:sz w:val="30"/>
          <w:szCs w:val="30"/>
          <w:highlight w:val="none"/>
        </w:rPr>
      </w:pPr>
      <w:r>
        <w:rPr>
          <w:rFonts w:hint="eastAsia" w:ascii="宋体" w:hAnsi="宋体" w:cs="宋体"/>
          <w:b/>
          <w:bCs/>
          <w:color w:val="auto"/>
          <w:spacing w:val="6"/>
          <w:sz w:val="30"/>
          <w:szCs w:val="30"/>
          <w:highlight w:val="none"/>
        </w:rPr>
        <w:t>残疾人福利性单位声明函</w:t>
      </w:r>
    </w:p>
    <w:p w14:paraId="5A3F0708">
      <w:pPr>
        <w:spacing w:line="588" w:lineRule="exact"/>
        <w:rPr>
          <w:rFonts w:hint="eastAsia" w:ascii="宋体" w:hAnsi="宋体" w:cs="宋体"/>
          <w:b/>
          <w:color w:val="auto"/>
          <w:spacing w:val="6"/>
          <w:sz w:val="30"/>
          <w:szCs w:val="30"/>
          <w:highlight w:val="none"/>
        </w:rPr>
      </w:pPr>
    </w:p>
    <w:p w14:paraId="7C893C21">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pacing w:val="6"/>
          <w:szCs w:val="21"/>
          <w:highlight w:val="none"/>
          <w:lang w:eastAsia="zh-CN"/>
        </w:rPr>
        <w:t>〔2017〕141号</w:t>
      </w:r>
      <w:r>
        <w:rPr>
          <w:rFonts w:hint="eastAsia" w:ascii="宋体" w:hAnsi="宋体" w:cs="宋体"/>
          <w:color w:val="auto"/>
          <w:spacing w:val="6"/>
          <w:szCs w:val="21"/>
          <w:highlight w:val="none"/>
        </w:rPr>
        <w:t>）的规定，本单位为符合条件的残疾人福利性单位，且本单位参加______单位的______项目采购活动提供本单位制造的货物（由本单位承担工程/提供服务），或者提供其他残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Cs w:val="21"/>
          <w:highlight w:val="none"/>
        </w:rPr>
        <w:t>疾人福利性单位制造的货物（不包括使用非残疾人福利性单位注册商标的货物）。</w:t>
      </w:r>
    </w:p>
    <w:p w14:paraId="757AE3AD">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7C398A86">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p>
    <w:p w14:paraId="0DFD181F">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p>
    <w:p w14:paraId="7BBCC995">
      <w:pPr>
        <w:keepNext w:val="0"/>
        <w:keepLines w:val="0"/>
        <w:pageBreakBefore w:val="0"/>
        <w:widowControl w:val="0"/>
        <w:tabs>
          <w:tab w:val="left" w:pos="4860"/>
        </w:tabs>
        <w:kinsoku/>
        <w:wordWrap/>
        <w:overflowPunct/>
        <w:topLinePunct w:val="0"/>
        <w:autoSpaceDE/>
        <w:autoSpaceDN/>
        <w:bidi w:val="0"/>
        <w:adjustRightInd/>
        <w:snapToGrid/>
        <w:spacing w:line="400" w:lineRule="exact"/>
        <w:ind w:right="1560" w:firstLine="444" w:firstLineChars="200"/>
        <w:contextualSpacing/>
        <w:jc w:val="center"/>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单位名称（电子签章）：</w:t>
      </w:r>
    </w:p>
    <w:p w14:paraId="453CBA46">
      <w:pPr>
        <w:keepNext w:val="0"/>
        <w:keepLines w:val="0"/>
        <w:pageBreakBefore w:val="0"/>
        <w:widowControl w:val="0"/>
        <w:tabs>
          <w:tab w:val="left" w:pos="4860"/>
        </w:tabs>
        <w:kinsoku/>
        <w:wordWrap/>
        <w:overflowPunct/>
        <w:topLinePunct w:val="0"/>
        <w:autoSpaceDE/>
        <w:autoSpaceDN/>
        <w:bidi w:val="0"/>
        <w:adjustRightInd/>
        <w:snapToGrid/>
        <w:spacing w:line="400" w:lineRule="exact"/>
        <w:ind w:right="1560" w:firstLine="444" w:firstLineChars="200"/>
        <w:contextualSpacing/>
        <w:jc w:val="center"/>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日  期：</w:t>
      </w:r>
    </w:p>
    <w:p w14:paraId="7A24901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658E08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728167A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3092E9A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EAB4397">
      <w:pPr>
        <w:ind w:firstLine="3990" w:firstLineChars="1900"/>
        <w:rPr>
          <w:rFonts w:hint="eastAsia" w:ascii="宋体" w:hAnsi="宋体" w:cs="宋体"/>
          <w:color w:val="auto"/>
          <w:szCs w:val="21"/>
          <w:highlight w:val="none"/>
        </w:rPr>
      </w:pPr>
    </w:p>
    <w:p w14:paraId="14882A89">
      <w:pPr>
        <w:spacing w:line="360" w:lineRule="auto"/>
        <w:rPr>
          <w:rFonts w:hint="eastAsia"/>
          <w:color w:val="auto"/>
          <w:szCs w:val="21"/>
          <w:highlight w:val="none"/>
        </w:rPr>
      </w:pPr>
    </w:p>
    <w:p w14:paraId="6BD9867D">
      <w:pPr>
        <w:rPr>
          <w:rFonts w:hint="eastAsia"/>
          <w:color w:val="auto"/>
          <w:szCs w:val="21"/>
          <w:highlight w:val="none"/>
        </w:rPr>
      </w:pPr>
    </w:p>
    <w:p w14:paraId="4D6D8A6B">
      <w:pPr>
        <w:spacing w:line="360" w:lineRule="auto"/>
        <w:rPr>
          <w:rFonts w:hint="eastAsia"/>
          <w:color w:val="auto"/>
          <w:highlight w:val="none"/>
        </w:rPr>
      </w:pPr>
    </w:p>
    <w:p w14:paraId="24ABA176">
      <w:pPr>
        <w:spacing w:line="360" w:lineRule="auto"/>
        <w:rPr>
          <w:rFonts w:hint="eastAsia"/>
          <w:color w:val="auto"/>
          <w:highlight w:val="none"/>
        </w:rPr>
      </w:pPr>
    </w:p>
    <w:p w14:paraId="64B43554">
      <w:pPr>
        <w:rPr>
          <w:rFonts w:hint="eastAsia" w:ascii="宋体" w:hAnsi="宋体" w:cs="宋体"/>
          <w:color w:val="auto"/>
          <w:sz w:val="24"/>
          <w:highlight w:val="none"/>
        </w:rPr>
      </w:pPr>
    </w:p>
    <w:p w14:paraId="3172B988">
      <w:pPr>
        <w:pStyle w:val="4"/>
        <w:rPr>
          <w:rFonts w:hint="eastAsia"/>
          <w:color w:val="auto"/>
          <w:highlight w:val="none"/>
        </w:rPr>
      </w:pPr>
      <w:r>
        <w:rPr>
          <w:rFonts w:hint="eastAsia"/>
          <w:color w:val="auto"/>
          <w:highlight w:val="none"/>
        </w:rPr>
        <w:br w:type="page"/>
      </w:r>
      <w:bookmarkStart w:id="196" w:name="_Toc23452"/>
      <w:bookmarkStart w:id="197" w:name="_Toc560"/>
      <w:r>
        <w:rPr>
          <w:rFonts w:hint="eastAsia"/>
          <w:color w:val="auto"/>
          <w:highlight w:val="none"/>
        </w:rPr>
        <w:t>二、资格证明文件格式</w:t>
      </w:r>
      <w:bookmarkEnd w:id="193"/>
      <w:bookmarkEnd w:id="194"/>
      <w:bookmarkEnd w:id="195"/>
      <w:bookmarkEnd w:id="196"/>
      <w:bookmarkEnd w:id="197"/>
    </w:p>
    <w:p w14:paraId="5A2487F6">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1.资格证明文件封面格式： </w:t>
      </w:r>
    </w:p>
    <w:p w14:paraId="105E6873">
      <w:pPr>
        <w:snapToGrid w:val="0"/>
        <w:spacing w:before="120" w:beforeLines="50" w:after="50"/>
        <w:jc w:val="center"/>
        <w:rPr>
          <w:rFonts w:hint="eastAsia" w:ascii="宋体" w:hAnsi="宋体" w:cs="宋体"/>
          <w:bCs/>
          <w:color w:val="auto"/>
          <w:sz w:val="48"/>
          <w:szCs w:val="48"/>
          <w:highlight w:val="none"/>
        </w:rPr>
      </w:pPr>
    </w:p>
    <w:p w14:paraId="545F1A3D">
      <w:pPr>
        <w:snapToGrid w:val="0"/>
        <w:spacing w:before="120" w:beforeLines="50" w:after="50"/>
        <w:jc w:val="center"/>
        <w:rPr>
          <w:rFonts w:hint="eastAsia" w:ascii="宋体" w:hAnsi="宋体" w:cs="宋体"/>
          <w:bCs/>
          <w:color w:val="auto"/>
          <w:sz w:val="48"/>
          <w:szCs w:val="48"/>
          <w:highlight w:val="none"/>
        </w:rPr>
      </w:pPr>
    </w:p>
    <w:p w14:paraId="3040066B">
      <w:pPr>
        <w:snapToGrid w:val="0"/>
        <w:spacing w:before="120" w:beforeLines="50" w:after="5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630844B5">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highlight w:val="none"/>
        </w:rPr>
        <w:t xml:space="preserve">                 </w:t>
      </w:r>
    </w:p>
    <w:p w14:paraId="0C29E958">
      <w:pPr>
        <w:snapToGrid w:val="0"/>
        <w:spacing w:before="120" w:beforeLines="50" w:after="50"/>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1D000CB7">
      <w:pPr>
        <w:snapToGrid w:val="0"/>
        <w:spacing w:before="120" w:beforeLines="50" w:after="50"/>
        <w:rPr>
          <w:rFonts w:hint="eastAsia" w:ascii="宋体" w:hAnsi="宋体" w:cs="宋体"/>
          <w:bCs/>
          <w:color w:val="auto"/>
          <w:sz w:val="24"/>
          <w:szCs w:val="20"/>
          <w:highlight w:val="none"/>
        </w:rPr>
      </w:pPr>
    </w:p>
    <w:p w14:paraId="6FCFE0CA">
      <w:pPr>
        <w:snapToGrid w:val="0"/>
        <w:spacing w:before="120" w:beforeLines="50" w:after="50"/>
        <w:rPr>
          <w:rFonts w:hint="eastAsia" w:ascii="宋体" w:hAnsi="宋体" w:cs="宋体"/>
          <w:bCs/>
          <w:color w:val="auto"/>
          <w:sz w:val="24"/>
          <w:szCs w:val="20"/>
          <w:highlight w:val="none"/>
        </w:rPr>
      </w:pPr>
    </w:p>
    <w:p w14:paraId="06F65199">
      <w:pPr>
        <w:snapToGrid w:val="0"/>
        <w:spacing w:before="120" w:beforeLines="50" w:after="50"/>
        <w:rPr>
          <w:rFonts w:hint="eastAsia" w:ascii="宋体" w:hAnsi="宋体" w:cs="宋体"/>
          <w:bCs/>
          <w:color w:val="auto"/>
          <w:sz w:val="24"/>
          <w:szCs w:val="20"/>
          <w:highlight w:val="none"/>
        </w:rPr>
      </w:pPr>
    </w:p>
    <w:p w14:paraId="49AAD638">
      <w:pPr>
        <w:snapToGrid w:val="0"/>
        <w:spacing w:before="120" w:beforeLines="50" w:after="50"/>
        <w:rPr>
          <w:rFonts w:hint="eastAsia" w:ascii="宋体" w:hAnsi="宋体" w:cs="宋体"/>
          <w:bCs/>
          <w:color w:val="auto"/>
          <w:sz w:val="24"/>
          <w:szCs w:val="20"/>
          <w:highlight w:val="none"/>
        </w:rPr>
      </w:pPr>
    </w:p>
    <w:p w14:paraId="70F13409">
      <w:pPr>
        <w:snapToGrid w:val="0"/>
        <w:spacing w:before="120" w:beforeLines="50" w:after="50"/>
        <w:rPr>
          <w:rFonts w:hint="eastAsia" w:ascii="宋体" w:hAnsi="宋体" w:cs="宋体"/>
          <w:bCs/>
          <w:color w:val="auto"/>
          <w:sz w:val="24"/>
          <w:szCs w:val="20"/>
          <w:highlight w:val="none"/>
        </w:rPr>
      </w:pPr>
    </w:p>
    <w:p w14:paraId="55B27B6B">
      <w:pPr>
        <w:snapToGrid w:val="0"/>
        <w:spacing w:before="120" w:beforeLines="50" w:after="50"/>
        <w:rPr>
          <w:rFonts w:hint="eastAsia" w:ascii="宋体" w:hAnsi="宋体" w:cs="宋体"/>
          <w:bCs/>
          <w:color w:val="auto"/>
          <w:sz w:val="24"/>
          <w:szCs w:val="20"/>
          <w:highlight w:val="none"/>
        </w:rPr>
      </w:pPr>
    </w:p>
    <w:p w14:paraId="111F3767">
      <w:pPr>
        <w:snapToGrid w:val="0"/>
        <w:spacing w:before="120" w:beforeLines="50" w:after="50"/>
        <w:rPr>
          <w:rFonts w:hint="eastAsia" w:ascii="宋体" w:hAnsi="宋体" w:cs="宋体"/>
          <w:bCs/>
          <w:color w:val="auto"/>
          <w:sz w:val="24"/>
          <w:szCs w:val="20"/>
          <w:highlight w:val="none"/>
        </w:rPr>
      </w:pPr>
    </w:p>
    <w:p w14:paraId="2B2DE365">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10E90B0E">
      <w:pPr>
        <w:snapToGrid w:val="0"/>
        <w:spacing w:before="120" w:beforeLines="50" w:after="50"/>
        <w:ind w:firstLine="540" w:firstLineChars="225"/>
        <w:rPr>
          <w:rFonts w:hint="eastAsia" w:ascii="宋体" w:hAnsi="宋体" w:cs="宋体"/>
          <w:bCs/>
          <w:color w:val="auto"/>
          <w:sz w:val="24"/>
          <w:szCs w:val="20"/>
          <w:highlight w:val="none"/>
        </w:rPr>
      </w:pPr>
    </w:p>
    <w:p w14:paraId="1CF19003">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78A3B6F0">
      <w:pPr>
        <w:snapToGrid w:val="0"/>
        <w:spacing w:before="120" w:beforeLines="50" w:after="50"/>
        <w:ind w:firstLine="540" w:firstLineChars="225"/>
        <w:rPr>
          <w:rFonts w:hint="eastAsia" w:ascii="宋体" w:hAnsi="宋体" w:cs="宋体"/>
          <w:bCs/>
          <w:color w:val="auto"/>
          <w:sz w:val="24"/>
          <w:szCs w:val="20"/>
          <w:highlight w:val="none"/>
        </w:rPr>
      </w:pPr>
    </w:p>
    <w:p w14:paraId="63424293">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5DEC8BBA">
      <w:pPr>
        <w:pStyle w:val="9"/>
        <w:snapToGrid w:val="0"/>
        <w:spacing w:before="50" w:after="50"/>
        <w:ind w:firstLine="540" w:firstLineChars="225"/>
        <w:rPr>
          <w:rFonts w:hint="eastAsia" w:ascii="宋体" w:hAnsi="宋体" w:cs="宋体"/>
          <w:bCs/>
          <w:color w:val="auto"/>
          <w:sz w:val="24"/>
          <w:szCs w:val="24"/>
          <w:highlight w:val="none"/>
        </w:rPr>
      </w:pPr>
    </w:p>
    <w:p w14:paraId="24A21721">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266B36E5">
      <w:pPr>
        <w:pStyle w:val="9"/>
        <w:snapToGrid w:val="0"/>
        <w:spacing w:before="50" w:after="50"/>
        <w:ind w:firstLine="540" w:firstLineChars="225"/>
        <w:rPr>
          <w:rFonts w:hint="eastAsia" w:ascii="宋体" w:hAnsi="宋体" w:cs="宋体"/>
          <w:bCs/>
          <w:color w:val="auto"/>
          <w:sz w:val="24"/>
          <w:szCs w:val="24"/>
          <w:highlight w:val="none"/>
        </w:rPr>
      </w:pPr>
    </w:p>
    <w:p w14:paraId="682A1B04">
      <w:pPr>
        <w:pStyle w:val="9"/>
        <w:snapToGrid w:val="0"/>
        <w:spacing w:before="50" w:after="50"/>
        <w:ind w:firstLine="960" w:firstLineChars="400"/>
        <w:rPr>
          <w:rFonts w:hint="eastAsia" w:ascii="宋体" w:hAnsi="宋体" w:cs="宋体"/>
          <w:bCs/>
          <w:color w:val="auto"/>
          <w:sz w:val="24"/>
          <w:szCs w:val="24"/>
          <w:highlight w:val="none"/>
        </w:rPr>
      </w:pPr>
    </w:p>
    <w:p w14:paraId="574A7D6C">
      <w:pPr>
        <w:snapToGrid w:val="0"/>
        <w:spacing w:before="120" w:beforeLines="50" w:after="50"/>
        <w:ind w:firstLine="645"/>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458EFC8F">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03AB439C">
      <w:pPr>
        <w:snapToGrid w:val="0"/>
        <w:spacing w:before="120" w:beforeLines="50" w:after="50"/>
        <w:rPr>
          <w:rFonts w:hint="eastAsia" w:ascii="宋体" w:hAnsi="宋体" w:cs="宋体"/>
          <w:color w:val="auto"/>
          <w:sz w:val="24"/>
          <w:szCs w:val="20"/>
          <w:highlight w:val="none"/>
        </w:rPr>
      </w:pPr>
    </w:p>
    <w:p w14:paraId="77C443DE">
      <w:pPr>
        <w:snapToGrid w:val="0"/>
        <w:spacing w:before="120" w:beforeLines="50" w:after="50" w:line="360" w:lineRule="auto"/>
        <w:ind w:firstLine="120" w:firstLineChars="50"/>
        <w:jc w:val="left"/>
        <w:rPr>
          <w:rFonts w:hint="eastAsia" w:ascii="宋体" w:hAnsi="宋体" w:cs="宋体"/>
          <w:color w:val="auto"/>
          <w:sz w:val="24"/>
          <w:szCs w:val="20"/>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2.资格证明文件目录</w:t>
      </w:r>
    </w:p>
    <w:p w14:paraId="4619DA97">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28A80F3D">
      <w:pPr>
        <w:snapToGrid w:val="0"/>
        <w:spacing w:before="50" w:after="120" w:afterLines="50"/>
        <w:jc w:val="left"/>
        <w:rPr>
          <w:rFonts w:hint="eastAsia" w:ascii="宋体" w:hAnsi="宋体" w:cs="宋体"/>
          <w:color w:val="auto"/>
          <w:sz w:val="24"/>
          <w:highlight w:val="none"/>
        </w:rPr>
      </w:pPr>
    </w:p>
    <w:p w14:paraId="23D09EA0">
      <w:pPr>
        <w:snapToGrid w:val="0"/>
        <w:spacing w:before="50" w:after="120" w:afterLines="50"/>
        <w:jc w:val="left"/>
        <w:rPr>
          <w:rFonts w:hint="eastAsia" w:ascii="宋体" w:hAnsi="宋体" w:cs="宋体"/>
          <w:color w:val="auto"/>
          <w:sz w:val="24"/>
          <w:highlight w:val="none"/>
        </w:rPr>
      </w:pPr>
    </w:p>
    <w:p w14:paraId="32478160">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w:t>
      </w:r>
      <w:r>
        <w:rPr>
          <w:rFonts w:hint="eastAsia" w:ascii="宋体" w:hAnsi="宋体" w:cs="宋体"/>
          <w:b/>
          <w:color w:val="auto"/>
          <w:sz w:val="28"/>
          <w:szCs w:val="28"/>
          <w:highlight w:val="none"/>
        </w:rPr>
        <w:t>投标人直接控股、管理关系信息表</w:t>
      </w:r>
    </w:p>
    <w:p w14:paraId="3379A7E9">
      <w:pPr>
        <w:snapToGrid w:val="0"/>
        <w:spacing w:before="50" w:after="120" w:afterLines="50"/>
        <w:jc w:val="center"/>
        <w:rPr>
          <w:rFonts w:hint="eastAsia" w:ascii="宋体" w:hAnsi="宋体" w:cs="宋体"/>
          <w:b/>
          <w:color w:val="auto"/>
          <w:sz w:val="28"/>
          <w:szCs w:val="28"/>
          <w:highlight w:val="none"/>
        </w:rPr>
      </w:pPr>
    </w:p>
    <w:p w14:paraId="68712D77">
      <w:pPr>
        <w:snapToGrid w:val="0"/>
        <w:spacing w:before="120" w:beforeLines="50" w:after="50"/>
        <w:ind w:left="420"/>
        <w:jc w:val="center"/>
        <w:rPr>
          <w:rFonts w:hint="eastAsia" w:ascii="宋体" w:hAnsi="宋体" w:cs="宋体"/>
          <w:bCs/>
          <w:color w:val="auto"/>
          <w:spacing w:val="-17"/>
          <w:sz w:val="44"/>
          <w:szCs w:val="44"/>
          <w:highlight w:val="none"/>
        </w:rPr>
      </w:pPr>
      <w:r>
        <w:rPr>
          <w:rFonts w:hint="eastAsia" w:ascii="宋体" w:hAnsi="宋体" w:cs="宋体"/>
          <w:bCs/>
          <w:color w:val="auto"/>
          <w:spacing w:val="-17"/>
          <w:sz w:val="44"/>
          <w:szCs w:val="44"/>
          <w:highlight w:val="none"/>
        </w:rPr>
        <w:t>供应商直接控股、管理关系信息表</w:t>
      </w:r>
    </w:p>
    <w:tbl>
      <w:tblPr>
        <w:tblStyle w:val="39"/>
        <w:tblW w:w="50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049"/>
        <w:gridCol w:w="803"/>
        <w:gridCol w:w="1484"/>
        <w:gridCol w:w="4510"/>
      </w:tblGrid>
      <w:tr w14:paraId="01F0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2386" w:type="pct"/>
            <w:gridSpan w:val="4"/>
            <w:shd w:val="clear" w:color="auto" w:fill="F2DBDB"/>
            <w:noWrap w:val="0"/>
            <w:vAlign w:val="center"/>
          </w:tcPr>
          <w:p w14:paraId="4E251176">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投标人直接控股股东信息表</w:t>
            </w:r>
          </w:p>
        </w:tc>
        <w:tc>
          <w:tcPr>
            <w:tcW w:w="2613" w:type="pct"/>
            <w:shd w:val="clear" w:color="auto" w:fill="F2DBDB"/>
            <w:noWrap w:val="0"/>
            <w:vAlign w:val="center"/>
          </w:tcPr>
          <w:p w14:paraId="5C28CFC0">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5847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3B8173B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608" w:type="pct"/>
            <w:noWrap w:val="0"/>
            <w:vAlign w:val="center"/>
          </w:tcPr>
          <w:p w14:paraId="3CF36EF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464" w:type="pct"/>
            <w:noWrap w:val="0"/>
            <w:vAlign w:val="center"/>
          </w:tcPr>
          <w:p w14:paraId="1DE2ED3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858" w:type="pct"/>
            <w:noWrap w:val="0"/>
            <w:vAlign w:val="center"/>
          </w:tcPr>
          <w:p w14:paraId="4A8171D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2613" w:type="pct"/>
            <w:vMerge w:val="restart"/>
            <w:noWrap w:val="0"/>
            <w:vAlign w:val="center"/>
          </w:tcPr>
          <w:p w14:paraId="5679BE9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7C57E7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1105068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b/>
                <w:bCs/>
                <w:color w:val="auto"/>
                <w:kern w:val="0"/>
                <w:szCs w:val="21"/>
                <w:highlight w:val="none"/>
              </w:rPr>
            </w:pPr>
            <w:r>
              <w:rPr>
                <w:rFonts w:hint="eastAsia" w:ascii="宋体" w:hAnsi="宋体" w:cs="宋体"/>
                <w:color w:val="auto"/>
                <w:szCs w:val="21"/>
                <w:highlight w:val="none"/>
              </w:rPr>
              <w:t>3.供应商不存在直接控股股东的，则填“无”。</w:t>
            </w:r>
          </w:p>
        </w:tc>
      </w:tr>
      <w:tr w14:paraId="55ED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top"/>
          </w:tcPr>
          <w:p w14:paraId="4510C10E">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608" w:type="pct"/>
            <w:noWrap w:val="0"/>
            <w:vAlign w:val="top"/>
          </w:tcPr>
          <w:p w14:paraId="766793B2">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464" w:type="pct"/>
            <w:noWrap w:val="0"/>
            <w:vAlign w:val="top"/>
          </w:tcPr>
          <w:p w14:paraId="547875EC">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858" w:type="pct"/>
            <w:noWrap w:val="0"/>
            <w:vAlign w:val="top"/>
          </w:tcPr>
          <w:p w14:paraId="088D60C9">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2613" w:type="pct"/>
            <w:vMerge w:val="continue"/>
            <w:noWrap w:val="0"/>
            <w:vAlign w:val="top"/>
          </w:tcPr>
          <w:p w14:paraId="2755122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p>
        </w:tc>
      </w:tr>
      <w:tr w14:paraId="7914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top"/>
          </w:tcPr>
          <w:p w14:paraId="7385B277">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608" w:type="pct"/>
            <w:noWrap w:val="0"/>
            <w:vAlign w:val="top"/>
          </w:tcPr>
          <w:p w14:paraId="215B935F">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464" w:type="pct"/>
            <w:noWrap w:val="0"/>
            <w:vAlign w:val="top"/>
          </w:tcPr>
          <w:p w14:paraId="1235BA07">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858" w:type="pct"/>
            <w:noWrap w:val="0"/>
            <w:vAlign w:val="top"/>
          </w:tcPr>
          <w:p w14:paraId="29B53CFA">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2613" w:type="pct"/>
            <w:vMerge w:val="continue"/>
            <w:noWrap w:val="0"/>
            <w:vAlign w:val="top"/>
          </w:tcPr>
          <w:p w14:paraId="2CA4741B">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r>
      <w:tr w14:paraId="2352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Borders>
              <w:bottom w:val="single" w:color="auto" w:sz="4" w:space="0"/>
            </w:tcBorders>
            <w:noWrap w:val="0"/>
            <w:vAlign w:val="top"/>
          </w:tcPr>
          <w:p w14:paraId="2DCBDE1B">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r>
              <w:rPr>
                <w:rFonts w:hint="eastAsia" w:ascii="宋体" w:hAnsi="宋体" w:cs="宋体"/>
                <w:color w:val="auto"/>
                <w:kern w:val="0"/>
                <w:szCs w:val="21"/>
                <w:highlight w:val="none"/>
              </w:rPr>
              <w:t>……</w:t>
            </w:r>
          </w:p>
        </w:tc>
        <w:tc>
          <w:tcPr>
            <w:tcW w:w="608" w:type="pct"/>
            <w:tcBorders>
              <w:bottom w:val="single" w:color="auto" w:sz="4" w:space="0"/>
            </w:tcBorders>
            <w:noWrap w:val="0"/>
            <w:vAlign w:val="top"/>
          </w:tcPr>
          <w:p w14:paraId="17B034D5">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464" w:type="pct"/>
            <w:tcBorders>
              <w:bottom w:val="single" w:color="auto" w:sz="4" w:space="0"/>
            </w:tcBorders>
            <w:noWrap w:val="0"/>
            <w:vAlign w:val="top"/>
          </w:tcPr>
          <w:p w14:paraId="74A0FDA8">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858" w:type="pct"/>
            <w:tcBorders>
              <w:bottom w:val="single" w:color="auto" w:sz="4" w:space="0"/>
            </w:tcBorders>
            <w:noWrap w:val="0"/>
            <w:vAlign w:val="top"/>
          </w:tcPr>
          <w:p w14:paraId="34D2063D">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2613" w:type="pct"/>
            <w:vMerge w:val="continue"/>
            <w:tcBorders>
              <w:bottom w:val="single" w:color="auto" w:sz="4" w:space="0"/>
            </w:tcBorders>
            <w:noWrap w:val="0"/>
            <w:vAlign w:val="top"/>
          </w:tcPr>
          <w:p w14:paraId="1AF1CF4E">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r>
      <w:tr w14:paraId="1767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386" w:type="pct"/>
            <w:gridSpan w:val="4"/>
            <w:shd w:val="clear" w:color="auto" w:fill="F2DBDB"/>
            <w:noWrap w:val="0"/>
            <w:vAlign w:val="center"/>
          </w:tcPr>
          <w:p w14:paraId="47AE2FF3">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投标人直接管理关系信息表</w:t>
            </w:r>
          </w:p>
        </w:tc>
        <w:tc>
          <w:tcPr>
            <w:tcW w:w="2613" w:type="pct"/>
            <w:shd w:val="clear" w:color="auto" w:fill="F2DBDB"/>
            <w:noWrap w:val="0"/>
            <w:vAlign w:val="center"/>
          </w:tcPr>
          <w:p w14:paraId="480643DB">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7ECD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1DA61A06">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序号</w:t>
            </w:r>
          </w:p>
        </w:tc>
        <w:tc>
          <w:tcPr>
            <w:tcW w:w="1073" w:type="pct"/>
            <w:gridSpan w:val="2"/>
            <w:noWrap w:val="0"/>
            <w:vAlign w:val="center"/>
          </w:tcPr>
          <w:p w14:paraId="5CBF388B">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直接管理关系单位名称</w:t>
            </w:r>
          </w:p>
        </w:tc>
        <w:tc>
          <w:tcPr>
            <w:tcW w:w="858" w:type="pct"/>
            <w:noWrap w:val="0"/>
            <w:vAlign w:val="center"/>
          </w:tcPr>
          <w:p w14:paraId="7B7EBCEA">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统一社会信用代码</w:t>
            </w:r>
          </w:p>
        </w:tc>
        <w:tc>
          <w:tcPr>
            <w:tcW w:w="2613" w:type="pct"/>
            <w:vMerge w:val="restart"/>
            <w:noWrap w:val="0"/>
            <w:vAlign w:val="center"/>
          </w:tcPr>
          <w:p w14:paraId="0D08E74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0E45ACC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7647709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tc>
      </w:tr>
      <w:tr w14:paraId="3C9B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38558FFF">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w:t>
            </w:r>
          </w:p>
        </w:tc>
        <w:tc>
          <w:tcPr>
            <w:tcW w:w="1073" w:type="pct"/>
            <w:gridSpan w:val="2"/>
            <w:noWrap w:val="0"/>
            <w:vAlign w:val="center"/>
          </w:tcPr>
          <w:p w14:paraId="1F6D58C8">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p>
        </w:tc>
        <w:tc>
          <w:tcPr>
            <w:tcW w:w="858" w:type="pct"/>
            <w:noWrap w:val="0"/>
            <w:vAlign w:val="center"/>
          </w:tcPr>
          <w:p w14:paraId="6545DE58">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76A7BCB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p>
        </w:tc>
      </w:tr>
      <w:tr w14:paraId="2752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2E02F5E2">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2</w:t>
            </w:r>
          </w:p>
        </w:tc>
        <w:tc>
          <w:tcPr>
            <w:tcW w:w="1073" w:type="pct"/>
            <w:gridSpan w:val="2"/>
            <w:noWrap w:val="0"/>
            <w:vAlign w:val="center"/>
          </w:tcPr>
          <w:p w14:paraId="33311259">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p>
        </w:tc>
        <w:tc>
          <w:tcPr>
            <w:tcW w:w="858" w:type="pct"/>
            <w:noWrap w:val="0"/>
            <w:vAlign w:val="center"/>
          </w:tcPr>
          <w:p w14:paraId="59229EC6">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26B18E1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p>
        </w:tc>
      </w:tr>
      <w:tr w14:paraId="49BB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5665FF35">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color w:val="auto"/>
                <w:kern w:val="0"/>
                <w:szCs w:val="21"/>
                <w:highlight w:val="none"/>
              </w:rPr>
              <w:t>……</w:t>
            </w:r>
          </w:p>
        </w:tc>
        <w:tc>
          <w:tcPr>
            <w:tcW w:w="1073" w:type="pct"/>
            <w:gridSpan w:val="2"/>
            <w:noWrap w:val="0"/>
            <w:vAlign w:val="center"/>
          </w:tcPr>
          <w:p w14:paraId="34940569">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p>
        </w:tc>
        <w:tc>
          <w:tcPr>
            <w:tcW w:w="858" w:type="pct"/>
            <w:noWrap w:val="0"/>
            <w:vAlign w:val="center"/>
          </w:tcPr>
          <w:p w14:paraId="2A6920CF">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6F0EB25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p>
        </w:tc>
      </w:tr>
    </w:tbl>
    <w:p w14:paraId="70064136">
      <w:pPr>
        <w:snapToGrid w:val="0"/>
        <w:spacing w:line="400" w:lineRule="exact"/>
        <w:jc w:val="left"/>
        <w:rPr>
          <w:rFonts w:hint="eastAsia" w:ascii="宋体" w:hAnsi="宋体" w:cs="宋体"/>
          <w:color w:val="auto"/>
          <w:szCs w:val="21"/>
          <w:highlight w:val="none"/>
        </w:rPr>
      </w:pPr>
    </w:p>
    <w:p w14:paraId="2CB639BF">
      <w:pPr>
        <w:snapToGrid w:val="0"/>
        <w:spacing w:line="400" w:lineRule="exact"/>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00D5BD5">
      <w:pPr>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772DA3F8">
      <w:pPr>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781AE03A">
      <w:pPr>
        <w:snapToGrid w:val="0"/>
        <w:jc w:val="center"/>
        <w:rPr>
          <w:rFonts w:hint="eastAsia" w:ascii="宋体" w:hAnsi="宋体" w:cs="宋体"/>
          <w:b/>
          <w:color w:val="auto"/>
          <w:sz w:val="28"/>
          <w:szCs w:val="28"/>
          <w:highlight w:val="none"/>
        </w:rPr>
      </w:pPr>
    </w:p>
    <w:p w14:paraId="46CFEE54">
      <w:pPr>
        <w:snapToGrid w:val="0"/>
        <w:spacing w:before="120" w:beforeLines="50" w:after="50"/>
        <w:jc w:val="left"/>
        <w:rPr>
          <w:rFonts w:hint="eastAsia"/>
          <w:color w:val="auto"/>
          <w:szCs w:val="20"/>
          <w:highlight w:val="none"/>
        </w:rPr>
      </w:pPr>
      <w:r>
        <w:rPr>
          <w:rFonts w:hint="eastAsia" w:ascii="宋体" w:hAnsi="宋体" w:cs="宋体"/>
          <w:b/>
          <w:color w:val="auto"/>
          <w:sz w:val="32"/>
          <w:szCs w:val="32"/>
          <w:highlight w:val="none"/>
        </w:rPr>
        <w:br w:type="page"/>
      </w:r>
      <w:r>
        <w:rPr>
          <w:rFonts w:hint="eastAsia" w:ascii="宋体" w:hAnsi="宋体" w:cs="宋体"/>
          <w:b/>
          <w:color w:val="auto"/>
          <w:sz w:val="28"/>
          <w:szCs w:val="28"/>
          <w:highlight w:val="none"/>
        </w:rPr>
        <w:t>4.投标声明</w:t>
      </w:r>
    </w:p>
    <w:p w14:paraId="6952CB53">
      <w:pPr>
        <w:snapToGrid w:val="0"/>
        <w:spacing w:before="50" w:after="120" w:afterLines="50"/>
        <w:jc w:val="left"/>
        <w:rPr>
          <w:rFonts w:hint="eastAsia" w:ascii="宋体" w:hAnsi="宋体" w:cs="宋体"/>
          <w:color w:val="auto"/>
          <w:highlight w:val="none"/>
        </w:rPr>
      </w:pPr>
    </w:p>
    <w:p w14:paraId="58035329">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投标声明</w:t>
      </w:r>
    </w:p>
    <w:p w14:paraId="37135D46">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（采购人名称）：</w:t>
      </w:r>
    </w:p>
    <w:p w14:paraId="233E3416">
      <w:pPr>
        <w:keepNext w:val="0"/>
        <w:keepLines w:val="0"/>
        <w:pageBreakBefore w:val="0"/>
        <w:widowControl w:val="0"/>
        <w:kinsoku/>
        <w:wordWrap/>
        <w:overflowPunct/>
        <w:topLinePunct w:val="0"/>
        <w:autoSpaceDE/>
        <w:autoSpaceDN/>
        <w:bidi w:val="0"/>
        <w:adjustRightInd/>
        <w:spacing w:line="400" w:lineRule="exact"/>
        <w:ind w:firstLine="457" w:firstLineChars="218"/>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我方参加贵单位组织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）的政府采购活动。我方在此郑重声明：</w:t>
      </w:r>
    </w:p>
    <w:p w14:paraId="27475F51">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E0F3288">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14:paraId="39B6109C">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3.我方承诺符合《中华人民共和国政府采购法》第二十二条规定：</w:t>
      </w:r>
    </w:p>
    <w:p w14:paraId="3FFF6DD8">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（一）具有独立承担民事责任的能力；</w:t>
      </w:r>
    </w:p>
    <w:p w14:paraId="3C58D0BA">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（二）具有良好的商业信誉和健全的财务会计制度；</w:t>
      </w:r>
    </w:p>
    <w:p w14:paraId="596D88BC">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（三）具有履行合同所必需的设备和专业技术能力；</w:t>
      </w:r>
    </w:p>
    <w:p w14:paraId="5F063877">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（四）有依法缴纳税收和社会保障资金的良好记录；</w:t>
      </w:r>
    </w:p>
    <w:p w14:paraId="39BE60DB">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（五）参加政府采购活动前三年内，在经营活动中没有重大违法记录；</w:t>
      </w:r>
    </w:p>
    <w:p w14:paraId="5BFA9FB1">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（六）法律、行政法规规定的其他条件。</w:t>
      </w:r>
    </w:p>
    <w:p w14:paraId="2527EEEF">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4.以上事项如有虚假或者隐瞒，我方愿意承担一切后果，并不再寻求任何旨在减轻或者免除法律责任的辩解。</w:t>
      </w:r>
    </w:p>
    <w:p w14:paraId="06AAF562">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特此承诺。</w:t>
      </w:r>
    </w:p>
    <w:p w14:paraId="0C72A0FB">
      <w:pPr>
        <w:keepNext w:val="0"/>
        <w:keepLines w:val="0"/>
        <w:pageBreakBefore w:val="0"/>
        <w:widowControl w:val="0"/>
        <w:kinsoku/>
        <w:wordWrap/>
        <w:overflowPunct/>
        <w:topLinePunct w:val="0"/>
        <w:autoSpaceDE/>
        <w:autoSpaceDN/>
        <w:bidi w:val="0"/>
        <w:adjustRightInd/>
        <w:snapToGrid w:val="0"/>
        <w:spacing w:before="50" w:after="50" w:line="400" w:lineRule="exact"/>
        <w:ind w:firstLine="930" w:firstLineChars="441"/>
        <w:textAlignment w:val="auto"/>
        <w:rPr>
          <w:rFonts w:hint="eastAsia" w:ascii="宋体" w:hAnsi="宋体" w:cs="宋体"/>
          <w:color w:val="auto"/>
          <w:spacing w:val="20"/>
          <w:szCs w:val="21"/>
          <w:highlight w:val="none"/>
          <w:u w:val="singl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法定代表人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6F12A4FE">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zCs w:val="21"/>
          <w:highlight w:val="none"/>
          <w:u w:val="single"/>
        </w:rPr>
        <w:t xml:space="preserve">                 </w:t>
      </w:r>
    </w:p>
    <w:p w14:paraId="47CE0DCC">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08C75995">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b/>
          <w:color w:val="auto"/>
          <w:szCs w:val="21"/>
          <w:highlight w:val="none"/>
        </w:rPr>
      </w:pPr>
      <w:r>
        <w:rPr>
          <w:rFonts w:hint="eastAsia" w:ascii="宋体" w:hAnsi="宋体" w:cs="宋体"/>
          <w:b/>
          <w:color w:val="auto"/>
          <w:szCs w:val="21"/>
          <w:highlight w:val="none"/>
        </w:rPr>
        <w:t>注：如为联合体投标，盖章处须加盖联合体牵头人电子签章并由联合体牵头人法定代表人分别签字或者盖章或者电子签名，否则投标无效。</w:t>
      </w:r>
    </w:p>
    <w:p w14:paraId="57F63488">
      <w:pPr>
        <w:snapToGrid w:val="0"/>
        <w:spacing w:before="120" w:beforeLines="50" w:after="50"/>
        <w:jc w:val="left"/>
        <w:rPr>
          <w:rFonts w:ascii="宋体" w:hAnsi="宋体" w:cs="宋体"/>
          <w:b/>
          <w:color w:val="auto"/>
          <w:sz w:val="28"/>
          <w:szCs w:val="28"/>
          <w:highlight w:val="none"/>
        </w:rPr>
      </w:pPr>
    </w:p>
    <w:p w14:paraId="4FB866AE">
      <w:pPr>
        <w:snapToGrid w:val="0"/>
        <w:spacing w:before="120" w:beforeLines="50" w:after="50"/>
        <w:jc w:val="left"/>
        <w:rPr>
          <w:rFonts w:hint="eastAsia"/>
          <w:color w:val="auto"/>
          <w:spacing w:val="20"/>
          <w:sz w:val="24"/>
          <w:highlight w:val="none"/>
        </w:rPr>
      </w:pPr>
      <w:r>
        <w:rPr>
          <w:b/>
          <w:color w:val="auto"/>
          <w:highlight w:val="none"/>
        </w:rPr>
        <w:br w:type="page"/>
      </w:r>
      <w:r>
        <w:rPr>
          <w:rFonts w:hint="eastAsia" w:ascii="宋体" w:hAnsi="宋体" w:cs="宋体"/>
          <w:b/>
          <w:color w:val="auto"/>
          <w:sz w:val="28"/>
          <w:szCs w:val="28"/>
          <w:highlight w:val="none"/>
        </w:rPr>
        <w:t>5.联合投标协议书格式</w:t>
      </w:r>
    </w:p>
    <w:p w14:paraId="436E9151">
      <w:pPr>
        <w:pStyle w:val="9"/>
        <w:overflowPunct w:val="0"/>
        <w:jc w:val="center"/>
        <w:rPr>
          <w:rFonts w:hint="default" w:ascii="宋体" w:hAnsi="宋体" w:eastAsia="宋体" w:cs="宋体"/>
          <w:b/>
          <w:color w:val="auto"/>
          <w:sz w:val="30"/>
          <w:szCs w:val="30"/>
          <w:highlight w:val="none"/>
          <w:lang w:val="en-US" w:eastAsia="zh-CN"/>
        </w:rPr>
      </w:pPr>
      <w:r>
        <w:rPr>
          <w:rFonts w:hint="eastAsia" w:ascii="宋体" w:hAnsi="宋体" w:cs="宋体"/>
          <w:b/>
          <w:color w:val="auto"/>
          <w:sz w:val="30"/>
          <w:szCs w:val="30"/>
          <w:highlight w:val="none"/>
        </w:rPr>
        <w:t>联合体协议书</w:t>
      </w:r>
      <w:r>
        <w:rPr>
          <w:rFonts w:hint="eastAsia" w:ascii="宋体" w:hAnsi="宋体" w:cs="宋体"/>
          <w:b/>
          <w:color w:val="auto"/>
          <w:sz w:val="30"/>
          <w:szCs w:val="30"/>
          <w:highlight w:val="none"/>
          <w:lang w:val="en-US" w:eastAsia="zh-CN"/>
        </w:rPr>
        <w:t>(</w:t>
      </w:r>
      <w:r>
        <w:rPr>
          <w:rFonts w:hint="eastAsia" w:ascii="宋体" w:hAnsi="宋体" w:cs="宋体"/>
          <w:b/>
          <w:color w:val="auto"/>
          <w:sz w:val="30"/>
          <w:szCs w:val="30"/>
          <w:highlight w:val="none"/>
          <w:lang w:eastAsia="zh-CN"/>
        </w:rPr>
        <w:t>本</w:t>
      </w:r>
      <w:r>
        <w:rPr>
          <w:rFonts w:hint="eastAsia" w:ascii="宋体" w:hAnsi="宋体" w:cs="宋体"/>
          <w:b/>
          <w:color w:val="auto"/>
          <w:sz w:val="30"/>
          <w:szCs w:val="30"/>
          <w:highlight w:val="none"/>
          <w:lang w:val="en-US" w:eastAsia="zh-CN"/>
        </w:rPr>
        <w:t>项目不适用)</w:t>
      </w:r>
    </w:p>
    <w:p w14:paraId="10748B3B">
      <w:pPr>
        <w:pStyle w:val="9"/>
        <w:overflowPunct w:val="0"/>
        <w:spacing w:line="360" w:lineRule="auto"/>
        <w:ind w:firstLine="0"/>
        <w:contextualSpacing/>
        <w:rPr>
          <w:rFonts w:hint="eastAsia" w:ascii="宋体" w:hAnsi="宋体" w:cs="宋体"/>
          <w:color w:val="auto"/>
          <w:sz w:val="24"/>
          <w:highlight w:val="none"/>
        </w:rPr>
      </w:pPr>
    </w:p>
    <w:p w14:paraId="1A23583A">
      <w:pPr>
        <w:pStyle w:val="9"/>
        <w:keepNext w:val="0"/>
        <w:keepLines w:val="0"/>
        <w:pageBreakBefore w:val="0"/>
        <w:widowControl w:val="0"/>
        <w:kinsoku/>
        <w:wordWrap/>
        <w:overflowPunct w:val="0"/>
        <w:topLinePunct w:val="0"/>
        <w:autoSpaceDE/>
        <w:autoSpaceDN/>
        <w:bidi w:val="0"/>
        <w:adjustRightInd/>
        <w:snapToGri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（所有成员单位名称）自愿组成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（联合体名称）联合体，共同参加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（项目名称）   </w:t>
      </w:r>
      <w:r>
        <w:rPr>
          <w:rFonts w:hint="eastAsia" w:ascii="宋体" w:cs="宋体"/>
          <w:color w:val="auto"/>
          <w:kern w:val="0"/>
          <w:szCs w:val="21"/>
          <w:highlight w:val="none"/>
        </w:rPr>
        <w:t>（项目编号：</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r>
        <w:rPr>
          <w:rFonts w:hint="eastAsia" w:ascii="宋体" w:cs="宋体"/>
          <w:color w:val="auto"/>
          <w:kern w:val="0"/>
          <w:szCs w:val="21"/>
          <w:highlight w:val="none"/>
          <w:u w:val="single"/>
        </w:rPr>
        <w:t xml:space="preserve">   </w:t>
      </w:r>
      <w:r>
        <w:rPr>
          <w:rFonts w:hint="eastAsia" w:ascii="宋体" w:hAnsi="宋体" w:cs="宋体"/>
          <w:color w:val="auto"/>
          <w:szCs w:val="21"/>
          <w:highlight w:val="none"/>
        </w:rPr>
        <w:t>分标采购招标项目投标。现就联合体投标事宜订立如下协议。</w:t>
      </w:r>
    </w:p>
    <w:p w14:paraId="3BED2B74">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（某成员单位名称）为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（联合体名称）牵头人。</w:t>
      </w:r>
    </w:p>
    <w:p w14:paraId="053DE1E1">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2.联合体各成员授权牵头人代表联合体参加投标活动，签署文件及对文件的盖章，提交和接收相关的资料、 信息及指示，进行合同谈判活动，负责合同实施阶段的组织和协调工作，以及处理与本招标项 目有关的一切事宜。</w:t>
      </w:r>
    </w:p>
    <w:p w14:paraId="04DE4C36">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238BA70F">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4.联合体各成员单位内部的职责分工如下：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96FE128">
      <w:pPr>
        <w:keepNext w:val="0"/>
        <w:keepLines w:val="0"/>
        <w:pageBreakBefore w:val="0"/>
        <w:widowControl w:val="0"/>
        <w:kinsoku/>
        <w:wordWrap/>
        <w:topLinePunct w:val="0"/>
        <w:autoSpaceDE/>
        <w:autoSpaceDN/>
        <w:bidi w:val="0"/>
        <w:adjustRightInd/>
        <w:snapToGrid/>
        <w:spacing w:line="400" w:lineRule="exact"/>
        <w:ind w:firstLine="420" w:firstLineChars="200"/>
        <w:textAlignment w:val="auto"/>
        <w:rPr>
          <w:rFonts w:hint="eastAsia"/>
          <w:color w:val="auto"/>
          <w:szCs w:val="21"/>
          <w:highlight w:val="none"/>
        </w:rPr>
      </w:pPr>
      <w:r>
        <w:rPr>
          <w:rFonts w:hint="eastAsia" w:ascii="宋体" w:hAnsi="宋体" w:cs="宋体"/>
          <w:color w:val="auto"/>
          <w:kern w:val="0"/>
          <w:szCs w:val="20"/>
          <w:highlight w:val="none"/>
        </w:rPr>
        <w:t>5.本联合体中，</w:t>
      </w:r>
      <w:r>
        <w:rPr>
          <w:rFonts w:hint="eastAsia" w:ascii="宋体" w:hAnsi="宋体" w:cs="宋体"/>
          <w:color w:val="auto"/>
          <w:kern w:val="0"/>
          <w:szCs w:val="20"/>
          <w:highlight w:val="none"/>
          <w:u w:val="single"/>
        </w:rPr>
        <w:t xml:space="preserve"> （某成员单位名称） </w:t>
      </w:r>
      <w:r>
        <w:rPr>
          <w:rFonts w:hint="eastAsia" w:ascii="宋体" w:hAnsi="宋体" w:cs="宋体"/>
          <w:color w:val="auto"/>
          <w:kern w:val="0"/>
          <w:szCs w:val="20"/>
          <w:highlight w:val="none"/>
        </w:rPr>
        <w:t>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（请填写：中型、小型、微型）企业，其协议合同金额占联合体协议合同总金额的</w:t>
      </w:r>
      <w:r>
        <w:rPr>
          <w:rFonts w:hint="eastAsia" w:ascii="宋体" w:hAnsi="Courier New"/>
          <w:color w:val="auto"/>
          <w:szCs w:val="20"/>
          <w:highlight w:val="none"/>
          <w:u w:val="single"/>
        </w:rPr>
        <w:t xml:space="preserve">           </w:t>
      </w:r>
      <w:r>
        <w:rPr>
          <w:rFonts w:hint="eastAsia" w:ascii="宋体" w:hAnsi="Courier New"/>
          <w:color w:val="auto"/>
          <w:szCs w:val="20"/>
          <w:highlight w:val="none"/>
        </w:rPr>
        <w:t>%。【如联合体成员中有小型、微型企业的，请填写此条，否则无需填写；如联合体成员中有多个小型、微型企业的，请逐一列出</w:t>
      </w:r>
      <w:r>
        <w:rPr>
          <w:rFonts w:hint="eastAsia" w:ascii="宋体" w:hAnsi="Courier New"/>
          <w:color w:val="auto"/>
          <w:szCs w:val="20"/>
          <w:highlight w:val="none"/>
          <w:lang w:eastAsia="zh-CN"/>
        </w:rPr>
        <w:t>】</w:t>
      </w:r>
    </w:p>
    <w:p w14:paraId="32777F63">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6.本协议书自所有成员单位法定代表人或者其委托代理人签字（或者电子签名）或</w:t>
      </w:r>
      <w:r>
        <w:rPr>
          <w:rFonts w:hint="eastAsia" w:ascii="宋体" w:hAnsi="宋体" w:cs="宋体"/>
          <w:color w:val="auto"/>
          <w:szCs w:val="21"/>
          <w:highlight w:val="none"/>
          <w:lang w:eastAsia="zh-CN"/>
        </w:rPr>
        <w:t>者加</w:t>
      </w:r>
      <w:r>
        <w:rPr>
          <w:rFonts w:hint="eastAsia" w:ascii="宋体" w:hAnsi="宋体" w:cs="宋体"/>
          <w:color w:val="auto"/>
          <w:szCs w:val="21"/>
          <w:highlight w:val="none"/>
        </w:rPr>
        <w:t>盖公章之日起生效，合同履行完毕后自动失效。</w:t>
      </w:r>
    </w:p>
    <w:p w14:paraId="6367BFDB">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7.本协议书一式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份，联合体成员和招标人各执一份。</w:t>
      </w:r>
    </w:p>
    <w:p w14:paraId="3FD973DA">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注：本协议书应附法定代表人身份证明；有委托代理的，应附授权委托书（格式自拟）。</w:t>
      </w:r>
    </w:p>
    <w:p w14:paraId="19E75702">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p>
    <w:p w14:paraId="526379D7">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联合体牵头人名称（电子签章）：</w:t>
      </w:r>
    </w:p>
    <w:p w14:paraId="2C9598D0">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5EB342C5">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p>
    <w:p w14:paraId="362FF165">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联合体成员名称（盖公章或者电子签章）：</w:t>
      </w:r>
    </w:p>
    <w:p w14:paraId="23E28C43">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4BD21EF5">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w:t>
      </w:r>
    </w:p>
    <w:p w14:paraId="1741F6B0">
      <w:pPr>
        <w:pStyle w:val="4"/>
        <w:rPr>
          <w:rFonts w:hint="eastAsia" w:ascii="宋体" w:hAnsi="宋体" w:cs="宋体"/>
          <w:color w:val="auto"/>
          <w:sz w:val="28"/>
          <w:szCs w:val="28"/>
          <w:highlight w:val="none"/>
        </w:rPr>
      </w:pPr>
      <w:r>
        <w:rPr>
          <w:color w:val="auto"/>
          <w:sz w:val="21"/>
          <w:szCs w:val="21"/>
          <w:highlight w:val="none"/>
        </w:rPr>
        <w:br w:type="page"/>
      </w:r>
      <w:bookmarkStart w:id="198" w:name="_Toc6222"/>
      <w:bookmarkStart w:id="199" w:name="_Toc7619"/>
      <w:bookmarkStart w:id="200" w:name="_Toc19686838"/>
      <w:r>
        <w:rPr>
          <w:rFonts w:hint="eastAsia" w:ascii="宋体" w:hAnsi="宋体" w:cs="宋体"/>
          <w:color w:val="auto"/>
          <w:sz w:val="28"/>
          <w:szCs w:val="28"/>
          <w:highlight w:val="none"/>
        </w:rPr>
        <w:t>三、商务及技术文件格式</w:t>
      </w:r>
      <w:bookmarkEnd w:id="198"/>
      <w:bookmarkEnd w:id="199"/>
      <w:bookmarkEnd w:id="200"/>
    </w:p>
    <w:p w14:paraId="1E06E7FC">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（一）商务文件封面格式： </w:t>
      </w:r>
    </w:p>
    <w:p w14:paraId="6AB919EA">
      <w:pPr>
        <w:snapToGrid w:val="0"/>
        <w:spacing w:before="120"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6BCB52E7">
      <w:pPr>
        <w:snapToGrid w:val="0"/>
        <w:spacing w:before="120"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124D95C0">
      <w:pPr>
        <w:rPr>
          <w:rFonts w:hint="eastAsia" w:ascii="宋体" w:hAnsi="宋体" w:cs="宋体"/>
          <w:color w:val="auto"/>
          <w:sz w:val="24"/>
          <w:highlight w:val="none"/>
        </w:rPr>
      </w:pPr>
    </w:p>
    <w:p w14:paraId="125C1DF5">
      <w:pPr>
        <w:rPr>
          <w:rFonts w:hint="eastAsia"/>
          <w:color w:val="auto"/>
          <w:highlight w:val="none"/>
        </w:rPr>
      </w:pPr>
    </w:p>
    <w:p w14:paraId="5B65348A">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商务文件</w:t>
      </w:r>
    </w:p>
    <w:p w14:paraId="52EA8E31">
      <w:pPr>
        <w:rPr>
          <w:rFonts w:hint="eastAsia" w:ascii="宋体" w:hAnsi="宋体" w:cs="宋体"/>
          <w:b/>
          <w:color w:val="auto"/>
          <w:sz w:val="32"/>
          <w:szCs w:val="32"/>
          <w:highlight w:val="none"/>
        </w:rPr>
      </w:pPr>
    </w:p>
    <w:p w14:paraId="4C6EF581">
      <w:pPr>
        <w:rPr>
          <w:rFonts w:hint="eastAsia"/>
          <w:color w:val="auto"/>
          <w:highlight w:val="none"/>
        </w:rPr>
      </w:pPr>
    </w:p>
    <w:p w14:paraId="3618A53A">
      <w:pPr>
        <w:snapToGrid w:val="0"/>
        <w:spacing w:before="120" w:beforeLines="50" w:after="50"/>
        <w:rPr>
          <w:rFonts w:hint="eastAsia" w:ascii="宋体" w:hAnsi="宋体" w:cs="宋体"/>
          <w:bCs/>
          <w:color w:val="auto"/>
          <w:sz w:val="24"/>
          <w:szCs w:val="20"/>
          <w:highlight w:val="none"/>
        </w:rPr>
      </w:pPr>
    </w:p>
    <w:p w14:paraId="6367E547">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5D9791E5">
      <w:pPr>
        <w:snapToGrid w:val="0"/>
        <w:spacing w:before="120" w:beforeLines="50" w:after="50"/>
        <w:ind w:firstLine="540" w:firstLineChars="225"/>
        <w:rPr>
          <w:rFonts w:hint="eastAsia" w:ascii="宋体" w:hAnsi="宋体" w:cs="宋体"/>
          <w:bCs/>
          <w:color w:val="auto"/>
          <w:sz w:val="24"/>
          <w:szCs w:val="20"/>
          <w:highlight w:val="none"/>
        </w:rPr>
      </w:pPr>
    </w:p>
    <w:p w14:paraId="3058E645">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77FC2F39">
      <w:pPr>
        <w:snapToGrid w:val="0"/>
        <w:spacing w:before="120"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4FE32F35">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78CBF35F">
      <w:pPr>
        <w:snapToGrid w:val="0"/>
        <w:spacing w:before="120" w:beforeLines="50" w:after="50"/>
        <w:ind w:firstLine="540" w:firstLineChars="225"/>
        <w:rPr>
          <w:rFonts w:hint="eastAsia" w:ascii="宋体" w:hAnsi="宋体" w:cs="宋体"/>
          <w:bCs/>
          <w:color w:val="auto"/>
          <w:sz w:val="24"/>
          <w:szCs w:val="20"/>
          <w:highlight w:val="none"/>
        </w:rPr>
      </w:pPr>
    </w:p>
    <w:p w14:paraId="568605D9">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1DBFFA7D">
      <w:pPr>
        <w:pStyle w:val="9"/>
        <w:snapToGrid w:val="0"/>
        <w:spacing w:before="50" w:after="50"/>
        <w:ind w:firstLine="540" w:firstLineChars="225"/>
        <w:rPr>
          <w:rFonts w:hint="eastAsia" w:ascii="宋体" w:hAnsi="宋体" w:cs="宋体"/>
          <w:bCs/>
          <w:color w:val="auto"/>
          <w:sz w:val="24"/>
          <w:szCs w:val="24"/>
          <w:highlight w:val="none"/>
        </w:rPr>
      </w:pPr>
    </w:p>
    <w:p w14:paraId="5B688963">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7F403760">
      <w:pPr>
        <w:pStyle w:val="9"/>
        <w:snapToGrid w:val="0"/>
        <w:spacing w:before="50" w:after="50"/>
        <w:ind w:firstLine="960" w:firstLineChars="400"/>
        <w:rPr>
          <w:rFonts w:hint="eastAsia" w:ascii="宋体" w:hAnsi="宋体" w:cs="宋体"/>
          <w:bCs/>
          <w:color w:val="auto"/>
          <w:sz w:val="24"/>
          <w:szCs w:val="24"/>
          <w:highlight w:val="none"/>
        </w:rPr>
      </w:pPr>
    </w:p>
    <w:p w14:paraId="57534DF1">
      <w:pPr>
        <w:snapToGrid w:val="0"/>
        <w:spacing w:before="120"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202249D5">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0DE34354">
      <w:pPr>
        <w:snapToGrid w:val="0"/>
        <w:spacing w:line="360" w:lineRule="auto"/>
        <w:jc w:val="center"/>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cs="宋体"/>
          <w:b/>
          <w:bCs/>
          <w:color w:val="auto"/>
          <w:sz w:val="28"/>
          <w:szCs w:val="28"/>
          <w:highlight w:val="none"/>
        </w:rPr>
        <w:t>商务文件目录</w:t>
      </w:r>
    </w:p>
    <w:p w14:paraId="32BC2E7A">
      <w:pPr>
        <w:snapToGrid w:val="0"/>
        <w:spacing w:before="50" w:after="120" w:afterLines="50" w:line="360" w:lineRule="auto"/>
        <w:jc w:val="center"/>
        <w:rPr>
          <w:rFonts w:hint="eastAsia" w:ascii="宋体" w:hAnsi="宋体" w:cs="宋体"/>
          <w:b/>
          <w:bCs/>
          <w:color w:val="auto"/>
          <w:sz w:val="24"/>
          <w:highlight w:val="none"/>
        </w:rPr>
      </w:pPr>
      <w:r>
        <w:rPr>
          <w:rFonts w:hint="eastAsia" w:ascii="宋体" w:hAnsi="宋体" w:cs="宋体"/>
          <w:color w:val="auto"/>
          <w:szCs w:val="21"/>
          <w:highlight w:val="none"/>
        </w:rPr>
        <w:t>根据招标文件规定及投标人提供的材料自行编写目录。</w:t>
      </w:r>
    </w:p>
    <w:p w14:paraId="13F24D31">
      <w:pPr>
        <w:snapToGrid w:val="0"/>
        <w:spacing w:before="50" w:after="120" w:afterLines="50"/>
        <w:jc w:val="left"/>
        <w:rPr>
          <w:rFonts w:hint="eastAsia" w:ascii="宋体" w:hAnsi="宋体" w:cs="宋体"/>
          <w:color w:val="auto"/>
          <w:highlight w:val="none"/>
        </w:rPr>
      </w:pPr>
    </w:p>
    <w:p w14:paraId="2B89AEBC">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1. 无串通投标行为的承诺函</w:t>
      </w:r>
    </w:p>
    <w:p w14:paraId="57DDE8F9">
      <w:pPr>
        <w:snapToGrid w:val="0"/>
        <w:spacing w:before="120" w:beforeLines="50" w:after="50"/>
        <w:jc w:val="left"/>
        <w:rPr>
          <w:rFonts w:hint="eastAsia" w:ascii="宋体" w:hAnsi="宋体" w:cs="宋体"/>
          <w:b/>
          <w:color w:val="auto"/>
          <w:sz w:val="24"/>
          <w:highlight w:val="none"/>
        </w:rPr>
      </w:pPr>
    </w:p>
    <w:p w14:paraId="1A52E006">
      <w:pPr>
        <w:snapToGrid w:val="0"/>
        <w:spacing w:before="120" w:beforeLines="50" w:after="5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无串通投标行为的承诺函</w:t>
      </w:r>
    </w:p>
    <w:p w14:paraId="621CDF2B">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4C25198D">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3885E9C6">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06581A3F">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17DCCC7E">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42D515AD">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5D17D96C">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411C5CF7">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0AA88228">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1.投标人直接或者间接从采购人或者采购代理机构处获得其他投标人的相关信息并修改其投标文件或者响应文件；</w:t>
      </w:r>
    </w:p>
    <w:p w14:paraId="31D6A8DF">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2.投标人按照采购人或者采购代理机构的授意撤换、修改投标文件或者响应文件；</w:t>
      </w:r>
    </w:p>
    <w:p w14:paraId="633772CA">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3.投标人之间协商报价、技术方案等投标文件或者响应文件的实质性内容；</w:t>
      </w:r>
    </w:p>
    <w:p w14:paraId="5920913F">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6A719E7D">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57BCBBD9">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7ADBBE51">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6B3CDD59">
      <w:pPr>
        <w:keepNext w:val="0"/>
        <w:keepLines w:val="0"/>
        <w:pageBreakBefore w:val="0"/>
        <w:widowControl w:val="0"/>
        <w:kinsoku/>
        <w:wordWrap/>
        <w:overflowPunct/>
        <w:topLinePunct w:val="0"/>
        <w:autoSpaceDE/>
        <w:autoSpaceDN/>
        <w:bidi w:val="0"/>
        <w:adjustRightInd/>
        <w:snapToGrid/>
        <w:spacing w:line="400" w:lineRule="exact"/>
        <w:ind w:firstLine="413" w:firstLineChars="196"/>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以上情形一经核查属实，我方愿意承担一切后果，并不再寻求任何旨在减轻或者免除法律责任的辩解。</w:t>
      </w:r>
    </w:p>
    <w:p w14:paraId="6409556C">
      <w:pPr>
        <w:pStyle w:val="20"/>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hAnsi="宋体" w:cs="宋体"/>
          <w:color w:val="auto"/>
          <w:highlight w:val="none"/>
        </w:rPr>
      </w:pPr>
      <w:r>
        <w:rPr>
          <w:rFonts w:hint="eastAsia" w:hAnsi="宋体" w:cs="宋体"/>
          <w:color w:val="auto"/>
          <w:highlight w:val="none"/>
        </w:rPr>
        <w:t xml:space="preserve"> </w:t>
      </w:r>
    </w:p>
    <w:p w14:paraId="406097C0">
      <w:pPr>
        <w:pStyle w:val="20"/>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hAnsi="宋体" w:cs="宋体"/>
          <w:color w:val="auto"/>
          <w:highlight w:val="none"/>
        </w:rPr>
      </w:pPr>
      <w:r>
        <w:rPr>
          <w:rFonts w:hint="eastAsia" w:hAnsi="宋体" w:cs="宋体"/>
          <w:color w:val="auto"/>
          <w:highlight w:val="none"/>
        </w:rPr>
        <w:t xml:space="preserve">                                    投标人名称（电子签章）</w:t>
      </w:r>
      <w:r>
        <w:rPr>
          <w:rFonts w:hint="eastAsia" w:hAnsi="宋体" w:cs="宋体"/>
          <w:color w:val="auto"/>
          <w:highlight w:val="none"/>
          <w:lang w:eastAsia="zh-CN"/>
        </w:rPr>
        <w:t>：</w:t>
      </w:r>
      <w:r>
        <w:rPr>
          <w:rFonts w:hint="eastAsia" w:hAnsi="宋体" w:cs="宋体"/>
          <w:color w:val="auto"/>
          <w:spacing w:val="20"/>
          <w:highlight w:val="none"/>
          <w:u w:val="single"/>
        </w:rPr>
        <w:t xml:space="preserve">            </w:t>
      </w:r>
      <w:r>
        <w:rPr>
          <w:rFonts w:hint="eastAsia" w:hAnsi="宋体" w:cs="宋体"/>
          <w:color w:val="auto"/>
          <w:spacing w:val="20"/>
          <w:highlight w:val="none"/>
        </w:rPr>
        <w:t xml:space="preserve"> </w:t>
      </w:r>
    </w:p>
    <w:p w14:paraId="4BBF339A">
      <w:pPr>
        <w:pStyle w:val="20"/>
        <w:keepNext w:val="0"/>
        <w:keepLines w:val="0"/>
        <w:pageBreakBefore w:val="0"/>
        <w:widowControl w:val="0"/>
        <w:kinsoku/>
        <w:wordWrap/>
        <w:overflowPunct/>
        <w:topLinePunct w:val="0"/>
        <w:autoSpaceDE/>
        <w:autoSpaceDN/>
        <w:bidi w:val="0"/>
        <w:adjustRightInd/>
        <w:snapToGrid/>
        <w:spacing w:line="400" w:lineRule="exact"/>
        <w:contextualSpacing/>
        <w:jc w:val="right"/>
        <w:textAlignment w:val="auto"/>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05B2A9D6">
      <w:pPr>
        <w:snapToGrid w:val="0"/>
        <w:spacing w:before="120" w:beforeLines="50" w:after="50" w:line="360" w:lineRule="auto"/>
        <w:ind w:firstLine="472" w:firstLineChars="196"/>
        <w:jc w:val="left"/>
        <w:rPr>
          <w:rFonts w:hint="eastAsia"/>
          <w:color w:val="auto"/>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2.投标保证金缴纳证明</w:t>
      </w:r>
    </w:p>
    <w:p w14:paraId="5E11383A">
      <w:pPr>
        <w:pStyle w:val="20"/>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Ansi="宋体"/>
          <w:color w:val="auto"/>
          <w:sz w:val="24"/>
          <w:szCs w:val="24"/>
          <w:highlight w:val="none"/>
        </w:rPr>
      </w:pPr>
    </w:p>
    <w:p w14:paraId="59EBE34E">
      <w:pPr>
        <w:keepNext w:val="0"/>
        <w:keepLines w:val="0"/>
        <w:pageBreakBefore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olor w:val="auto"/>
          <w:szCs w:val="21"/>
          <w:highlight w:val="none"/>
        </w:rPr>
      </w:pPr>
    </w:p>
    <w:p w14:paraId="7B83ED35">
      <w:pPr>
        <w:keepNext w:val="0"/>
        <w:keepLines w:val="0"/>
        <w:pageBreakBefore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olor w:val="auto"/>
          <w:szCs w:val="21"/>
          <w:highlight w:val="none"/>
        </w:rPr>
      </w:pPr>
      <w:r>
        <w:rPr>
          <w:rFonts w:hint="eastAsia" w:ascii="宋体" w:hAnsi="宋体"/>
          <w:color w:val="auto"/>
          <w:szCs w:val="21"/>
          <w:highlight w:val="none"/>
        </w:rPr>
        <w:t>附：银行出具的汇款单或转账凭证扫描件或保函扫描件。</w:t>
      </w:r>
    </w:p>
    <w:p w14:paraId="1FD42E3B">
      <w:pPr>
        <w:rPr>
          <w:rFonts w:hint="eastAsia"/>
          <w:color w:val="auto"/>
          <w:highlight w:val="none"/>
        </w:rPr>
      </w:pPr>
    </w:p>
    <w:p w14:paraId="54516DD5">
      <w:pPr>
        <w:spacing w:line="520" w:lineRule="exact"/>
        <w:ind w:left="239" w:leftChars="114" w:firstLine="6144" w:firstLineChars="2550"/>
        <w:jc w:val="left"/>
        <w:rPr>
          <w:rFonts w:hint="eastAsia" w:ascii="宋体" w:hAnsi="宋体" w:cs="宋体"/>
          <w:b/>
          <w:color w:val="auto"/>
          <w:kern w:val="0"/>
          <w:sz w:val="24"/>
          <w:highlight w:val="none"/>
        </w:rPr>
      </w:pPr>
    </w:p>
    <w:p w14:paraId="5CDD418A">
      <w:pPr>
        <w:snapToGrid w:val="0"/>
        <w:spacing w:before="120" w:beforeLines="50" w:after="50"/>
        <w:ind w:firstLine="472" w:firstLineChars="196"/>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3.法定代表人身份证明</w:t>
      </w:r>
    </w:p>
    <w:p w14:paraId="7C8AA873">
      <w:pPr>
        <w:spacing w:before="240" w:beforeLines="100" w:after="120" w:afterLines="50"/>
        <w:ind w:left="540"/>
        <w:jc w:val="center"/>
        <w:rPr>
          <w:rFonts w:hint="eastAsia" w:ascii="宋体" w:hAnsi="宋体" w:cs="宋体"/>
          <w:b/>
          <w:color w:val="auto"/>
          <w:sz w:val="32"/>
          <w:szCs w:val="32"/>
          <w:highlight w:val="none"/>
        </w:rPr>
      </w:pPr>
    </w:p>
    <w:p w14:paraId="404B0700">
      <w:pPr>
        <w:spacing w:before="240" w:beforeLines="100" w:after="120" w:afterLines="50"/>
        <w:ind w:left="54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法定代表人身份证明</w:t>
      </w:r>
    </w:p>
    <w:p w14:paraId="47C34B8D">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投 标 人：</w:t>
      </w:r>
      <w:r>
        <w:rPr>
          <w:rFonts w:hint="eastAsia" w:ascii="宋体" w:hAnsi="宋体" w:cs="宋体"/>
          <w:color w:val="auto"/>
          <w:szCs w:val="21"/>
          <w:highlight w:val="none"/>
          <w:u w:val="single"/>
        </w:rPr>
        <w:t xml:space="preserve">                                                        </w:t>
      </w:r>
    </w:p>
    <w:p w14:paraId="7CB60EC4">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64126188">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14:paraId="0552C75E">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年    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p>
    <w:p w14:paraId="3EB3A12E">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44D0D7E6">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（投标人名称）              </w:t>
      </w:r>
      <w:r>
        <w:rPr>
          <w:rFonts w:hint="eastAsia" w:ascii="宋体" w:hAnsi="宋体" w:cs="宋体"/>
          <w:color w:val="auto"/>
          <w:szCs w:val="21"/>
          <w:highlight w:val="none"/>
        </w:rPr>
        <w:t>的法定代表人。</w:t>
      </w:r>
    </w:p>
    <w:p w14:paraId="03A84E36">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特此证明。</w:t>
      </w:r>
    </w:p>
    <w:p w14:paraId="665227D0">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6DF5112C">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12F14112">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附件：法定代表人有效身份证正反面复印件</w:t>
      </w:r>
    </w:p>
    <w:p w14:paraId="613C3A83">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0A668FDC">
      <w:pPr>
        <w:keepNext w:val="0"/>
        <w:keepLines w:val="0"/>
        <w:pageBreakBefore w:val="0"/>
        <w:widowControl w:val="0"/>
        <w:kinsoku/>
        <w:wordWrap/>
        <w:overflowPunct/>
        <w:topLinePunct w:val="0"/>
        <w:autoSpaceDE/>
        <w:autoSpaceDN/>
        <w:bidi w:val="0"/>
        <w:adjustRightInd/>
        <w:spacing w:line="400" w:lineRule="exact"/>
        <w:ind w:right="420" w:firstLine="4620" w:firstLineChars="2200"/>
        <w:textAlignment w:val="auto"/>
        <w:rPr>
          <w:rFonts w:hint="eastAsia" w:ascii="宋体" w:hAnsi="宋体" w:cs="宋体"/>
          <w:color w:val="auto"/>
          <w:szCs w:val="21"/>
          <w:highlight w:val="none"/>
        </w:rPr>
      </w:pPr>
      <w:r>
        <w:rPr>
          <w:rFonts w:hint="eastAsia" w:ascii="宋体" w:hAnsi="宋体" w:cs="宋体"/>
          <w:color w:val="auto"/>
          <w:szCs w:val="21"/>
          <w:highlight w:val="none"/>
        </w:rPr>
        <w:t>投标人名称（电子签章）</w:t>
      </w:r>
      <w:r>
        <w:rPr>
          <w:rFonts w:hint="eastAsia" w:ascii="宋体" w:hAnsi="宋体" w:cs="宋体"/>
          <w:color w:val="auto"/>
          <w:szCs w:val="21"/>
          <w:highlight w:val="none"/>
          <w:lang w:eastAsia="zh-CN"/>
        </w:rPr>
        <w:t>：</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523E8151">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left="540" w:right="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77ACB9E">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p>
    <w:p w14:paraId="69E3DC53">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color w:val="auto"/>
          <w:szCs w:val="21"/>
          <w:highlight w:val="none"/>
        </w:rPr>
        <w:t>注：自然人投标的无需提供</w:t>
      </w:r>
    </w:p>
    <w:p w14:paraId="72B25B63">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4.授权委托书格式</w:t>
      </w:r>
    </w:p>
    <w:p w14:paraId="06DA41B4">
      <w:pPr>
        <w:snapToGrid w:val="0"/>
        <w:spacing w:before="120" w:beforeLines="50" w:after="5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授权委托书</w:t>
      </w:r>
    </w:p>
    <w:p w14:paraId="55987356">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（非联合体投标格式）</w:t>
      </w:r>
    </w:p>
    <w:p w14:paraId="1B2F3697">
      <w:pPr>
        <w:snapToGrid w:val="0"/>
        <w:spacing w:before="120" w:beforeLines="50" w:after="50"/>
        <w:jc w:val="center"/>
        <w:rPr>
          <w:rFonts w:hint="eastAsia" w:ascii="宋体" w:hAnsi="宋体" w:cs="宋体"/>
          <w:b/>
          <w:color w:val="auto"/>
          <w:sz w:val="24"/>
          <w:highlight w:val="none"/>
        </w:rPr>
      </w:pPr>
      <w:r>
        <w:rPr>
          <w:rFonts w:hint="eastAsia" w:ascii="宋体" w:hAnsi="宋体" w:cs="宋体"/>
          <w:b/>
          <w:color w:val="auto"/>
          <w:sz w:val="32"/>
          <w:szCs w:val="32"/>
          <w:highlight w:val="none"/>
        </w:rPr>
        <w:t>（如有委托时）</w:t>
      </w:r>
    </w:p>
    <w:p w14:paraId="729FCF61">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2C7125AE">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306A6CA8">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我方对委托代理人的签字或者电子签名事项负全部责任。</w:t>
      </w:r>
    </w:p>
    <w:p w14:paraId="198AFB1F">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本授权书自签署之日起生效，在撤销授权的书面通知以前，本授权书一直有效。委托代理人在授权书有效期内签署的所有文件不因授权的撤销而失效。</w:t>
      </w:r>
    </w:p>
    <w:p w14:paraId="229B9B48">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40511309">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附：法定代表人身份证明及委托代理人有效身份证正反面复印件</w:t>
      </w:r>
    </w:p>
    <w:p w14:paraId="311F1D6D">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p>
    <w:p w14:paraId="6262F903">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委托代理人（签字或者电子签名）：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A6C19E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委托代理人身份证号码：</w:t>
      </w:r>
      <w:r>
        <w:rPr>
          <w:rFonts w:hint="eastAsia" w:ascii="宋体" w:hAnsi="宋体" w:cs="宋体"/>
          <w:color w:val="auto"/>
          <w:szCs w:val="21"/>
          <w:highlight w:val="none"/>
          <w:u w:val="single"/>
        </w:rPr>
        <w:t xml:space="preserve">                             </w:t>
      </w:r>
    </w:p>
    <w:p w14:paraId="7D47036A">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p>
    <w:p w14:paraId="414DB9B8">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48EB6A0F">
      <w:pPr>
        <w:keepNext w:val="0"/>
        <w:keepLines w:val="0"/>
        <w:pageBreakBefore w:val="0"/>
        <w:widowControl w:val="0"/>
        <w:kinsoku/>
        <w:wordWrap/>
        <w:overflowPunct/>
        <w:topLinePunct w:val="0"/>
        <w:autoSpaceDE/>
        <w:autoSpaceDN/>
        <w:bidi w:val="0"/>
        <w:adjustRightInd/>
        <w:spacing w:line="400" w:lineRule="exact"/>
        <w:contextualSpacing/>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46FEF2FA">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left="540" w:right="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952D0C1">
      <w:pPr>
        <w:keepNext w:val="0"/>
        <w:keepLines w:val="0"/>
        <w:pageBreakBefore w:val="0"/>
        <w:widowControl w:val="0"/>
        <w:kinsoku/>
        <w:wordWrap/>
        <w:overflowPunct/>
        <w:topLinePunct w:val="0"/>
        <w:autoSpaceDE/>
        <w:autoSpaceDN/>
        <w:bidi w:val="0"/>
        <w:adjustRightInd/>
        <w:spacing w:line="400" w:lineRule="exact"/>
        <w:contextualSpacing/>
        <w:jc w:val="center"/>
        <w:textAlignment w:val="auto"/>
        <w:rPr>
          <w:rFonts w:hint="eastAsia" w:ascii="宋体" w:hAnsi="宋体" w:cs="宋体"/>
          <w:color w:val="auto"/>
          <w:szCs w:val="21"/>
          <w:highlight w:val="none"/>
        </w:rPr>
      </w:pPr>
    </w:p>
    <w:p w14:paraId="05F6D9A5">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注：1.</w:t>
      </w:r>
      <w:bookmarkStart w:id="201" w:name="_Hlk65851555"/>
      <w:bookmarkStart w:id="202" w:name="_Hlk65851620"/>
      <w:r>
        <w:rPr>
          <w:rFonts w:hint="eastAsia" w:ascii="宋体" w:hAnsi="宋体" w:cs="宋体"/>
          <w:color w:val="auto"/>
          <w:szCs w:val="21"/>
          <w:highlight w:val="none"/>
        </w:rPr>
        <w:t>法定代表人必须在授权委托书上签字或者盖章或者电子签名，</w:t>
      </w:r>
      <w:bookmarkEnd w:id="201"/>
      <w:r>
        <w:rPr>
          <w:rFonts w:hint="eastAsia" w:ascii="宋体" w:hAnsi="宋体" w:cs="宋体"/>
          <w:color w:val="auto"/>
          <w:szCs w:val="21"/>
          <w:highlight w:val="none"/>
        </w:rPr>
        <w:t>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bookmarkEnd w:id="202"/>
    </w:p>
    <w:p w14:paraId="062DD304">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2.法人、其他组织投标时“我方”是指“我单位”，自然人投标时“我方”是指“本人”。</w:t>
      </w:r>
    </w:p>
    <w:p w14:paraId="45AB6683">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firstLine="566" w:firstLineChars="236"/>
        <w:jc w:val="center"/>
        <w:textAlignment w:val="auto"/>
        <w:rPr>
          <w:rFonts w:hint="eastAsia" w:ascii="宋体" w:hAnsi="宋体" w:cs="宋体"/>
          <w:b/>
          <w:color w:val="auto"/>
          <w:sz w:val="30"/>
          <w:szCs w:val="30"/>
          <w:highlight w:val="none"/>
        </w:rPr>
      </w:pPr>
      <w:r>
        <w:rPr>
          <w:rFonts w:hint="eastAsia" w:ascii="宋体" w:hAnsi="宋体" w:cs="宋体"/>
          <w:color w:val="auto"/>
          <w:sz w:val="24"/>
          <w:highlight w:val="none"/>
        </w:rPr>
        <w:br w:type="page"/>
      </w:r>
      <w:r>
        <w:rPr>
          <w:rFonts w:hint="eastAsia" w:ascii="宋体" w:hAnsi="宋体" w:cs="宋体"/>
          <w:b/>
          <w:color w:val="auto"/>
          <w:sz w:val="30"/>
          <w:szCs w:val="30"/>
          <w:highlight w:val="none"/>
        </w:rPr>
        <w:t>授权委托书</w:t>
      </w:r>
    </w:p>
    <w:p w14:paraId="362017C2">
      <w:pPr>
        <w:snapToGrid w:val="0"/>
        <w:spacing w:before="120" w:beforeLines="50" w:after="50"/>
        <w:ind w:firstLine="758" w:firstLineChars="236"/>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（联合体投标格式）</w:t>
      </w:r>
    </w:p>
    <w:p w14:paraId="069E05E7">
      <w:pPr>
        <w:snapToGrid w:val="0"/>
        <w:spacing w:before="120" w:beforeLines="50" w:after="50"/>
        <w:ind w:firstLine="758" w:firstLineChars="236"/>
        <w:jc w:val="center"/>
        <w:rPr>
          <w:rFonts w:hint="eastAsia" w:ascii="宋体" w:hAnsi="宋体" w:cs="宋体"/>
          <w:color w:val="auto"/>
          <w:sz w:val="24"/>
          <w:highlight w:val="none"/>
        </w:rPr>
      </w:pPr>
      <w:r>
        <w:rPr>
          <w:rFonts w:hint="eastAsia" w:ascii="宋体" w:hAnsi="宋体" w:cs="宋体"/>
          <w:b/>
          <w:bCs/>
          <w:color w:val="auto"/>
          <w:sz w:val="32"/>
          <w:szCs w:val="32"/>
          <w:highlight w:val="none"/>
        </w:rPr>
        <w:t>（如有委托时）</w:t>
      </w:r>
    </w:p>
    <w:p w14:paraId="1572FBC1">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7086490B">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根据 </w:t>
      </w:r>
      <w:r>
        <w:rPr>
          <w:rFonts w:hint="eastAsia" w:ascii="宋体" w:hAnsi="宋体" w:cs="宋体"/>
          <w:color w:val="auto"/>
          <w:szCs w:val="21"/>
          <w:highlight w:val="none"/>
          <w:u w:val="single"/>
        </w:rPr>
        <w:t xml:space="preserve"> （牵头人名称）</w:t>
      </w:r>
      <w:r>
        <w:rPr>
          <w:rFonts w:hint="eastAsia" w:ascii="宋体" w:hAnsi="宋体" w:cs="宋体"/>
          <w:color w:val="auto"/>
          <w:szCs w:val="21"/>
          <w:highlight w:val="none"/>
        </w:rPr>
        <w:t>与</w:t>
      </w:r>
      <w:r>
        <w:rPr>
          <w:rFonts w:hint="eastAsia" w:ascii="宋体" w:hAnsi="宋体" w:cs="宋体"/>
          <w:color w:val="auto"/>
          <w:szCs w:val="21"/>
          <w:highlight w:val="none"/>
          <w:u w:val="single"/>
        </w:rPr>
        <w:t>（联合体其他成员名称）</w:t>
      </w:r>
      <w:r>
        <w:rPr>
          <w:rFonts w:hint="eastAsia" w:ascii="宋体" w:hAnsi="宋体" w:cs="宋体"/>
          <w:color w:val="auto"/>
          <w:szCs w:val="21"/>
          <w:highlight w:val="none"/>
        </w:rPr>
        <w:t>签订的《联合体投标协议书》的内容，</w:t>
      </w:r>
      <w:r>
        <w:rPr>
          <w:rFonts w:hint="eastAsia" w:ascii="宋体" w:hAnsi="宋体" w:cs="宋体"/>
          <w:color w:val="auto"/>
          <w:szCs w:val="21"/>
          <w:highlight w:val="none"/>
          <w:u w:val="single"/>
        </w:rPr>
        <w:t>（牵头人名称）</w:t>
      </w:r>
      <w:r>
        <w:rPr>
          <w:rFonts w:hint="eastAsia" w:ascii="宋体" w:hAnsi="宋体" w:cs="宋体"/>
          <w:color w:val="auto"/>
          <w:szCs w:val="21"/>
          <w:highlight w:val="none"/>
        </w:rPr>
        <w:t>的法定代表人</w:t>
      </w:r>
      <w:r>
        <w:rPr>
          <w:rFonts w:hint="eastAsia" w:ascii="宋体" w:hAnsi="宋体" w:cs="宋体"/>
          <w:color w:val="auto"/>
          <w:szCs w:val="21"/>
          <w:highlight w:val="none"/>
          <w:u w:val="single"/>
        </w:rPr>
        <w:t>（姓名）</w:t>
      </w:r>
      <w:r>
        <w:rPr>
          <w:rFonts w:hint="eastAsia" w:ascii="宋体" w:hAnsi="宋体" w:cs="宋体"/>
          <w:color w:val="auto"/>
          <w:szCs w:val="21"/>
          <w:highlight w:val="none"/>
        </w:rPr>
        <w:t>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5A66E7C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bookmarkStart w:id="203" w:name="_Hlk65852658"/>
      <w:r>
        <w:rPr>
          <w:rFonts w:hint="eastAsia" w:ascii="宋体" w:hAnsi="宋体" w:cs="宋体"/>
          <w:color w:val="auto"/>
          <w:szCs w:val="21"/>
          <w:highlight w:val="none"/>
        </w:rPr>
        <w:t>我方对委托代理人的签字或者电子签名事项负全部责任。</w:t>
      </w:r>
    </w:p>
    <w:p w14:paraId="5E960C2F">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04419FF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32340599">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附：牵头人法定代表人身份证明及委托代理人有效身份证正反面复印件</w:t>
      </w:r>
    </w:p>
    <w:p w14:paraId="2874E2FC">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p>
    <w:p w14:paraId="1C9CD83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牵头人法定代表人（签字或者盖章或者电子签名）：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26E508F1">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牵头人（电子签章）：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2848901E">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77DADDF4">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p>
    <w:p w14:paraId="053DE48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被授权人（签字或者电子签名）：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3AA00E4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783AA48A">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注：1.法定代表人必须在授权委托书上签字或者盖章或者电子签名，委托代理人必须在授权委托书上签字或者电子签名，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43010D17">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 w:val="24"/>
          <w:highlight w:val="none"/>
        </w:rPr>
      </w:pPr>
      <w:r>
        <w:rPr>
          <w:rFonts w:hint="eastAsia" w:ascii="宋体" w:hAnsi="宋体" w:cs="宋体"/>
          <w:color w:val="auto"/>
          <w:szCs w:val="21"/>
          <w:highlight w:val="none"/>
        </w:rPr>
        <w:t>2.法人、其他组织投标时“我方”是指“我单位”，自然人投标时“我方”是指“本人”。</w:t>
      </w:r>
    </w:p>
    <w:p w14:paraId="4669E539">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 w:val="24"/>
          <w:highlight w:val="none"/>
        </w:rPr>
      </w:pPr>
    </w:p>
    <w:bookmarkEnd w:id="203"/>
    <w:p w14:paraId="590C51EA">
      <w:pPr>
        <w:keepNext w:val="0"/>
        <w:keepLines w:val="0"/>
        <w:pageBreakBefore w:val="0"/>
        <w:widowControl w:val="0"/>
        <w:kinsoku/>
        <w:wordWrap/>
        <w:overflowPunct/>
        <w:topLinePunct w:val="0"/>
        <w:autoSpaceDE/>
        <w:autoSpaceDN/>
        <w:bidi w:val="0"/>
        <w:adjustRightInd/>
        <w:snapToGrid w:val="0"/>
        <w:spacing w:before="50" w:after="120" w:afterLines="50" w:line="400" w:lineRule="exact"/>
        <w:ind w:firstLine="480" w:firstLineChars="200"/>
        <w:jc w:val="left"/>
        <w:textAlignment w:val="auto"/>
        <w:rPr>
          <w:rFonts w:hint="eastAsia" w:ascii="宋体" w:hAnsi="宋体" w:cs="宋体"/>
          <w:color w:val="auto"/>
          <w:sz w:val="24"/>
          <w:highlight w:val="none"/>
        </w:rPr>
        <w:sectPr>
          <w:pgSz w:w="11906" w:h="16838"/>
          <w:pgMar w:top="1440" w:right="1803" w:bottom="1440" w:left="1803" w:header="850" w:footer="850" w:gutter="0"/>
          <w:pgNumType w:fmt="decimal"/>
          <w:cols w:space="720" w:num="1"/>
          <w:docGrid w:linePitch="312" w:charSpace="0"/>
        </w:sectPr>
      </w:pPr>
    </w:p>
    <w:p w14:paraId="766403BF">
      <w:pPr>
        <w:rPr>
          <w:rFonts w:hint="eastAsia" w:ascii="宋体" w:hAnsi="宋体" w:cs="宋体"/>
          <w:color w:val="auto"/>
          <w:sz w:val="24"/>
          <w:highlight w:val="none"/>
        </w:rPr>
      </w:pPr>
    </w:p>
    <w:p w14:paraId="2252FA21">
      <w:pPr>
        <w:rPr>
          <w:rFonts w:hint="eastAsia" w:ascii="宋体" w:hAnsi="宋体" w:cs="宋体"/>
          <w:b/>
          <w:color w:val="auto"/>
          <w:sz w:val="24"/>
          <w:szCs w:val="20"/>
          <w:highlight w:val="none"/>
        </w:rPr>
      </w:pPr>
      <w:r>
        <w:rPr>
          <w:rFonts w:hint="eastAsia" w:ascii="宋体" w:hAnsi="宋体" w:cs="宋体"/>
          <w:b/>
          <w:color w:val="auto"/>
          <w:sz w:val="24"/>
          <w:highlight w:val="none"/>
        </w:rPr>
        <w:t>5.商务要求偏离表格式（注：按项目需求表具体项目修改）</w:t>
      </w:r>
    </w:p>
    <w:p w14:paraId="254D1F17">
      <w:pPr>
        <w:snapToGrid w:val="0"/>
        <w:spacing w:before="50"/>
        <w:jc w:val="left"/>
        <w:rPr>
          <w:rFonts w:hint="eastAsia" w:ascii="宋体" w:hAnsi="宋体" w:cs="宋体"/>
          <w:color w:val="auto"/>
          <w:sz w:val="24"/>
          <w:highlight w:val="none"/>
        </w:rPr>
      </w:pPr>
    </w:p>
    <w:p w14:paraId="16750063">
      <w:pPr>
        <w:pStyle w:val="20"/>
        <w:spacing w:line="440" w:lineRule="exact"/>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u w:val="single"/>
          <w:lang w:val="en-US" w:eastAsia="zh-CN"/>
        </w:rPr>
        <w:t>/</w:t>
      </w:r>
      <w:r>
        <w:rPr>
          <w:rFonts w:hint="eastAsia" w:hAnsi="宋体" w:cs="宋体"/>
          <w:color w:val="auto"/>
          <w:highlight w:val="none"/>
          <w:u w:val="single"/>
        </w:rPr>
        <w:t xml:space="preserve">  </w:t>
      </w:r>
      <w:r>
        <w:rPr>
          <w:rFonts w:hint="eastAsia" w:hAnsi="宋体" w:cs="宋体"/>
          <w:color w:val="auto"/>
          <w:highlight w:val="none"/>
        </w:rPr>
        <w:t>分标</w:t>
      </w:r>
    </w:p>
    <w:p w14:paraId="665BA61B">
      <w:pPr>
        <w:snapToGrid w:val="0"/>
        <w:spacing w:before="50" w:line="440" w:lineRule="exact"/>
        <w:jc w:val="left"/>
        <w:rPr>
          <w:rFonts w:hint="eastAsia" w:ascii="宋体" w:hAnsi="宋体" w:cs="宋体"/>
          <w:color w:val="auto"/>
          <w:szCs w:val="21"/>
          <w:highlight w:val="none"/>
          <w:u w:val="single"/>
        </w:rPr>
      </w:pPr>
    </w:p>
    <w:tbl>
      <w:tblPr>
        <w:tblStyle w:val="39"/>
        <w:tblW w:w="0" w:type="auto"/>
        <w:tblInd w:w="9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3"/>
        <w:gridCol w:w="2776"/>
        <w:gridCol w:w="1760"/>
        <w:gridCol w:w="2853"/>
      </w:tblGrid>
      <w:tr w14:paraId="56420A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853" w:type="dxa"/>
            <w:tcBorders>
              <w:top w:val="single" w:color="auto" w:sz="4" w:space="0"/>
              <w:left w:val="single" w:color="auto" w:sz="4" w:space="0"/>
              <w:bottom w:val="single" w:color="auto" w:sz="4" w:space="0"/>
              <w:right w:val="single" w:color="auto" w:sz="4" w:space="0"/>
            </w:tcBorders>
            <w:noWrap w:val="0"/>
            <w:vAlign w:val="top"/>
          </w:tcPr>
          <w:p w14:paraId="5D938AA8">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03381859">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1D1F2E39">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投标人的承诺</w:t>
            </w:r>
          </w:p>
        </w:tc>
        <w:tc>
          <w:tcPr>
            <w:tcW w:w="2853" w:type="dxa"/>
            <w:tcBorders>
              <w:top w:val="single" w:color="auto" w:sz="4" w:space="0"/>
              <w:left w:val="single" w:color="auto" w:sz="4" w:space="0"/>
              <w:bottom w:val="single" w:color="auto" w:sz="4" w:space="0"/>
              <w:right w:val="single" w:color="auto" w:sz="4" w:space="0"/>
            </w:tcBorders>
            <w:noWrap w:val="0"/>
            <w:vAlign w:val="top"/>
          </w:tcPr>
          <w:p w14:paraId="1495C1ED">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2485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853" w:type="dxa"/>
            <w:tcBorders>
              <w:top w:val="single" w:color="auto" w:sz="4" w:space="0"/>
              <w:left w:val="single" w:color="auto" w:sz="4" w:space="0"/>
              <w:bottom w:val="single" w:color="auto" w:sz="4" w:space="0"/>
              <w:right w:val="single" w:color="auto" w:sz="4" w:space="0"/>
            </w:tcBorders>
            <w:noWrap w:val="0"/>
            <w:vAlign w:val="center"/>
          </w:tcPr>
          <w:p w14:paraId="2A423485">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7E47AEC2">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29E3BFE4">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7BA4EF59">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p>
        </w:tc>
      </w:tr>
      <w:tr w14:paraId="311632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853" w:type="dxa"/>
            <w:tcBorders>
              <w:top w:val="single" w:color="auto" w:sz="4" w:space="0"/>
              <w:left w:val="single" w:color="auto" w:sz="4" w:space="0"/>
              <w:bottom w:val="single" w:color="auto" w:sz="4" w:space="0"/>
              <w:right w:val="single" w:color="auto" w:sz="4" w:space="0"/>
            </w:tcBorders>
            <w:noWrap w:val="0"/>
            <w:vAlign w:val="center"/>
          </w:tcPr>
          <w:p w14:paraId="1A52706A">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7ACF067F">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3FB9D1C4">
            <w:pPr>
              <w:keepNext w:val="0"/>
              <w:keepLines w:val="0"/>
              <w:suppressLineNumbers w:val="0"/>
              <w:snapToGrid w:val="0"/>
              <w:spacing w:before="120" w:beforeLines="50" w:beforeAutospacing="0" w:after="0" w:afterAutospacing="0" w:line="440" w:lineRule="exact"/>
              <w:ind w:left="43" w:right="0"/>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13416E87">
            <w:pPr>
              <w:keepNext w:val="0"/>
              <w:keepLines w:val="0"/>
              <w:suppressLineNumbers w:val="0"/>
              <w:snapToGrid w:val="0"/>
              <w:spacing w:before="120" w:beforeLines="50" w:beforeAutospacing="0" w:after="0" w:afterAutospacing="0" w:line="440" w:lineRule="exact"/>
              <w:ind w:left="43" w:right="0"/>
              <w:jc w:val="center"/>
              <w:rPr>
                <w:rFonts w:hint="eastAsia" w:ascii="宋体" w:hAnsi="宋体" w:cs="宋体"/>
                <w:color w:val="auto"/>
                <w:szCs w:val="21"/>
                <w:highlight w:val="none"/>
              </w:rPr>
            </w:pPr>
          </w:p>
        </w:tc>
      </w:tr>
      <w:tr w14:paraId="2D2483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3" w:type="dxa"/>
            <w:tcBorders>
              <w:top w:val="single" w:color="auto" w:sz="4" w:space="0"/>
              <w:left w:val="single" w:color="auto" w:sz="4" w:space="0"/>
              <w:bottom w:val="single" w:color="auto" w:sz="4" w:space="0"/>
              <w:right w:val="single" w:color="auto" w:sz="4" w:space="0"/>
            </w:tcBorders>
            <w:noWrap w:val="0"/>
            <w:vAlign w:val="top"/>
          </w:tcPr>
          <w:p w14:paraId="5F52BD36">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46BF3D2E">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45E2E948">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3BB34431">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p>
        </w:tc>
      </w:tr>
    </w:tbl>
    <w:p w14:paraId="421F12EB">
      <w:pPr>
        <w:pStyle w:val="14"/>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65DBB6BE">
      <w:pPr>
        <w:pStyle w:val="16"/>
        <w:keepNext w:val="0"/>
        <w:keepLines w:val="0"/>
        <w:pageBreakBefore w:val="0"/>
        <w:widowControl w:val="0"/>
        <w:kinsoku/>
        <w:wordWrap/>
        <w:overflowPunct/>
        <w:topLinePunct w:val="0"/>
        <w:autoSpaceDE/>
        <w:autoSpaceDN/>
        <w:bidi w:val="0"/>
        <w:adjustRightInd/>
        <w:spacing w:line="400" w:lineRule="exact"/>
        <w:ind w:firstLine="0"/>
        <w:textAlignment w:val="auto"/>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采购需求”中的商务要求逐条作明确的投标响应，并作出偏离说明。</w:t>
      </w:r>
    </w:p>
    <w:p w14:paraId="6BF9010B">
      <w:pPr>
        <w:pStyle w:val="14"/>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负偏离”或者“无偏离”。既不属于“正偏离”也不属于“负偏离”即为“无偏离”。</w:t>
      </w:r>
    </w:p>
    <w:p w14:paraId="2A3E683B">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zCs w:val="21"/>
          <w:highlight w:val="none"/>
        </w:rPr>
      </w:pPr>
    </w:p>
    <w:p w14:paraId="5C091812">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zCs w:val="21"/>
          <w:highlight w:val="none"/>
        </w:rPr>
      </w:pPr>
    </w:p>
    <w:p w14:paraId="3297F2FF">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59EEBD50">
      <w:pPr>
        <w:keepNext w:val="0"/>
        <w:keepLines w:val="0"/>
        <w:pageBreakBefore w:val="0"/>
        <w:widowControl w:val="0"/>
        <w:kinsoku/>
        <w:wordWrap/>
        <w:overflowPunct/>
        <w:topLinePunct w:val="0"/>
        <w:autoSpaceDE/>
        <w:autoSpaceDN/>
        <w:bidi w:val="0"/>
        <w:adjustRightInd/>
        <w:snapToGrid w:val="0"/>
        <w:spacing w:before="120" w:beforeLines="50" w:line="400" w:lineRule="exact"/>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1290D0A4">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right="920"/>
        <w:textAlignment w:val="auto"/>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1B9F20A">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p>
    <w:p w14:paraId="71D2BC6B">
      <w:pPr>
        <w:snapToGrid w:val="0"/>
        <w:spacing w:before="120" w:beforeLines="50" w:line="440" w:lineRule="exact"/>
        <w:rPr>
          <w:rFonts w:hint="eastAsia" w:ascii="宋体" w:hAnsi="宋体" w:cs="宋体"/>
          <w:color w:val="auto"/>
          <w:szCs w:val="21"/>
          <w:highlight w:val="none"/>
        </w:rPr>
      </w:pPr>
    </w:p>
    <w:p w14:paraId="1D1F02FF">
      <w:pPr>
        <w:snapToGrid w:val="0"/>
        <w:spacing w:before="120" w:beforeLines="50"/>
        <w:rPr>
          <w:rFonts w:hint="eastAsia" w:ascii="宋体" w:hAnsi="宋体" w:cs="宋体"/>
          <w:color w:val="auto"/>
          <w:sz w:val="24"/>
          <w:szCs w:val="20"/>
          <w:highlight w:val="none"/>
        </w:rPr>
      </w:pPr>
    </w:p>
    <w:p w14:paraId="5DD2AD09">
      <w:pPr>
        <w:snapToGrid w:val="0"/>
        <w:spacing w:before="120" w:beforeLines="50" w:after="50"/>
        <w:jc w:val="left"/>
        <w:rPr>
          <w:rFonts w:hint="eastAsia" w:ascii="宋体" w:hAnsi="宋体" w:cs="宋体"/>
          <w:color w:val="auto"/>
          <w:sz w:val="24"/>
          <w:szCs w:val="20"/>
          <w:highlight w:val="none"/>
        </w:rPr>
        <w:sectPr>
          <w:footerReference r:id="rId13" w:type="first"/>
          <w:headerReference r:id="rId10" w:type="default"/>
          <w:footerReference r:id="rId11" w:type="default"/>
          <w:footerReference r:id="rId12" w:type="even"/>
          <w:pgSz w:w="11906" w:h="16838"/>
          <w:pgMar w:top="1134" w:right="1247" w:bottom="1134" w:left="1417" w:header="850" w:footer="850" w:gutter="0"/>
          <w:pgNumType w:fmt="decimal"/>
          <w:cols w:space="720" w:num="1"/>
          <w:titlePg/>
          <w:docGrid w:linePitch="312" w:charSpace="0"/>
        </w:sectPr>
      </w:pPr>
    </w:p>
    <w:p w14:paraId="13CE4262">
      <w:pPr>
        <w:snapToGrid w:val="0"/>
        <w:spacing w:before="165"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t>6.投标人业绩证明材料</w:t>
      </w:r>
    </w:p>
    <w:p w14:paraId="40513794">
      <w:pPr>
        <w:pStyle w:val="29"/>
        <w:snapToGrid w:val="0"/>
        <w:ind w:left="480" w:hanging="480"/>
        <w:rPr>
          <w:rFonts w:hint="eastAsia" w:ascii="宋体" w:hAnsi="宋体" w:cs="宋体"/>
          <w:color w:val="auto"/>
          <w:sz w:val="24"/>
          <w:highlight w:val="none"/>
        </w:rPr>
      </w:pPr>
    </w:p>
    <w:p w14:paraId="0B663D39">
      <w:pPr>
        <w:pStyle w:val="29"/>
        <w:snapToGrid w:val="0"/>
        <w:spacing w:line="440" w:lineRule="exact"/>
        <w:ind w:left="600" w:hanging="600"/>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投标人业绩情况一览表格式 </w:t>
      </w:r>
    </w:p>
    <w:tbl>
      <w:tblPr>
        <w:tblStyle w:val="3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65"/>
        <w:gridCol w:w="1963"/>
        <w:gridCol w:w="1963"/>
        <w:gridCol w:w="3167"/>
      </w:tblGrid>
      <w:tr w14:paraId="5EF3EB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16E2E14F">
            <w:pPr>
              <w:keepNext w:val="0"/>
              <w:keepLines w:val="0"/>
              <w:suppressLineNumbers w:val="0"/>
              <w:snapToGrid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66F6382C">
            <w:pPr>
              <w:keepNext w:val="0"/>
              <w:keepLines w:val="0"/>
              <w:suppressLineNumbers w:val="0"/>
              <w:snapToGrid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2F9ADBE9">
            <w:pPr>
              <w:keepNext w:val="0"/>
              <w:keepLines w:val="0"/>
              <w:suppressLineNumbers w:val="0"/>
              <w:snapToGrid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合同金额</w:t>
            </w:r>
          </w:p>
          <w:p w14:paraId="1F3D11A6">
            <w:pPr>
              <w:keepNext w:val="0"/>
              <w:keepLines w:val="0"/>
              <w:suppressLineNumbers w:val="0"/>
              <w:snapToGrid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435D5C00">
            <w:pPr>
              <w:keepNext w:val="0"/>
              <w:keepLines w:val="0"/>
              <w:suppressLineNumbers w:val="0"/>
              <w:snapToGrid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采购人联系人及</w:t>
            </w:r>
          </w:p>
          <w:p w14:paraId="5751F64E">
            <w:pPr>
              <w:keepNext w:val="0"/>
              <w:keepLines w:val="0"/>
              <w:suppressLineNumbers w:val="0"/>
              <w:snapToGrid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r>
      <w:tr w14:paraId="376EE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noWrap w:val="0"/>
            <w:vAlign w:val="center"/>
          </w:tcPr>
          <w:p w14:paraId="7CB4B912">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6748652D">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7A96E543">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674" w:type="pct"/>
            <w:vMerge w:val="continue"/>
            <w:tcBorders>
              <w:top w:val="single" w:color="auto" w:sz="4" w:space="0"/>
              <w:left w:val="single" w:color="auto" w:sz="4" w:space="0"/>
              <w:bottom w:val="single" w:color="auto" w:sz="4" w:space="0"/>
              <w:right w:val="single" w:color="auto" w:sz="4" w:space="0"/>
            </w:tcBorders>
            <w:noWrap w:val="0"/>
            <w:vAlign w:val="center"/>
          </w:tcPr>
          <w:p w14:paraId="15E33D1E">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r>
      <w:tr w14:paraId="6B9991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0FF312BA">
            <w:pPr>
              <w:keepNext w:val="0"/>
              <w:keepLines w:val="0"/>
              <w:suppressLineNumbers w:val="0"/>
              <w:snapToGrid w:val="0"/>
              <w:spacing w:before="0" w:beforeAutospacing="0" w:after="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C61BFBA">
            <w:pPr>
              <w:keepNext w:val="0"/>
              <w:keepLines w:val="0"/>
              <w:suppressLineNumbers w:val="0"/>
              <w:snapToGrid w:val="0"/>
              <w:spacing w:before="0" w:beforeAutospacing="0" w:after="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7754472">
            <w:pPr>
              <w:keepNext w:val="0"/>
              <w:keepLines w:val="0"/>
              <w:suppressLineNumbers w:val="0"/>
              <w:snapToGrid w:val="0"/>
              <w:spacing w:before="0" w:beforeAutospacing="0" w:after="0" w:afterAutospacing="0" w:line="440" w:lineRule="exact"/>
              <w:ind w:left="0" w:right="0"/>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1A5E0DC">
            <w:pPr>
              <w:keepNext w:val="0"/>
              <w:keepLines w:val="0"/>
              <w:suppressLineNumbers w:val="0"/>
              <w:snapToGrid w:val="0"/>
              <w:spacing w:before="0" w:beforeAutospacing="0" w:after="0" w:afterAutospacing="0" w:line="440" w:lineRule="exact"/>
              <w:ind w:left="0" w:right="0"/>
              <w:jc w:val="left"/>
              <w:rPr>
                <w:rFonts w:hint="eastAsia" w:ascii="宋体" w:hAnsi="宋体" w:cs="宋体"/>
                <w:color w:val="auto"/>
                <w:szCs w:val="21"/>
                <w:highlight w:val="none"/>
              </w:rPr>
            </w:pPr>
          </w:p>
        </w:tc>
      </w:tr>
      <w:tr w14:paraId="48E06D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31678064">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FB5FC81">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F09ACC7">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74CCB28A">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r>
      <w:tr w14:paraId="2125EC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40A5929C">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D2E2E1D">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3725E67">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16560E95">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r>
      <w:tr w14:paraId="7B473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2631F5BD">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17A1C1F">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CE22957">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0C766BB">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r>
      <w:tr w14:paraId="58840F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58DE756E">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0F35826">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034D220">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69ECFAB">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r>
    </w:tbl>
    <w:p w14:paraId="3D0EF2AD">
      <w:pPr>
        <w:pStyle w:val="10"/>
        <w:spacing w:before="0" w:after="0" w:line="440" w:lineRule="exact"/>
        <w:contextualSpacing/>
        <w:rPr>
          <w:rFonts w:hint="eastAsia" w:ascii="宋体" w:hAnsi="宋体" w:eastAsia="宋体" w:cs="宋体"/>
          <w:color w:val="auto"/>
          <w:sz w:val="21"/>
          <w:szCs w:val="21"/>
          <w:highlight w:val="none"/>
        </w:rPr>
      </w:pPr>
    </w:p>
    <w:p w14:paraId="2F8FA294">
      <w:pPr>
        <w:pStyle w:val="10"/>
        <w:spacing w:before="0" w:after="0" w:line="440" w:lineRule="exact"/>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注：投标人根据评标标准具体要求附业绩证明材料。</w:t>
      </w:r>
    </w:p>
    <w:p w14:paraId="683EEE15">
      <w:pPr>
        <w:pStyle w:val="10"/>
        <w:spacing w:before="0" w:after="0" w:line="440" w:lineRule="exact"/>
        <w:contextualSpacing/>
        <w:jc w:val="left"/>
        <w:rPr>
          <w:rFonts w:hint="eastAsia" w:ascii="宋体" w:hAnsi="宋体" w:eastAsia="宋体" w:cs="宋体"/>
          <w:color w:val="auto"/>
          <w:sz w:val="21"/>
          <w:szCs w:val="21"/>
          <w:highlight w:val="none"/>
        </w:rPr>
      </w:pPr>
    </w:p>
    <w:p w14:paraId="167F7899">
      <w:pPr>
        <w:pStyle w:val="10"/>
        <w:spacing w:before="0" w:after="0" w:line="440" w:lineRule="exact"/>
        <w:contextualSpacing/>
        <w:jc w:val="left"/>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法定代表人或者委托代理人（签字或者电子签名）：</w:t>
      </w:r>
      <w:r>
        <w:rPr>
          <w:rFonts w:hint="eastAsia" w:ascii="宋体" w:hAnsi="宋体" w:eastAsia="宋体" w:cs="宋体"/>
          <w:color w:val="auto"/>
          <w:sz w:val="21"/>
          <w:szCs w:val="21"/>
          <w:highlight w:val="none"/>
          <w:u w:val="single"/>
        </w:rPr>
        <w:t xml:space="preserve">             </w:t>
      </w:r>
    </w:p>
    <w:p w14:paraId="6478A9BB">
      <w:pPr>
        <w:spacing w:line="440" w:lineRule="exact"/>
        <w:ind w:right="480"/>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投标人名称（电子签章）： </w:t>
      </w:r>
      <w:r>
        <w:rPr>
          <w:rFonts w:hint="eastAsia" w:ascii="宋体" w:hAnsi="宋体" w:cs="宋体"/>
          <w:color w:val="auto"/>
          <w:szCs w:val="21"/>
          <w:highlight w:val="none"/>
          <w:u w:val="single"/>
        </w:rPr>
        <w:t xml:space="preserve">                </w:t>
      </w:r>
    </w:p>
    <w:p w14:paraId="6AA163FB">
      <w:pPr>
        <w:snapToGrid w:val="0"/>
        <w:spacing w:before="165" w:beforeLines="50" w:after="50"/>
        <w:ind w:right="84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951C56A">
      <w:pPr>
        <w:snapToGrid w:val="0"/>
        <w:spacing w:before="165" w:beforeLines="50" w:after="50"/>
        <w:jc w:val="left"/>
        <w:rPr>
          <w:rFonts w:hint="eastAsia"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rPr>
        <w:t xml:space="preserve">（二）技术文件封面格式： </w:t>
      </w:r>
    </w:p>
    <w:p w14:paraId="61DF42D4">
      <w:pPr>
        <w:snapToGrid w:val="0"/>
        <w:spacing w:before="165"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756064F6">
      <w:pPr>
        <w:snapToGrid w:val="0"/>
        <w:spacing w:before="165"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DD162BA">
      <w:pPr>
        <w:rPr>
          <w:rFonts w:hint="eastAsia" w:ascii="宋体" w:hAnsi="宋体" w:cs="宋体"/>
          <w:color w:val="auto"/>
          <w:sz w:val="24"/>
          <w:highlight w:val="none"/>
        </w:rPr>
      </w:pPr>
    </w:p>
    <w:p w14:paraId="2E04F1F1">
      <w:pPr>
        <w:rPr>
          <w:rFonts w:hint="eastAsia"/>
          <w:color w:val="auto"/>
          <w:highlight w:val="none"/>
        </w:rPr>
      </w:pPr>
    </w:p>
    <w:p w14:paraId="203138E6">
      <w:pPr>
        <w:snapToGrid w:val="0"/>
        <w:spacing w:before="165"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技术文件</w:t>
      </w:r>
    </w:p>
    <w:p w14:paraId="29CF6A31">
      <w:pPr>
        <w:rPr>
          <w:rFonts w:hint="eastAsia" w:ascii="宋体" w:hAnsi="宋体" w:cs="宋体"/>
          <w:b/>
          <w:color w:val="auto"/>
          <w:sz w:val="32"/>
          <w:szCs w:val="32"/>
          <w:highlight w:val="none"/>
        </w:rPr>
      </w:pPr>
    </w:p>
    <w:p w14:paraId="051A3379">
      <w:pPr>
        <w:rPr>
          <w:rFonts w:hint="eastAsia"/>
          <w:color w:val="auto"/>
          <w:highlight w:val="none"/>
        </w:rPr>
      </w:pPr>
    </w:p>
    <w:p w14:paraId="2D00226F">
      <w:pPr>
        <w:snapToGrid w:val="0"/>
        <w:spacing w:before="165" w:beforeLines="50" w:after="50"/>
        <w:rPr>
          <w:rFonts w:hint="eastAsia" w:ascii="宋体" w:hAnsi="宋体" w:cs="宋体"/>
          <w:bCs/>
          <w:color w:val="auto"/>
          <w:sz w:val="24"/>
          <w:szCs w:val="20"/>
          <w:highlight w:val="none"/>
        </w:rPr>
      </w:pPr>
    </w:p>
    <w:p w14:paraId="7CCA3472">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7C090EA1">
      <w:pPr>
        <w:snapToGrid w:val="0"/>
        <w:spacing w:before="165" w:beforeLines="50" w:after="50"/>
        <w:ind w:firstLine="540" w:firstLineChars="225"/>
        <w:rPr>
          <w:rFonts w:hint="eastAsia" w:ascii="宋体" w:hAnsi="宋体" w:cs="宋体"/>
          <w:bCs/>
          <w:color w:val="auto"/>
          <w:sz w:val="24"/>
          <w:szCs w:val="20"/>
          <w:highlight w:val="none"/>
        </w:rPr>
      </w:pPr>
    </w:p>
    <w:p w14:paraId="2C530978">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122E2E1F">
      <w:pPr>
        <w:snapToGrid w:val="0"/>
        <w:spacing w:before="165"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1F3A0C56">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1EDAD674">
      <w:pPr>
        <w:snapToGrid w:val="0"/>
        <w:spacing w:before="165" w:beforeLines="50" w:after="50"/>
        <w:ind w:firstLine="540" w:firstLineChars="225"/>
        <w:rPr>
          <w:rFonts w:hint="eastAsia" w:ascii="宋体" w:hAnsi="宋体" w:cs="宋体"/>
          <w:bCs/>
          <w:color w:val="auto"/>
          <w:sz w:val="24"/>
          <w:szCs w:val="20"/>
          <w:highlight w:val="none"/>
        </w:rPr>
      </w:pPr>
    </w:p>
    <w:p w14:paraId="13C94DE7">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29B74424">
      <w:pPr>
        <w:pStyle w:val="9"/>
        <w:snapToGrid w:val="0"/>
        <w:spacing w:before="50" w:after="50"/>
        <w:ind w:firstLine="540" w:firstLineChars="225"/>
        <w:rPr>
          <w:rFonts w:hint="eastAsia" w:ascii="宋体" w:hAnsi="宋体" w:cs="宋体"/>
          <w:bCs/>
          <w:color w:val="auto"/>
          <w:sz w:val="24"/>
          <w:szCs w:val="24"/>
          <w:highlight w:val="none"/>
        </w:rPr>
      </w:pPr>
    </w:p>
    <w:p w14:paraId="781F1461">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0131E0B5">
      <w:pPr>
        <w:pStyle w:val="9"/>
        <w:snapToGrid w:val="0"/>
        <w:spacing w:before="50" w:after="50"/>
        <w:ind w:firstLine="960" w:firstLineChars="400"/>
        <w:rPr>
          <w:rFonts w:hint="eastAsia" w:ascii="宋体" w:hAnsi="宋体" w:cs="宋体"/>
          <w:bCs/>
          <w:color w:val="auto"/>
          <w:sz w:val="24"/>
          <w:szCs w:val="24"/>
          <w:highlight w:val="none"/>
        </w:rPr>
      </w:pPr>
    </w:p>
    <w:p w14:paraId="11DF8CDB">
      <w:pPr>
        <w:snapToGrid w:val="0"/>
        <w:spacing w:before="165"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6708AEA6">
      <w:pPr>
        <w:snapToGrid w:val="0"/>
        <w:spacing w:before="165"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0679DBE8">
      <w:pPr>
        <w:snapToGrid w:val="0"/>
        <w:spacing w:line="360" w:lineRule="auto"/>
        <w:ind w:firstLine="120" w:firstLineChars="50"/>
        <w:jc w:val="center"/>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cs="宋体"/>
          <w:b/>
          <w:bCs/>
          <w:color w:val="auto"/>
          <w:sz w:val="28"/>
          <w:szCs w:val="28"/>
          <w:highlight w:val="none"/>
        </w:rPr>
        <w:t>商务及技术文件目录</w:t>
      </w:r>
    </w:p>
    <w:p w14:paraId="2390DACF">
      <w:pPr>
        <w:snapToGrid w:val="0"/>
        <w:spacing w:before="50" w:after="165"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66C131F1">
      <w:pPr>
        <w:snapToGrid w:val="0"/>
        <w:spacing w:before="165" w:beforeLines="50" w:after="50"/>
        <w:ind w:left="142"/>
        <w:jc w:val="left"/>
        <w:rPr>
          <w:rFonts w:hint="eastAsia"/>
          <w:b/>
          <w:color w:val="auto"/>
          <w:highlight w:val="none"/>
        </w:rPr>
      </w:pPr>
      <w:r>
        <w:rPr>
          <w:color w:val="auto"/>
          <w:highlight w:val="none"/>
        </w:rPr>
        <w:br w:type="page"/>
      </w:r>
      <w:r>
        <w:rPr>
          <w:rFonts w:hint="eastAsia" w:ascii="宋体" w:hAnsi="宋体" w:cs="宋体"/>
          <w:b/>
          <w:color w:val="auto"/>
          <w:sz w:val="24"/>
          <w:highlight w:val="none"/>
        </w:rPr>
        <w:t>1.技术要求偏离表格式</w:t>
      </w:r>
    </w:p>
    <w:p w14:paraId="5634C565">
      <w:pPr>
        <w:snapToGrid w:val="0"/>
        <w:spacing w:before="165" w:beforeLines="50" w:after="50"/>
        <w:ind w:left="142"/>
        <w:jc w:val="left"/>
        <w:rPr>
          <w:rFonts w:hint="eastAsia" w:ascii="宋体" w:hAnsi="宋体" w:cs="宋体"/>
          <w:b/>
          <w:color w:val="auto"/>
          <w:sz w:val="24"/>
          <w:highlight w:val="none"/>
        </w:rPr>
      </w:pPr>
    </w:p>
    <w:p w14:paraId="7AD94E6C">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技术要求偏离表</w:t>
      </w:r>
    </w:p>
    <w:p w14:paraId="32380750">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39"/>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143"/>
        <w:gridCol w:w="1834"/>
        <w:gridCol w:w="2181"/>
        <w:gridCol w:w="2084"/>
      </w:tblGrid>
      <w:tr w14:paraId="4F4F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25" w:type="dxa"/>
            <w:noWrap w:val="0"/>
            <w:vAlign w:val="center"/>
          </w:tcPr>
          <w:p w14:paraId="3206FB8D">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r>
              <w:rPr>
                <w:rFonts w:hint="eastAsia" w:hAnsi="宋体" w:cs="宋体"/>
                <w:color w:val="auto"/>
                <w:highlight w:val="none"/>
              </w:rPr>
              <w:t>项号</w:t>
            </w:r>
          </w:p>
        </w:tc>
        <w:tc>
          <w:tcPr>
            <w:tcW w:w="2143" w:type="dxa"/>
            <w:noWrap w:val="0"/>
            <w:vAlign w:val="center"/>
          </w:tcPr>
          <w:p w14:paraId="4B3B4A7C">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r>
              <w:rPr>
                <w:rFonts w:hint="eastAsia" w:hAnsi="宋体" w:cs="宋体"/>
                <w:color w:val="auto"/>
                <w:highlight w:val="none"/>
              </w:rPr>
              <w:t>标的名称</w:t>
            </w:r>
          </w:p>
        </w:tc>
        <w:tc>
          <w:tcPr>
            <w:tcW w:w="1834" w:type="dxa"/>
            <w:noWrap w:val="0"/>
            <w:vAlign w:val="center"/>
          </w:tcPr>
          <w:p w14:paraId="76C4549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r>
              <w:rPr>
                <w:rFonts w:hint="eastAsia" w:hAnsi="宋体" w:cs="宋体"/>
                <w:color w:val="auto"/>
                <w:highlight w:val="none"/>
              </w:rPr>
              <w:t>项目要求及技术需求</w:t>
            </w:r>
          </w:p>
        </w:tc>
        <w:tc>
          <w:tcPr>
            <w:tcW w:w="2181" w:type="dxa"/>
            <w:noWrap w:val="0"/>
            <w:vAlign w:val="center"/>
          </w:tcPr>
          <w:p w14:paraId="3A2A0E5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r>
              <w:rPr>
                <w:rFonts w:hint="eastAsia" w:hAnsi="宋体" w:cs="宋体"/>
                <w:color w:val="auto"/>
                <w:highlight w:val="none"/>
              </w:rPr>
              <w:t>投标响应</w:t>
            </w:r>
          </w:p>
        </w:tc>
        <w:tc>
          <w:tcPr>
            <w:tcW w:w="2084" w:type="dxa"/>
            <w:noWrap w:val="0"/>
            <w:vAlign w:val="center"/>
          </w:tcPr>
          <w:p w14:paraId="3D254EC6">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r>
              <w:rPr>
                <w:rFonts w:hint="eastAsia" w:hAnsi="宋体" w:cs="宋体"/>
                <w:color w:val="auto"/>
                <w:highlight w:val="none"/>
              </w:rPr>
              <w:t>偏离说明</w:t>
            </w:r>
          </w:p>
        </w:tc>
      </w:tr>
      <w:tr w14:paraId="012A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44B2E5D2">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p>
        </w:tc>
        <w:tc>
          <w:tcPr>
            <w:tcW w:w="2143" w:type="dxa"/>
            <w:noWrap w:val="0"/>
            <w:vAlign w:val="center"/>
          </w:tcPr>
          <w:p w14:paraId="7E8E2BCA">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p>
        </w:tc>
        <w:tc>
          <w:tcPr>
            <w:tcW w:w="1834" w:type="dxa"/>
            <w:noWrap w:val="0"/>
            <w:vAlign w:val="center"/>
          </w:tcPr>
          <w:p w14:paraId="5481EB43">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p>
        </w:tc>
        <w:tc>
          <w:tcPr>
            <w:tcW w:w="2181" w:type="dxa"/>
            <w:noWrap w:val="0"/>
            <w:vAlign w:val="center"/>
          </w:tcPr>
          <w:p w14:paraId="09326B0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p>
        </w:tc>
        <w:tc>
          <w:tcPr>
            <w:tcW w:w="2084" w:type="dxa"/>
            <w:noWrap w:val="0"/>
            <w:vAlign w:val="center"/>
          </w:tcPr>
          <w:p w14:paraId="648771F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p>
        </w:tc>
      </w:tr>
      <w:tr w14:paraId="555D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10ACF3F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43" w:type="dxa"/>
            <w:noWrap w:val="0"/>
            <w:vAlign w:val="top"/>
          </w:tcPr>
          <w:p w14:paraId="3B143124">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1834" w:type="dxa"/>
            <w:noWrap w:val="0"/>
            <w:vAlign w:val="top"/>
          </w:tcPr>
          <w:p w14:paraId="7C2363F3">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81" w:type="dxa"/>
            <w:noWrap w:val="0"/>
            <w:vAlign w:val="top"/>
          </w:tcPr>
          <w:p w14:paraId="08C21DBC">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084" w:type="dxa"/>
            <w:noWrap w:val="0"/>
            <w:vAlign w:val="top"/>
          </w:tcPr>
          <w:p w14:paraId="0B82C91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r>
      <w:tr w14:paraId="53EB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92D8EC1">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43" w:type="dxa"/>
            <w:noWrap w:val="0"/>
            <w:vAlign w:val="top"/>
          </w:tcPr>
          <w:p w14:paraId="02652D0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1834" w:type="dxa"/>
            <w:noWrap w:val="0"/>
            <w:vAlign w:val="top"/>
          </w:tcPr>
          <w:p w14:paraId="6248E461">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81" w:type="dxa"/>
            <w:noWrap w:val="0"/>
            <w:vAlign w:val="top"/>
          </w:tcPr>
          <w:p w14:paraId="4065E583">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084" w:type="dxa"/>
            <w:noWrap w:val="0"/>
            <w:vAlign w:val="top"/>
          </w:tcPr>
          <w:p w14:paraId="7716B6E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r>
      <w:tr w14:paraId="3E72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536714AD">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43" w:type="dxa"/>
            <w:noWrap w:val="0"/>
            <w:vAlign w:val="top"/>
          </w:tcPr>
          <w:p w14:paraId="492EF9F2">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1834" w:type="dxa"/>
            <w:noWrap w:val="0"/>
            <w:vAlign w:val="top"/>
          </w:tcPr>
          <w:p w14:paraId="576FD1BA">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81" w:type="dxa"/>
            <w:noWrap w:val="0"/>
            <w:vAlign w:val="top"/>
          </w:tcPr>
          <w:p w14:paraId="606F0124">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084" w:type="dxa"/>
            <w:noWrap w:val="0"/>
            <w:vAlign w:val="top"/>
          </w:tcPr>
          <w:p w14:paraId="4233E3A9">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r>
      <w:tr w14:paraId="3CB3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14748BC">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43" w:type="dxa"/>
            <w:noWrap w:val="0"/>
            <w:vAlign w:val="top"/>
          </w:tcPr>
          <w:p w14:paraId="5B61D52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1834" w:type="dxa"/>
            <w:noWrap w:val="0"/>
            <w:vAlign w:val="top"/>
          </w:tcPr>
          <w:p w14:paraId="15130A33">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81" w:type="dxa"/>
            <w:noWrap w:val="0"/>
            <w:vAlign w:val="top"/>
          </w:tcPr>
          <w:p w14:paraId="49E774CD">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084" w:type="dxa"/>
            <w:noWrap w:val="0"/>
            <w:vAlign w:val="top"/>
          </w:tcPr>
          <w:p w14:paraId="5002C29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r>
      <w:tr w14:paraId="7ABD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06B39AC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43" w:type="dxa"/>
            <w:noWrap w:val="0"/>
            <w:vAlign w:val="top"/>
          </w:tcPr>
          <w:p w14:paraId="6D226B91">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1834" w:type="dxa"/>
            <w:noWrap w:val="0"/>
            <w:vAlign w:val="top"/>
          </w:tcPr>
          <w:p w14:paraId="44D3A221">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81" w:type="dxa"/>
            <w:noWrap w:val="0"/>
            <w:vAlign w:val="top"/>
          </w:tcPr>
          <w:p w14:paraId="6DF3AD72">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084" w:type="dxa"/>
            <w:noWrap w:val="0"/>
            <w:vAlign w:val="top"/>
          </w:tcPr>
          <w:p w14:paraId="69FCB783">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r>
      <w:tr w14:paraId="66B0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68084198">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43" w:type="dxa"/>
            <w:noWrap w:val="0"/>
            <w:vAlign w:val="top"/>
          </w:tcPr>
          <w:p w14:paraId="2B548D10">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1834" w:type="dxa"/>
            <w:noWrap w:val="0"/>
            <w:vAlign w:val="top"/>
          </w:tcPr>
          <w:p w14:paraId="3B2EA757">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81" w:type="dxa"/>
            <w:noWrap w:val="0"/>
            <w:vAlign w:val="top"/>
          </w:tcPr>
          <w:p w14:paraId="486DA6A0">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084" w:type="dxa"/>
            <w:noWrap w:val="0"/>
            <w:vAlign w:val="top"/>
          </w:tcPr>
          <w:p w14:paraId="466E61A6">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r>
    </w:tbl>
    <w:p w14:paraId="00B53EA3">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52FF2B02">
      <w:pPr>
        <w:pStyle w:val="16"/>
        <w:keepNext w:val="0"/>
        <w:keepLines w:val="0"/>
        <w:pageBreakBefore w:val="0"/>
        <w:widowControl w:val="0"/>
        <w:kinsoku/>
        <w:wordWrap/>
        <w:overflowPunct/>
        <w:topLinePunct w:val="0"/>
        <w:autoSpaceDE/>
        <w:autoSpaceDN/>
        <w:bidi w:val="0"/>
        <w:adjustRightInd/>
        <w:snapToGrid/>
        <w:spacing w:line="400" w:lineRule="exact"/>
        <w:ind w:firstLine="0"/>
        <w:contextualSpacing/>
        <w:textAlignment w:val="auto"/>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采购需求”中的项目要求及技术需求逐条作明确的投标响应，并作出偏离说明。</w:t>
      </w:r>
    </w:p>
    <w:p w14:paraId="01ADBF4A">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负偏离”或者“无偏离”。既不属于“正偏离”也不属于“负偏离”即为“无偏离”。</w:t>
      </w:r>
    </w:p>
    <w:p w14:paraId="77FBAA84">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 w:val="21"/>
          <w:szCs w:val="21"/>
          <w:highlight w:val="none"/>
        </w:rPr>
      </w:pPr>
    </w:p>
    <w:p w14:paraId="2F79D84E">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4C3DB92B">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5A492B4E">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252C763A">
      <w:pPr>
        <w:spacing w:line="360" w:lineRule="auto"/>
        <w:contextualSpacing/>
        <w:rPr>
          <w:rFonts w:hint="eastAsia" w:ascii="宋体" w:hAnsi="宋体" w:cs="宋体"/>
          <w:color w:val="auto"/>
          <w:sz w:val="24"/>
          <w:szCs w:val="20"/>
          <w:highlight w:val="none"/>
        </w:rPr>
      </w:pPr>
    </w:p>
    <w:p w14:paraId="6EDD8D10">
      <w:pPr>
        <w:snapToGrid w:val="0"/>
        <w:spacing w:before="165"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2.项目实施人员一览表格式</w:t>
      </w:r>
    </w:p>
    <w:p w14:paraId="662E8E49">
      <w:pPr>
        <w:snapToGrid w:val="0"/>
        <w:spacing w:before="165" w:beforeLines="50" w:after="50"/>
        <w:ind w:left="142"/>
        <w:jc w:val="left"/>
        <w:rPr>
          <w:rFonts w:hint="eastAsia" w:ascii="宋体" w:hAnsi="宋体" w:cs="宋体"/>
          <w:b/>
          <w:color w:val="auto"/>
          <w:sz w:val="24"/>
          <w:highlight w:val="none"/>
        </w:rPr>
      </w:pPr>
    </w:p>
    <w:p w14:paraId="4AED0100">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项目实施人员一览表</w:t>
      </w:r>
    </w:p>
    <w:p w14:paraId="1757B4B0">
      <w:pPr>
        <w:pStyle w:val="20"/>
        <w:keepNext w:val="0"/>
        <w:keepLines w:val="0"/>
        <w:pageBreakBefore w:val="0"/>
        <w:widowControl w:val="0"/>
        <w:kinsoku/>
        <w:overflowPunct/>
        <w:topLinePunct w:val="0"/>
        <w:autoSpaceDE/>
        <w:autoSpaceDN/>
        <w:bidi w:val="0"/>
        <w:adjustRightInd/>
        <w:spacing w:line="400" w:lineRule="exact"/>
        <w:textAlignment w:val="auto"/>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777"/>
        <w:gridCol w:w="1865"/>
        <w:gridCol w:w="1557"/>
        <w:gridCol w:w="1862"/>
        <w:gridCol w:w="2406"/>
      </w:tblGrid>
      <w:tr w14:paraId="363D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896" w:type="dxa"/>
            <w:noWrap w:val="0"/>
            <w:vAlign w:val="center"/>
          </w:tcPr>
          <w:p w14:paraId="66EB4263">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777" w:type="dxa"/>
            <w:noWrap w:val="0"/>
            <w:vAlign w:val="center"/>
          </w:tcPr>
          <w:p w14:paraId="5123C7A3">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865" w:type="dxa"/>
            <w:noWrap w:val="0"/>
            <w:vAlign w:val="center"/>
          </w:tcPr>
          <w:p w14:paraId="2D00BA30">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1557" w:type="dxa"/>
            <w:noWrap w:val="0"/>
            <w:vAlign w:val="center"/>
          </w:tcPr>
          <w:p w14:paraId="7B8EAE93">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证书编号</w:t>
            </w:r>
          </w:p>
        </w:tc>
        <w:tc>
          <w:tcPr>
            <w:tcW w:w="1862" w:type="dxa"/>
            <w:noWrap w:val="0"/>
            <w:vAlign w:val="center"/>
          </w:tcPr>
          <w:p w14:paraId="6C646B7F">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参加本单位</w:t>
            </w:r>
          </w:p>
          <w:p w14:paraId="1880511F">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工作时间</w:t>
            </w:r>
          </w:p>
        </w:tc>
        <w:tc>
          <w:tcPr>
            <w:tcW w:w="2406" w:type="dxa"/>
            <w:noWrap w:val="0"/>
            <w:vAlign w:val="center"/>
          </w:tcPr>
          <w:p w14:paraId="53A6C2B8">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劳动合同编号</w:t>
            </w:r>
          </w:p>
        </w:tc>
      </w:tr>
      <w:tr w14:paraId="1EFB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42F07578">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777" w:type="dxa"/>
            <w:noWrap w:val="0"/>
            <w:vAlign w:val="center"/>
          </w:tcPr>
          <w:p w14:paraId="3412E8B5">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865" w:type="dxa"/>
            <w:noWrap w:val="0"/>
            <w:vAlign w:val="center"/>
          </w:tcPr>
          <w:p w14:paraId="11DB162F">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557" w:type="dxa"/>
            <w:noWrap w:val="0"/>
            <w:vAlign w:val="center"/>
          </w:tcPr>
          <w:p w14:paraId="13982AA5">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862" w:type="dxa"/>
            <w:noWrap w:val="0"/>
            <w:vAlign w:val="center"/>
          </w:tcPr>
          <w:p w14:paraId="756EBD87">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2406" w:type="dxa"/>
            <w:noWrap w:val="0"/>
            <w:vAlign w:val="center"/>
          </w:tcPr>
          <w:p w14:paraId="3BBD8BDE">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r>
      <w:tr w14:paraId="2000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18E20D41">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777" w:type="dxa"/>
            <w:noWrap w:val="0"/>
            <w:vAlign w:val="center"/>
          </w:tcPr>
          <w:p w14:paraId="602818D0">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865" w:type="dxa"/>
            <w:noWrap w:val="0"/>
            <w:vAlign w:val="center"/>
          </w:tcPr>
          <w:p w14:paraId="47F9BFDB">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557" w:type="dxa"/>
            <w:noWrap w:val="0"/>
            <w:vAlign w:val="center"/>
          </w:tcPr>
          <w:p w14:paraId="1D16B4F0">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862" w:type="dxa"/>
            <w:noWrap w:val="0"/>
            <w:vAlign w:val="center"/>
          </w:tcPr>
          <w:p w14:paraId="16007FAC">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2406" w:type="dxa"/>
            <w:noWrap w:val="0"/>
            <w:vAlign w:val="center"/>
          </w:tcPr>
          <w:p w14:paraId="204ED34B">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r>
      <w:tr w14:paraId="4E7C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6" w:type="dxa"/>
            <w:noWrap w:val="0"/>
            <w:vAlign w:val="center"/>
          </w:tcPr>
          <w:p w14:paraId="0DD7A795">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777" w:type="dxa"/>
            <w:noWrap w:val="0"/>
            <w:vAlign w:val="center"/>
          </w:tcPr>
          <w:p w14:paraId="6CEA69F1">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865" w:type="dxa"/>
            <w:noWrap w:val="0"/>
            <w:vAlign w:val="center"/>
          </w:tcPr>
          <w:p w14:paraId="74088F4F">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557" w:type="dxa"/>
            <w:noWrap w:val="0"/>
            <w:vAlign w:val="center"/>
          </w:tcPr>
          <w:p w14:paraId="065F643A">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862" w:type="dxa"/>
            <w:noWrap w:val="0"/>
            <w:vAlign w:val="center"/>
          </w:tcPr>
          <w:p w14:paraId="2351968A">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2406" w:type="dxa"/>
            <w:noWrap w:val="0"/>
            <w:vAlign w:val="center"/>
          </w:tcPr>
          <w:p w14:paraId="02156EDA">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r>
    </w:tbl>
    <w:p w14:paraId="67A83B00">
      <w:pPr>
        <w:keepNext w:val="0"/>
        <w:keepLines w:val="0"/>
        <w:pageBreakBefore w:val="0"/>
        <w:widowControl w:val="0"/>
        <w:kinsoku/>
        <w:overflowPunct/>
        <w:topLinePunct w:val="0"/>
        <w:autoSpaceDE/>
        <w:autoSpaceDN/>
        <w:bidi w:val="0"/>
        <w:adjustRightInd/>
        <w:snapToGrid w:val="0"/>
        <w:spacing w:before="50" w:after="165" w:afterLines="50" w:line="400" w:lineRule="exact"/>
        <w:jc w:val="left"/>
        <w:textAlignment w:val="auto"/>
        <w:rPr>
          <w:rFonts w:hint="eastAsia" w:ascii="宋体" w:hAnsi="宋体" w:cs="宋体"/>
          <w:color w:val="auto"/>
          <w:szCs w:val="21"/>
          <w:highlight w:val="none"/>
        </w:rPr>
      </w:pPr>
    </w:p>
    <w:p w14:paraId="7BEA73CC">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注：</w:t>
      </w:r>
    </w:p>
    <w:p w14:paraId="50A3CA2C">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1.在填写时，如本表格不适合投标单位的实际情况，可根据本表格式自行制表填写。</w:t>
      </w:r>
    </w:p>
    <w:p w14:paraId="5FF95469">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2.投标人应当附本表所列证书的复印件并加盖投标人电子签章。</w:t>
      </w:r>
    </w:p>
    <w:p w14:paraId="66A93E6F">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p>
    <w:p w14:paraId="47483E81">
      <w:pPr>
        <w:keepNext w:val="0"/>
        <w:keepLines w:val="0"/>
        <w:pageBreakBefore w:val="0"/>
        <w:widowControl w:val="0"/>
        <w:kinsoku/>
        <w:wordWrap w:val="0"/>
        <w:overflowPunct/>
        <w:topLinePunct w:val="0"/>
        <w:autoSpaceDE/>
        <w:autoSpaceDN/>
        <w:bidi w:val="0"/>
        <w:adjustRightIn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1C1BB69C">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77BF2A96">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32544F6">
      <w:pPr>
        <w:spacing w:line="360" w:lineRule="auto"/>
        <w:contextualSpacing/>
        <w:jc w:val="left"/>
        <w:rPr>
          <w:rFonts w:hint="eastAsia" w:ascii="宋体" w:hAnsi="宋体" w:cs="宋体"/>
          <w:color w:val="auto"/>
          <w:sz w:val="24"/>
          <w:szCs w:val="20"/>
          <w:highlight w:val="none"/>
        </w:rPr>
      </w:pPr>
    </w:p>
    <w:p w14:paraId="6B9D96DC">
      <w:pPr>
        <w:snapToGrid w:val="0"/>
        <w:spacing w:before="50" w:after="165" w:afterLines="50"/>
        <w:jc w:val="left"/>
        <w:rPr>
          <w:rFonts w:hint="eastAsia" w:ascii="宋体" w:hAnsi="宋体" w:cs="宋体"/>
          <w:color w:val="auto"/>
          <w:sz w:val="24"/>
          <w:szCs w:val="20"/>
          <w:highlight w:val="none"/>
        </w:rPr>
      </w:pPr>
    </w:p>
    <w:p w14:paraId="2C49BA73">
      <w:pPr>
        <w:snapToGrid w:val="0"/>
        <w:spacing w:before="165" w:beforeLines="50" w:after="50"/>
        <w:jc w:val="left"/>
        <w:rPr>
          <w:rFonts w:hint="eastAsia" w:ascii="宋体" w:hAnsi="宋体" w:cs="宋体"/>
          <w:color w:val="auto"/>
          <w:sz w:val="24"/>
          <w:szCs w:val="20"/>
          <w:highlight w:val="none"/>
        </w:rPr>
      </w:pPr>
    </w:p>
    <w:p w14:paraId="125124CB">
      <w:pPr>
        <w:snapToGrid w:val="0"/>
        <w:spacing w:before="50" w:after="165" w:afterLines="50"/>
        <w:jc w:val="left"/>
        <w:rPr>
          <w:rFonts w:hint="eastAsia" w:ascii="宋体" w:hAnsi="宋体" w:cs="宋体"/>
          <w:color w:val="auto"/>
          <w:sz w:val="24"/>
          <w:szCs w:val="20"/>
          <w:highlight w:val="none"/>
        </w:rPr>
      </w:pPr>
    </w:p>
    <w:p w14:paraId="747A339A">
      <w:pPr>
        <w:rPr>
          <w:rFonts w:hint="eastAsia" w:ascii="宋体" w:hAnsi="宋体" w:cs="宋体"/>
          <w:b/>
          <w:color w:val="auto"/>
          <w:sz w:val="28"/>
          <w:szCs w:val="28"/>
          <w:highlight w:val="none"/>
        </w:rPr>
      </w:pPr>
      <w:r>
        <w:rPr>
          <w:rFonts w:hint="eastAsia" w:ascii="宋体" w:hAnsi="宋体" w:cs="宋体"/>
          <w:b/>
          <w:bCs/>
          <w:color w:val="auto"/>
          <w:sz w:val="24"/>
          <w:highlight w:val="none"/>
        </w:rPr>
        <w:br w:type="page"/>
      </w:r>
      <w:bookmarkStart w:id="204" w:name="_Toc19686840"/>
      <w:r>
        <w:rPr>
          <w:rFonts w:hint="eastAsia" w:ascii="宋体" w:hAnsi="宋体" w:cs="宋体"/>
          <w:b/>
          <w:color w:val="auto"/>
          <w:sz w:val="28"/>
          <w:szCs w:val="28"/>
          <w:highlight w:val="none"/>
        </w:rPr>
        <w:t>四、其他文书、文件格式</w:t>
      </w:r>
      <w:bookmarkEnd w:id="204"/>
    </w:p>
    <w:p w14:paraId="4207C766">
      <w:pPr>
        <w:spacing w:line="360" w:lineRule="auto"/>
        <w:jc w:val="left"/>
        <w:rPr>
          <w:rFonts w:hint="eastAsia" w:ascii="宋体" w:hAnsi="宋体" w:cs="宋体"/>
          <w:b/>
          <w:bCs/>
          <w:color w:val="auto"/>
          <w:sz w:val="32"/>
          <w:szCs w:val="32"/>
          <w:highlight w:val="none"/>
        </w:rPr>
      </w:pPr>
      <w:r>
        <w:rPr>
          <w:rFonts w:hint="eastAsia" w:ascii="宋体" w:hAnsi="宋体" w:cs="宋体"/>
          <w:b/>
          <w:color w:val="auto"/>
          <w:sz w:val="24"/>
          <w:highlight w:val="none"/>
        </w:rPr>
        <w:t>1.质疑函（格式）</w:t>
      </w:r>
    </w:p>
    <w:p w14:paraId="0B4DF9E3">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质疑函（格式）</w:t>
      </w:r>
    </w:p>
    <w:p w14:paraId="4BA09869">
      <w:pPr>
        <w:pStyle w:val="20"/>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一、质疑供应商基本信息：</w:t>
      </w:r>
    </w:p>
    <w:p w14:paraId="1DC6AA5F">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质疑供应商：</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25DFD27D">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4F98CE6D">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5BB7552A">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授权代表：</w:t>
      </w:r>
      <w:r>
        <w:rPr>
          <w:rFonts w:hint="eastAsia" w:hAnsi="宋体" w:cs="宋体"/>
          <w:bCs/>
          <w:color w:val="auto"/>
          <w:highlight w:val="none"/>
          <w:u w:val="single"/>
        </w:rPr>
        <w:t xml:space="preserve">                      </w:t>
      </w:r>
    </w:p>
    <w:p w14:paraId="6D97DB55">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6428C268">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3FC27B27">
      <w:pPr>
        <w:pStyle w:val="20"/>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二、质疑项目基本情况：</w:t>
      </w:r>
    </w:p>
    <w:p w14:paraId="72587282">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项目的名称：</w:t>
      </w:r>
      <w:r>
        <w:rPr>
          <w:rFonts w:hint="eastAsia" w:hAnsi="宋体" w:cs="宋体"/>
          <w:bCs/>
          <w:color w:val="auto"/>
          <w:highlight w:val="none"/>
          <w:u w:val="single"/>
        </w:rPr>
        <w:t xml:space="preserve">                                     </w:t>
      </w:r>
    </w:p>
    <w:p w14:paraId="6D5135A0">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项目的编号：</w:t>
      </w:r>
      <w:r>
        <w:rPr>
          <w:rFonts w:hint="eastAsia" w:hAnsi="宋体" w:cs="宋体"/>
          <w:bCs/>
          <w:color w:val="auto"/>
          <w:highlight w:val="none"/>
          <w:u w:val="single"/>
        </w:rPr>
        <w:t xml:space="preserve">                                     </w:t>
      </w:r>
    </w:p>
    <w:p w14:paraId="0F1EE06D">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103F9CE9">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w:t>
      </w:r>
    </w:p>
    <w:p w14:paraId="72BF04C7">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r>
        <w:rPr>
          <w:rFonts w:hint="eastAsia" w:hAnsi="宋体" w:cs="宋体"/>
          <w:color w:val="auto"/>
          <w:highlight w:val="none"/>
        </w:rPr>
        <w:t>□招标文件   招标文件获取日期：</w:t>
      </w:r>
      <w:r>
        <w:rPr>
          <w:rFonts w:hint="eastAsia" w:hAnsi="宋体" w:cs="宋体"/>
          <w:bCs/>
          <w:color w:val="auto"/>
          <w:highlight w:val="none"/>
          <w:u w:val="single"/>
        </w:rPr>
        <w:t xml:space="preserve">                                   </w:t>
      </w:r>
    </w:p>
    <w:p w14:paraId="29C6EAFF">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r>
        <w:rPr>
          <w:rFonts w:hint="eastAsia" w:hAnsi="宋体" w:cs="宋体"/>
          <w:color w:val="auto"/>
          <w:highlight w:val="none"/>
        </w:rPr>
        <w:t xml:space="preserve">□招标过程   </w:t>
      </w:r>
    </w:p>
    <w:p w14:paraId="4E3C8128">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bCs/>
          <w:color w:val="auto"/>
          <w:highlight w:val="none"/>
          <w:u w:val="single"/>
        </w:rPr>
      </w:pPr>
      <w:r>
        <w:rPr>
          <w:rFonts w:hint="eastAsia" w:hAnsi="宋体" w:cs="宋体"/>
          <w:color w:val="auto"/>
          <w:highlight w:val="none"/>
        </w:rPr>
        <w:t xml:space="preserve">□招标结果   </w:t>
      </w:r>
    </w:p>
    <w:p w14:paraId="1E08B4E1">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三、质疑事项具体内容</w:t>
      </w:r>
    </w:p>
    <w:p w14:paraId="6D6D0D52">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质疑事项1：</w:t>
      </w:r>
      <w:r>
        <w:rPr>
          <w:rFonts w:hint="eastAsia" w:hAnsi="宋体" w:cs="宋体"/>
          <w:bCs/>
          <w:color w:val="auto"/>
          <w:highlight w:val="none"/>
          <w:u w:val="single"/>
        </w:rPr>
        <w:t xml:space="preserve">                                                                    </w:t>
      </w:r>
    </w:p>
    <w:p w14:paraId="7F07CC9B">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事实依据：</w:t>
      </w:r>
      <w:r>
        <w:rPr>
          <w:rFonts w:hint="eastAsia" w:hAnsi="宋体" w:cs="宋体"/>
          <w:bCs/>
          <w:color w:val="auto"/>
          <w:highlight w:val="none"/>
          <w:u w:val="single"/>
        </w:rPr>
        <w:t xml:space="preserve">                                                                      </w:t>
      </w:r>
    </w:p>
    <w:p w14:paraId="79FBDEDA">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法律依据：</w:t>
      </w:r>
      <w:r>
        <w:rPr>
          <w:rFonts w:hint="eastAsia" w:hAnsi="宋体" w:cs="宋体"/>
          <w:color w:val="auto"/>
          <w:highlight w:val="none"/>
          <w:u w:val="single"/>
        </w:rPr>
        <w:t xml:space="preserve">                                                        </w:t>
      </w:r>
      <w:r>
        <w:rPr>
          <w:rFonts w:hint="eastAsia" w:hAnsi="宋体" w:cs="宋体"/>
          <w:bCs/>
          <w:color w:val="auto"/>
          <w:highlight w:val="none"/>
          <w:u w:val="single"/>
        </w:rPr>
        <w:t xml:space="preserve">               </w:t>
      </w:r>
    </w:p>
    <w:p w14:paraId="419FCBA8">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质疑事项2</w:t>
      </w:r>
    </w:p>
    <w:p w14:paraId="6C02E5C0">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w:t>
      </w:r>
    </w:p>
    <w:p w14:paraId="30C02C5D">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四、与质疑事项相关的质疑请求：</w:t>
      </w:r>
    </w:p>
    <w:p w14:paraId="427AC90E">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2C3017FB">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67C47256">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签字（签章）：                                       公章：</w:t>
      </w:r>
    </w:p>
    <w:p w14:paraId="158EBB2D">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日期：</w:t>
      </w:r>
    </w:p>
    <w:p w14:paraId="33D0B082">
      <w:pPr>
        <w:pStyle w:val="20"/>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hAnsi="宋体" w:cs="宋体"/>
          <w:b/>
          <w:color w:val="auto"/>
          <w:highlight w:val="none"/>
        </w:rPr>
      </w:pPr>
      <w:r>
        <w:rPr>
          <w:rFonts w:hint="eastAsia" w:hAnsi="宋体" w:cs="宋体"/>
          <w:b/>
          <w:color w:val="auto"/>
          <w:highlight w:val="none"/>
        </w:rPr>
        <w:t>说明：</w:t>
      </w:r>
    </w:p>
    <w:p w14:paraId="27F9DAB7">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bCs/>
          <w:color w:val="auto"/>
          <w:highlight w:val="none"/>
        </w:rPr>
      </w:pPr>
      <w:r>
        <w:rPr>
          <w:rFonts w:hint="eastAsia" w:hAnsi="宋体" w:cs="宋体"/>
          <w:b/>
          <w:color w:val="auto"/>
          <w:highlight w:val="none"/>
        </w:rPr>
        <w:t>1.供应商提出质疑时，应提交质疑函和必要的证明材料</w:t>
      </w:r>
      <w:r>
        <w:rPr>
          <w:rFonts w:hint="eastAsia" w:hAnsi="宋体" w:cs="宋体"/>
          <w:b/>
          <w:bCs/>
          <w:color w:val="auto"/>
          <w:highlight w:val="none"/>
        </w:rPr>
        <w:t>。</w:t>
      </w:r>
    </w:p>
    <w:p w14:paraId="2426D233">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1A37B20">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3.质疑函的质疑事项应具体、明确，并有必要的事实依据和法律依据。</w:t>
      </w:r>
    </w:p>
    <w:p w14:paraId="68C1E97A">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4.质疑函的质疑请求应与质疑事项相关。</w:t>
      </w:r>
    </w:p>
    <w:p w14:paraId="1EAB15DD">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5.质疑供应商为法人或者其他组织的，质疑函应由法定代表人、主要负责人，或者其授权代表签字或者盖章，并加盖公章。</w:t>
      </w:r>
    </w:p>
    <w:p w14:paraId="311E3529">
      <w:pPr>
        <w:spacing w:line="460" w:lineRule="exact"/>
        <w:rPr>
          <w:rFonts w:hint="eastAsia" w:ascii="宋体" w:hAnsi="宋体" w:cs="宋体"/>
          <w:color w:val="auto"/>
          <w:sz w:val="44"/>
          <w:highlight w:val="none"/>
        </w:rPr>
      </w:pPr>
    </w:p>
    <w:p w14:paraId="449D9F4E">
      <w:pPr>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2.投诉书（格式）</w:t>
      </w:r>
    </w:p>
    <w:p w14:paraId="3AE1F825">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投诉书（格式）</w:t>
      </w:r>
    </w:p>
    <w:p w14:paraId="0A849579">
      <w:pPr>
        <w:pStyle w:val="20"/>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一、投诉相关主体基本情况：</w:t>
      </w:r>
    </w:p>
    <w:p w14:paraId="1B16A8D8">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投标人：</w:t>
      </w:r>
      <w:r>
        <w:rPr>
          <w:rFonts w:hint="eastAsia" w:hAnsi="宋体" w:cs="宋体"/>
          <w:bCs/>
          <w:color w:val="auto"/>
          <w:highlight w:val="none"/>
          <w:u w:val="single"/>
        </w:rPr>
        <w:t xml:space="preserve">                                                                        </w:t>
      </w:r>
    </w:p>
    <w:p w14:paraId="22DF0941">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2E4930A1">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法定代表人/主要负责人：</w:t>
      </w:r>
      <w:r>
        <w:rPr>
          <w:rFonts w:hint="eastAsia" w:hAnsi="宋体" w:cs="宋体"/>
          <w:bCs/>
          <w:color w:val="auto"/>
          <w:highlight w:val="none"/>
          <w:u w:val="single"/>
        </w:rPr>
        <w:t xml:space="preserve">                                                         </w:t>
      </w:r>
    </w:p>
    <w:p w14:paraId="46D1F16F">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17A27070">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授权代表：</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0086BB3F">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12E6C8B6">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38A6C3E9">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被投诉人1：</w:t>
      </w:r>
    </w:p>
    <w:p w14:paraId="5089C4E5">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04A636F9">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0A1C0290">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02A91D29">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被投诉人2：</w:t>
      </w:r>
    </w:p>
    <w:p w14:paraId="384C7FF7">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w:t>
      </w:r>
    </w:p>
    <w:p w14:paraId="529FDBFA">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相关供应商：</w:t>
      </w:r>
      <w:r>
        <w:rPr>
          <w:rFonts w:hint="eastAsia" w:hAnsi="宋体" w:cs="宋体"/>
          <w:bCs/>
          <w:color w:val="auto"/>
          <w:highlight w:val="none"/>
          <w:u w:val="single"/>
        </w:rPr>
        <w:t xml:space="preserve">                                                                       </w:t>
      </w:r>
    </w:p>
    <w:p w14:paraId="0690F734">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7FB891EF">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3158B56E">
      <w:pPr>
        <w:pStyle w:val="20"/>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二、投诉项目基本情况：</w:t>
      </w:r>
    </w:p>
    <w:p w14:paraId="4D578A66">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招标项目的名称：</w:t>
      </w:r>
      <w:r>
        <w:rPr>
          <w:rFonts w:hint="eastAsia" w:hAnsi="宋体" w:cs="宋体"/>
          <w:bCs/>
          <w:color w:val="auto"/>
          <w:highlight w:val="none"/>
          <w:u w:val="single"/>
        </w:rPr>
        <w:t xml:space="preserve">                                                                   </w:t>
      </w:r>
    </w:p>
    <w:p w14:paraId="79A43194">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招标项目的编号：</w:t>
      </w:r>
      <w:r>
        <w:rPr>
          <w:rFonts w:hint="eastAsia" w:hAnsi="宋体" w:cs="宋体"/>
          <w:bCs/>
          <w:color w:val="auto"/>
          <w:highlight w:val="none"/>
          <w:u w:val="single"/>
        </w:rPr>
        <w:t xml:space="preserve">                                          </w:t>
      </w:r>
    </w:p>
    <w:p w14:paraId="26705416">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1BA5D08A">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代理机构名称：</w:t>
      </w:r>
      <w:r>
        <w:rPr>
          <w:rFonts w:hint="eastAsia" w:hAnsi="宋体" w:cs="宋体"/>
          <w:bCs/>
          <w:color w:val="auto"/>
          <w:highlight w:val="none"/>
          <w:u w:val="single"/>
        </w:rPr>
        <w:t xml:space="preserve">                                                                      </w:t>
      </w:r>
    </w:p>
    <w:p w14:paraId="1D5404BC">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招标</w:t>
      </w:r>
      <w:r>
        <w:rPr>
          <w:rFonts w:hint="eastAsia" w:hAnsi="宋体" w:cs="宋体"/>
          <w:bCs/>
          <w:color w:val="auto"/>
          <w:highlight w:val="none"/>
        </w:rPr>
        <w:t>文件公告：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300DCFDC">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
          <w:color w:val="auto"/>
          <w:highlight w:val="none"/>
        </w:rPr>
      </w:pPr>
      <w:r>
        <w:rPr>
          <w:rFonts w:hint="eastAsia" w:hAnsi="宋体" w:cs="宋体"/>
          <w:color w:val="auto"/>
          <w:highlight w:val="none"/>
        </w:rPr>
        <w:t>招标</w:t>
      </w:r>
      <w:r>
        <w:rPr>
          <w:rFonts w:hint="eastAsia" w:hAnsi="宋体" w:cs="宋体"/>
          <w:bCs/>
          <w:color w:val="auto"/>
          <w:highlight w:val="none"/>
        </w:rPr>
        <w:t>结果公告：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72720D15">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三、质疑基本情况</w:t>
      </w:r>
    </w:p>
    <w:p w14:paraId="77C3D238">
      <w:pPr>
        <w:pStyle w:val="20"/>
        <w:keepNext w:val="0"/>
        <w:keepLines w:val="0"/>
        <w:pageBreakBefore w:val="0"/>
        <w:widowControl w:val="0"/>
        <w:kinsoku/>
        <w:wordWrap/>
        <w:overflowPunct/>
        <w:topLinePunct w:val="0"/>
        <w:autoSpaceDE/>
        <w:autoSpaceDN/>
        <w:bidi w:val="0"/>
        <w:adjustRightInd/>
        <w:spacing w:line="400" w:lineRule="exact"/>
        <w:ind w:left="25" w:leftChars="12" w:firstLine="420" w:firstLineChars="200"/>
        <w:textAlignment w:val="auto"/>
        <w:rPr>
          <w:rFonts w:hint="eastAsia" w:hAnsi="宋体" w:cs="宋体"/>
          <w:color w:val="auto"/>
          <w:highlight w:val="none"/>
        </w:rPr>
      </w:pPr>
      <w:r>
        <w:rPr>
          <w:rFonts w:hint="eastAsia" w:hAnsi="宋体" w:cs="宋体"/>
          <w:color w:val="auto"/>
          <w:highlight w:val="none"/>
        </w:rPr>
        <w:t>投诉人于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日，向</w:t>
      </w:r>
      <w:r>
        <w:rPr>
          <w:rFonts w:hint="eastAsia" w:hAnsi="宋体" w:cs="宋体"/>
          <w:color w:val="auto"/>
          <w:highlight w:val="none"/>
          <w:u w:val="single"/>
        </w:rPr>
        <w:t xml:space="preserve">                                </w:t>
      </w:r>
      <w:r>
        <w:rPr>
          <w:rFonts w:hint="eastAsia" w:hAnsi="宋体" w:cs="宋体"/>
          <w:color w:val="auto"/>
          <w:highlight w:val="none"/>
        </w:rPr>
        <w:t>提出质疑，质疑事项为：</w:t>
      </w:r>
    </w:p>
    <w:p w14:paraId="32208AA5">
      <w:pPr>
        <w:pStyle w:val="20"/>
        <w:keepNext w:val="0"/>
        <w:keepLines w:val="0"/>
        <w:pageBreakBefore w:val="0"/>
        <w:widowControl w:val="0"/>
        <w:kinsoku/>
        <w:wordWrap/>
        <w:overflowPunct/>
        <w:topLinePunct w:val="0"/>
        <w:autoSpaceDE/>
        <w:autoSpaceDN/>
        <w:bidi w:val="0"/>
        <w:adjustRightInd/>
        <w:spacing w:line="400" w:lineRule="exact"/>
        <w:ind w:firstLine="241"/>
        <w:textAlignment w:val="auto"/>
        <w:rPr>
          <w:rFonts w:hint="eastAsia" w:hAnsi="宋体" w:cs="宋体"/>
          <w:bCs/>
          <w:color w:val="auto"/>
          <w:highlight w:val="none"/>
          <w:u w:val="single"/>
        </w:rPr>
      </w:pPr>
      <w:r>
        <w:rPr>
          <w:rFonts w:hint="eastAsia" w:hAnsi="宋体" w:cs="宋体"/>
          <w:color w:val="auto"/>
          <w:highlight w:val="none"/>
        </w:rPr>
        <w:t xml:space="preserve">    </w:t>
      </w:r>
      <w:r>
        <w:rPr>
          <w:rFonts w:hint="eastAsia" w:hAnsi="宋体" w:cs="宋体"/>
          <w:bCs/>
          <w:color w:val="auto"/>
          <w:highlight w:val="none"/>
          <w:u w:val="single"/>
        </w:rPr>
        <w:t xml:space="preserve">                                                                                      </w:t>
      </w:r>
    </w:p>
    <w:p w14:paraId="4FA16891">
      <w:pPr>
        <w:pStyle w:val="20"/>
        <w:keepNext w:val="0"/>
        <w:keepLines w:val="0"/>
        <w:pageBreakBefore w:val="0"/>
        <w:widowControl w:val="0"/>
        <w:kinsoku/>
        <w:wordWrap/>
        <w:overflowPunct/>
        <w:topLinePunct w:val="0"/>
        <w:autoSpaceDE/>
        <w:autoSpaceDN/>
        <w:bidi w:val="0"/>
        <w:adjustRightInd/>
        <w:spacing w:line="400" w:lineRule="exact"/>
        <w:ind w:firstLine="241"/>
        <w:textAlignment w:val="auto"/>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49DEE282">
      <w:pPr>
        <w:pStyle w:val="20"/>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color w:val="auto"/>
          <w:highlight w:val="none"/>
        </w:rPr>
      </w:pPr>
      <w:r>
        <w:rPr>
          <w:rFonts w:hint="eastAsia" w:hAnsi="宋体" w:cs="宋体"/>
          <w:bCs/>
          <w:color w:val="auto"/>
          <w:highlight w:val="none"/>
          <w:u w:val="single"/>
        </w:rPr>
        <w:t>采购人/代理机构</w:t>
      </w:r>
      <w:r>
        <w:rPr>
          <w:rFonts w:hint="eastAsia" w:hAnsi="宋体" w:cs="宋体"/>
          <w:bCs/>
          <w:color w:val="auto"/>
          <w:highlight w:val="none"/>
        </w:rPr>
        <w:t>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r>
        <w:rPr>
          <w:rFonts w:hint="eastAsia" w:hAnsi="宋体" w:cs="宋体"/>
          <w:bCs/>
          <w:color w:val="auto"/>
          <w:highlight w:val="none"/>
        </w:rPr>
        <w:t xml:space="preserve">就质疑事项作出了答复/没有在法定期限内作出答复。                                                                                             </w:t>
      </w:r>
    </w:p>
    <w:p w14:paraId="148CBB38">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四、投诉事项具体内容</w:t>
      </w:r>
    </w:p>
    <w:p w14:paraId="4088F7B2">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投诉事项1：</w:t>
      </w:r>
      <w:r>
        <w:rPr>
          <w:rFonts w:hint="eastAsia" w:hAnsi="宋体" w:cs="宋体"/>
          <w:bCs/>
          <w:color w:val="auto"/>
          <w:highlight w:val="none"/>
          <w:u w:val="single"/>
        </w:rPr>
        <w:t xml:space="preserve">                                                                           </w:t>
      </w:r>
    </w:p>
    <w:p w14:paraId="485D81F6">
      <w:pPr>
        <w:pStyle w:val="20"/>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事实依据：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6392275E">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u w:val="single"/>
        </w:rPr>
        <w:t xml:space="preserve">                                                                                        </w:t>
      </w:r>
    </w:p>
    <w:p w14:paraId="04491D25">
      <w:pPr>
        <w:pStyle w:val="20"/>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法律依据：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74477AF5">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4D0E78F3">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rPr>
      </w:pPr>
      <w:r>
        <w:rPr>
          <w:rFonts w:hint="eastAsia" w:hAnsi="宋体" w:cs="宋体"/>
          <w:color w:val="auto"/>
          <w:highlight w:val="none"/>
        </w:rPr>
        <w:t xml:space="preserve">投诉事项2  </w:t>
      </w:r>
      <w:r>
        <w:rPr>
          <w:rFonts w:hint="eastAsia" w:hAnsi="宋体" w:cs="宋体"/>
          <w:bCs/>
          <w:color w:val="auto"/>
          <w:highlight w:val="none"/>
        </w:rPr>
        <w:t xml:space="preserve">   </w:t>
      </w:r>
    </w:p>
    <w:p w14:paraId="209D5F8C">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rPr>
      </w:pPr>
      <w:r>
        <w:rPr>
          <w:rFonts w:hint="eastAsia" w:hAnsi="宋体" w:cs="宋体"/>
          <w:bCs/>
          <w:color w:val="auto"/>
          <w:highlight w:val="none"/>
        </w:rPr>
        <w:t>……</w:t>
      </w:r>
    </w:p>
    <w:p w14:paraId="489E6CA6">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五、与投诉事项相关的投诉请求：</w:t>
      </w:r>
    </w:p>
    <w:p w14:paraId="3CA3929F">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7F7B209A">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311DAA6E">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签字（签章）：                                       公章：</w:t>
      </w:r>
    </w:p>
    <w:p w14:paraId="662340C3">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495CF58A">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日期：</w:t>
      </w:r>
    </w:p>
    <w:p w14:paraId="4626BF80">
      <w:pPr>
        <w:pStyle w:val="20"/>
        <w:keepNext w:val="0"/>
        <w:keepLines w:val="0"/>
        <w:pageBreakBefore w:val="0"/>
        <w:widowControl w:val="0"/>
        <w:kinsoku/>
        <w:wordWrap/>
        <w:overflowPunct/>
        <w:topLinePunct w:val="0"/>
        <w:autoSpaceDE/>
        <w:autoSpaceDN/>
        <w:bidi w:val="0"/>
        <w:adjustRightInd/>
        <w:spacing w:line="400" w:lineRule="exact"/>
        <w:ind w:left="25" w:leftChars="12" w:firstLine="415" w:firstLineChars="197"/>
        <w:textAlignment w:val="auto"/>
        <w:rPr>
          <w:rFonts w:hint="eastAsia" w:hAnsi="宋体" w:cs="宋体"/>
          <w:b/>
          <w:color w:val="auto"/>
          <w:highlight w:val="none"/>
        </w:rPr>
      </w:pPr>
      <w:r>
        <w:rPr>
          <w:rFonts w:hint="eastAsia" w:hAnsi="宋体" w:cs="宋体"/>
          <w:b/>
          <w:color w:val="auto"/>
          <w:highlight w:val="none"/>
        </w:rPr>
        <w:t>说明：</w:t>
      </w:r>
    </w:p>
    <w:p w14:paraId="0E016677">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bCs/>
          <w:color w:val="auto"/>
          <w:highlight w:val="none"/>
        </w:rPr>
      </w:pPr>
      <w:r>
        <w:rPr>
          <w:rFonts w:hint="eastAsia" w:hAnsi="宋体" w:cs="宋体"/>
          <w:b/>
          <w:color w:val="auto"/>
          <w:highlight w:val="none"/>
        </w:rPr>
        <w:t>1.投诉人提起投诉时，应当提交投诉书和必要的证明材料，并按照被投诉人和与投诉事项有关的供应商数量提供投诉书副本</w:t>
      </w:r>
      <w:r>
        <w:rPr>
          <w:rFonts w:hint="eastAsia" w:hAnsi="宋体" w:cs="宋体"/>
          <w:b/>
          <w:bCs/>
          <w:color w:val="auto"/>
          <w:highlight w:val="none"/>
        </w:rPr>
        <w:t>。</w:t>
      </w:r>
    </w:p>
    <w:p w14:paraId="753443FC">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A1A2656">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3.投诉书应简要列明质疑事项，质疑函、质疑答复等作为附件材料提供。</w:t>
      </w:r>
    </w:p>
    <w:p w14:paraId="3452A68D">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4.投诉书的投诉事项应具体、明确，并有必要的事实依据和法律依据。</w:t>
      </w:r>
    </w:p>
    <w:p w14:paraId="5F151053">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5.投诉书的投诉请求应与投诉事项相关。</w:t>
      </w:r>
    </w:p>
    <w:p w14:paraId="2A174881">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6.投诉人为法人或者其他组织的，投诉书应由法定代表人、主要负责人，或者其授权代表签字或者盖章，并加盖公章。</w:t>
      </w:r>
      <w:bookmarkEnd w:id="1"/>
      <w:bookmarkEnd w:id="2"/>
      <w:bookmarkEnd w:id="3"/>
      <w:bookmarkEnd w:id="4"/>
    </w:p>
    <w:p w14:paraId="71653FB0">
      <w:pPr>
        <w:rPr>
          <w:rFonts w:hint="eastAsia"/>
          <w:color w:val="auto"/>
          <w:highlight w:val="none"/>
        </w:rPr>
      </w:pPr>
    </w:p>
    <w:sectPr>
      <w:footerReference r:id="rId16" w:type="first"/>
      <w:footerReference r:id="rId14" w:type="default"/>
      <w:footerReference r:id="rId15" w:type="even"/>
      <w:pgSz w:w="11906" w:h="16838"/>
      <w:pgMar w:top="1134" w:right="1247" w:bottom="1134" w:left="1417"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2081A21-C849-4AEA-A13F-289076D4881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F0DBBEBB-73D5-4FBE-B0A2-64BE43CD9A6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7E72F8F4-DB30-4406-BB2D-E8BBC95A889B}"/>
  </w:font>
  <w:font w:name="仿宋_GB2312">
    <w:panose1 w:val="02010609030101010101"/>
    <w:charset w:val="86"/>
    <w:family w:val="auto"/>
    <w:pitch w:val="default"/>
    <w:sig w:usb0="00000001" w:usb1="080E0000" w:usb2="00000000" w:usb3="00000000" w:csb0="00040000" w:csb1="00000000"/>
    <w:embedRegular r:id="rId4" w:fontKey="{5DD0E6B6-6CDB-4735-A266-8E30D665F5E1}"/>
  </w:font>
  <w:font w:name="MingLiU">
    <w:altName w:val="PMingLiU-ExtB"/>
    <w:panose1 w:val="02010609000101010101"/>
    <w:charset w:val="88"/>
    <w:family w:val="modern"/>
    <w:pitch w:val="default"/>
    <w:sig w:usb0="00000000" w:usb1="00000000" w:usb2="00000010" w:usb3="00000000" w:csb0="00100000" w:csb1="00000000"/>
  </w:font>
  <w:font w:name="Droid Sans Japanese">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5" w:fontKey="{AA6A0859-2752-4329-887B-5DDCBBCE9B7F}"/>
  </w:font>
  <w:font w:name="Tahoma">
    <w:panose1 w:val="020B0604030504040204"/>
    <w:charset w:val="00"/>
    <w:family w:val="swiss"/>
    <w:pitch w:val="default"/>
    <w:sig w:usb0="E1002EFF" w:usb1="C000605B" w:usb2="00000029" w:usb3="00000000" w:csb0="200101FF" w:csb1="20280000"/>
  </w:font>
  <w:font w:name="方正仿宋_GBK">
    <w:altName w:val="微软雅黑"/>
    <w:panose1 w:val="02000000000000000000"/>
    <w:charset w:val="86"/>
    <w:family w:val="script"/>
    <w:pitch w:val="default"/>
    <w:sig w:usb0="00000000" w:usb1="00000000" w:usb2="00000000" w:usb3="00000000" w:csb0="00040000" w:csb1="00000000"/>
  </w:font>
  <w:font w:name="汉仪书宋二S">
    <w:altName w:val="宋体"/>
    <w:panose1 w:val="00020600040101010101"/>
    <w:charset w:val="86"/>
    <w:family w:val="auto"/>
    <w:pitch w:val="default"/>
    <w:sig w:usb0="00000000" w:usb1="00000000" w:usb2="00000016" w:usb3="00000000" w:csb0="00040000" w:csb1="00000000"/>
    <w:embedRegular r:id="rId6" w:fontKey="{04E285B3-DA35-40A2-9E15-0A8AD0BD6321}"/>
  </w:font>
  <w:font w:name="方正书宋_GBK">
    <w:altName w:val="微软雅黑"/>
    <w:panose1 w:val="02000000000000000000"/>
    <w:charset w:val="86"/>
    <w:family w:val="auto"/>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embedRegular r:id="rId7" w:fontKey="{D4EEAC88-35AF-4453-A4FD-13B4E173448C}"/>
  </w:font>
  <w:font w:name="东文宋体">
    <w:altName w:val="宋体"/>
    <w:panose1 w:val="00000000000000000000"/>
    <w:charset w:val="00"/>
    <w:family w:val="auto"/>
    <w:pitch w:val="default"/>
    <w:sig w:usb0="00000000" w:usb1="00000000" w:usb2="00000000" w:usb3="00000000" w:csb0="00040001" w:csb1="00000000"/>
    <w:embedRegular r:id="rId8" w:fontKey="{905E3B9C-DA51-447A-98D7-C22940429238}"/>
  </w:font>
  <w:font w:name="楷体">
    <w:panose1 w:val="02010609060101010101"/>
    <w:charset w:val="86"/>
    <w:family w:val="modern"/>
    <w:pitch w:val="default"/>
    <w:sig w:usb0="800002BF" w:usb1="38CF7CFA" w:usb2="00000016" w:usb3="00000000" w:csb0="00040001" w:csb1="00000000"/>
    <w:embedRegular r:id="rId9" w:fontKey="{D9C7A8ED-9BDC-4FAE-AB37-442A417B7607}"/>
  </w:font>
  <w:font w:name="MS PGothic">
    <w:panose1 w:val="020B0600070205080204"/>
    <w:charset w:val="80"/>
    <w:family w:val="auto"/>
    <w:pitch w:val="default"/>
    <w:sig w:usb0="E00002FF" w:usb1="6AC7FDFB" w:usb2="08000012" w:usb3="00000000" w:csb0="4002009F" w:csb1="DFD7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85BB1">
    <w:pPr>
      <w:pStyle w:val="25"/>
      <w:jc w:val="center"/>
    </w:pPr>
  </w:p>
  <w:p w14:paraId="0AAA02BA">
    <w:pPr>
      <w:pStyle w:val="2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97DCC">
    <w:pPr>
      <w:pStyle w:val="25"/>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5397">
                          <w:pPr>
                            <w:pStyle w:val="25"/>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FCB5397">
                    <w:pPr>
                      <w:pStyle w:val="25"/>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5C367">
    <w:pPr>
      <w:pStyle w:val="25"/>
      <w:framePr w:wrap="around" w:vAnchor="text" w:hAnchor="margin" w:xAlign="center" w:y="1"/>
      <w:rPr>
        <w:rStyle w:val="43"/>
      </w:rPr>
    </w:pPr>
    <w:r>
      <w:fldChar w:fldCharType="begin"/>
    </w:r>
    <w:r>
      <w:rPr>
        <w:rStyle w:val="43"/>
      </w:rPr>
      <w:instrText xml:space="preserve">PAGE  </w:instrText>
    </w:r>
    <w:r>
      <w:fldChar w:fldCharType="end"/>
    </w:r>
  </w:p>
  <w:p w14:paraId="7E082ECD">
    <w:pPr>
      <w:pStyle w:val="25"/>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7F432">
    <w:pPr>
      <w:pStyle w:val="25"/>
      <w:framePr w:wrap="around" w:vAnchor="text" w:hAnchor="margin" w:xAlign="right" w:y="1"/>
      <w:rPr>
        <w:rStyle w:val="43"/>
      </w:rPr>
    </w:pPr>
    <w:r>
      <w:fldChar w:fldCharType="begin"/>
    </w:r>
    <w:r>
      <w:rPr>
        <w:rStyle w:val="43"/>
      </w:rPr>
      <w:instrText xml:space="preserve">PAGE  </w:instrText>
    </w:r>
    <w:r>
      <w:fldChar w:fldCharType="separate"/>
    </w:r>
    <w:r>
      <w:rPr>
        <w:rStyle w:val="43"/>
      </w:rPr>
      <w:t>122</w:t>
    </w:r>
    <w:r>
      <w:fldChar w:fldCharType="end"/>
    </w:r>
  </w:p>
  <w:p w14:paraId="6C8A2E0A">
    <w:pPr>
      <w:pStyle w:val="25"/>
      <w:ind w:right="360"/>
      <w:jc w:val="both"/>
      <w:rPr>
        <w:rFonts w:hint="eastAsia"/>
      </w:rPr>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1E3DB">
    <w:pPr>
      <w:pStyle w:val="25"/>
      <w:framePr w:wrap="around" w:vAnchor="text" w:hAnchor="margin" w:xAlign="center" w:y="1"/>
      <w:rPr>
        <w:rStyle w:val="43"/>
      </w:rPr>
    </w:pPr>
    <w:r>
      <w:fldChar w:fldCharType="begin"/>
    </w:r>
    <w:r>
      <w:rPr>
        <w:rStyle w:val="43"/>
      </w:rPr>
      <w:instrText xml:space="preserve">PAGE  </w:instrText>
    </w:r>
    <w:r>
      <w:fldChar w:fldCharType="end"/>
    </w:r>
  </w:p>
  <w:p w14:paraId="73E53B3F">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CBD19">
    <w:pPr>
      <w:pStyle w:val="25"/>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93010">
    <w:pPr>
      <w:pStyle w:val="25"/>
      <w:jc w:val="center"/>
    </w:pPr>
  </w:p>
  <w:p w14:paraId="2A752551">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617D9">
    <w:pPr>
      <w:pStyle w:val="25"/>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3A30B">
                          <w:pPr>
                            <w:pStyle w:val="2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663A30B">
                    <w:pPr>
                      <w:pStyle w:val="25"/>
                    </w:pPr>
                    <w:r>
                      <w:fldChar w:fldCharType="begin"/>
                    </w:r>
                    <w:r>
                      <w:instrText xml:space="preserve"> PAGE  \* MERGEFORMAT </w:instrText>
                    </w:r>
                    <w:r>
                      <w:fldChar w:fldCharType="separate"/>
                    </w:r>
                    <w:r>
                      <w:t>46</w:t>
                    </w:r>
                    <w:r>
                      <w:fldChar w:fldCharType="end"/>
                    </w:r>
                  </w:p>
                </w:txbxContent>
              </v:textbox>
            </v:shape>
          </w:pict>
        </mc:Fallback>
      </mc:AlternateContent>
    </w:r>
  </w:p>
  <w:p w14:paraId="35F0B7A2">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D07AA">
    <w:pPr>
      <w:pStyle w:val="25"/>
      <w:ind w:right="360"/>
      <w:jc w:val="both"/>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FD0FA0">
                          <w:pPr>
                            <w:pStyle w:val="2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0lCCcgBAACZ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pt6A0ljlsc+OX7t8uPX5efX8ky&#10;y9MHqDHrMWBeGu79gEsz+wGdmfWgos1f5EMwjuKer+LKIRGRH61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NJQgnIAQAAmQMAAA4AAAAAAAAAAQAgAAAAHgEAAGRycy9lMm9Eb2Mu&#10;eG1sUEsFBgAAAAAGAAYAWQEAAFgFAAAAAA==&#10;">
              <v:fill on="f" focussize="0,0"/>
              <v:stroke on="f"/>
              <v:imagedata o:title=""/>
              <o:lock v:ext="edit" aspectratio="f"/>
              <v:textbox inset="0mm,0mm,0mm,0mm" style="mso-fit-shape-to-text:t;">
                <w:txbxContent>
                  <w:p w14:paraId="61FD0FA0">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14B48">
    <w:pPr>
      <w:pStyle w:val="25"/>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5AF00">
                          <w:pPr>
                            <w:pStyle w:val="2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D95AF00">
                    <w:pPr>
                      <w:pStyle w:val="25"/>
                    </w:pPr>
                    <w:r>
                      <w:fldChar w:fldCharType="begin"/>
                    </w:r>
                    <w:r>
                      <w:instrText xml:space="preserve"> PAGE  \* MERGEFORMAT </w:instrText>
                    </w:r>
                    <w:r>
                      <w:fldChar w:fldCharType="separate"/>
                    </w:r>
                    <w:r>
                      <w:t>0</w:t>
                    </w:r>
                    <w:r>
                      <w:fldChar w:fldCharType="end"/>
                    </w:r>
                  </w:p>
                </w:txbxContent>
              </v:textbox>
            </v:shape>
          </w:pict>
        </mc:Fallback>
      </mc:AlternateContent>
    </w:r>
  </w:p>
  <w:p w14:paraId="4C64B487">
    <w:pPr>
      <w:pStyle w:val="2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BFA83">
    <w:pPr>
      <w:pStyle w:val="25"/>
      <w:framePr w:wrap="around" w:vAnchor="text" w:hAnchor="margin" w:xAlign="center" w:y="1"/>
      <w:rPr>
        <w:rStyle w:val="43"/>
      </w:rPr>
    </w:pPr>
    <w:r>
      <w:fldChar w:fldCharType="begin"/>
    </w:r>
    <w:r>
      <w:rPr>
        <w:rStyle w:val="43"/>
      </w:rPr>
      <w:instrText xml:space="preserve">PAGE  </w:instrText>
    </w:r>
    <w:r>
      <w:fldChar w:fldCharType="end"/>
    </w:r>
  </w:p>
  <w:p w14:paraId="37D677C8">
    <w:pPr>
      <w:pStyle w:val="2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36320">
    <w:pPr>
      <w:pStyle w:val="25"/>
      <w:ind w:right="360"/>
      <w:jc w:val="both"/>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70A6F">
                          <w:pPr>
                            <w:pStyle w:val="25"/>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6770A6F">
                    <w:pPr>
                      <w:pStyle w:val="25"/>
                    </w:pPr>
                    <w:r>
                      <w:fldChar w:fldCharType="begin"/>
                    </w:r>
                    <w:r>
                      <w:instrText xml:space="preserve"> PAGE  \* MERGEFORMAT </w:instrText>
                    </w:r>
                    <w:r>
                      <w:fldChar w:fldCharType="separate"/>
                    </w:r>
                    <w:r>
                      <w:t>76</w:t>
                    </w:r>
                    <w:r>
                      <w:fldChar w:fldCharType="end"/>
                    </w:r>
                  </w:p>
                </w:txbxContent>
              </v:textbox>
            </v:shape>
          </w:pict>
        </mc:Fallback>
      </mc:AlternateContent>
    </w: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78A89">
    <w:pPr>
      <w:pStyle w:val="26"/>
      <w:pBdr>
        <w:bottom w:val="none" w:color="auto" w:sz="0" w:space="0"/>
      </w:pBdr>
      <w:tabs>
        <w:tab w:val="center" w:pos="0"/>
        <w:tab w:val="left" w:pos="8306"/>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1B792">
    <w:pPr>
      <w:pStyle w:val="26"/>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0CDB86"/>
    <w:multiLevelType w:val="singleLevel"/>
    <w:tmpl w:val="120CDB86"/>
    <w:lvl w:ilvl="0" w:tentative="0">
      <w:start w:val="2"/>
      <w:numFmt w:val="decimal"/>
      <w:suff w:val="nothing"/>
      <w:lvlText w:val="（%1）"/>
      <w:lvlJc w:val="left"/>
    </w:lvl>
  </w:abstractNum>
  <w:abstractNum w:abstractNumId="1">
    <w:nsid w:val="4C601917"/>
    <w:multiLevelType w:val="singleLevel"/>
    <w:tmpl w:val="4C601917"/>
    <w:lvl w:ilvl="0" w:tentative="0">
      <w:start w:val="1"/>
      <w:numFmt w:val="decimal"/>
      <w:suff w:val="nothing"/>
      <w:lvlText w:val="（%1）"/>
      <w:lvlJc w:val="left"/>
    </w:lvl>
  </w:abstractNum>
  <w:abstractNum w:abstractNumId="2">
    <w:nsid w:val="5FABD14B"/>
    <w:multiLevelType w:val="singleLevel"/>
    <w:tmpl w:val="5FABD14B"/>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wMGM5NzNkMGFmZjdmNjdmOTliN2YyNmZmOTBjMmUifQ=="/>
    <w:docVar w:name="KSO_WPS_MARK_KEY" w:val="34a85f2c-7737-46bb-95af-ad2512184d9f"/>
  </w:docVars>
  <w:rsids>
    <w:rsidRoot w:val="08171363"/>
    <w:rsid w:val="0000096C"/>
    <w:rsid w:val="00000CDB"/>
    <w:rsid w:val="00001CDA"/>
    <w:rsid w:val="00004344"/>
    <w:rsid w:val="00005909"/>
    <w:rsid w:val="000207D5"/>
    <w:rsid w:val="00022127"/>
    <w:rsid w:val="00024E82"/>
    <w:rsid w:val="00027659"/>
    <w:rsid w:val="00030800"/>
    <w:rsid w:val="00031652"/>
    <w:rsid w:val="00034A7D"/>
    <w:rsid w:val="00035197"/>
    <w:rsid w:val="00035F9C"/>
    <w:rsid w:val="000401CD"/>
    <w:rsid w:val="000404B0"/>
    <w:rsid w:val="0004235B"/>
    <w:rsid w:val="00044EDB"/>
    <w:rsid w:val="00051641"/>
    <w:rsid w:val="00054304"/>
    <w:rsid w:val="000553BC"/>
    <w:rsid w:val="00056551"/>
    <w:rsid w:val="0006218D"/>
    <w:rsid w:val="00063F24"/>
    <w:rsid w:val="00065AF0"/>
    <w:rsid w:val="00066EA9"/>
    <w:rsid w:val="00066FE1"/>
    <w:rsid w:val="00074D5F"/>
    <w:rsid w:val="00076A60"/>
    <w:rsid w:val="00077BF5"/>
    <w:rsid w:val="00081789"/>
    <w:rsid w:val="00085A0D"/>
    <w:rsid w:val="00092A54"/>
    <w:rsid w:val="00092F65"/>
    <w:rsid w:val="0009317E"/>
    <w:rsid w:val="00093B18"/>
    <w:rsid w:val="000946EB"/>
    <w:rsid w:val="00094E84"/>
    <w:rsid w:val="000A6432"/>
    <w:rsid w:val="000A7A4B"/>
    <w:rsid w:val="000B5A03"/>
    <w:rsid w:val="000B7B3B"/>
    <w:rsid w:val="000C1DCC"/>
    <w:rsid w:val="000C302E"/>
    <w:rsid w:val="000C5D44"/>
    <w:rsid w:val="000D5F48"/>
    <w:rsid w:val="000D7284"/>
    <w:rsid w:val="000E6783"/>
    <w:rsid w:val="000F1BBE"/>
    <w:rsid w:val="001031E7"/>
    <w:rsid w:val="00104245"/>
    <w:rsid w:val="001108AC"/>
    <w:rsid w:val="00110A97"/>
    <w:rsid w:val="00110DD2"/>
    <w:rsid w:val="00111240"/>
    <w:rsid w:val="0011187C"/>
    <w:rsid w:val="00116FC9"/>
    <w:rsid w:val="00120C46"/>
    <w:rsid w:val="001251B9"/>
    <w:rsid w:val="00125837"/>
    <w:rsid w:val="001306A8"/>
    <w:rsid w:val="00140B14"/>
    <w:rsid w:val="00140CE8"/>
    <w:rsid w:val="00141619"/>
    <w:rsid w:val="00143DA6"/>
    <w:rsid w:val="00151CEE"/>
    <w:rsid w:val="0015209C"/>
    <w:rsid w:val="001551E7"/>
    <w:rsid w:val="001552B2"/>
    <w:rsid w:val="00155890"/>
    <w:rsid w:val="00170AA7"/>
    <w:rsid w:val="00173852"/>
    <w:rsid w:val="00174F9B"/>
    <w:rsid w:val="00177D95"/>
    <w:rsid w:val="00181460"/>
    <w:rsid w:val="00182C28"/>
    <w:rsid w:val="00190F4C"/>
    <w:rsid w:val="00193D49"/>
    <w:rsid w:val="0019577E"/>
    <w:rsid w:val="001B1366"/>
    <w:rsid w:val="001B2BDE"/>
    <w:rsid w:val="001B2FAE"/>
    <w:rsid w:val="001C097E"/>
    <w:rsid w:val="001C2516"/>
    <w:rsid w:val="001C2E44"/>
    <w:rsid w:val="001D047F"/>
    <w:rsid w:val="001D758B"/>
    <w:rsid w:val="001E0216"/>
    <w:rsid w:val="001E0590"/>
    <w:rsid w:val="001E3E3A"/>
    <w:rsid w:val="001E484E"/>
    <w:rsid w:val="001E4E53"/>
    <w:rsid w:val="001E6153"/>
    <w:rsid w:val="001E6C5D"/>
    <w:rsid w:val="001E7AB6"/>
    <w:rsid w:val="001F330A"/>
    <w:rsid w:val="001F4D3C"/>
    <w:rsid w:val="001F6F77"/>
    <w:rsid w:val="00201770"/>
    <w:rsid w:val="00202F39"/>
    <w:rsid w:val="00204164"/>
    <w:rsid w:val="00204F25"/>
    <w:rsid w:val="00205999"/>
    <w:rsid w:val="00207350"/>
    <w:rsid w:val="00207DB7"/>
    <w:rsid w:val="00213B47"/>
    <w:rsid w:val="00221909"/>
    <w:rsid w:val="002230A4"/>
    <w:rsid w:val="0022698C"/>
    <w:rsid w:val="00227913"/>
    <w:rsid w:val="00231EAB"/>
    <w:rsid w:val="00232E04"/>
    <w:rsid w:val="00236055"/>
    <w:rsid w:val="00236B7D"/>
    <w:rsid w:val="00241686"/>
    <w:rsid w:val="00242C6C"/>
    <w:rsid w:val="00244627"/>
    <w:rsid w:val="002563B4"/>
    <w:rsid w:val="0025753A"/>
    <w:rsid w:val="00262C01"/>
    <w:rsid w:val="00270BE1"/>
    <w:rsid w:val="002738BD"/>
    <w:rsid w:val="0027629D"/>
    <w:rsid w:val="00281099"/>
    <w:rsid w:val="002867CF"/>
    <w:rsid w:val="00293976"/>
    <w:rsid w:val="00297271"/>
    <w:rsid w:val="002B3400"/>
    <w:rsid w:val="002B4610"/>
    <w:rsid w:val="002C0483"/>
    <w:rsid w:val="002C1328"/>
    <w:rsid w:val="002C2756"/>
    <w:rsid w:val="002C27F2"/>
    <w:rsid w:val="002C38A0"/>
    <w:rsid w:val="002C7DD7"/>
    <w:rsid w:val="002D0079"/>
    <w:rsid w:val="002D05BB"/>
    <w:rsid w:val="002D2EF2"/>
    <w:rsid w:val="002D5E57"/>
    <w:rsid w:val="002E0A18"/>
    <w:rsid w:val="002E6BA4"/>
    <w:rsid w:val="002E7EA0"/>
    <w:rsid w:val="002F320A"/>
    <w:rsid w:val="002F55FD"/>
    <w:rsid w:val="002F667D"/>
    <w:rsid w:val="003014B1"/>
    <w:rsid w:val="003051FD"/>
    <w:rsid w:val="00305816"/>
    <w:rsid w:val="00315EB2"/>
    <w:rsid w:val="003162D6"/>
    <w:rsid w:val="00316994"/>
    <w:rsid w:val="0031699F"/>
    <w:rsid w:val="00320B19"/>
    <w:rsid w:val="00322C10"/>
    <w:rsid w:val="00327461"/>
    <w:rsid w:val="00330EE9"/>
    <w:rsid w:val="003331F5"/>
    <w:rsid w:val="00337A9F"/>
    <w:rsid w:val="00344631"/>
    <w:rsid w:val="00346976"/>
    <w:rsid w:val="00347950"/>
    <w:rsid w:val="00350024"/>
    <w:rsid w:val="00353905"/>
    <w:rsid w:val="00355191"/>
    <w:rsid w:val="00366E54"/>
    <w:rsid w:val="0037075A"/>
    <w:rsid w:val="00371C87"/>
    <w:rsid w:val="00380673"/>
    <w:rsid w:val="003809BA"/>
    <w:rsid w:val="00384EB6"/>
    <w:rsid w:val="003868E3"/>
    <w:rsid w:val="0039417D"/>
    <w:rsid w:val="003A3917"/>
    <w:rsid w:val="003A622A"/>
    <w:rsid w:val="003B031E"/>
    <w:rsid w:val="003B31F1"/>
    <w:rsid w:val="003B38DA"/>
    <w:rsid w:val="003B7C9A"/>
    <w:rsid w:val="003C027A"/>
    <w:rsid w:val="003C393F"/>
    <w:rsid w:val="003D3465"/>
    <w:rsid w:val="003D478D"/>
    <w:rsid w:val="003D7400"/>
    <w:rsid w:val="003E0AD4"/>
    <w:rsid w:val="003E1425"/>
    <w:rsid w:val="003E64C1"/>
    <w:rsid w:val="003F1067"/>
    <w:rsid w:val="003F1F9C"/>
    <w:rsid w:val="003F7B0D"/>
    <w:rsid w:val="004029ED"/>
    <w:rsid w:val="00403AA3"/>
    <w:rsid w:val="0040651A"/>
    <w:rsid w:val="00431C3B"/>
    <w:rsid w:val="00435268"/>
    <w:rsid w:val="0044023A"/>
    <w:rsid w:val="004437ED"/>
    <w:rsid w:val="00443922"/>
    <w:rsid w:val="0044600A"/>
    <w:rsid w:val="00447BDE"/>
    <w:rsid w:val="00450ADB"/>
    <w:rsid w:val="00452102"/>
    <w:rsid w:val="004531C4"/>
    <w:rsid w:val="00455C16"/>
    <w:rsid w:val="0046694A"/>
    <w:rsid w:val="0046760D"/>
    <w:rsid w:val="00467833"/>
    <w:rsid w:val="00474447"/>
    <w:rsid w:val="004771BA"/>
    <w:rsid w:val="004820E2"/>
    <w:rsid w:val="004853B6"/>
    <w:rsid w:val="004861BA"/>
    <w:rsid w:val="00486E44"/>
    <w:rsid w:val="0049027F"/>
    <w:rsid w:val="004925A4"/>
    <w:rsid w:val="004929AD"/>
    <w:rsid w:val="004A0443"/>
    <w:rsid w:val="004A0E38"/>
    <w:rsid w:val="004A5F2A"/>
    <w:rsid w:val="004A6736"/>
    <w:rsid w:val="004B49D2"/>
    <w:rsid w:val="004C5B3E"/>
    <w:rsid w:val="004C75A0"/>
    <w:rsid w:val="004D5AF4"/>
    <w:rsid w:val="004D6E99"/>
    <w:rsid w:val="004E126C"/>
    <w:rsid w:val="004F5BCD"/>
    <w:rsid w:val="004F68CF"/>
    <w:rsid w:val="005033B8"/>
    <w:rsid w:val="00503A40"/>
    <w:rsid w:val="00506840"/>
    <w:rsid w:val="00511A25"/>
    <w:rsid w:val="00516FAA"/>
    <w:rsid w:val="00517D40"/>
    <w:rsid w:val="00520861"/>
    <w:rsid w:val="00521880"/>
    <w:rsid w:val="00525C35"/>
    <w:rsid w:val="005279FB"/>
    <w:rsid w:val="00532BF5"/>
    <w:rsid w:val="0053541C"/>
    <w:rsid w:val="005458AD"/>
    <w:rsid w:val="0054778A"/>
    <w:rsid w:val="0055409E"/>
    <w:rsid w:val="00554A36"/>
    <w:rsid w:val="00562514"/>
    <w:rsid w:val="00564C6D"/>
    <w:rsid w:val="005707EB"/>
    <w:rsid w:val="00570DF9"/>
    <w:rsid w:val="005739CF"/>
    <w:rsid w:val="00576E04"/>
    <w:rsid w:val="0057733C"/>
    <w:rsid w:val="00581AC2"/>
    <w:rsid w:val="00583AC0"/>
    <w:rsid w:val="00584BFC"/>
    <w:rsid w:val="005873D0"/>
    <w:rsid w:val="005917A6"/>
    <w:rsid w:val="005932B6"/>
    <w:rsid w:val="00596F89"/>
    <w:rsid w:val="005B53A3"/>
    <w:rsid w:val="005C06FA"/>
    <w:rsid w:val="005C5049"/>
    <w:rsid w:val="005D54D6"/>
    <w:rsid w:val="005D6CCE"/>
    <w:rsid w:val="005E671C"/>
    <w:rsid w:val="005F6F86"/>
    <w:rsid w:val="00600743"/>
    <w:rsid w:val="006048A4"/>
    <w:rsid w:val="00605362"/>
    <w:rsid w:val="006064F7"/>
    <w:rsid w:val="006068F0"/>
    <w:rsid w:val="00606C3B"/>
    <w:rsid w:val="00622C28"/>
    <w:rsid w:val="00626CA8"/>
    <w:rsid w:val="006271A0"/>
    <w:rsid w:val="006301C4"/>
    <w:rsid w:val="00630567"/>
    <w:rsid w:val="00631BAB"/>
    <w:rsid w:val="006324D3"/>
    <w:rsid w:val="00636B69"/>
    <w:rsid w:val="006406A8"/>
    <w:rsid w:val="00640B4E"/>
    <w:rsid w:val="00641D5B"/>
    <w:rsid w:val="00644AAD"/>
    <w:rsid w:val="00647270"/>
    <w:rsid w:val="0065223B"/>
    <w:rsid w:val="00653CDE"/>
    <w:rsid w:val="00656442"/>
    <w:rsid w:val="00661DA0"/>
    <w:rsid w:val="006632E6"/>
    <w:rsid w:val="0066542F"/>
    <w:rsid w:val="00670E85"/>
    <w:rsid w:val="0067703D"/>
    <w:rsid w:val="00677CAF"/>
    <w:rsid w:val="006831E3"/>
    <w:rsid w:val="006867BB"/>
    <w:rsid w:val="00691B1A"/>
    <w:rsid w:val="00695425"/>
    <w:rsid w:val="006A101B"/>
    <w:rsid w:val="006A6DC8"/>
    <w:rsid w:val="006C015A"/>
    <w:rsid w:val="006C2360"/>
    <w:rsid w:val="006C55A9"/>
    <w:rsid w:val="006C5999"/>
    <w:rsid w:val="006D0A1B"/>
    <w:rsid w:val="006D6A62"/>
    <w:rsid w:val="006E4D05"/>
    <w:rsid w:val="006F0015"/>
    <w:rsid w:val="00707FF2"/>
    <w:rsid w:val="00712AF4"/>
    <w:rsid w:val="00715456"/>
    <w:rsid w:val="00717D53"/>
    <w:rsid w:val="0072351B"/>
    <w:rsid w:val="00730FBB"/>
    <w:rsid w:val="0073261C"/>
    <w:rsid w:val="00736625"/>
    <w:rsid w:val="00744B4B"/>
    <w:rsid w:val="00745BFF"/>
    <w:rsid w:val="0074683F"/>
    <w:rsid w:val="007549ED"/>
    <w:rsid w:val="0075643C"/>
    <w:rsid w:val="00756DD1"/>
    <w:rsid w:val="00757B36"/>
    <w:rsid w:val="00761289"/>
    <w:rsid w:val="00761EA6"/>
    <w:rsid w:val="00767154"/>
    <w:rsid w:val="007728DC"/>
    <w:rsid w:val="00773B6C"/>
    <w:rsid w:val="00773FEE"/>
    <w:rsid w:val="00781DF2"/>
    <w:rsid w:val="00790B95"/>
    <w:rsid w:val="007937A3"/>
    <w:rsid w:val="007B4684"/>
    <w:rsid w:val="007C09EA"/>
    <w:rsid w:val="007C2309"/>
    <w:rsid w:val="007C3B9F"/>
    <w:rsid w:val="007C4D61"/>
    <w:rsid w:val="007D5273"/>
    <w:rsid w:val="007D6581"/>
    <w:rsid w:val="007D6EBC"/>
    <w:rsid w:val="007F0A33"/>
    <w:rsid w:val="007F1D2B"/>
    <w:rsid w:val="007F4D7D"/>
    <w:rsid w:val="007F717F"/>
    <w:rsid w:val="00817450"/>
    <w:rsid w:val="008176CE"/>
    <w:rsid w:val="008204EB"/>
    <w:rsid w:val="008232D5"/>
    <w:rsid w:val="00823F88"/>
    <w:rsid w:val="0082700E"/>
    <w:rsid w:val="008300D6"/>
    <w:rsid w:val="00843D45"/>
    <w:rsid w:val="00852105"/>
    <w:rsid w:val="0085544C"/>
    <w:rsid w:val="008604A4"/>
    <w:rsid w:val="008606F1"/>
    <w:rsid w:val="00860D9E"/>
    <w:rsid w:val="00862516"/>
    <w:rsid w:val="0086784A"/>
    <w:rsid w:val="008811BB"/>
    <w:rsid w:val="00884C48"/>
    <w:rsid w:val="008953F8"/>
    <w:rsid w:val="0089747C"/>
    <w:rsid w:val="008974F2"/>
    <w:rsid w:val="008A2903"/>
    <w:rsid w:val="008A6ED3"/>
    <w:rsid w:val="008A7438"/>
    <w:rsid w:val="008B5614"/>
    <w:rsid w:val="008C3744"/>
    <w:rsid w:val="008C4798"/>
    <w:rsid w:val="008D3FFB"/>
    <w:rsid w:val="008D43F8"/>
    <w:rsid w:val="008D5DE5"/>
    <w:rsid w:val="008D7AB4"/>
    <w:rsid w:val="008E268A"/>
    <w:rsid w:val="008E3451"/>
    <w:rsid w:val="008E53FF"/>
    <w:rsid w:val="00904A9B"/>
    <w:rsid w:val="00905884"/>
    <w:rsid w:val="00920D6C"/>
    <w:rsid w:val="009276D5"/>
    <w:rsid w:val="0093775E"/>
    <w:rsid w:val="00942D58"/>
    <w:rsid w:val="00942FDE"/>
    <w:rsid w:val="00952863"/>
    <w:rsid w:val="009528FA"/>
    <w:rsid w:val="0096166D"/>
    <w:rsid w:val="00986C7E"/>
    <w:rsid w:val="009911B9"/>
    <w:rsid w:val="009924D4"/>
    <w:rsid w:val="009961B0"/>
    <w:rsid w:val="009963BC"/>
    <w:rsid w:val="009A6C00"/>
    <w:rsid w:val="009B644A"/>
    <w:rsid w:val="009B67C7"/>
    <w:rsid w:val="009C3D9F"/>
    <w:rsid w:val="009C60E6"/>
    <w:rsid w:val="009D594D"/>
    <w:rsid w:val="009D5E30"/>
    <w:rsid w:val="009D64B0"/>
    <w:rsid w:val="009D78FE"/>
    <w:rsid w:val="009E0DF2"/>
    <w:rsid w:val="009E2765"/>
    <w:rsid w:val="009E2C4C"/>
    <w:rsid w:val="009E509B"/>
    <w:rsid w:val="009E5F55"/>
    <w:rsid w:val="009F48CE"/>
    <w:rsid w:val="009F5431"/>
    <w:rsid w:val="009F5C57"/>
    <w:rsid w:val="00A079C6"/>
    <w:rsid w:val="00A11791"/>
    <w:rsid w:val="00A15437"/>
    <w:rsid w:val="00A207B9"/>
    <w:rsid w:val="00A317A2"/>
    <w:rsid w:val="00A31C07"/>
    <w:rsid w:val="00A31E32"/>
    <w:rsid w:val="00A35D90"/>
    <w:rsid w:val="00A36574"/>
    <w:rsid w:val="00A37DDB"/>
    <w:rsid w:val="00A37ECC"/>
    <w:rsid w:val="00A41DC7"/>
    <w:rsid w:val="00A4364F"/>
    <w:rsid w:val="00A5424F"/>
    <w:rsid w:val="00A54EBE"/>
    <w:rsid w:val="00A56CB5"/>
    <w:rsid w:val="00A64717"/>
    <w:rsid w:val="00A748C9"/>
    <w:rsid w:val="00A77398"/>
    <w:rsid w:val="00A80C51"/>
    <w:rsid w:val="00A81EDF"/>
    <w:rsid w:val="00A83A62"/>
    <w:rsid w:val="00A929CC"/>
    <w:rsid w:val="00A9536F"/>
    <w:rsid w:val="00A95495"/>
    <w:rsid w:val="00A955F2"/>
    <w:rsid w:val="00A975B7"/>
    <w:rsid w:val="00AA0FBE"/>
    <w:rsid w:val="00AA4479"/>
    <w:rsid w:val="00AA48D1"/>
    <w:rsid w:val="00AB7E31"/>
    <w:rsid w:val="00AC1E51"/>
    <w:rsid w:val="00AD2F5B"/>
    <w:rsid w:val="00AD464B"/>
    <w:rsid w:val="00AD6A4F"/>
    <w:rsid w:val="00AD7E81"/>
    <w:rsid w:val="00AE0FF5"/>
    <w:rsid w:val="00AE127D"/>
    <w:rsid w:val="00AF12E5"/>
    <w:rsid w:val="00AF1624"/>
    <w:rsid w:val="00AF7D70"/>
    <w:rsid w:val="00B017FE"/>
    <w:rsid w:val="00B05D04"/>
    <w:rsid w:val="00B17E63"/>
    <w:rsid w:val="00B17F7F"/>
    <w:rsid w:val="00B20869"/>
    <w:rsid w:val="00B211ED"/>
    <w:rsid w:val="00B319D0"/>
    <w:rsid w:val="00B31F82"/>
    <w:rsid w:val="00B33AE6"/>
    <w:rsid w:val="00B33B3B"/>
    <w:rsid w:val="00B52B37"/>
    <w:rsid w:val="00B548FD"/>
    <w:rsid w:val="00B556FB"/>
    <w:rsid w:val="00B56361"/>
    <w:rsid w:val="00B61746"/>
    <w:rsid w:val="00B62005"/>
    <w:rsid w:val="00B67234"/>
    <w:rsid w:val="00B67934"/>
    <w:rsid w:val="00B76FFB"/>
    <w:rsid w:val="00B7795B"/>
    <w:rsid w:val="00B77961"/>
    <w:rsid w:val="00B803FE"/>
    <w:rsid w:val="00B84C74"/>
    <w:rsid w:val="00B94CF1"/>
    <w:rsid w:val="00BA2379"/>
    <w:rsid w:val="00BA6F13"/>
    <w:rsid w:val="00BB3A8E"/>
    <w:rsid w:val="00BB5CD0"/>
    <w:rsid w:val="00BB7111"/>
    <w:rsid w:val="00BC0690"/>
    <w:rsid w:val="00BC2A7B"/>
    <w:rsid w:val="00BC4D83"/>
    <w:rsid w:val="00BC6D1F"/>
    <w:rsid w:val="00BD1CD3"/>
    <w:rsid w:val="00BE0F5B"/>
    <w:rsid w:val="00BE242C"/>
    <w:rsid w:val="00BF061C"/>
    <w:rsid w:val="00BF2DE4"/>
    <w:rsid w:val="00BF4E4B"/>
    <w:rsid w:val="00BF7045"/>
    <w:rsid w:val="00C03881"/>
    <w:rsid w:val="00C03EC3"/>
    <w:rsid w:val="00C051BA"/>
    <w:rsid w:val="00C052AB"/>
    <w:rsid w:val="00C114D9"/>
    <w:rsid w:val="00C115C2"/>
    <w:rsid w:val="00C12A33"/>
    <w:rsid w:val="00C20A8B"/>
    <w:rsid w:val="00C234FA"/>
    <w:rsid w:val="00C31DD3"/>
    <w:rsid w:val="00C32BEA"/>
    <w:rsid w:val="00C3405B"/>
    <w:rsid w:val="00C510B7"/>
    <w:rsid w:val="00C5115E"/>
    <w:rsid w:val="00C54574"/>
    <w:rsid w:val="00C67F26"/>
    <w:rsid w:val="00C72985"/>
    <w:rsid w:val="00C73607"/>
    <w:rsid w:val="00C7554B"/>
    <w:rsid w:val="00C7749B"/>
    <w:rsid w:val="00C806B6"/>
    <w:rsid w:val="00C82DE7"/>
    <w:rsid w:val="00C90F87"/>
    <w:rsid w:val="00C91EA9"/>
    <w:rsid w:val="00CB10A1"/>
    <w:rsid w:val="00CB1671"/>
    <w:rsid w:val="00CB3128"/>
    <w:rsid w:val="00CB582D"/>
    <w:rsid w:val="00CB63FC"/>
    <w:rsid w:val="00CB78F3"/>
    <w:rsid w:val="00CC1E96"/>
    <w:rsid w:val="00CC7527"/>
    <w:rsid w:val="00CD60E2"/>
    <w:rsid w:val="00CD79F0"/>
    <w:rsid w:val="00CE0705"/>
    <w:rsid w:val="00CF37DE"/>
    <w:rsid w:val="00CF45D0"/>
    <w:rsid w:val="00CF4883"/>
    <w:rsid w:val="00CF6FCC"/>
    <w:rsid w:val="00D06972"/>
    <w:rsid w:val="00D21461"/>
    <w:rsid w:val="00D22BE5"/>
    <w:rsid w:val="00D30B85"/>
    <w:rsid w:val="00D37A63"/>
    <w:rsid w:val="00D44310"/>
    <w:rsid w:val="00D44681"/>
    <w:rsid w:val="00D44B33"/>
    <w:rsid w:val="00D536B1"/>
    <w:rsid w:val="00D556A1"/>
    <w:rsid w:val="00D563C2"/>
    <w:rsid w:val="00D57164"/>
    <w:rsid w:val="00D57281"/>
    <w:rsid w:val="00D65967"/>
    <w:rsid w:val="00D732AF"/>
    <w:rsid w:val="00D777F1"/>
    <w:rsid w:val="00D8185B"/>
    <w:rsid w:val="00D8194A"/>
    <w:rsid w:val="00D82F3E"/>
    <w:rsid w:val="00D969A3"/>
    <w:rsid w:val="00DA584A"/>
    <w:rsid w:val="00DB6895"/>
    <w:rsid w:val="00DC4C07"/>
    <w:rsid w:val="00DC7AB8"/>
    <w:rsid w:val="00DD525D"/>
    <w:rsid w:val="00DD5508"/>
    <w:rsid w:val="00DE0E0D"/>
    <w:rsid w:val="00DE1C4D"/>
    <w:rsid w:val="00DE5E63"/>
    <w:rsid w:val="00DE675A"/>
    <w:rsid w:val="00E135DB"/>
    <w:rsid w:val="00E1452E"/>
    <w:rsid w:val="00E235C9"/>
    <w:rsid w:val="00E375E1"/>
    <w:rsid w:val="00E40A3B"/>
    <w:rsid w:val="00E42CD9"/>
    <w:rsid w:val="00E431DF"/>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8CA"/>
    <w:rsid w:val="00EB57D6"/>
    <w:rsid w:val="00EC5445"/>
    <w:rsid w:val="00EE1688"/>
    <w:rsid w:val="00EE23CC"/>
    <w:rsid w:val="00EF36D5"/>
    <w:rsid w:val="00EF3F63"/>
    <w:rsid w:val="00EF4C13"/>
    <w:rsid w:val="00EF6EEB"/>
    <w:rsid w:val="00F02CB5"/>
    <w:rsid w:val="00F072C2"/>
    <w:rsid w:val="00F07DE8"/>
    <w:rsid w:val="00F07F4C"/>
    <w:rsid w:val="00F1066F"/>
    <w:rsid w:val="00F21207"/>
    <w:rsid w:val="00F5110A"/>
    <w:rsid w:val="00F52FF2"/>
    <w:rsid w:val="00F53FD4"/>
    <w:rsid w:val="00F56BEA"/>
    <w:rsid w:val="00F72D89"/>
    <w:rsid w:val="00F74F31"/>
    <w:rsid w:val="00F95FE2"/>
    <w:rsid w:val="00FA0D4F"/>
    <w:rsid w:val="00FA3C12"/>
    <w:rsid w:val="00FB02D1"/>
    <w:rsid w:val="00FB3A1E"/>
    <w:rsid w:val="00FB3C91"/>
    <w:rsid w:val="00FB4DCC"/>
    <w:rsid w:val="00FB62F5"/>
    <w:rsid w:val="00FB6647"/>
    <w:rsid w:val="00FD3F1A"/>
    <w:rsid w:val="00FD442A"/>
    <w:rsid w:val="00FD6406"/>
    <w:rsid w:val="00FD72DA"/>
    <w:rsid w:val="00FE5FE9"/>
    <w:rsid w:val="00FE7D94"/>
    <w:rsid w:val="00FF0F02"/>
    <w:rsid w:val="00FF7F1F"/>
    <w:rsid w:val="01773477"/>
    <w:rsid w:val="01C14567"/>
    <w:rsid w:val="01F66ABD"/>
    <w:rsid w:val="01FB0577"/>
    <w:rsid w:val="020457FF"/>
    <w:rsid w:val="02217FDE"/>
    <w:rsid w:val="02587777"/>
    <w:rsid w:val="0273010D"/>
    <w:rsid w:val="027C3D6B"/>
    <w:rsid w:val="02C44577"/>
    <w:rsid w:val="02F6463E"/>
    <w:rsid w:val="030571A0"/>
    <w:rsid w:val="03241A2B"/>
    <w:rsid w:val="03305FFE"/>
    <w:rsid w:val="033A0C2B"/>
    <w:rsid w:val="03710AF1"/>
    <w:rsid w:val="03936CB9"/>
    <w:rsid w:val="039D18E6"/>
    <w:rsid w:val="03D1158F"/>
    <w:rsid w:val="03DB0660"/>
    <w:rsid w:val="0410030A"/>
    <w:rsid w:val="04163446"/>
    <w:rsid w:val="0454399B"/>
    <w:rsid w:val="04657F2A"/>
    <w:rsid w:val="04891E6A"/>
    <w:rsid w:val="049360A4"/>
    <w:rsid w:val="04CB2483"/>
    <w:rsid w:val="04D22ADA"/>
    <w:rsid w:val="04FC07BA"/>
    <w:rsid w:val="053242B0"/>
    <w:rsid w:val="05337FA2"/>
    <w:rsid w:val="05C21244"/>
    <w:rsid w:val="05CF1AFF"/>
    <w:rsid w:val="064029FC"/>
    <w:rsid w:val="06823015"/>
    <w:rsid w:val="069946CA"/>
    <w:rsid w:val="06D870D9"/>
    <w:rsid w:val="06DE46EF"/>
    <w:rsid w:val="06DF2215"/>
    <w:rsid w:val="06EA3E45"/>
    <w:rsid w:val="06F07F7E"/>
    <w:rsid w:val="07135B91"/>
    <w:rsid w:val="075F5104"/>
    <w:rsid w:val="078B0F5C"/>
    <w:rsid w:val="078B7CA7"/>
    <w:rsid w:val="07B83C8D"/>
    <w:rsid w:val="07C025C7"/>
    <w:rsid w:val="07D379FD"/>
    <w:rsid w:val="07F25F78"/>
    <w:rsid w:val="07F46FDB"/>
    <w:rsid w:val="080D2DB2"/>
    <w:rsid w:val="08171363"/>
    <w:rsid w:val="08510EF1"/>
    <w:rsid w:val="085B58CB"/>
    <w:rsid w:val="087D3E5F"/>
    <w:rsid w:val="089900B5"/>
    <w:rsid w:val="08AB2AB1"/>
    <w:rsid w:val="08AC01B2"/>
    <w:rsid w:val="08C44A90"/>
    <w:rsid w:val="08E51639"/>
    <w:rsid w:val="08F33D56"/>
    <w:rsid w:val="09063A89"/>
    <w:rsid w:val="090715AF"/>
    <w:rsid w:val="090863BF"/>
    <w:rsid w:val="09150170"/>
    <w:rsid w:val="0935478F"/>
    <w:rsid w:val="094445B2"/>
    <w:rsid w:val="095827AC"/>
    <w:rsid w:val="096E162E"/>
    <w:rsid w:val="09772BD9"/>
    <w:rsid w:val="09992B4F"/>
    <w:rsid w:val="09B23C11"/>
    <w:rsid w:val="09C37BCC"/>
    <w:rsid w:val="09CB082F"/>
    <w:rsid w:val="09CD219B"/>
    <w:rsid w:val="09E42488"/>
    <w:rsid w:val="09ED576F"/>
    <w:rsid w:val="0A1246B0"/>
    <w:rsid w:val="0A2A0535"/>
    <w:rsid w:val="0A3E36F7"/>
    <w:rsid w:val="0A4A3E4A"/>
    <w:rsid w:val="0AA7129C"/>
    <w:rsid w:val="0AAF0151"/>
    <w:rsid w:val="0AB94B2B"/>
    <w:rsid w:val="0B2621C1"/>
    <w:rsid w:val="0B4E34C6"/>
    <w:rsid w:val="0B811AED"/>
    <w:rsid w:val="0B820040"/>
    <w:rsid w:val="0B8E7D66"/>
    <w:rsid w:val="0BD51E39"/>
    <w:rsid w:val="0BD7170D"/>
    <w:rsid w:val="0BE77385"/>
    <w:rsid w:val="0BEF2EFA"/>
    <w:rsid w:val="0BFD6B61"/>
    <w:rsid w:val="0C1464BD"/>
    <w:rsid w:val="0C2A7A8F"/>
    <w:rsid w:val="0C992E66"/>
    <w:rsid w:val="0CAF051D"/>
    <w:rsid w:val="0D116C13"/>
    <w:rsid w:val="0DD00B0A"/>
    <w:rsid w:val="0E0830D6"/>
    <w:rsid w:val="0E532482"/>
    <w:rsid w:val="0E5B4181"/>
    <w:rsid w:val="0E811E04"/>
    <w:rsid w:val="0EAC0C2F"/>
    <w:rsid w:val="0EF240C1"/>
    <w:rsid w:val="0EFB1BB6"/>
    <w:rsid w:val="0F07055B"/>
    <w:rsid w:val="0F135152"/>
    <w:rsid w:val="0F2033CB"/>
    <w:rsid w:val="0F6239E3"/>
    <w:rsid w:val="0F890F70"/>
    <w:rsid w:val="0F9B0CA3"/>
    <w:rsid w:val="0FAE09D7"/>
    <w:rsid w:val="0FD552B4"/>
    <w:rsid w:val="0FF30ADF"/>
    <w:rsid w:val="0FFF254C"/>
    <w:rsid w:val="105020BB"/>
    <w:rsid w:val="10525806"/>
    <w:rsid w:val="10670755"/>
    <w:rsid w:val="106C272A"/>
    <w:rsid w:val="10702130"/>
    <w:rsid w:val="107F26DA"/>
    <w:rsid w:val="10D169FD"/>
    <w:rsid w:val="10D751BE"/>
    <w:rsid w:val="10EF17B4"/>
    <w:rsid w:val="111F7DDE"/>
    <w:rsid w:val="112A47B8"/>
    <w:rsid w:val="114535BD"/>
    <w:rsid w:val="11922555"/>
    <w:rsid w:val="12754EF9"/>
    <w:rsid w:val="12993BC0"/>
    <w:rsid w:val="1299771C"/>
    <w:rsid w:val="12CE699E"/>
    <w:rsid w:val="12DB5F87"/>
    <w:rsid w:val="12E017EF"/>
    <w:rsid w:val="1350483F"/>
    <w:rsid w:val="13517FF7"/>
    <w:rsid w:val="13781A27"/>
    <w:rsid w:val="13BF1404"/>
    <w:rsid w:val="13D84274"/>
    <w:rsid w:val="143C2A55"/>
    <w:rsid w:val="143E4A1F"/>
    <w:rsid w:val="14583CD7"/>
    <w:rsid w:val="148126CD"/>
    <w:rsid w:val="14AF44E2"/>
    <w:rsid w:val="14DE2927"/>
    <w:rsid w:val="150177FB"/>
    <w:rsid w:val="150B4677"/>
    <w:rsid w:val="151E03AD"/>
    <w:rsid w:val="156D73A9"/>
    <w:rsid w:val="15755A68"/>
    <w:rsid w:val="15995C85"/>
    <w:rsid w:val="15A5287C"/>
    <w:rsid w:val="15AA7E92"/>
    <w:rsid w:val="16465E0D"/>
    <w:rsid w:val="16500A3A"/>
    <w:rsid w:val="168503A9"/>
    <w:rsid w:val="169328AE"/>
    <w:rsid w:val="16C90EF1"/>
    <w:rsid w:val="170D249E"/>
    <w:rsid w:val="17255A22"/>
    <w:rsid w:val="17281EC0"/>
    <w:rsid w:val="176A78D9"/>
    <w:rsid w:val="179761F4"/>
    <w:rsid w:val="1812308C"/>
    <w:rsid w:val="18131D1F"/>
    <w:rsid w:val="181E6DC2"/>
    <w:rsid w:val="183D01A1"/>
    <w:rsid w:val="183D4FEE"/>
    <w:rsid w:val="185530B4"/>
    <w:rsid w:val="186164A1"/>
    <w:rsid w:val="186E33F9"/>
    <w:rsid w:val="187C78C4"/>
    <w:rsid w:val="18A22CD9"/>
    <w:rsid w:val="18E65685"/>
    <w:rsid w:val="18FF648E"/>
    <w:rsid w:val="191915B7"/>
    <w:rsid w:val="193C34F7"/>
    <w:rsid w:val="194F322A"/>
    <w:rsid w:val="1953639C"/>
    <w:rsid w:val="19650358"/>
    <w:rsid w:val="19670574"/>
    <w:rsid w:val="19874772"/>
    <w:rsid w:val="198C7FDB"/>
    <w:rsid w:val="19A227FB"/>
    <w:rsid w:val="19C96D9C"/>
    <w:rsid w:val="19CA28B1"/>
    <w:rsid w:val="19E5593D"/>
    <w:rsid w:val="1A0268D3"/>
    <w:rsid w:val="1A167B3A"/>
    <w:rsid w:val="1A342318"/>
    <w:rsid w:val="1A4A03EB"/>
    <w:rsid w:val="1A8C5DB8"/>
    <w:rsid w:val="1AFF3526"/>
    <w:rsid w:val="1B3E5305"/>
    <w:rsid w:val="1B3F60E7"/>
    <w:rsid w:val="1BC03F6C"/>
    <w:rsid w:val="1C1B5646"/>
    <w:rsid w:val="1C202209"/>
    <w:rsid w:val="1CDF48C5"/>
    <w:rsid w:val="1CFA16FF"/>
    <w:rsid w:val="1D083E1C"/>
    <w:rsid w:val="1D100F23"/>
    <w:rsid w:val="1D4110DC"/>
    <w:rsid w:val="1D525097"/>
    <w:rsid w:val="1D552DD9"/>
    <w:rsid w:val="1D750D86"/>
    <w:rsid w:val="1DAD49C3"/>
    <w:rsid w:val="1DB25B36"/>
    <w:rsid w:val="1DC97B07"/>
    <w:rsid w:val="1DCF57F5"/>
    <w:rsid w:val="1E013FE3"/>
    <w:rsid w:val="1E053C26"/>
    <w:rsid w:val="1E391DB3"/>
    <w:rsid w:val="1E3D18A3"/>
    <w:rsid w:val="1E74103D"/>
    <w:rsid w:val="1EA01E32"/>
    <w:rsid w:val="1EB15DEE"/>
    <w:rsid w:val="1EB47ED0"/>
    <w:rsid w:val="1EBB36A5"/>
    <w:rsid w:val="1F086952"/>
    <w:rsid w:val="1F2111C5"/>
    <w:rsid w:val="1F2C36C6"/>
    <w:rsid w:val="1F464788"/>
    <w:rsid w:val="1F9959A8"/>
    <w:rsid w:val="1FB97650"/>
    <w:rsid w:val="1FCBBAE0"/>
    <w:rsid w:val="1FD746B4"/>
    <w:rsid w:val="1FE16BA6"/>
    <w:rsid w:val="20112FE8"/>
    <w:rsid w:val="20401B1F"/>
    <w:rsid w:val="20511636"/>
    <w:rsid w:val="20855784"/>
    <w:rsid w:val="20911BED"/>
    <w:rsid w:val="20B91875"/>
    <w:rsid w:val="20DD736E"/>
    <w:rsid w:val="210318C7"/>
    <w:rsid w:val="2164183D"/>
    <w:rsid w:val="216750D4"/>
    <w:rsid w:val="216B497A"/>
    <w:rsid w:val="21FA4AE9"/>
    <w:rsid w:val="220A4192"/>
    <w:rsid w:val="22334A6F"/>
    <w:rsid w:val="22372AAE"/>
    <w:rsid w:val="2250591D"/>
    <w:rsid w:val="22557C1D"/>
    <w:rsid w:val="226B7889"/>
    <w:rsid w:val="22745AB0"/>
    <w:rsid w:val="22963B3C"/>
    <w:rsid w:val="22A939AB"/>
    <w:rsid w:val="22E33BF0"/>
    <w:rsid w:val="231F3C6E"/>
    <w:rsid w:val="237C4C1C"/>
    <w:rsid w:val="23897365"/>
    <w:rsid w:val="23912C04"/>
    <w:rsid w:val="2392443F"/>
    <w:rsid w:val="23AC477C"/>
    <w:rsid w:val="23B858BF"/>
    <w:rsid w:val="23C120FD"/>
    <w:rsid w:val="23D762F6"/>
    <w:rsid w:val="23F01166"/>
    <w:rsid w:val="241A2687"/>
    <w:rsid w:val="243D3F18"/>
    <w:rsid w:val="245B3C6C"/>
    <w:rsid w:val="24B91EA0"/>
    <w:rsid w:val="24D80E54"/>
    <w:rsid w:val="24E46F1D"/>
    <w:rsid w:val="25100723"/>
    <w:rsid w:val="2556149D"/>
    <w:rsid w:val="25AD0C5F"/>
    <w:rsid w:val="25BB5CCA"/>
    <w:rsid w:val="25E92311"/>
    <w:rsid w:val="25EF165C"/>
    <w:rsid w:val="25FA451E"/>
    <w:rsid w:val="26274DE7"/>
    <w:rsid w:val="26345F01"/>
    <w:rsid w:val="26357304"/>
    <w:rsid w:val="264D0AF2"/>
    <w:rsid w:val="26931E56"/>
    <w:rsid w:val="26A85927"/>
    <w:rsid w:val="26C07EF5"/>
    <w:rsid w:val="26EF0E20"/>
    <w:rsid w:val="273A72C8"/>
    <w:rsid w:val="276A7481"/>
    <w:rsid w:val="279A1B15"/>
    <w:rsid w:val="27AF24B1"/>
    <w:rsid w:val="27D8088F"/>
    <w:rsid w:val="27DF2361"/>
    <w:rsid w:val="28213FE4"/>
    <w:rsid w:val="282768D0"/>
    <w:rsid w:val="2858552C"/>
    <w:rsid w:val="2859644F"/>
    <w:rsid w:val="28A65795"/>
    <w:rsid w:val="28A736BD"/>
    <w:rsid w:val="290336EA"/>
    <w:rsid w:val="296F3889"/>
    <w:rsid w:val="29890093"/>
    <w:rsid w:val="29A44ECD"/>
    <w:rsid w:val="29BB2216"/>
    <w:rsid w:val="29D07A70"/>
    <w:rsid w:val="2A2878AC"/>
    <w:rsid w:val="2A2C0A1E"/>
    <w:rsid w:val="2A5176CA"/>
    <w:rsid w:val="2AC60E73"/>
    <w:rsid w:val="2AC82E3D"/>
    <w:rsid w:val="2AD92D72"/>
    <w:rsid w:val="2AFA0B1C"/>
    <w:rsid w:val="2B536BAA"/>
    <w:rsid w:val="2B8A6344"/>
    <w:rsid w:val="2BB138D1"/>
    <w:rsid w:val="2C02412C"/>
    <w:rsid w:val="2C892158"/>
    <w:rsid w:val="2CB5119F"/>
    <w:rsid w:val="2CDF621C"/>
    <w:rsid w:val="2D102879"/>
    <w:rsid w:val="2D2500D2"/>
    <w:rsid w:val="2D3B4A09"/>
    <w:rsid w:val="2D5269EE"/>
    <w:rsid w:val="2DA82AB1"/>
    <w:rsid w:val="2DC07DFB"/>
    <w:rsid w:val="2DEC299E"/>
    <w:rsid w:val="2DF6381D"/>
    <w:rsid w:val="2E1A39AF"/>
    <w:rsid w:val="2E230605"/>
    <w:rsid w:val="2E530C6F"/>
    <w:rsid w:val="2E5E24D1"/>
    <w:rsid w:val="2EAA2BD9"/>
    <w:rsid w:val="2EB77450"/>
    <w:rsid w:val="2F155F25"/>
    <w:rsid w:val="2F162065"/>
    <w:rsid w:val="2F2B7A9B"/>
    <w:rsid w:val="2F39477D"/>
    <w:rsid w:val="2F4F7689"/>
    <w:rsid w:val="2F7B20F9"/>
    <w:rsid w:val="2F7B222C"/>
    <w:rsid w:val="2F835584"/>
    <w:rsid w:val="2F9B530B"/>
    <w:rsid w:val="301937F3"/>
    <w:rsid w:val="301D32E3"/>
    <w:rsid w:val="30360848"/>
    <w:rsid w:val="30405223"/>
    <w:rsid w:val="30406FD1"/>
    <w:rsid w:val="308A16D0"/>
    <w:rsid w:val="309D08C8"/>
    <w:rsid w:val="309D2676"/>
    <w:rsid w:val="30E6401D"/>
    <w:rsid w:val="30F37F2F"/>
    <w:rsid w:val="31132938"/>
    <w:rsid w:val="31184ED8"/>
    <w:rsid w:val="312406A1"/>
    <w:rsid w:val="314865E7"/>
    <w:rsid w:val="31532D34"/>
    <w:rsid w:val="31800160"/>
    <w:rsid w:val="31D25E0E"/>
    <w:rsid w:val="31E3230A"/>
    <w:rsid w:val="32422B29"/>
    <w:rsid w:val="326B053C"/>
    <w:rsid w:val="32E14A9C"/>
    <w:rsid w:val="33064502"/>
    <w:rsid w:val="333948D8"/>
    <w:rsid w:val="336A483C"/>
    <w:rsid w:val="336F02F9"/>
    <w:rsid w:val="33AF6948"/>
    <w:rsid w:val="340C3D9A"/>
    <w:rsid w:val="34390907"/>
    <w:rsid w:val="351C625F"/>
    <w:rsid w:val="351D3D85"/>
    <w:rsid w:val="35260E8C"/>
    <w:rsid w:val="35643762"/>
    <w:rsid w:val="35A428FB"/>
    <w:rsid w:val="35A74912"/>
    <w:rsid w:val="35BB795F"/>
    <w:rsid w:val="35C30488"/>
    <w:rsid w:val="35C661CB"/>
    <w:rsid w:val="35CB5EC9"/>
    <w:rsid w:val="35F66AB0"/>
    <w:rsid w:val="363475D8"/>
    <w:rsid w:val="365B2DB7"/>
    <w:rsid w:val="366C0B20"/>
    <w:rsid w:val="373D24BC"/>
    <w:rsid w:val="378105FB"/>
    <w:rsid w:val="37D12A37"/>
    <w:rsid w:val="37E49367"/>
    <w:rsid w:val="38214EAF"/>
    <w:rsid w:val="382B0567"/>
    <w:rsid w:val="385B709E"/>
    <w:rsid w:val="38795776"/>
    <w:rsid w:val="387C703E"/>
    <w:rsid w:val="388F4F9A"/>
    <w:rsid w:val="38E443A7"/>
    <w:rsid w:val="38E65C15"/>
    <w:rsid w:val="390A2872"/>
    <w:rsid w:val="39203E44"/>
    <w:rsid w:val="392456E2"/>
    <w:rsid w:val="39397667"/>
    <w:rsid w:val="39677CC5"/>
    <w:rsid w:val="39822409"/>
    <w:rsid w:val="39A35D51"/>
    <w:rsid w:val="39F350B4"/>
    <w:rsid w:val="39FA4695"/>
    <w:rsid w:val="3A60099C"/>
    <w:rsid w:val="3A6D30B9"/>
    <w:rsid w:val="3A821A43"/>
    <w:rsid w:val="3A8C79E3"/>
    <w:rsid w:val="3AE315CD"/>
    <w:rsid w:val="3B111C96"/>
    <w:rsid w:val="3B1359D3"/>
    <w:rsid w:val="3B2220F5"/>
    <w:rsid w:val="3B377BC2"/>
    <w:rsid w:val="3B37B6C4"/>
    <w:rsid w:val="3B5FABDB"/>
    <w:rsid w:val="3BB80F8B"/>
    <w:rsid w:val="3BCE327C"/>
    <w:rsid w:val="3C3420E0"/>
    <w:rsid w:val="3C345451"/>
    <w:rsid w:val="3CD37EDB"/>
    <w:rsid w:val="3CD4741F"/>
    <w:rsid w:val="3CEF4259"/>
    <w:rsid w:val="3CFA586A"/>
    <w:rsid w:val="3CFB44C3"/>
    <w:rsid w:val="3D175178"/>
    <w:rsid w:val="3D2A34E3"/>
    <w:rsid w:val="3D2D5762"/>
    <w:rsid w:val="3D371A29"/>
    <w:rsid w:val="3DA97586"/>
    <w:rsid w:val="3DB039E8"/>
    <w:rsid w:val="3DCC6348"/>
    <w:rsid w:val="3DD83DC4"/>
    <w:rsid w:val="3E031C13"/>
    <w:rsid w:val="3E32264F"/>
    <w:rsid w:val="3E7F33BB"/>
    <w:rsid w:val="3E9D7E49"/>
    <w:rsid w:val="3EBD703D"/>
    <w:rsid w:val="3ED26B65"/>
    <w:rsid w:val="3F2525D9"/>
    <w:rsid w:val="3F344687"/>
    <w:rsid w:val="3F4940F4"/>
    <w:rsid w:val="3FBF5679"/>
    <w:rsid w:val="3FE200A5"/>
    <w:rsid w:val="401D732F"/>
    <w:rsid w:val="402107A3"/>
    <w:rsid w:val="40460634"/>
    <w:rsid w:val="406867FC"/>
    <w:rsid w:val="40B732E0"/>
    <w:rsid w:val="40DB5F4C"/>
    <w:rsid w:val="40EB4D37"/>
    <w:rsid w:val="40FC5196"/>
    <w:rsid w:val="41654AEA"/>
    <w:rsid w:val="41CC4B69"/>
    <w:rsid w:val="41E77BF5"/>
    <w:rsid w:val="41FA7928"/>
    <w:rsid w:val="42156510"/>
    <w:rsid w:val="42186000"/>
    <w:rsid w:val="42187DAE"/>
    <w:rsid w:val="42746848"/>
    <w:rsid w:val="428471F1"/>
    <w:rsid w:val="42A930FC"/>
    <w:rsid w:val="42B555FD"/>
    <w:rsid w:val="42BA70B7"/>
    <w:rsid w:val="430317C0"/>
    <w:rsid w:val="433429C6"/>
    <w:rsid w:val="433B01F8"/>
    <w:rsid w:val="434150E2"/>
    <w:rsid w:val="436A63E7"/>
    <w:rsid w:val="43881B76"/>
    <w:rsid w:val="439714AA"/>
    <w:rsid w:val="43CF0940"/>
    <w:rsid w:val="43DD12AF"/>
    <w:rsid w:val="43E6398E"/>
    <w:rsid w:val="44B26298"/>
    <w:rsid w:val="44C935E1"/>
    <w:rsid w:val="44CA4BFA"/>
    <w:rsid w:val="45346FFC"/>
    <w:rsid w:val="45561319"/>
    <w:rsid w:val="4588349D"/>
    <w:rsid w:val="45C55462"/>
    <w:rsid w:val="45CF4C28"/>
    <w:rsid w:val="45D1274E"/>
    <w:rsid w:val="45E16C19"/>
    <w:rsid w:val="4609638B"/>
    <w:rsid w:val="46462801"/>
    <w:rsid w:val="466241D1"/>
    <w:rsid w:val="467557CF"/>
    <w:rsid w:val="46A00372"/>
    <w:rsid w:val="46CE77DF"/>
    <w:rsid w:val="46DC584E"/>
    <w:rsid w:val="46F522DA"/>
    <w:rsid w:val="46FD7572"/>
    <w:rsid w:val="4710374A"/>
    <w:rsid w:val="47297A89"/>
    <w:rsid w:val="47441C69"/>
    <w:rsid w:val="475A67D9"/>
    <w:rsid w:val="478B2DD0"/>
    <w:rsid w:val="479B74B7"/>
    <w:rsid w:val="479C02AD"/>
    <w:rsid w:val="47C24BB0"/>
    <w:rsid w:val="47C85DD2"/>
    <w:rsid w:val="47D6229D"/>
    <w:rsid w:val="47DC362C"/>
    <w:rsid w:val="47DE73A4"/>
    <w:rsid w:val="48220A60"/>
    <w:rsid w:val="485B331D"/>
    <w:rsid w:val="48645AFB"/>
    <w:rsid w:val="48671147"/>
    <w:rsid w:val="489932CB"/>
    <w:rsid w:val="48DF1625"/>
    <w:rsid w:val="48E56510"/>
    <w:rsid w:val="48E704DA"/>
    <w:rsid w:val="48EE3617"/>
    <w:rsid w:val="49042DAE"/>
    <w:rsid w:val="4923315B"/>
    <w:rsid w:val="49290AF3"/>
    <w:rsid w:val="494B2817"/>
    <w:rsid w:val="494B6CBB"/>
    <w:rsid w:val="4980542A"/>
    <w:rsid w:val="49831044"/>
    <w:rsid w:val="49AA1C33"/>
    <w:rsid w:val="49CB3958"/>
    <w:rsid w:val="49DC5B65"/>
    <w:rsid w:val="49DE22CE"/>
    <w:rsid w:val="49F42EAF"/>
    <w:rsid w:val="4A0F35C1"/>
    <w:rsid w:val="4A3500EA"/>
    <w:rsid w:val="4A590F64"/>
    <w:rsid w:val="4A8F0E29"/>
    <w:rsid w:val="4AB9549B"/>
    <w:rsid w:val="4AD14F9E"/>
    <w:rsid w:val="4ADD1B95"/>
    <w:rsid w:val="4B0E61F2"/>
    <w:rsid w:val="4B300619"/>
    <w:rsid w:val="4B693428"/>
    <w:rsid w:val="4B8D6ED7"/>
    <w:rsid w:val="4B986D6B"/>
    <w:rsid w:val="4BC93EC7"/>
    <w:rsid w:val="4BE56F53"/>
    <w:rsid w:val="4C3C3ADE"/>
    <w:rsid w:val="4C545E87"/>
    <w:rsid w:val="4C997D3D"/>
    <w:rsid w:val="4CE03BBE"/>
    <w:rsid w:val="4CF5766A"/>
    <w:rsid w:val="4D0478AD"/>
    <w:rsid w:val="4D083EE4"/>
    <w:rsid w:val="4D0E072B"/>
    <w:rsid w:val="4D6D5452"/>
    <w:rsid w:val="4D792F09"/>
    <w:rsid w:val="4DC64B62"/>
    <w:rsid w:val="4DCF4404"/>
    <w:rsid w:val="4DEB186C"/>
    <w:rsid w:val="4DF27705"/>
    <w:rsid w:val="4E0F475B"/>
    <w:rsid w:val="4E255D2C"/>
    <w:rsid w:val="4E393586"/>
    <w:rsid w:val="4E4F6F6F"/>
    <w:rsid w:val="4E93713A"/>
    <w:rsid w:val="4E9B7A20"/>
    <w:rsid w:val="4EA330F5"/>
    <w:rsid w:val="4EC02909"/>
    <w:rsid w:val="4EF94AC3"/>
    <w:rsid w:val="4F343D4D"/>
    <w:rsid w:val="4F3A75B6"/>
    <w:rsid w:val="4F8E7901"/>
    <w:rsid w:val="4F98252E"/>
    <w:rsid w:val="4FA15887"/>
    <w:rsid w:val="503A624F"/>
    <w:rsid w:val="504970E8"/>
    <w:rsid w:val="50642410"/>
    <w:rsid w:val="506568B4"/>
    <w:rsid w:val="506D7517"/>
    <w:rsid w:val="50A70C7B"/>
    <w:rsid w:val="50AB003F"/>
    <w:rsid w:val="50D650BC"/>
    <w:rsid w:val="50DC4E4F"/>
    <w:rsid w:val="50DD28EE"/>
    <w:rsid w:val="5124051D"/>
    <w:rsid w:val="515E35EA"/>
    <w:rsid w:val="51A17B1C"/>
    <w:rsid w:val="51B178D7"/>
    <w:rsid w:val="51D05F5C"/>
    <w:rsid w:val="52185B8C"/>
    <w:rsid w:val="523920EB"/>
    <w:rsid w:val="524349D3"/>
    <w:rsid w:val="52691F60"/>
    <w:rsid w:val="5358625C"/>
    <w:rsid w:val="536A3507"/>
    <w:rsid w:val="53E75832"/>
    <w:rsid w:val="53ED0AB4"/>
    <w:rsid w:val="540E2DBF"/>
    <w:rsid w:val="54120B01"/>
    <w:rsid w:val="54281AFA"/>
    <w:rsid w:val="54333F12"/>
    <w:rsid w:val="546B0211"/>
    <w:rsid w:val="54924E23"/>
    <w:rsid w:val="54BB5F4C"/>
    <w:rsid w:val="54BC0A6D"/>
    <w:rsid w:val="54ED50CA"/>
    <w:rsid w:val="54F7F469"/>
    <w:rsid w:val="550541C2"/>
    <w:rsid w:val="551B1C37"/>
    <w:rsid w:val="551E3BF4"/>
    <w:rsid w:val="55254864"/>
    <w:rsid w:val="555C7B5A"/>
    <w:rsid w:val="55782BE6"/>
    <w:rsid w:val="55833339"/>
    <w:rsid w:val="558C6691"/>
    <w:rsid w:val="55AD03B6"/>
    <w:rsid w:val="56094A0A"/>
    <w:rsid w:val="562F308A"/>
    <w:rsid w:val="5632548A"/>
    <w:rsid w:val="56582A17"/>
    <w:rsid w:val="56585DA5"/>
    <w:rsid w:val="56901E7C"/>
    <w:rsid w:val="569972B8"/>
    <w:rsid w:val="56E12A0D"/>
    <w:rsid w:val="56F02C50"/>
    <w:rsid w:val="57122BC6"/>
    <w:rsid w:val="573B036F"/>
    <w:rsid w:val="575136EE"/>
    <w:rsid w:val="5755438D"/>
    <w:rsid w:val="575EB6CA"/>
    <w:rsid w:val="577E64AD"/>
    <w:rsid w:val="57EF27B0"/>
    <w:rsid w:val="57FF30E2"/>
    <w:rsid w:val="5844771D"/>
    <w:rsid w:val="586302CC"/>
    <w:rsid w:val="58822C18"/>
    <w:rsid w:val="589E5842"/>
    <w:rsid w:val="58BA3515"/>
    <w:rsid w:val="58FA6008"/>
    <w:rsid w:val="592A24C9"/>
    <w:rsid w:val="59476CE1"/>
    <w:rsid w:val="598002BB"/>
    <w:rsid w:val="5981360E"/>
    <w:rsid w:val="599A26EE"/>
    <w:rsid w:val="599E387E"/>
    <w:rsid w:val="59C12681"/>
    <w:rsid w:val="59DE2095"/>
    <w:rsid w:val="5A015DC4"/>
    <w:rsid w:val="5A292701"/>
    <w:rsid w:val="5A332B09"/>
    <w:rsid w:val="5A37500F"/>
    <w:rsid w:val="5A582FE6"/>
    <w:rsid w:val="5A696FA1"/>
    <w:rsid w:val="5AA82B94"/>
    <w:rsid w:val="5ABB3AA6"/>
    <w:rsid w:val="5AE26D53"/>
    <w:rsid w:val="5AED7BD2"/>
    <w:rsid w:val="5AF727FF"/>
    <w:rsid w:val="5B01542B"/>
    <w:rsid w:val="5B0942E0"/>
    <w:rsid w:val="5B1F1D55"/>
    <w:rsid w:val="5B811D24"/>
    <w:rsid w:val="5BEC54B3"/>
    <w:rsid w:val="5C0A6562"/>
    <w:rsid w:val="5C311D40"/>
    <w:rsid w:val="5CB43202"/>
    <w:rsid w:val="5CC76201"/>
    <w:rsid w:val="5CD66444"/>
    <w:rsid w:val="5D1A27D4"/>
    <w:rsid w:val="5D347D3A"/>
    <w:rsid w:val="5D373670"/>
    <w:rsid w:val="5D625A9F"/>
    <w:rsid w:val="5DDB6CD3"/>
    <w:rsid w:val="5E543AC4"/>
    <w:rsid w:val="5E850121"/>
    <w:rsid w:val="5E911FD2"/>
    <w:rsid w:val="5EA7453C"/>
    <w:rsid w:val="5EB5161B"/>
    <w:rsid w:val="5ED4120C"/>
    <w:rsid w:val="5ED94431"/>
    <w:rsid w:val="5EE66E12"/>
    <w:rsid w:val="5F2738DC"/>
    <w:rsid w:val="5F7268F8"/>
    <w:rsid w:val="5F7AB151"/>
    <w:rsid w:val="5F891239"/>
    <w:rsid w:val="5FB707AE"/>
    <w:rsid w:val="5FBB5A03"/>
    <w:rsid w:val="5FE76ABA"/>
    <w:rsid w:val="5FF437B1"/>
    <w:rsid w:val="5FF5B184"/>
    <w:rsid w:val="604D2EC1"/>
    <w:rsid w:val="60822B6A"/>
    <w:rsid w:val="60883EF9"/>
    <w:rsid w:val="608A1A1F"/>
    <w:rsid w:val="60EE3150"/>
    <w:rsid w:val="610E2B1A"/>
    <w:rsid w:val="611449CF"/>
    <w:rsid w:val="6138591F"/>
    <w:rsid w:val="61487C00"/>
    <w:rsid w:val="61B01959"/>
    <w:rsid w:val="61C55405"/>
    <w:rsid w:val="61DF3FED"/>
    <w:rsid w:val="62326A29"/>
    <w:rsid w:val="62771C70"/>
    <w:rsid w:val="628337D1"/>
    <w:rsid w:val="62A02B74"/>
    <w:rsid w:val="62F8053D"/>
    <w:rsid w:val="63155F18"/>
    <w:rsid w:val="63293771"/>
    <w:rsid w:val="63354868"/>
    <w:rsid w:val="633B34A5"/>
    <w:rsid w:val="634A36E8"/>
    <w:rsid w:val="63595888"/>
    <w:rsid w:val="638D4CA5"/>
    <w:rsid w:val="63DF45AD"/>
    <w:rsid w:val="64033FC2"/>
    <w:rsid w:val="640B731B"/>
    <w:rsid w:val="64195594"/>
    <w:rsid w:val="64264155"/>
    <w:rsid w:val="642B3519"/>
    <w:rsid w:val="644B7717"/>
    <w:rsid w:val="64850E7B"/>
    <w:rsid w:val="6488096B"/>
    <w:rsid w:val="648A5EF0"/>
    <w:rsid w:val="64FC371E"/>
    <w:rsid w:val="65164566"/>
    <w:rsid w:val="65200BA4"/>
    <w:rsid w:val="654900FB"/>
    <w:rsid w:val="654C1999"/>
    <w:rsid w:val="654C7BEB"/>
    <w:rsid w:val="656E7B61"/>
    <w:rsid w:val="66044022"/>
    <w:rsid w:val="66146E24"/>
    <w:rsid w:val="66157FDD"/>
    <w:rsid w:val="6626043C"/>
    <w:rsid w:val="662E6731"/>
    <w:rsid w:val="66807B4C"/>
    <w:rsid w:val="66886CF4"/>
    <w:rsid w:val="66BC2B4E"/>
    <w:rsid w:val="66C37A39"/>
    <w:rsid w:val="66FB3677"/>
    <w:rsid w:val="66FC1F83"/>
    <w:rsid w:val="671531A5"/>
    <w:rsid w:val="67156787"/>
    <w:rsid w:val="675B5AF4"/>
    <w:rsid w:val="677961F6"/>
    <w:rsid w:val="67E81E4D"/>
    <w:rsid w:val="67F92A1F"/>
    <w:rsid w:val="67FFA243"/>
    <w:rsid w:val="68136366"/>
    <w:rsid w:val="682122BF"/>
    <w:rsid w:val="68295FC1"/>
    <w:rsid w:val="68774F7F"/>
    <w:rsid w:val="688574ED"/>
    <w:rsid w:val="68C33D20"/>
    <w:rsid w:val="69006D22"/>
    <w:rsid w:val="69164798"/>
    <w:rsid w:val="69270753"/>
    <w:rsid w:val="69814D1C"/>
    <w:rsid w:val="699456BD"/>
    <w:rsid w:val="69BB0E9B"/>
    <w:rsid w:val="69CE0DDB"/>
    <w:rsid w:val="6A35791F"/>
    <w:rsid w:val="6A35CE78"/>
    <w:rsid w:val="6A4964A7"/>
    <w:rsid w:val="6AA87672"/>
    <w:rsid w:val="6B170353"/>
    <w:rsid w:val="6B4F4926"/>
    <w:rsid w:val="6B663419"/>
    <w:rsid w:val="6B6F63E1"/>
    <w:rsid w:val="6B8E2D0B"/>
    <w:rsid w:val="6B923A60"/>
    <w:rsid w:val="6BA77929"/>
    <w:rsid w:val="6BB27C89"/>
    <w:rsid w:val="6C046B2A"/>
    <w:rsid w:val="6C1D408F"/>
    <w:rsid w:val="6C1E11ED"/>
    <w:rsid w:val="6C47110C"/>
    <w:rsid w:val="6C6D2921"/>
    <w:rsid w:val="6C6E7C95"/>
    <w:rsid w:val="6C847C6A"/>
    <w:rsid w:val="6C9C3206"/>
    <w:rsid w:val="6D870E98"/>
    <w:rsid w:val="6DBD6DD4"/>
    <w:rsid w:val="6E3556C0"/>
    <w:rsid w:val="6E361438"/>
    <w:rsid w:val="6E49116B"/>
    <w:rsid w:val="6E55528B"/>
    <w:rsid w:val="6E6B7334"/>
    <w:rsid w:val="6E7042BE"/>
    <w:rsid w:val="6E9879FD"/>
    <w:rsid w:val="6E9A3775"/>
    <w:rsid w:val="6ECF7BC3"/>
    <w:rsid w:val="6EE97AC5"/>
    <w:rsid w:val="6EF4232C"/>
    <w:rsid w:val="6FA86B63"/>
    <w:rsid w:val="6FBB7E47"/>
    <w:rsid w:val="6FF731F8"/>
    <w:rsid w:val="6FF9271D"/>
    <w:rsid w:val="6FFF3A3E"/>
    <w:rsid w:val="7007308C"/>
    <w:rsid w:val="70115CB9"/>
    <w:rsid w:val="701B05C9"/>
    <w:rsid w:val="70231548"/>
    <w:rsid w:val="703B4AE4"/>
    <w:rsid w:val="703F291D"/>
    <w:rsid w:val="706E3163"/>
    <w:rsid w:val="707A3C99"/>
    <w:rsid w:val="708564FF"/>
    <w:rsid w:val="709F1517"/>
    <w:rsid w:val="70EC5DDE"/>
    <w:rsid w:val="71241A1C"/>
    <w:rsid w:val="713D663A"/>
    <w:rsid w:val="717B3894"/>
    <w:rsid w:val="717F3BC0"/>
    <w:rsid w:val="71BC7EA6"/>
    <w:rsid w:val="71C034F3"/>
    <w:rsid w:val="71F30BEF"/>
    <w:rsid w:val="72457E9C"/>
    <w:rsid w:val="72842772"/>
    <w:rsid w:val="72874010"/>
    <w:rsid w:val="73005B71"/>
    <w:rsid w:val="731A30D6"/>
    <w:rsid w:val="737E18B7"/>
    <w:rsid w:val="73A04113"/>
    <w:rsid w:val="73A11102"/>
    <w:rsid w:val="73BF1BD7"/>
    <w:rsid w:val="73DF11F8"/>
    <w:rsid w:val="73F43927"/>
    <w:rsid w:val="73F751C6"/>
    <w:rsid w:val="744147F2"/>
    <w:rsid w:val="74A9506F"/>
    <w:rsid w:val="74D82A70"/>
    <w:rsid w:val="752D2541"/>
    <w:rsid w:val="75457F23"/>
    <w:rsid w:val="754C6AAA"/>
    <w:rsid w:val="7575429C"/>
    <w:rsid w:val="758807CB"/>
    <w:rsid w:val="75BC66C7"/>
    <w:rsid w:val="75DE7B45"/>
    <w:rsid w:val="75F93477"/>
    <w:rsid w:val="760477CC"/>
    <w:rsid w:val="7610256F"/>
    <w:rsid w:val="761243B6"/>
    <w:rsid w:val="761D6AB0"/>
    <w:rsid w:val="765C4908"/>
    <w:rsid w:val="76650B0D"/>
    <w:rsid w:val="766A6123"/>
    <w:rsid w:val="7686635C"/>
    <w:rsid w:val="76B63F2A"/>
    <w:rsid w:val="76BB697E"/>
    <w:rsid w:val="76C9299A"/>
    <w:rsid w:val="76E47C83"/>
    <w:rsid w:val="76EA3491"/>
    <w:rsid w:val="76FED90B"/>
    <w:rsid w:val="77035102"/>
    <w:rsid w:val="774D3A7A"/>
    <w:rsid w:val="775361BB"/>
    <w:rsid w:val="777155D2"/>
    <w:rsid w:val="777A2396"/>
    <w:rsid w:val="77A92C7B"/>
    <w:rsid w:val="77BF83FD"/>
    <w:rsid w:val="78216CB5"/>
    <w:rsid w:val="782849BC"/>
    <w:rsid w:val="783A38D3"/>
    <w:rsid w:val="7898151B"/>
    <w:rsid w:val="78A53442"/>
    <w:rsid w:val="78D9133E"/>
    <w:rsid w:val="78D946BD"/>
    <w:rsid w:val="793842B6"/>
    <w:rsid w:val="796F6888"/>
    <w:rsid w:val="79766B8D"/>
    <w:rsid w:val="79A11E5C"/>
    <w:rsid w:val="79D815F5"/>
    <w:rsid w:val="7A097A01"/>
    <w:rsid w:val="7A664E53"/>
    <w:rsid w:val="7AB21E46"/>
    <w:rsid w:val="7AC027B5"/>
    <w:rsid w:val="7ACF47A6"/>
    <w:rsid w:val="7B073F40"/>
    <w:rsid w:val="7B7A2964"/>
    <w:rsid w:val="7B882623"/>
    <w:rsid w:val="7B8A691F"/>
    <w:rsid w:val="7B9D6653"/>
    <w:rsid w:val="7BB120FE"/>
    <w:rsid w:val="7BBF0CBF"/>
    <w:rsid w:val="7BCE2CB0"/>
    <w:rsid w:val="7BEBC746"/>
    <w:rsid w:val="7BF247B1"/>
    <w:rsid w:val="7BF30969"/>
    <w:rsid w:val="7BFB782E"/>
    <w:rsid w:val="7BFCCE1B"/>
    <w:rsid w:val="7BFF79AB"/>
    <w:rsid w:val="7C66113B"/>
    <w:rsid w:val="7C86358B"/>
    <w:rsid w:val="7CA64A0C"/>
    <w:rsid w:val="7CB93960"/>
    <w:rsid w:val="7CC16371"/>
    <w:rsid w:val="7CFF408F"/>
    <w:rsid w:val="7D0C1CE2"/>
    <w:rsid w:val="7D1172F8"/>
    <w:rsid w:val="7D174734"/>
    <w:rsid w:val="7D3B6123"/>
    <w:rsid w:val="7D454F7B"/>
    <w:rsid w:val="7DB52379"/>
    <w:rsid w:val="7DC223A1"/>
    <w:rsid w:val="7DF12C86"/>
    <w:rsid w:val="7DF7A1B5"/>
    <w:rsid w:val="7E0E3838"/>
    <w:rsid w:val="7E3200C4"/>
    <w:rsid w:val="7E65594B"/>
    <w:rsid w:val="7E7A5886"/>
    <w:rsid w:val="7E7E09BD"/>
    <w:rsid w:val="7E8A580B"/>
    <w:rsid w:val="7E997F15"/>
    <w:rsid w:val="7EB160C6"/>
    <w:rsid w:val="7EBD33CD"/>
    <w:rsid w:val="7EC62364"/>
    <w:rsid w:val="7ECA20A5"/>
    <w:rsid w:val="7ED06D3F"/>
    <w:rsid w:val="7ED54355"/>
    <w:rsid w:val="7F19500C"/>
    <w:rsid w:val="7F361298"/>
    <w:rsid w:val="7F435763"/>
    <w:rsid w:val="7F797C95"/>
    <w:rsid w:val="7F7FAE9C"/>
    <w:rsid w:val="7FAFF37F"/>
    <w:rsid w:val="7FBFE816"/>
    <w:rsid w:val="7FD34D39"/>
    <w:rsid w:val="7FF35CED"/>
    <w:rsid w:val="7FF7242B"/>
    <w:rsid w:val="7FF7F87F"/>
    <w:rsid w:val="99F31EBA"/>
    <w:rsid w:val="9FF97DF5"/>
    <w:rsid w:val="A4FF42D7"/>
    <w:rsid w:val="B5FF3FD2"/>
    <w:rsid w:val="B7FECEF5"/>
    <w:rsid w:val="B96642C1"/>
    <w:rsid w:val="C79401B7"/>
    <w:rsid w:val="C9B75AEB"/>
    <w:rsid w:val="CFBBA4E5"/>
    <w:rsid w:val="CFF79AAF"/>
    <w:rsid w:val="D3FF3F5C"/>
    <w:rsid w:val="D556ED8A"/>
    <w:rsid w:val="D7D94B79"/>
    <w:rsid w:val="DBEB84F0"/>
    <w:rsid w:val="DF7B1240"/>
    <w:rsid w:val="DFF3117E"/>
    <w:rsid w:val="E6DEEDEF"/>
    <w:rsid w:val="EBF70D72"/>
    <w:rsid w:val="EF7499B7"/>
    <w:rsid w:val="EFBF8B31"/>
    <w:rsid w:val="EFEB2D55"/>
    <w:rsid w:val="EFFD0ADA"/>
    <w:rsid w:val="F55FB94F"/>
    <w:rsid w:val="F5BC06AC"/>
    <w:rsid w:val="F64FF116"/>
    <w:rsid w:val="F65D4E9A"/>
    <w:rsid w:val="F8FEE162"/>
    <w:rsid w:val="F95FA4BA"/>
    <w:rsid w:val="F9D9EC20"/>
    <w:rsid w:val="F9DBA5C6"/>
    <w:rsid w:val="FAF7EF04"/>
    <w:rsid w:val="FEBF8EC9"/>
    <w:rsid w:val="FF75A06D"/>
    <w:rsid w:val="FFAFDABD"/>
    <w:rsid w:val="FFBB5D10"/>
    <w:rsid w:val="FFDC38A8"/>
    <w:rsid w:val="FFF335C6"/>
    <w:rsid w:val="FFF33B4C"/>
    <w:rsid w:val="FFFF160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qFormat="1" w:unhideWhenUsed="0" w:uiPriority="99"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9"/>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6"/>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2">
    <w:name w:val="heading 3"/>
    <w:basedOn w:val="1"/>
    <w:next w:val="1"/>
    <w:link w:val="51"/>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52"/>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53"/>
    <w:qFormat/>
    <w:uiPriority w:val="0"/>
    <w:pPr>
      <w:keepNext/>
      <w:keepLines/>
      <w:spacing w:before="280" w:after="290" w:line="376" w:lineRule="auto"/>
      <w:outlineLvl w:val="4"/>
    </w:pPr>
    <w:rPr>
      <w:b/>
      <w:bCs/>
      <w:sz w:val="28"/>
      <w:szCs w:val="28"/>
    </w:rPr>
  </w:style>
  <w:style w:type="character" w:default="1" w:styleId="41">
    <w:name w:val="Default Paragraph Font"/>
    <w:semiHidden/>
    <w:qFormat/>
    <w:uiPriority w:val="0"/>
  </w:style>
  <w:style w:type="table" w:default="1" w:styleId="3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toc 7"/>
    <w:basedOn w:val="1"/>
    <w:next w:val="1"/>
    <w:qFormat/>
    <w:uiPriority w:val="0"/>
    <w:pPr>
      <w:jc w:val="left"/>
    </w:pPr>
    <w:rPr>
      <w:rFonts w:ascii="Calibri" w:hAnsi="Calibri"/>
      <w:sz w:val="22"/>
      <w:szCs w:val="22"/>
    </w:rPr>
  </w:style>
  <w:style w:type="paragraph" w:styleId="8">
    <w:name w:val="index 8"/>
    <w:basedOn w:val="1"/>
    <w:next w:val="1"/>
    <w:semiHidden/>
    <w:qFormat/>
    <w:uiPriority w:val="99"/>
    <w:pPr>
      <w:adjustRightInd w:val="0"/>
      <w:spacing w:line="360" w:lineRule="atLeast"/>
      <w:ind w:left="2940"/>
      <w:textAlignment w:val="baseline"/>
    </w:pPr>
  </w:style>
  <w:style w:type="paragraph" w:styleId="9">
    <w:name w:val="Normal Indent"/>
    <w:basedOn w:val="1"/>
    <w:qFormat/>
    <w:uiPriority w:val="0"/>
    <w:pPr>
      <w:ind w:firstLine="420"/>
    </w:pPr>
    <w:rPr>
      <w:szCs w:val="20"/>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Document Map"/>
    <w:basedOn w:val="1"/>
    <w:link w:val="54"/>
    <w:qFormat/>
    <w:uiPriority w:val="0"/>
    <w:rPr>
      <w:rFonts w:ascii="宋体"/>
      <w:sz w:val="18"/>
      <w:szCs w:val="18"/>
    </w:rPr>
  </w:style>
  <w:style w:type="paragraph" w:styleId="12">
    <w:name w:val="annotation text"/>
    <w:basedOn w:val="1"/>
    <w:link w:val="55"/>
    <w:qFormat/>
    <w:uiPriority w:val="0"/>
    <w:pPr>
      <w:jc w:val="left"/>
    </w:pPr>
  </w:style>
  <w:style w:type="paragraph" w:styleId="13">
    <w:name w:val="index 6"/>
    <w:basedOn w:val="1"/>
    <w:next w:val="1"/>
    <w:qFormat/>
    <w:uiPriority w:val="0"/>
    <w:pPr>
      <w:ind w:left="2100"/>
    </w:pPr>
    <w:rPr>
      <w:rFonts w:ascii="Times New Roman" w:hAnsi="Times New Roman"/>
    </w:rPr>
  </w:style>
  <w:style w:type="paragraph" w:styleId="14">
    <w:name w:val="Body Text 3"/>
    <w:basedOn w:val="1"/>
    <w:link w:val="56"/>
    <w:qFormat/>
    <w:uiPriority w:val="0"/>
    <w:pPr>
      <w:spacing w:after="120"/>
    </w:pPr>
    <w:rPr>
      <w:sz w:val="16"/>
      <w:szCs w:val="16"/>
    </w:rPr>
  </w:style>
  <w:style w:type="paragraph" w:styleId="15">
    <w:name w:val="Body Text"/>
    <w:basedOn w:val="1"/>
    <w:link w:val="57"/>
    <w:qFormat/>
    <w:uiPriority w:val="0"/>
    <w:pPr>
      <w:spacing w:after="120"/>
    </w:pPr>
  </w:style>
  <w:style w:type="paragraph" w:styleId="16">
    <w:name w:val="Body Text Indent"/>
    <w:basedOn w:val="1"/>
    <w:link w:val="58"/>
    <w:qFormat/>
    <w:uiPriority w:val="0"/>
    <w:pPr>
      <w:spacing w:line="200" w:lineRule="exact"/>
      <w:ind w:firstLine="301"/>
    </w:pPr>
    <w:rPr>
      <w:rFonts w:ascii="宋体" w:hAnsi="Courier New"/>
      <w:spacing w:val="-4"/>
      <w:sz w:val="18"/>
      <w:szCs w:val="20"/>
    </w:rPr>
  </w:style>
  <w:style w:type="paragraph" w:styleId="17">
    <w:name w:val="Block Text"/>
    <w:basedOn w:val="1"/>
    <w:unhideWhenUsed/>
    <w:qFormat/>
    <w:uiPriority w:val="99"/>
    <w:pPr>
      <w:spacing w:after="120"/>
      <w:ind w:left="1440" w:leftChars="700" w:right="1440" w:rightChars="700"/>
    </w:pPr>
    <w:rPr>
      <w:rFonts w:ascii="Times New Roman" w:hAnsi="Times New Roman" w:eastAsia="宋体" w:cs="Times New Roman"/>
    </w:rPr>
  </w:style>
  <w:style w:type="paragraph" w:styleId="18">
    <w:name w:val="toc 5"/>
    <w:basedOn w:val="1"/>
    <w:next w:val="1"/>
    <w:qFormat/>
    <w:uiPriority w:val="0"/>
    <w:pPr>
      <w:jc w:val="left"/>
    </w:pPr>
    <w:rPr>
      <w:rFonts w:ascii="Calibri" w:hAnsi="Calibri"/>
      <w:sz w:val="22"/>
      <w:szCs w:val="22"/>
    </w:rPr>
  </w:style>
  <w:style w:type="paragraph" w:styleId="19">
    <w:name w:val="toc 3"/>
    <w:basedOn w:val="1"/>
    <w:next w:val="1"/>
    <w:qFormat/>
    <w:uiPriority w:val="0"/>
    <w:pPr>
      <w:jc w:val="left"/>
    </w:pPr>
    <w:rPr>
      <w:rFonts w:ascii="Calibri" w:hAnsi="Calibri"/>
      <w:smallCaps/>
      <w:sz w:val="22"/>
      <w:szCs w:val="22"/>
    </w:rPr>
  </w:style>
  <w:style w:type="paragraph" w:styleId="20">
    <w:name w:val="Plain Text"/>
    <w:basedOn w:val="1"/>
    <w:link w:val="59"/>
    <w:qFormat/>
    <w:uiPriority w:val="0"/>
    <w:rPr>
      <w:rFonts w:ascii="宋体" w:hAnsi="Courier New"/>
      <w:szCs w:val="20"/>
    </w:rPr>
  </w:style>
  <w:style w:type="paragraph" w:styleId="21">
    <w:name w:val="toc 8"/>
    <w:basedOn w:val="1"/>
    <w:next w:val="1"/>
    <w:qFormat/>
    <w:uiPriority w:val="0"/>
    <w:pPr>
      <w:jc w:val="left"/>
    </w:pPr>
    <w:rPr>
      <w:rFonts w:ascii="Calibri" w:hAnsi="Calibri"/>
      <w:sz w:val="22"/>
      <w:szCs w:val="22"/>
    </w:rPr>
  </w:style>
  <w:style w:type="paragraph" w:styleId="22">
    <w:name w:val="Date"/>
    <w:basedOn w:val="1"/>
    <w:next w:val="1"/>
    <w:link w:val="60"/>
    <w:qFormat/>
    <w:uiPriority w:val="0"/>
    <w:pPr>
      <w:ind w:left="100" w:leftChars="2500"/>
    </w:pPr>
  </w:style>
  <w:style w:type="paragraph" w:styleId="23">
    <w:name w:val="Body Text Indent 2"/>
    <w:basedOn w:val="1"/>
    <w:link w:val="61"/>
    <w:qFormat/>
    <w:uiPriority w:val="0"/>
    <w:pPr>
      <w:spacing w:after="120" w:afterLines="0" w:line="480" w:lineRule="auto"/>
      <w:ind w:left="420" w:leftChars="200"/>
    </w:pPr>
  </w:style>
  <w:style w:type="paragraph" w:styleId="24">
    <w:name w:val="Balloon Text"/>
    <w:basedOn w:val="1"/>
    <w:link w:val="62"/>
    <w:qFormat/>
    <w:uiPriority w:val="0"/>
    <w:rPr>
      <w:sz w:val="18"/>
      <w:szCs w:val="18"/>
    </w:rPr>
  </w:style>
  <w:style w:type="paragraph" w:styleId="25">
    <w:name w:val="footer"/>
    <w:basedOn w:val="1"/>
    <w:link w:val="63"/>
    <w:unhideWhenUsed/>
    <w:qFormat/>
    <w:uiPriority w:val="99"/>
    <w:pPr>
      <w:tabs>
        <w:tab w:val="center" w:pos="4153"/>
        <w:tab w:val="right" w:pos="8306"/>
      </w:tabs>
      <w:snapToGrid w:val="0"/>
      <w:jc w:val="left"/>
    </w:pPr>
    <w:rPr>
      <w:sz w:val="18"/>
      <w:szCs w:val="18"/>
    </w:rPr>
  </w:style>
  <w:style w:type="paragraph" w:styleId="26">
    <w:name w:val="header"/>
    <w:basedOn w:val="1"/>
    <w:link w:val="6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360" w:after="360"/>
      <w:jc w:val="left"/>
    </w:pPr>
    <w:rPr>
      <w:rFonts w:ascii="Calibri" w:hAnsi="Calibri"/>
      <w:b/>
      <w:bCs/>
      <w:caps/>
      <w:sz w:val="22"/>
      <w:szCs w:val="22"/>
      <w:u w:val="single"/>
    </w:rPr>
  </w:style>
  <w:style w:type="paragraph" w:styleId="28">
    <w:name w:val="toc 4"/>
    <w:basedOn w:val="1"/>
    <w:next w:val="1"/>
    <w:qFormat/>
    <w:uiPriority w:val="0"/>
    <w:pPr>
      <w:jc w:val="left"/>
    </w:pPr>
    <w:rPr>
      <w:rFonts w:ascii="Calibri" w:hAnsi="Calibri"/>
      <w:sz w:val="22"/>
      <w:szCs w:val="22"/>
    </w:rPr>
  </w:style>
  <w:style w:type="paragraph" w:styleId="29">
    <w:name w:val="List"/>
    <w:basedOn w:val="1"/>
    <w:qFormat/>
    <w:uiPriority w:val="0"/>
    <w:pPr>
      <w:ind w:left="200" w:hanging="200" w:hangingChars="200"/>
    </w:pPr>
    <w:rPr>
      <w:sz w:val="28"/>
    </w:rPr>
  </w:style>
  <w:style w:type="paragraph" w:styleId="30">
    <w:name w:val="toc 6"/>
    <w:basedOn w:val="1"/>
    <w:next w:val="1"/>
    <w:qFormat/>
    <w:uiPriority w:val="0"/>
    <w:pPr>
      <w:jc w:val="left"/>
    </w:pPr>
    <w:rPr>
      <w:rFonts w:ascii="Calibri" w:hAnsi="Calibri"/>
      <w:sz w:val="22"/>
      <w:szCs w:val="22"/>
    </w:rPr>
  </w:style>
  <w:style w:type="paragraph" w:styleId="31">
    <w:name w:val="toc 2"/>
    <w:basedOn w:val="1"/>
    <w:next w:val="1"/>
    <w:qFormat/>
    <w:uiPriority w:val="0"/>
    <w:pPr>
      <w:jc w:val="left"/>
    </w:pPr>
    <w:rPr>
      <w:rFonts w:ascii="Calibri" w:hAnsi="Calibri"/>
      <w:b/>
      <w:bCs/>
      <w:smallCaps/>
      <w:sz w:val="22"/>
      <w:szCs w:val="22"/>
    </w:rPr>
  </w:style>
  <w:style w:type="paragraph" w:styleId="32">
    <w:name w:val="toc 9"/>
    <w:basedOn w:val="1"/>
    <w:next w:val="1"/>
    <w:qFormat/>
    <w:uiPriority w:val="0"/>
    <w:pPr>
      <w:jc w:val="left"/>
    </w:pPr>
    <w:rPr>
      <w:rFonts w:ascii="Calibri" w:hAnsi="Calibri"/>
      <w:sz w:val="22"/>
      <w:szCs w:val="22"/>
    </w:rPr>
  </w:style>
  <w:style w:type="paragraph" w:styleId="3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Title"/>
    <w:basedOn w:val="1"/>
    <w:next w:val="1"/>
    <w:qFormat/>
    <w:uiPriority w:val="0"/>
    <w:pPr>
      <w:widowControl w:val="0"/>
      <w:spacing w:before="240" w:after="60"/>
      <w:jc w:val="center"/>
      <w:outlineLvl w:val="0"/>
    </w:pPr>
    <w:rPr>
      <w:rFonts w:ascii="Arial" w:hAnsi="Arial" w:eastAsia="宋体" w:cs="Arial"/>
      <w:b/>
      <w:bCs/>
      <w:kern w:val="2"/>
      <w:sz w:val="32"/>
      <w:szCs w:val="32"/>
      <w:lang w:val="en-US" w:eastAsia="zh-CN" w:bidi="ar-SA"/>
    </w:rPr>
  </w:style>
  <w:style w:type="paragraph" w:styleId="36">
    <w:name w:val="annotation subject"/>
    <w:basedOn w:val="12"/>
    <w:next w:val="12"/>
    <w:link w:val="65"/>
    <w:qFormat/>
    <w:uiPriority w:val="0"/>
    <w:rPr>
      <w:b/>
      <w:bCs/>
    </w:rPr>
  </w:style>
  <w:style w:type="paragraph" w:styleId="37">
    <w:name w:val="Body Text First Indent"/>
    <w:basedOn w:val="15"/>
    <w:qFormat/>
    <w:uiPriority w:val="0"/>
    <w:pPr>
      <w:wordWrap w:val="0"/>
      <w:topLinePunct/>
      <w:spacing w:after="0" w:line="600" w:lineRule="exact"/>
      <w:ind w:firstLine="880" w:firstLineChars="200"/>
    </w:pPr>
  </w:style>
  <w:style w:type="paragraph" w:styleId="38">
    <w:name w:val="Body Text First Indent 2"/>
    <w:basedOn w:val="16"/>
    <w:qFormat/>
    <w:uiPriority w:val="0"/>
    <w:pPr>
      <w:spacing w:line="600" w:lineRule="exact"/>
      <w:ind w:firstLine="200" w:firstLineChars="200"/>
      <w:jc w:val="both"/>
    </w:pPr>
    <w:rPr>
      <w:rFonts w:ascii="Times New Roman" w:hAnsi="Times New Roman" w:eastAsia="仿宋_GB2312" w:cs="Times New Roman"/>
      <w:kern w:val="2"/>
      <w:sz w:val="32"/>
      <w:szCs w:val="21"/>
      <w:lang w:val="en-US" w:eastAsia="zh-CN" w:bidi="ar-SA"/>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basedOn w:val="41"/>
    <w:qFormat/>
    <w:uiPriority w:val="0"/>
    <w:rPr>
      <w:b/>
    </w:rPr>
  </w:style>
  <w:style w:type="character" w:styleId="43">
    <w:name w:val="page number"/>
    <w:qFormat/>
    <w:uiPriority w:val="0"/>
  </w:style>
  <w:style w:type="character" w:styleId="44">
    <w:name w:val="FollowedHyperlink"/>
    <w:qFormat/>
    <w:uiPriority w:val="0"/>
    <w:rPr>
      <w:color w:val="800080"/>
      <w:u w:val="single"/>
    </w:rPr>
  </w:style>
  <w:style w:type="character" w:styleId="45">
    <w:name w:val="Hyperlink"/>
    <w:qFormat/>
    <w:uiPriority w:val="0"/>
    <w:rPr>
      <w:color w:val="0000FF"/>
      <w:u w:val="single"/>
    </w:rPr>
  </w:style>
  <w:style w:type="character" w:styleId="46">
    <w:name w:val="annotation reference"/>
    <w:qFormat/>
    <w:uiPriority w:val="0"/>
    <w:rPr>
      <w:sz w:val="21"/>
      <w:szCs w:val="21"/>
    </w:rPr>
  </w:style>
  <w:style w:type="paragraph" w:customStyle="1" w:styleId="47">
    <w:name w:val="BodyText1I2"/>
    <w:basedOn w:val="48"/>
    <w:qFormat/>
    <w:uiPriority w:val="0"/>
    <w:pPr>
      <w:ind w:firstLine="420"/>
    </w:pPr>
  </w:style>
  <w:style w:type="paragraph" w:customStyle="1" w:styleId="48">
    <w:name w:val="BodyTextIndent"/>
    <w:basedOn w:val="1"/>
    <w:qFormat/>
    <w:uiPriority w:val="0"/>
    <w:pPr>
      <w:spacing w:after="120"/>
      <w:ind w:left="420" w:leftChars="200"/>
      <w:textAlignment w:val="baseline"/>
    </w:pPr>
  </w:style>
  <w:style w:type="character" w:customStyle="1" w:styleId="49">
    <w:name w:val="标题 1 字符1"/>
    <w:link w:val="3"/>
    <w:qFormat/>
    <w:uiPriority w:val="0"/>
    <w:rPr>
      <w:b/>
      <w:bCs/>
      <w:kern w:val="44"/>
      <w:sz w:val="44"/>
      <w:szCs w:val="44"/>
    </w:rPr>
  </w:style>
  <w:style w:type="character" w:customStyle="1" w:styleId="50">
    <w:name w:val="标题 2 字符1"/>
    <w:link w:val="4"/>
    <w:qFormat/>
    <w:uiPriority w:val="0"/>
    <w:rPr>
      <w:rFonts w:ascii="Arial" w:hAnsi="Arial" w:eastAsia="黑体"/>
      <w:b/>
      <w:bCs/>
      <w:kern w:val="2"/>
      <w:sz w:val="32"/>
      <w:szCs w:val="32"/>
    </w:rPr>
  </w:style>
  <w:style w:type="character" w:customStyle="1" w:styleId="51">
    <w:name w:val="标题 3 字符1"/>
    <w:link w:val="2"/>
    <w:qFormat/>
    <w:uiPriority w:val="0"/>
    <w:rPr>
      <w:b/>
      <w:bCs/>
      <w:kern w:val="2"/>
      <w:sz w:val="32"/>
      <w:szCs w:val="32"/>
    </w:rPr>
  </w:style>
  <w:style w:type="character" w:customStyle="1" w:styleId="52">
    <w:name w:val="标题 4 字符1"/>
    <w:link w:val="5"/>
    <w:qFormat/>
    <w:uiPriority w:val="0"/>
    <w:rPr>
      <w:rFonts w:ascii="Arial" w:eastAsia="黑体"/>
      <w:sz w:val="28"/>
    </w:rPr>
  </w:style>
  <w:style w:type="character" w:customStyle="1" w:styleId="53">
    <w:name w:val="标题 5 字符1"/>
    <w:link w:val="6"/>
    <w:qFormat/>
    <w:uiPriority w:val="9"/>
    <w:rPr>
      <w:b/>
      <w:bCs/>
      <w:kern w:val="2"/>
      <w:sz w:val="28"/>
      <w:szCs w:val="28"/>
    </w:rPr>
  </w:style>
  <w:style w:type="character" w:customStyle="1" w:styleId="54">
    <w:name w:val="文档结构图 字符1"/>
    <w:link w:val="11"/>
    <w:qFormat/>
    <w:uiPriority w:val="0"/>
    <w:rPr>
      <w:rFonts w:ascii="宋体"/>
      <w:kern w:val="2"/>
      <w:sz w:val="18"/>
      <w:szCs w:val="18"/>
    </w:rPr>
  </w:style>
  <w:style w:type="character" w:customStyle="1" w:styleId="55">
    <w:name w:val="批注文字 字符2"/>
    <w:link w:val="12"/>
    <w:qFormat/>
    <w:uiPriority w:val="0"/>
    <w:rPr>
      <w:kern w:val="2"/>
      <w:sz w:val="21"/>
      <w:szCs w:val="24"/>
    </w:rPr>
  </w:style>
  <w:style w:type="character" w:customStyle="1" w:styleId="56">
    <w:name w:val="正文文本 3 字符1"/>
    <w:link w:val="14"/>
    <w:qFormat/>
    <w:uiPriority w:val="99"/>
    <w:rPr>
      <w:kern w:val="2"/>
      <w:sz w:val="16"/>
      <w:szCs w:val="16"/>
    </w:rPr>
  </w:style>
  <w:style w:type="character" w:customStyle="1" w:styleId="57">
    <w:name w:val="正文文本 字符1"/>
    <w:link w:val="15"/>
    <w:qFormat/>
    <w:uiPriority w:val="99"/>
    <w:rPr>
      <w:kern w:val="2"/>
      <w:sz w:val="21"/>
      <w:szCs w:val="24"/>
    </w:rPr>
  </w:style>
  <w:style w:type="character" w:customStyle="1" w:styleId="58">
    <w:name w:val="正文文本缩进 字符1"/>
    <w:link w:val="16"/>
    <w:qFormat/>
    <w:uiPriority w:val="0"/>
    <w:rPr>
      <w:rFonts w:ascii="宋体" w:hAnsi="Courier New" w:eastAsia="宋体"/>
      <w:spacing w:val="-4"/>
      <w:kern w:val="2"/>
      <w:sz w:val="18"/>
      <w:lang w:val="en-US" w:eastAsia="zh-CN" w:bidi="ar-SA"/>
    </w:rPr>
  </w:style>
  <w:style w:type="character" w:customStyle="1" w:styleId="59">
    <w:name w:val="纯文本 字符3"/>
    <w:link w:val="20"/>
    <w:qFormat/>
    <w:uiPriority w:val="0"/>
    <w:rPr>
      <w:rFonts w:ascii="宋体" w:hAnsi="Courier New" w:eastAsia="宋体"/>
      <w:kern w:val="2"/>
      <w:sz w:val="21"/>
      <w:lang w:val="en-US" w:eastAsia="zh-CN" w:bidi="ar-SA"/>
    </w:rPr>
  </w:style>
  <w:style w:type="character" w:customStyle="1" w:styleId="60">
    <w:name w:val="日期 字符1"/>
    <w:link w:val="22"/>
    <w:qFormat/>
    <w:uiPriority w:val="0"/>
    <w:rPr>
      <w:kern w:val="2"/>
      <w:sz w:val="21"/>
      <w:szCs w:val="24"/>
    </w:rPr>
  </w:style>
  <w:style w:type="character" w:customStyle="1" w:styleId="61">
    <w:name w:val="正文文本缩进 2 字符1"/>
    <w:link w:val="23"/>
    <w:qFormat/>
    <w:uiPriority w:val="0"/>
    <w:rPr>
      <w:kern w:val="2"/>
      <w:sz w:val="21"/>
      <w:szCs w:val="24"/>
    </w:rPr>
  </w:style>
  <w:style w:type="character" w:customStyle="1" w:styleId="62">
    <w:name w:val="批注框文本 字符1"/>
    <w:link w:val="24"/>
    <w:qFormat/>
    <w:uiPriority w:val="0"/>
    <w:rPr>
      <w:kern w:val="2"/>
      <w:sz w:val="18"/>
      <w:szCs w:val="18"/>
    </w:rPr>
  </w:style>
  <w:style w:type="character" w:customStyle="1" w:styleId="63">
    <w:name w:val="页脚 字符2"/>
    <w:link w:val="25"/>
    <w:qFormat/>
    <w:uiPriority w:val="99"/>
    <w:rPr>
      <w:kern w:val="2"/>
      <w:sz w:val="18"/>
      <w:szCs w:val="18"/>
    </w:rPr>
  </w:style>
  <w:style w:type="character" w:customStyle="1" w:styleId="64">
    <w:name w:val="页眉 字符2"/>
    <w:link w:val="26"/>
    <w:qFormat/>
    <w:uiPriority w:val="99"/>
    <w:rPr>
      <w:kern w:val="2"/>
      <w:sz w:val="18"/>
      <w:szCs w:val="18"/>
    </w:rPr>
  </w:style>
  <w:style w:type="character" w:customStyle="1" w:styleId="65">
    <w:name w:val="批注主题 字符1"/>
    <w:link w:val="36"/>
    <w:qFormat/>
    <w:uiPriority w:val="99"/>
    <w:rPr>
      <w:b/>
      <w:bCs/>
      <w:kern w:val="2"/>
      <w:sz w:val="21"/>
      <w:szCs w:val="24"/>
    </w:rPr>
  </w:style>
  <w:style w:type="character" w:customStyle="1" w:styleId="66">
    <w:name w:val="标题 2 字符2"/>
    <w:link w:val="4"/>
    <w:qFormat/>
    <w:uiPriority w:val="0"/>
    <w:rPr>
      <w:rFonts w:ascii="Arial" w:hAnsi="Arial" w:eastAsia="黑体" w:cs="Times New Roman"/>
      <w:b/>
      <w:bCs/>
      <w:sz w:val="32"/>
      <w:szCs w:val="32"/>
    </w:rPr>
  </w:style>
  <w:style w:type="character" w:customStyle="1" w:styleId="67">
    <w:name w:val="页眉 字符"/>
    <w:qFormat/>
    <w:uiPriority w:val="99"/>
    <w:rPr>
      <w:rFonts w:ascii="Times New Roman" w:hAnsi="Times New Roman"/>
      <w:kern w:val="2"/>
      <w:sz w:val="18"/>
      <w:szCs w:val="18"/>
    </w:rPr>
  </w:style>
  <w:style w:type="character" w:customStyle="1" w:styleId="68">
    <w:name w:val="Char Char1"/>
    <w:qFormat/>
    <w:uiPriority w:val="0"/>
    <w:rPr>
      <w:rFonts w:ascii="宋体" w:hAnsi="Courier New" w:eastAsia="宋体"/>
      <w:kern w:val="2"/>
      <w:sz w:val="21"/>
      <w:lang w:val="en-US" w:eastAsia="zh-CN" w:bidi="ar-SA"/>
    </w:rPr>
  </w:style>
  <w:style w:type="character" w:customStyle="1" w:styleId="69">
    <w:name w:val="纯文本 字符2"/>
    <w:qFormat/>
    <w:uiPriority w:val="0"/>
    <w:rPr>
      <w:rFonts w:ascii="宋体" w:hAnsi="Courier New" w:eastAsia="宋体" w:cs="Courier New"/>
      <w:szCs w:val="21"/>
    </w:rPr>
  </w:style>
  <w:style w:type="character" w:customStyle="1" w:styleId="70">
    <w:name w:val="正文文本_"/>
    <w:link w:val="71"/>
    <w:qFormat/>
    <w:uiPriority w:val="0"/>
    <w:rPr>
      <w:rFonts w:ascii="MingLiU" w:hAnsi="MingLiU" w:eastAsia="MingLiU" w:cs="MingLiU"/>
      <w:spacing w:val="9"/>
      <w:sz w:val="19"/>
      <w:szCs w:val="19"/>
      <w:shd w:val="clear" w:color="auto" w:fill="FFFFFF"/>
    </w:rPr>
  </w:style>
  <w:style w:type="paragraph" w:customStyle="1" w:styleId="71">
    <w:name w:val="正文文本1"/>
    <w:basedOn w:val="1"/>
    <w:link w:val="70"/>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72">
    <w:name w:val="纯文本 Char1"/>
    <w:link w:val="73"/>
    <w:qFormat/>
    <w:uiPriority w:val="0"/>
    <w:rPr>
      <w:rFonts w:ascii="宋体" w:hAnsi="Courier New" w:eastAsia="宋体"/>
      <w:kern w:val="2"/>
      <w:sz w:val="21"/>
      <w:lang w:val="en-US" w:eastAsia="zh-CN" w:bidi="ar-SA"/>
    </w:rPr>
  </w:style>
  <w:style w:type="paragraph" w:customStyle="1" w:styleId="73">
    <w:name w:val="纯文本1"/>
    <w:basedOn w:val="1"/>
    <w:link w:val="72"/>
    <w:qFormat/>
    <w:uiPriority w:val="0"/>
    <w:rPr>
      <w:rFonts w:ascii="宋体" w:hAnsi="Courier New"/>
      <w:szCs w:val="20"/>
    </w:rPr>
  </w:style>
  <w:style w:type="character" w:customStyle="1" w:styleId="74">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7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6">
    <w:name w:val="页脚 字符"/>
    <w:qFormat/>
    <w:uiPriority w:val="99"/>
    <w:rPr>
      <w:sz w:val="18"/>
      <w:szCs w:val="18"/>
    </w:rPr>
  </w:style>
  <w:style w:type="character" w:customStyle="1" w:styleId="77">
    <w:name w:val="批注文字 字符1"/>
    <w:qFormat/>
    <w:uiPriority w:val="0"/>
    <w:rPr>
      <w:rFonts w:ascii="Times New Roman" w:hAnsi="Times New Roman"/>
      <w:kern w:val="2"/>
      <w:sz w:val="21"/>
      <w:szCs w:val="24"/>
    </w:rPr>
  </w:style>
  <w:style w:type="character" w:customStyle="1" w:styleId="78">
    <w:name w:val="正文2 Char Char"/>
    <w:link w:val="79"/>
    <w:qFormat/>
    <w:uiPriority w:val="0"/>
    <w:rPr>
      <w:kern w:val="2"/>
      <w:sz w:val="24"/>
    </w:rPr>
  </w:style>
  <w:style w:type="paragraph" w:customStyle="1" w:styleId="79">
    <w:name w:val="正文2"/>
    <w:basedOn w:val="1"/>
    <w:link w:val="78"/>
    <w:qFormat/>
    <w:uiPriority w:val="0"/>
    <w:pPr>
      <w:adjustRightInd w:val="0"/>
      <w:spacing w:before="156" w:line="360" w:lineRule="auto"/>
      <w:ind w:firstLine="510" w:firstLineChars="200"/>
    </w:pPr>
    <w:rPr>
      <w:sz w:val="24"/>
      <w:szCs w:val="20"/>
    </w:rPr>
  </w:style>
  <w:style w:type="character" w:customStyle="1" w:styleId="80">
    <w:name w:val="纯文本 Char_0"/>
    <w:link w:val="81"/>
    <w:qFormat/>
    <w:uiPriority w:val="0"/>
    <w:rPr>
      <w:rFonts w:ascii="宋体" w:hAnsi="Courier New"/>
      <w:kern w:val="2"/>
      <w:sz w:val="21"/>
      <w:szCs w:val="21"/>
    </w:rPr>
  </w:style>
  <w:style w:type="paragraph" w:customStyle="1" w:styleId="81">
    <w:name w:val="纯文本_0_0"/>
    <w:basedOn w:val="1"/>
    <w:link w:val="80"/>
    <w:qFormat/>
    <w:uiPriority w:val="0"/>
    <w:rPr>
      <w:rFonts w:ascii="宋体" w:hAnsi="Courier New"/>
      <w:szCs w:val="21"/>
    </w:rPr>
  </w:style>
  <w:style w:type="character" w:customStyle="1" w:styleId="82">
    <w:name w:val="批注文字 Char1"/>
    <w:qFormat/>
    <w:uiPriority w:val="0"/>
    <w:rPr>
      <w:rFonts w:ascii="Times New Roman" w:hAnsi="Times New Roman"/>
      <w:kern w:val="2"/>
      <w:sz w:val="21"/>
      <w:szCs w:val="24"/>
    </w:rPr>
  </w:style>
  <w:style w:type="paragraph" w:styleId="83">
    <w:name w:val="List Paragraph"/>
    <w:basedOn w:val="1"/>
    <w:qFormat/>
    <w:uiPriority w:val="34"/>
    <w:pPr>
      <w:ind w:firstLine="420" w:firstLineChars="200"/>
    </w:pPr>
  </w:style>
  <w:style w:type="paragraph" w:customStyle="1" w:styleId="84">
    <w:name w:val="Char Char Char1 Char Char Char Char Char Char Char"/>
    <w:basedOn w:val="1"/>
    <w:qFormat/>
    <w:uiPriority w:val="0"/>
  </w:style>
  <w:style w:type="paragraph" w:customStyle="1" w:styleId="85">
    <w:name w:val="Char Char Char"/>
    <w:basedOn w:val="1"/>
    <w:qFormat/>
    <w:uiPriority w:val="0"/>
    <w:rPr>
      <w:szCs w:val="20"/>
    </w:rPr>
  </w:style>
  <w:style w:type="paragraph" w:customStyle="1" w:styleId="86">
    <w:name w:val=" Char Char Char Char Char Char Char Char Char Char Char Char"/>
    <w:basedOn w:val="1"/>
    <w:qFormat/>
    <w:uiPriority w:val="0"/>
    <w:pPr>
      <w:widowControl/>
      <w:spacing w:after="160" w:afterLines="0" w:line="240" w:lineRule="exact"/>
      <w:jc w:val="left"/>
    </w:pPr>
  </w:style>
  <w:style w:type="paragraph" w:customStyle="1" w:styleId="87">
    <w:name w:val="列出段落1"/>
    <w:basedOn w:val="1"/>
    <w:qFormat/>
    <w:uiPriority w:val="34"/>
    <w:pPr>
      <w:spacing w:before="100" w:beforeAutospacing="1" w:after="100" w:afterAutospacing="1" w:line="360" w:lineRule="auto"/>
      <w:ind w:firstLine="420" w:firstLineChars="200"/>
    </w:pPr>
  </w:style>
  <w:style w:type="paragraph" w:customStyle="1" w:styleId="88">
    <w:name w:val="_Style 85"/>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lang w:val="en-US" w:eastAsia="zh-CN"/>
    </w:rPr>
  </w:style>
  <w:style w:type="paragraph" w:customStyle="1" w:styleId="89">
    <w:name w:val="样式 标题 2 + 非加粗 首行缩进:  2 字符"/>
    <w:basedOn w:val="4"/>
    <w:qFormat/>
    <w:uiPriority w:val="0"/>
    <w:pPr>
      <w:spacing w:before="0" w:beforeLines="0" w:after="0" w:afterLines="0" w:line="600" w:lineRule="exact"/>
      <w:ind w:firstLine="640" w:firstLineChars="200"/>
      <w:jc w:val="left"/>
    </w:pPr>
    <w:rPr>
      <w:rFonts w:cs="宋体"/>
      <w:b w:val="0"/>
      <w:bCs w:val="0"/>
      <w:szCs w:val="20"/>
    </w:rPr>
  </w:style>
  <w:style w:type="paragraph" w:customStyle="1" w:styleId="90">
    <w:name w:val="Table Paragraph"/>
    <w:basedOn w:val="1"/>
    <w:qFormat/>
    <w:uiPriority w:val="1"/>
    <w:pPr>
      <w:jc w:val="left"/>
    </w:pPr>
    <w:rPr>
      <w:rFonts w:ascii="Calibri" w:hAnsi="Calibri"/>
      <w:kern w:val="0"/>
      <w:sz w:val="22"/>
      <w:szCs w:val="22"/>
      <w:lang w:eastAsia="en-US"/>
    </w:rPr>
  </w:style>
  <w:style w:type="paragraph" w:customStyle="1" w:styleId="91">
    <w:name w:val=" Char"/>
    <w:basedOn w:val="1"/>
    <w:qFormat/>
    <w:uiPriority w:val="0"/>
    <w:rPr>
      <w:szCs w:val="21"/>
    </w:rPr>
  </w:style>
  <w:style w:type="paragraph" w:customStyle="1" w:styleId="92">
    <w:name w:val="Char Char Char Char Char Char Char"/>
    <w:basedOn w:val="1"/>
    <w:qFormat/>
    <w:uiPriority w:val="0"/>
  </w:style>
  <w:style w:type="paragraph" w:customStyle="1" w:styleId="93">
    <w:name w:val=" Char Char Char Char Char Char Char"/>
    <w:basedOn w:val="1"/>
    <w:qFormat/>
    <w:uiPriority w:val="0"/>
  </w:style>
  <w:style w:type="paragraph" w:customStyle="1" w:styleId="94">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5">
    <w:name w:val="Char Char Char Char Char Char Char Char Char Char Char Char"/>
    <w:basedOn w:val="1"/>
    <w:qFormat/>
    <w:uiPriority w:val="0"/>
    <w:pPr>
      <w:widowControl/>
      <w:spacing w:after="160" w:afterLines="0" w:line="240" w:lineRule="exact"/>
      <w:jc w:val="left"/>
    </w:pPr>
  </w:style>
  <w:style w:type="paragraph" w:customStyle="1" w:styleId="96">
    <w:name w:val="表格文字"/>
    <w:basedOn w:val="16"/>
    <w:next w:val="15"/>
    <w:qFormat/>
    <w:uiPriority w:val="0"/>
    <w:pPr>
      <w:adjustRightInd w:val="0"/>
      <w:spacing w:line="420" w:lineRule="atLeast"/>
      <w:jc w:val="left"/>
      <w:textAlignment w:val="baseline"/>
    </w:pPr>
    <w:rPr>
      <w:kern w:val="0"/>
    </w:rPr>
  </w:style>
  <w:style w:type="paragraph" w:customStyle="1" w:styleId="97">
    <w:name w:val="_Style 94"/>
    <w:qFormat/>
    <w:uiPriority w:val="0"/>
    <w:rPr>
      <w:rFonts w:ascii="Times New Roman" w:hAnsi="Times New Roman" w:eastAsia="宋体" w:cs="Times New Roman"/>
      <w:kern w:val="2"/>
      <w:sz w:val="21"/>
      <w:szCs w:val="24"/>
      <w:lang w:val="en-US" w:eastAsia="zh-CN" w:bidi="ar-SA"/>
    </w:rPr>
  </w:style>
  <w:style w:type="paragraph" w:customStyle="1" w:styleId="98">
    <w:name w:val="正文段"/>
    <w:basedOn w:val="1"/>
    <w:qFormat/>
    <w:uiPriority w:val="0"/>
    <w:pPr>
      <w:widowControl/>
      <w:snapToGrid w:val="0"/>
      <w:spacing w:after="156" w:afterLines="50"/>
      <w:ind w:firstLine="200" w:firstLineChars="200"/>
    </w:pPr>
    <w:rPr>
      <w:kern w:val="0"/>
      <w:sz w:val="24"/>
      <w:szCs w:val="20"/>
    </w:rPr>
  </w:style>
  <w:style w:type="paragraph" w:customStyle="1" w:styleId="99">
    <w:name w:val="Char Char Char Char"/>
    <w:basedOn w:val="1"/>
    <w:qFormat/>
    <w:uiPriority w:val="0"/>
    <w:pPr>
      <w:widowControl/>
      <w:spacing w:after="160" w:afterLines="0" w:line="240" w:lineRule="exact"/>
      <w:jc w:val="left"/>
    </w:pPr>
  </w:style>
  <w:style w:type="paragraph" w:customStyle="1" w:styleId="100">
    <w:name w:val="Char"/>
    <w:basedOn w:val="1"/>
    <w:qFormat/>
    <w:uiPriority w:val="0"/>
  </w:style>
  <w:style w:type="paragraph" w:customStyle="1" w:styleId="101">
    <w:name w:val=" Char Char Char Char"/>
    <w:basedOn w:val="1"/>
    <w:qFormat/>
    <w:uiPriority w:val="0"/>
    <w:pPr>
      <w:widowControl/>
      <w:spacing w:after="160" w:afterLines="0" w:line="240" w:lineRule="exact"/>
      <w:jc w:val="left"/>
    </w:pPr>
  </w:style>
  <w:style w:type="paragraph" w:customStyle="1" w:styleId="102">
    <w:name w:val="样式 标题 1 + 居中 段前: 0 磅 段后: 0 磅 行距: 固定值 30 磅"/>
    <w:basedOn w:val="3"/>
    <w:qFormat/>
    <w:uiPriority w:val="0"/>
    <w:pPr>
      <w:spacing w:before="0" w:beforeLines="0" w:after="0" w:afterLines="0" w:line="600" w:lineRule="exact"/>
      <w:jc w:val="center"/>
    </w:pPr>
    <w:rPr>
      <w:rFonts w:cs="宋体"/>
      <w:szCs w:val="20"/>
    </w:rPr>
  </w:style>
  <w:style w:type="paragraph" w:customStyle="1" w:styleId="103">
    <w:name w:val="正文缩进1"/>
    <w:basedOn w:val="1"/>
    <w:next w:val="16"/>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4">
    <w:name w:val="p0"/>
    <w:basedOn w:val="1"/>
    <w:qFormat/>
    <w:uiPriority w:val="0"/>
    <w:pPr>
      <w:widowControl/>
    </w:pPr>
    <w:rPr>
      <w:kern w:val="0"/>
      <w:szCs w:val="21"/>
    </w:rPr>
  </w:style>
  <w:style w:type="paragraph" w:customStyle="1" w:styleId="105">
    <w:name w:val="默认段落字体 Para Char Char Char Char Char Char Char Char Char1 Char Char Char Char"/>
    <w:basedOn w:val="1"/>
    <w:qFormat/>
    <w:uiPriority w:val="0"/>
    <w:rPr>
      <w:rFonts w:ascii="Tahoma" w:hAnsi="Tahoma"/>
      <w:sz w:val="24"/>
      <w:szCs w:val="20"/>
    </w:rPr>
  </w:style>
  <w:style w:type="character" w:customStyle="1" w:styleId="106">
    <w:name w:val="正文文本 字符"/>
    <w:qFormat/>
    <w:uiPriority w:val="99"/>
    <w:rPr>
      <w:kern w:val="2"/>
      <w:sz w:val="21"/>
      <w:szCs w:val="24"/>
    </w:rPr>
  </w:style>
  <w:style w:type="character" w:customStyle="1" w:styleId="107">
    <w:name w:val="纯文本 字符"/>
    <w:qFormat/>
    <w:uiPriority w:val="0"/>
    <w:rPr>
      <w:rFonts w:ascii="宋体" w:hAnsi="Courier New"/>
      <w:kern w:val="2"/>
      <w:sz w:val="21"/>
    </w:rPr>
  </w:style>
  <w:style w:type="character" w:customStyle="1" w:styleId="108">
    <w:name w:val="标题 1 字符"/>
    <w:qFormat/>
    <w:uiPriority w:val="0"/>
    <w:rPr>
      <w:b/>
      <w:bCs/>
      <w:kern w:val="44"/>
      <w:sz w:val="44"/>
      <w:szCs w:val="44"/>
    </w:rPr>
  </w:style>
  <w:style w:type="character" w:customStyle="1" w:styleId="109">
    <w:name w:val="标题 2 字符"/>
    <w:qFormat/>
    <w:uiPriority w:val="0"/>
    <w:rPr>
      <w:rFonts w:ascii="Arial" w:hAnsi="Arial" w:eastAsia="黑体"/>
      <w:b/>
      <w:bCs/>
      <w:kern w:val="2"/>
      <w:sz w:val="32"/>
      <w:szCs w:val="32"/>
    </w:rPr>
  </w:style>
  <w:style w:type="character" w:customStyle="1" w:styleId="110">
    <w:name w:val="标题 3 字符"/>
    <w:qFormat/>
    <w:uiPriority w:val="0"/>
    <w:rPr>
      <w:b/>
      <w:bCs/>
      <w:kern w:val="2"/>
      <w:sz w:val="32"/>
      <w:szCs w:val="32"/>
    </w:rPr>
  </w:style>
  <w:style w:type="character" w:customStyle="1" w:styleId="111">
    <w:name w:val="标题 4 字符"/>
    <w:qFormat/>
    <w:uiPriority w:val="0"/>
    <w:rPr>
      <w:rFonts w:ascii="Arial" w:eastAsia="黑体"/>
      <w:sz w:val="28"/>
    </w:rPr>
  </w:style>
  <w:style w:type="character" w:customStyle="1" w:styleId="112">
    <w:name w:val="标题 5 字符"/>
    <w:qFormat/>
    <w:uiPriority w:val="9"/>
    <w:rPr>
      <w:b/>
      <w:bCs/>
      <w:kern w:val="2"/>
      <w:sz w:val="28"/>
      <w:szCs w:val="28"/>
    </w:rPr>
  </w:style>
  <w:style w:type="character" w:customStyle="1" w:styleId="113">
    <w:name w:val="文档结构图 字符"/>
    <w:qFormat/>
    <w:uiPriority w:val="0"/>
    <w:rPr>
      <w:rFonts w:ascii="宋体"/>
      <w:kern w:val="2"/>
      <w:sz w:val="18"/>
      <w:szCs w:val="18"/>
    </w:rPr>
  </w:style>
  <w:style w:type="character" w:customStyle="1" w:styleId="114">
    <w:name w:val="批注文字 字符"/>
    <w:qFormat/>
    <w:uiPriority w:val="0"/>
    <w:rPr>
      <w:kern w:val="2"/>
      <w:sz w:val="21"/>
      <w:szCs w:val="24"/>
    </w:rPr>
  </w:style>
  <w:style w:type="character" w:customStyle="1" w:styleId="115">
    <w:name w:val="正文文本 3 字符"/>
    <w:qFormat/>
    <w:uiPriority w:val="99"/>
    <w:rPr>
      <w:kern w:val="2"/>
      <w:sz w:val="16"/>
      <w:szCs w:val="16"/>
    </w:rPr>
  </w:style>
  <w:style w:type="character" w:customStyle="1" w:styleId="116">
    <w:name w:val="正文文本缩进 字符"/>
    <w:qFormat/>
    <w:uiPriority w:val="0"/>
    <w:rPr>
      <w:rFonts w:ascii="宋体" w:hAnsi="Courier New"/>
      <w:spacing w:val="-4"/>
      <w:kern w:val="2"/>
      <w:sz w:val="18"/>
    </w:rPr>
  </w:style>
  <w:style w:type="character" w:customStyle="1" w:styleId="117">
    <w:name w:val="日期 字符"/>
    <w:qFormat/>
    <w:uiPriority w:val="0"/>
    <w:rPr>
      <w:kern w:val="2"/>
      <w:sz w:val="21"/>
      <w:szCs w:val="24"/>
    </w:rPr>
  </w:style>
  <w:style w:type="character" w:customStyle="1" w:styleId="118">
    <w:name w:val="正文文本缩进 2 字符"/>
    <w:qFormat/>
    <w:uiPriority w:val="0"/>
    <w:rPr>
      <w:kern w:val="2"/>
      <w:sz w:val="21"/>
      <w:szCs w:val="24"/>
    </w:rPr>
  </w:style>
  <w:style w:type="character" w:customStyle="1" w:styleId="119">
    <w:name w:val="批注框文本 字符"/>
    <w:qFormat/>
    <w:uiPriority w:val="0"/>
    <w:rPr>
      <w:kern w:val="2"/>
      <w:sz w:val="18"/>
      <w:szCs w:val="18"/>
    </w:rPr>
  </w:style>
  <w:style w:type="character" w:customStyle="1" w:styleId="120">
    <w:name w:val="页脚 字符1"/>
    <w:qFormat/>
    <w:uiPriority w:val="99"/>
    <w:rPr>
      <w:kern w:val="2"/>
      <w:sz w:val="18"/>
      <w:szCs w:val="18"/>
    </w:rPr>
  </w:style>
  <w:style w:type="character" w:customStyle="1" w:styleId="121">
    <w:name w:val="页眉 字符1"/>
    <w:qFormat/>
    <w:uiPriority w:val="99"/>
    <w:rPr>
      <w:kern w:val="2"/>
      <w:sz w:val="18"/>
      <w:szCs w:val="18"/>
    </w:rPr>
  </w:style>
  <w:style w:type="character" w:customStyle="1" w:styleId="122">
    <w:name w:val="批注主题 字符"/>
    <w:qFormat/>
    <w:uiPriority w:val="99"/>
    <w:rPr>
      <w:b/>
      <w:bCs/>
      <w:kern w:val="2"/>
      <w:sz w:val="21"/>
      <w:szCs w:val="24"/>
    </w:rPr>
  </w:style>
  <w:style w:type="paragraph" w:customStyle="1" w:styleId="123">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4">
    <w:name w:val="纯文本 字符1"/>
    <w:semiHidden/>
    <w:qFormat/>
    <w:locked/>
    <w:uiPriority w:val="0"/>
    <w:rPr>
      <w:rFonts w:ascii="宋体" w:hAnsi="Courier New"/>
      <w:kern w:val="2"/>
      <w:sz w:val="21"/>
    </w:rPr>
  </w:style>
  <w:style w:type="paragraph" w:customStyle="1" w:styleId="125">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26">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Cs w:val="21"/>
    </w:rPr>
  </w:style>
  <w:style w:type="paragraph" w:customStyle="1" w:styleId="127">
    <w:name w:val="Default"/>
    <w:basedOn w:val="73"/>
    <w:next w:val="13"/>
    <w:qFormat/>
    <w:uiPriority w:val="0"/>
    <w:pPr>
      <w:widowControl w:val="0"/>
      <w:autoSpaceDE w:val="0"/>
      <w:autoSpaceDN w:val="0"/>
      <w:adjustRightInd w:val="0"/>
    </w:pPr>
    <w:rPr>
      <w:rFonts w:hint="eastAsia" w:ascii="方正仿宋_GBK" w:hAnsi="方正仿宋_GBK" w:eastAsia="方正仿宋_GBK"/>
      <w:color w:val="000000"/>
      <w:sz w:val="24"/>
      <w:lang w:val="en-US" w:eastAsia="zh-CN" w:bidi="ar-SA"/>
    </w:rPr>
  </w:style>
  <w:style w:type="paragraph" w:customStyle="1" w:styleId="128">
    <w:name w:val="Legal_L2"/>
    <w:basedOn w:val="1"/>
    <w:qFormat/>
    <w:uiPriority w:val="0"/>
    <w:pPr>
      <w:widowControl/>
      <w:spacing w:after="240" w:line="259" w:lineRule="auto"/>
      <w:jc w:val="left"/>
      <w:outlineLvl w:val="1"/>
    </w:pPr>
    <w:rPr>
      <w:kern w:val="0"/>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home\gxxc\D:\home\gxxc\D:\home\gxxc\D:\home\gxxc\D:\Users\langzhengyi\Library\Containers\com.kingsoft.wpsoffice.mac\Data\C:\Users\langzhengyi\Library\Containers\com.kingsoft.wpsoffice.mac\Data\C:\home\inspur\C:\home\inspur\192.168.200.66\4&#37096;&#20849;&#20139;1\2025&#24180;&#25307;&#26631;&#39033;&#30446;\11&#26376;\&#20840;&#21306;&#38750;&#27861;&#22534;&#23384;&#12289;&#36716;&#31227;&#28041;&#37325;&#22266;&#20307;&#24223;&#29289;&#21361;&#38505;&#29305;&#24615;&#37492;&#21035;&#21450;&#27745;&#26579;&#37322;&#25918;&#33021;&#21147;&#35780;&#20272;&#39033;&#30446;\&#65288;1117&#25307;&#26631;&#25991;&#20214;&#65289;12.&#20840;&#21306;&#38750;&#27861;&#22534;&#23384;&#12289;&#36716;&#31227;&#28041;&#37325;&#22266;&#20307;&#24223;&#29289;&#21361;&#38505;&#29305;&#24615;&#37492;&#21035;&#21450;&#27745;&#26579;&#37322;&#25918;&#33021;&#21147;&#35780;&#20272;&#39033;&#3044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（1117招标文件）12.全区非法堆存、转移涉重固体废物危险特性鉴别及污染释放能力评估项目.dotx</Template>
  <Pages>86</Pages>
  <Words>3418</Words>
  <Characters>4080</Characters>
  <Lines>1</Lines>
  <Paragraphs>1</Paragraphs>
  <TotalTime>8</TotalTime>
  <ScaleCrop>false</ScaleCrop>
  <LinksUpToDate>false</LinksUpToDate>
  <CharactersWithSpaces>4237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2025-11-24T19:43:00Z</dcterms:created>
  <dc:creator>黄艳颀</dc:creator>
  <cp:lastModifiedBy>招标中心</cp:lastModifiedBy>
  <cp:lastPrinted>2026-07-23T22:56:00Z</cp:lastPrinted>
  <dcterms:modified xsi:type="dcterms:W3CDTF">2026-07-24T08:57:05Z</dcterms:modified>
  <dc:title>南财采管〔2012〕3号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516094F105BB41F9AC0F45B258B5E081_13</vt:lpwstr>
  </property>
  <property fmtid="{D5CDD505-2E9C-101B-9397-08002B2CF9AE}" pid="4" name="KSOTemplateDocerSaveRecord">
    <vt:lpwstr>eyJoZGlkIjoiYTAwODU1ZGIxYTBmMTA4M2ZkMDM3YzRhZWY3NWFjNDMiLCJ1c2VySWQiOiIxNTQ4OTc5NDEzIn0=</vt:lpwstr>
  </property>
</Properties>
</file>