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20AE90C">
      <w:pPr>
        <w:pStyle w:val="19"/>
        <w:kinsoku w:val="0"/>
        <w:overflowPunct w:val="0"/>
        <w:rPr>
          <w:color w:val="auto"/>
          <w:sz w:val="20"/>
          <w:highlight w:val="none"/>
        </w:rPr>
      </w:pPr>
      <w:bookmarkStart w:id="0" w:name="_Toc183682338"/>
      <w:bookmarkStart w:id="1" w:name="_Toc217446030"/>
    </w:p>
    <w:p w14:paraId="379B4953">
      <w:pPr>
        <w:tabs>
          <w:tab w:val="left" w:pos="1710"/>
        </w:tabs>
        <w:rPr>
          <w:color w:val="auto"/>
          <w:highlight w:val="none"/>
        </w:rPr>
      </w:pPr>
    </w:p>
    <w:p w14:paraId="5B58D86E">
      <w:pPr>
        <w:tabs>
          <w:tab w:val="left" w:pos="1710"/>
        </w:tabs>
        <w:rPr>
          <w:color w:val="auto"/>
          <w:highlight w:val="none"/>
        </w:rPr>
      </w:pPr>
    </w:p>
    <w:p w14:paraId="7A73E7A6">
      <w:pPr>
        <w:tabs>
          <w:tab w:val="left" w:pos="1710"/>
        </w:tabs>
        <w:rPr>
          <w:color w:val="auto"/>
          <w:highlight w:val="none"/>
        </w:rPr>
      </w:pPr>
    </w:p>
    <w:p w14:paraId="4B8AB687">
      <w:pPr>
        <w:tabs>
          <w:tab w:val="left" w:pos="1710"/>
        </w:tabs>
        <w:rPr>
          <w:color w:val="auto"/>
          <w:highlight w:val="none"/>
        </w:rPr>
      </w:pPr>
    </w:p>
    <w:p w14:paraId="23893030">
      <w:pPr>
        <w:tabs>
          <w:tab w:val="left" w:pos="1710"/>
        </w:tabs>
        <w:rPr>
          <w:color w:val="auto"/>
          <w:highlight w:val="none"/>
        </w:rPr>
      </w:pP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5942"/>
      </w:tblGrid>
      <w:tr w14:paraId="65D57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7706" w:type="dxa"/>
            <w:gridSpan w:val="2"/>
            <w:tcBorders>
              <w:top w:val="nil"/>
              <w:left w:val="nil"/>
              <w:right w:val="nil"/>
            </w:tcBorders>
          </w:tcPr>
          <w:p w14:paraId="610A5E6D">
            <w:pPr>
              <w:snapToGrid w:val="0"/>
              <w:spacing w:line="240" w:lineRule="atLeast"/>
              <w:jc w:val="center"/>
              <w:rPr>
                <w:b/>
                <w:color w:val="auto"/>
                <w:sz w:val="60"/>
                <w:szCs w:val="60"/>
                <w:highlight w:val="none"/>
              </w:rPr>
            </w:pPr>
            <w:r>
              <w:rPr>
                <w:rFonts w:hint="eastAsia"/>
                <w:b/>
                <w:color w:val="auto"/>
                <w:sz w:val="60"/>
                <w:szCs w:val="60"/>
                <w:highlight w:val="none"/>
              </w:rPr>
              <w:t>采购</w:t>
            </w:r>
            <w:r>
              <w:rPr>
                <w:b/>
                <w:color w:val="auto"/>
                <w:sz w:val="60"/>
                <w:szCs w:val="60"/>
                <w:highlight w:val="none"/>
              </w:rPr>
              <w:t>文件</w:t>
            </w:r>
          </w:p>
        </w:tc>
      </w:tr>
      <w:tr w14:paraId="4DF89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exact"/>
          <w:jc w:val="center"/>
        </w:trPr>
        <w:tc>
          <w:tcPr>
            <w:tcW w:w="1764" w:type="dxa"/>
            <w:vAlign w:val="center"/>
          </w:tcPr>
          <w:p w14:paraId="492682B7">
            <w:pPr>
              <w:rPr>
                <w:b/>
                <w:color w:val="auto"/>
                <w:sz w:val="32"/>
                <w:szCs w:val="32"/>
                <w:highlight w:val="none"/>
              </w:rPr>
            </w:pPr>
            <w:r>
              <w:rPr>
                <w:b/>
                <w:color w:val="auto"/>
                <w:sz w:val="32"/>
                <w:szCs w:val="32"/>
                <w:highlight w:val="none"/>
              </w:rPr>
              <w:t>项目名称：</w:t>
            </w:r>
          </w:p>
        </w:tc>
        <w:tc>
          <w:tcPr>
            <w:tcW w:w="5942" w:type="dxa"/>
            <w:vAlign w:val="center"/>
          </w:tcPr>
          <w:p w14:paraId="65717DEB">
            <w:pPr>
              <w:rPr>
                <w:rFonts w:hint="eastAsia" w:eastAsia="宋体"/>
                <w:b/>
                <w:color w:val="auto"/>
                <w:sz w:val="32"/>
                <w:szCs w:val="32"/>
                <w:highlight w:val="none"/>
                <w:lang w:eastAsia="zh-CN"/>
              </w:rPr>
            </w:pPr>
            <w:r>
              <w:rPr>
                <w:rFonts w:hint="eastAsia"/>
                <w:b/>
                <w:color w:val="auto"/>
                <w:sz w:val="32"/>
                <w:szCs w:val="32"/>
                <w:highlight w:val="none"/>
                <w:lang w:eastAsia="zh-CN"/>
              </w:rPr>
              <w:t>防城港市森林防火指挥中心和广西十万大山国家级自然保护区业务用房消防系统整改工程（重）</w:t>
            </w:r>
          </w:p>
        </w:tc>
      </w:tr>
      <w:tr w14:paraId="2BC42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vAlign w:val="center"/>
          </w:tcPr>
          <w:p w14:paraId="560F9AC1">
            <w:pPr>
              <w:rPr>
                <w:b/>
                <w:color w:val="auto"/>
                <w:sz w:val="32"/>
                <w:szCs w:val="32"/>
                <w:highlight w:val="none"/>
              </w:rPr>
            </w:pPr>
            <w:r>
              <w:rPr>
                <w:b/>
                <w:color w:val="auto"/>
                <w:sz w:val="32"/>
                <w:szCs w:val="32"/>
                <w:highlight w:val="none"/>
              </w:rPr>
              <w:t>项目编号：</w:t>
            </w:r>
          </w:p>
        </w:tc>
        <w:tc>
          <w:tcPr>
            <w:tcW w:w="5942" w:type="dxa"/>
            <w:vAlign w:val="center"/>
          </w:tcPr>
          <w:p w14:paraId="2FB0C6B7">
            <w:pPr>
              <w:rPr>
                <w:rFonts w:hint="eastAsia" w:eastAsia="宋体"/>
                <w:b/>
                <w:color w:val="auto"/>
                <w:sz w:val="32"/>
                <w:szCs w:val="32"/>
                <w:highlight w:val="none"/>
                <w:lang w:eastAsia="zh-CN"/>
              </w:rPr>
            </w:pPr>
            <w:r>
              <w:rPr>
                <w:rFonts w:hint="eastAsia"/>
                <w:b/>
                <w:color w:val="auto"/>
                <w:sz w:val="32"/>
                <w:szCs w:val="32"/>
                <w:highlight w:val="none"/>
                <w:lang w:eastAsia="zh-CN"/>
              </w:rPr>
              <w:t>FCZC2026-C2-990173-JDZB</w:t>
            </w:r>
          </w:p>
        </w:tc>
      </w:tr>
      <w:tr w14:paraId="1BE3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vAlign w:val="center"/>
          </w:tcPr>
          <w:p w14:paraId="1E9F9BEA">
            <w:pPr>
              <w:rPr>
                <w:b/>
                <w:color w:val="auto"/>
                <w:sz w:val="32"/>
                <w:szCs w:val="32"/>
                <w:highlight w:val="none"/>
              </w:rPr>
            </w:pPr>
            <w:r>
              <w:rPr>
                <w:b/>
                <w:color w:val="auto"/>
                <w:sz w:val="32"/>
                <w:szCs w:val="32"/>
                <w:highlight w:val="none"/>
              </w:rPr>
              <w:t>联系电话：</w:t>
            </w:r>
          </w:p>
        </w:tc>
        <w:tc>
          <w:tcPr>
            <w:tcW w:w="5942" w:type="dxa"/>
            <w:vAlign w:val="center"/>
          </w:tcPr>
          <w:p w14:paraId="6C2D2B4F">
            <w:pPr>
              <w:rPr>
                <w:b/>
                <w:color w:val="auto"/>
                <w:sz w:val="32"/>
                <w:szCs w:val="32"/>
                <w:highlight w:val="none"/>
              </w:rPr>
            </w:pPr>
            <w:r>
              <w:rPr>
                <w:rFonts w:hint="eastAsia"/>
                <w:b/>
                <w:color w:val="auto"/>
                <w:sz w:val="32"/>
                <w:szCs w:val="32"/>
                <w:highlight w:val="none"/>
              </w:rPr>
              <w:t>17677662572</w:t>
            </w:r>
          </w:p>
        </w:tc>
      </w:tr>
      <w:tr w14:paraId="1D43A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vAlign w:val="center"/>
          </w:tcPr>
          <w:p w14:paraId="7D96EE76">
            <w:pPr>
              <w:rPr>
                <w:b/>
                <w:color w:val="auto"/>
                <w:sz w:val="32"/>
                <w:szCs w:val="32"/>
                <w:highlight w:val="none"/>
              </w:rPr>
            </w:pPr>
            <w:r>
              <w:rPr>
                <w:rFonts w:hint="eastAsia"/>
                <w:b/>
                <w:color w:val="auto"/>
                <w:sz w:val="32"/>
                <w:szCs w:val="32"/>
                <w:highlight w:val="none"/>
              </w:rPr>
              <w:t>采购方式：</w:t>
            </w:r>
          </w:p>
        </w:tc>
        <w:tc>
          <w:tcPr>
            <w:tcW w:w="5942" w:type="dxa"/>
            <w:vAlign w:val="center"/>
          </w:tcPr>
          <w:p w14:paraId="22471D81">
            <w:pPr>
              <w:rPr>
                <w:b/>
                <w:color w:val="auto"/>
                <w:sz w:val="32"/>
                <w:szCs w:val="32"/>
                <w:highlight w:val="none"/>
              </w:rPr>
            </w:pPr>
            <w:r>
              <w:rPr>
                <w:rFonts w:hint="eastAsia"/>
                <w:b/>
                <w:color w:val="auto"/>
                <w:sz w:val="32"/>
                <w:szCs w:val="32"/>
                <w:highlight w:val="none"/>
              </w:rPr>
              <w:t>竞争性磋商</w:t>
            </w:r>
          </w:p>
        </w:tc>
      </w:tr>
    </w:tbl>
    <w:p w14:paraId="46BAEACA">
      <w:pPr>
        <w:tabs>
          <w:tab w:val="left" w:pos="1710"/>
        </w:tabs>
        <w:rPr>
          <w:color w:val="auto"/>
          <w:highlight w:val="none"/>
        </w:rPr>
      </w:pPr>
    </w:p>
    <w:p w14:paraId="0BCE3442">
      <w:pPr>
        <w:rPr>
          <w:color w:val="auto"/>
          <w:highlight w:val="none"/>
        </w:rPr>
      </w:pPr>
    </w:p>
    <w:p w14:paraId="00B77889">
      <w:pPr>
        <w:rPr>
          <w:color w:val="auto"/>
          <w:highlight w:val="none"/>
        </w:rPr>
      </w:pPr>
    </w:p>
    <w:p w14:paraId="1997C7DC">
      <w:pPr>
        <w:rPr>
          <w:color w:val="auto"/>
          <w:highlight w:val="none"/>
        </w:rPr>
      </w:pPr>
    </w:p>
    <w:p w14:paraId="6EDAFD37">
      <w:pPr>
        <w:rPr>
          <w:color w:val="auto"/>
          <w:highlight w:val="none"/>
        </w:rPr>
      </w:pPr>
    </w:p>
    <w:p w14:paraId="62311875">
      <w:pPr>
        <w:rPr>
          <w:color w:val="auto"/>
          <w:highlight w:val="none"/>
        </w:rPr>
      </w:pPr>
    </w:p>
    <w:p w14:paraId="10843146">
      <w:pPr>
        <w:rPr>
          <w:color w:val="auto"/>
          <w:highlight w:val="none"/>
        </w:rPr>
      </w:pPr>
    </w:p>
    <w:p w14:paraId="3A630C11">
      <w:pPr>
        <w:rPr>
          <w:color w:val="auto"/>
          <w:highlight w:val="none"/>
        </w:rPr>
      </w:pPr>
    </w:p>
    <w:p w14:paraId="04D2C684">
      <w:pPr>
        <w:rPr>
          <w:color w:val="auto"/>
          <w:highlight w:val="none"/>
        </w:rPr>
      </w:pPr>
    </w:p>
    <w:p w14:paraId="25165D5E">
      <w:pPr>
        <w:rPr>
          <w:color w:val="auto"/>
          <w:highlight w:val="none"/>
        </w:rPr>
      </w:pPr>
    </w:p>
    <w:p w14:paraId="6608A774">
      <w:pPr>
        <w:rPr>
          <w:color w:val="auto"/>
          <w:highlight w:val="none"/>
        </w:rPr>
      </w:pPr>
    </w:p>
    <w:p w14:paraId="750CF1D7">
      <w:pPr>
        <w:rPr>
          <w:color w:val="auto"/>
          <w:highlight w:val="none"/>
        </w:rPr>
      </w:pPr>
    </w:p>
    <w:p w14:paraId="0CA6CA1B">
      <w:pPr>
        <w:rPr>
          <w:color w:val="auto"/>
          <w:highlight w:val="none"/>
        </w:rPr>
      </w:pPr>
    </w:p>
    <w:p w14:paraId="75A4312B">
      <w:pPr>
        <w:rPr>
          <w:color w:val="auto"/>
          <w:highlight w:val="none"/>
        </w:rPr>
      </w:pPr>
    </w:p>
    <w:p w14:paraId="36FF23C6">
      <w:pPr>
        <w:rPr>
          <w:color w:val="auto"/>
          <w:highlight w:val="none"/>
        </w:rPr>
      </w:pPr>
    </w:p>
    <w:tbl>
      <w:tblPr>
        <w:tblStyle w:val="54"/>
        <w:tblW w:w="0" w:type="auto"/>
        <w:jc w:val="center"/>
        <w:tblLayout w:type="fixed"/>
        <w:tblCellMar>
          <w:top w:w="0" w:type="dxa"/>
          <w:left w:w="108" w:type="dxa"/>
          <w:bottom w:w="0" w:type="dxa"/>
          <w:right w:w="108" w:type="dxa"/>
        </w:tblCellMar>
      </w:tblPr>
      <w:tblGrid>
        <w:gridCol w:w="2707"/>
        <w:gridCol w:w="6"/>
        <w:gridCol w:w="5571"/>
      </w:tblGrid>
      <w:tr w14:paraId="34170874">
        <w:tblPrEx>
          <w:tblCellMar>
            <w:top w:w="0" w:type="dxa"/>
            <w:left w:w="108" w:type="dxa"/>
            <w:bottom w:w="0" w:type="dxa"/>
            <w:right w:w="108" w:type="dxa"/>
          </w:tblCellMar>
        </w:tblPrEx>
        <w:trPr>
          <w:trHeight w:val="703" w:hRule="atLeast"/>
          <w:jc w:val="center"/>
        </w:trPr>
        <w:tc>
          <w:tcPr>
            <w:tcW w:w="2707" w:type="dxa"/>
            <w:vAlign w:val="center"/>
          </w:tcPr>
          <w:p w14:paraId="750C4528">
            <w:pPr>
              <w:autoSpaceDE w:val="0"/>
              <w:autoSpaceDN w:val="0"/>
              <w:adjustRightInd w:val="0"/>
              <w:jc w:val="right"/>
              <w:rPr>
                <w:b/>
                <w:color w:val="auto"/>
                <w:sz w:val="32"/>
                <w:szCs w:val="32"/>
                <w:highlight w:val="none"/>
              </w:rPr>
            </w:pPr>
            <w:r>
              <w:rPr>
                <w:b/>
                <w:color w:val="auto"/>
                <w:sz w:val="32"/>
                <w:szCs w:val="32"/>
                <w:highlight w:val="none"/>
              </w:rPr>
              <w:t xml:space="preserve">  采购人：</w:t>
            </w:r>
          </w:p>
        </w:tc>
        <w:tc>
          <w:tcPr>
            <w:tcW w:w="5577" w:type="dxa"/>
            <w:gridSpan w:val="2"/>
            <w:vAlign w:val="center"/>
          </w:tcPr>
          <w:p w14:paraId="72C614C0">
            <w:pPr>
              <w:autoSpaceDE w:val="0"/>
              <w:autoSpaceDN w:val="0"/>
              <w:adjustRightInd w:val="0"/>
              <w:jc w:val="left"/>
              <w:rPr>
                <w:rFonts w:hint="eastAsia" w:eastAsia="宋体"/>
                <w:b/>
                <w:color w:val="auto"/>
                <w:sz w:val="32"/>
                <w:szCs w:val="32"/>
                <w:highlight w:val="none"/>
                <w:lang w:eastAsia="zh-CN"/>
              </w:rPr>
            </w:pPr>
            <w:r>
              <w:rPr>
                <w:rFonts w:hint="eastAsia"/>
                <w:b/>
                <w:color w:val="auto"/>
                <w:sz w:val="32"/>
                <w:szCs w:val="32"/>
                <w:highlight w:val="none"/>
                <w:lang w:eastAsia="zh-CN"/>
              </w:rPr>
              <w:t>防城港市十万大山国家级自然保护区管理局</w:t>
            </w:r>
          </w:p>
        </w:tc>
      </w:tr>
      <w:tr w14:paraId="2AD3335A">
        <w:tblPrEx>
          <w:tblCellMar>
            <w:top w:w="0" w:type="dxa"/>
            <w:left w:w="108" w:type="dxa"/>
            <w:bottom w:w="0" w:type="dxa"/>
            <w:right w:w="108" w:type="dxa"/>
          </w:tblCellMar>
        </w:tblPrEx>
        <w:trPr>
          <w:trHeight w:val="703" w:hRule="atLeast"/>
          <w:jc w:val="center"/>
        </w:trPr>
        <w:tc>
          <w:tcPr>
            <w:tcW w:w="2713" w:type="dxa"/>
            <w:gridSpan w:val="2"/>
          </w:tcPr>
          <w:p w14:paraId="72AC29F9">
            <w:pPr>
              <w:autoSpaceDE w:val="0"/>
              <w:autoSpaceDN w:val="0"/>
              <w:adjustRightInd w:val="0"/>
              <w:jc w:val="right"/>
              <w:rPr>
                <w:b/>
                <w:color w:val="auto"/>
                <w:sz w:val="32"/>
                <w:szCs w:val="32"/>
                <w:highlight w:val="none"/>
              </w:rPr>
            </w:pPr>
            <w:r>
              <w:rPr>
                <w:b/>
                <w:color w:val="auto"/>
                <w:sz w:val="32"/>
                <w:szCs w:val="32"/>
                <w:highlight w:val="none"/>
              </w:rPr>
              <w:t>采购代理机构：</w:t>
            </w:r>
          </w:p>
        </w:tc>
        <w:tc>
          <w:tcPr>
            <w:tcW w:w="5571" w:type="dxa"/>
          </w:tcPr>
          <w:p w14:paraId="51D31B82">
            <w:pPr>
              <w:autoSpaceDE w:val="0"/>
              <w:autoSpaceDN w:val="0"/>
              <w:adjustRightInd w:val="0"/>
              <w:rPr>
                <w:b/>
                <w:color w:val="auto"/>
                <w:sz w:val="32"/>
                <w:szCs w:val="32"/>
                <w:highlight w:val="none"/>
                <w:u w:val="single"/>
              </w:rPr>
            </w:pPr>
            <w:r>
              <w:rPr>
                <w:b/>
                <w:color w:val="auto"/>
                <w:sz w:val="32"/>
                <w:szCs w:val="32"/>
                <w:highlight w:val="none"/>
              </w:rPr>
              <w:t>广西机电设备招标有限公司</w:t>
            </w:r>
          </w:p>
        </w:tc>
      </w:tr>
    </w:tbl>
    <w:p w14:paraId="0365D778">
      <w:pPr>
        <w:rPr>
          <w:color w:val="auto"/>
          <w:highlight w:val="none"/>
        </w:rPr>
      </w:pPr>
    </w:p>
    <w:p w14:paraId="7507CCEA">
      <w:pPr>
        <w:ind w:firstLine="321" w:firstLineChars="100"/>
        <w:jc w:val="center"/>
        <w:rPr>
          <w:b/>
          <w:color w:val="auto"/>
          <w:sz w:val="32"/>
          <w:szCs w:val="32"/>
          <w:highlight w:val="none"/>
        </w:rPr>
        <w:sectPr>
          <w:headerReference r:id="rId3" w:type="first"/>
          <w:footerReference r:id="rId6" w:type="first"/>
          <w:footerReference r:id="rId4" w:type="default"/>
          <w:footerReference r:id="rId5" w:type="even"/>
          <w:type w:val="nextColumn"/>
          <w:pgSz w:w="11906" w:h="16838"/>
          <w:pgMar w:top="1418" w:right="1418" w:bottom="1246" w:left="1418" w:header="851" w:footer="992" w:gutter="0"/>
          <w:pgNumType w:start="0"/>
          <w:cols w:space="720" w:num="1"/>
          <w:titlePg/>
          <w:docGrid w:linePitch="312" w:charSpace="0"/>
        </w:sectPr>
      </w:pPr>
      <w:r>
        <w:rPr>
          <w:b/>
          <w:color w:val="auto"/>
          <w:sz w:val="32"/>
          <w:szCs w:val="32"/>
          <w:highlight w:val="none"/>
        </w:rPr>
        <w:t>202</w:t>
      </w:r>
      <w:r>
        <w:rPr>
          <w:rFonts w:hint="eastAsia"/>
          <w:b/>
          <w:color w:val="auto"/>
          <w:sz w:val="32"/>
          <w:szCs w:val="32"/>
          <w:highlight w:val="none"/>
          <w:lang w:val="en-US" w:eastAsia="zh-CN"/>
        </w:rPr>
        <w:t>6</w:t>
      </w:r>
      <w:r>
        <w:rPr>
          <w:b/>
          <w:color w:val="auto"/>
          <w:sz w:val="32"/>
          <w:szCs w:val="32"/>
          <w:highlight w:val="none"/>
        </w:rPr>
        <w:t>年</w:t>
      </w:r>
      <w:r>
        <w:rPr>
          <w:rFonts w:hint="eastAsia"/>
          <w:b/>
          <w:color w:val="auto"/>
          <w:sz w:val="32"/>
          <w:szCs w:val="32"/>
          <w:highlight w:val="none"/>
          <w:lang w:val="en-US" w:eastAsia="zh-CN"/>
        </w:rPr>
        <w:t>9</w:t>
      </w:r>
      <w:r>
        <w:rPr>
          <w:b/>
          <w:color w:val="auto"/>
          <w:sz w:val="32"/>
          <w:szCs w:val="32"/>
          <w:highlight w:val="none"/>
        </w:rPr>
        <w:t>月</w:t>
      </w:r>
    </w:p>
    <w:p w14:paraId="474D214C">
      <w:pPr>
        <w:rPr>
          <w:color w:val="auto"/>
          <w:sz w:val="24"/>
          <w:szCs w:val="24"/>
          <w:highlight w:val="none"/>
        </w:rPr>
      </w:pPr>
    </w:p>
    <w:p w14:paraId="750336D9">
      <w:pPr>
        <w:pStyle w:val="27"/>
        <w:snapToGrid w:val="0"/>
        <w:spacing w:before="120" w:after="120" w:line="320" w:lineRule="exact"/>
        <w:jc w:val="center"/>
        <w:outlineLvl w:val="0"/>
        <w:rPr>
          <w:rFonts w:ascii="Times New Roman" w:hAnsi="Times New Roman" w:cs="Times New Roman"/>
          <w:b/>
          <w:bCs/>
          <w:color w:val="auto"/>
          <w:sz w:val="24"/>
          <w:szCs w:val="24"/>
          <w:highlight w:val="none"/>
        </w:rPr>
      </w:pPr>
      <w:bookmarkStart w:id="2" w:name="_Toc89186348"/>
      <w:bookmarkStart w:id="3" w:name="_Toc23183402"/>
      <w:bookmarkStart w:id="4" w:name="_Toc503889276"/>
      <w:bookmarkStart w:id="5" w:name="_Toc483235754"/>
      <w:bookmarkStart w:id="6" w:name="_Toc22354"/>
      <w:r>
        <w:rPr>
          <w:rFonts w:ascii="Times New Roman" w:hAnsi="Times New Roman" w:cs="Times New Roman"/>
          <w:b/>
          <w:bCs/>
          <w:color w:val="auto"/>
          <w:sz w:val="24"/>
          <w:szCs w:val="24"/>
          <w:highlight w:val="none"/>
        </w:rPr>
        <w:t>目    录</w:t>
      </w:r>
      <w:bookmarkEnd w:id="2"/>
      <w:bookmarkEnd w:id="3"/>
      <w:bookmarkEnd w:id="4"/>
      <w:bookmarkEnd w:id="5"/>
      <w:bookmarkEnd w:id="6"/>
    </w:p>
    <w:p w14:paraId="2BCC0780">
      <w:pPr>
        <w:pStyle w:val="27"/>
        <w:snapToGrid w:val="0"/>
        <w:spacing w:before="120" w:after="120" w:line="320" w:lineRule="exact"/>
        <w:jc w:val="center"/>
        <w:outlineLvl w:val="0"/>
        <w:rPr>
          <w:rFonts w:ascii="Times New Roman" w:hAnsi="Times New Roman" w:cs="Times New Roman"/>
          <w:color w:val="auto"/>
          <w:sz w:val="24"/>
          <w:szCs w:val="24"/>
          <w:highlight w:val="none"/>
        </w:rPr>
      </w:pPr>
    </w:p>
    <w:p w14:paraId="5F1A9938">
      <w:pPr>
        <w:pStyle w:val="34"/>
        <w:tabs>
          <w:tab w:val="right" w:leader="dot" w:pos="9070"/>
          <w:tab w:val="clear" w:pos="8398"/>
        </w:tabs>
        <w:rPr>
          <w:color w:val="auto"/>
          <w:sz w:val="24"/>
          <w:szCs w:val="24"/>
          <w:highlight w:val="none"/>
        </w:rPr>
      </w:pPr>
      <w:r>
        <w:rPr>
          <w:rFonts w:ascii="Times New Roman" w:hAnsi="Times New Roman"/>
          <w:color w:val="auto"/>
          <w:sz w:val="24"/>
          <w:szCs w:val="24"/>
          <w:highlight w:val="none"/>
        </w:rPr>
        <w:fldChar w:fldCharType="begin"/>
      </w:r>
      <w:r>
        <w:rPr>
          <w:rStyle w:val="61"/>
          <w:rFonts w:ascii="Times New Roman" w:hAnsi="Times New Roman"/>
          <w:color w:val="auto"/>
          <w:sz w:val="24"/>
          <w:szCs w:val="24"/>
          <w:highlight w:val="none"/>
        </w:rPr>
        <w:instrText xml:space="preserve"> TOC \o "1-1" \h \z \u </w:instrText>
      </w:r>
      <w:r>
        <w:rPr>
          <w:rFonts w:ascii="Times New Roman" w:hAnsi="Times New Roman"/>
          <w:color w:val="auto"/>
          <w:sz w:val="24"/>
          <w:szCs w:val="24"/>
          <w:highlight w:val="none"/>
        </w:rPr>
        <w:fldChar w:fldCharType="separate"/>
      </w:r>
      <w:r>
        <w:rPr>
          <w:rFonts w:ascii="Times New Roman" w:hAnsi="Times New Roman"/>
          <w:color w:val="auto"/>
          <w:sz w:val="24"/>
          <w:szCs w:val="24"/>
          <w:highlight w:val="none"/>
        </w:rPr>
        <w:fldChar w:fldCharType="begin"/>
      </w:r>
      <w:r>
        <w:rPr>
          <w:rFonts w:ascii="Times New Roman" w:hAnsi="Times New Roman"/>
          <w:color w:val="auto"/>
          <w:sz w:val="24"/>
          <w:szCs w:val="24"/>
          <w:highlight w:val="none"/>
        </w:rPr>
        <w:instrText xml:space="preserve"> HYPERLINK \l _Toc14726 </w:instrText>
      </w:r>
      <w:r>
        <w:rPr>
          <w:rFonts w:ascii="Times New Roman" w:hAnsi="Times New Roman"/>
          <w:color w:val="auto"/>
          <w:sz w:val="24"/>
          <w:szCs w:val="24"/>
          <w:highlight w:val="none"/>
        </w:rPr>
        <w:fldChar w:fldCharType="separate"/>
      </w:r>
      <w:r>
        <w:rPr>
          <w:rFonts w:ascii="Times New Roman" w:hAnsi="Times New Roman" w:cs="Times New Roman"/>
          <w:color w:val="auto"/>
          <w:sz w:val="24"/>
          <w:szCs w:val="24"/>
          <w:highlight w:val="none"/>
        </w:rPr>
        <w:t>第一章  竞争性磋商公告</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_Toc14726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rFonts w:ascii="Times New Roman" w:hAnsi="Times New Roman"/>
          <w:color w:val="auto"/>
          <w:sz w:val="24"/>
          <w:szCs w:val="24"/>
          <w:highlight w:val="none"/>
        </w:rPr>
        <w:fldChar w:fldCharType="end"/>
      </w:r>
    </w:p>
    <w:p w14:paraId="65C5F616">
      <w:pPr>
        <w:pStyle w:val="34"/>
        <w:tabs>
          <w:tab w:val="right" w:leader="dot" w:pos="9070"/>
          <w:tab w:val="clear" w:pos="8398"/>
        </w:tabs>
        <w:rPr>
          <w:color w:val="auto"/>
          <w:sz w:val="24"/>
          <w:szCs w:val="24"/>
          <w:highlight w:val="none"/>
        </w:rPr>
      </w:pPr>
      <w:r>
        <w:rPr>
          <w:rFonts w:ascii="Times New Roman" w:hAnsi="Times New Roman"/>
          <w:color w:val="auto"/>
          <w:sz w:val="24"/>
          <w:szCs w:val="24"/>
          <w:highlight w:val="none"/>
        </w:rPr>
        <w:fldChar w:fldCharType="begin"/>
      </w:r>
      <w:r>
        <w:rPr>
          <w:rFonts w:ascii="Times New Roman" w:hAnsi="Times New Roman"/>
          <w:color w:val="auto"/>
          <w:sz w:val="24"/>
          <w:szCs w:val="24"/>
          <w:highlight w:val="none"/>
        </w:rPr>
        <w:instrText xml:space="preserve"> HYPERLINK \l _Toc25196 </w:instrText>
      </w:r>
      <w:r>
        <w:rPr>
          <w:rFonts w:ascii="Times New Roman" w:hAnsi="Times New Roman"/>
          <w:color w:val="auto"/>
          <w:sz w:val="24"/>
          <w:szCs w:val="24"/>
          <w:highlight w:val="none"/>
        </w:rPr>
        <w:fldChar w:fldCharType="separate"/>
      </w:r>
      <w:r>
        <w:rPr>
          <w:rFonts w:ascii="Times New Roman" w:hAnsi="Times New Roman" w:cs="Times New Roman"/>
          <w:color w:val="auto"/>
          <w:sz w:val="24"/>
          <w:szCs w:val="24"/>
          <w:highlight w:val="none"/>
        </w:rPr>
        <w:t>第</w:t>
      </w:r>
      <w:r>
        <w:rPr>
          <w:rFonts w:hint="eastAsia" w:ascii="Times New Roman" w:hAnsi="Times New Roman" w:cs="Times New Roman"/>
          <w:color w:val="auto"/>
          <w:sz w:val="24"/>
          <w:szCs w:val="24"/>
          <w:highlight w:val="none"/>
        </w:rPr>
        <w:t>二</w:t>
      </w:r>
      <w:r>
        <w:rPr>
          <w:rFonts w:ascii="Times New Roman" w:hAnsi="Times New Roman" w:cs="Times New Roman"/>
          <w:color w:val="auto"/>
          <w:sz w:val="24"/>
          <w:szCs w:val="24"/>
          <w:highlight w:val="none"/>
        </w:rPr>
        <w:t xml:space="preserve">章  </w:t>
      </w:r>
      <w:r>
        <w:rPr>
          <w:rFonts w:hint="eastAsia" w:ascii="Times New Roman" w:hAnsi="Times New Roman" w:cs="Times New Roman"/>
          <w:color w:val="auto"/>
          <w:sz w:val="24"/>
          <w:szCs w:val="24"/>
          <w:highlight w:val="none"/>
        </w:rPr>
        <w:t>采购需求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_Toc25196 \h </w:instrText>
      </w:r>
      <w:r>
        <w:rPr>
          <w:color w:val="auto"/>
          <w:sz w:val="24"/>
          <w:szCs w:val="24"/>
          <w:highlight w:val="none"/>
        </w:rPr>
        <w:fldChar w:fldCharType="separate"/>
      </w:r>
      <w:r>
        <w:rPr>
          <w:color w:val="auto"/>
          <w:sz w:val="24"/>
          <w:szCs w:val="24"/>
          <w:highlight w:val="none"/>
        </w:rPr>
        <w:t>5</w:t>
      </w:r>
      <w:r>
        <w:rPr>
          <w:color w:val="auto"/>
          <w:sz w:val="24"/>
          <w:szCs w:val="24"/>
          <w:highlight w:val="none"/>
        </w:rPr>
        <w:fldChar w:fldCharType="end"/>
      </w:r>
      <w:r>
        <w:rPr>
          <w:rFonts w:ascii="Times New Roman" w:hAnsi="Times New Roman"/>
          <w:color w:val="auto"/>
          <w:sz w:val="24"/>
          <w:szCs w:val="24"/>
          <w:highlight w:val="none"/>
        </w:rPr>
        <w:fldChar w:fldCharType="end"/>
      </w:r>
    </w:p>
    <w:p w14:paraId="2E0012D1">
      <w:pPr>
        <w:pStyle w:val="34"/>
        <w:tabs>
          <w:tab w:val="right" w:leader="dot" w:pos="9070"/>
          <w:tab w:val="clear" w:pos="8398"/>
        </w:tabs>
        <w:rPr>
          <w:color w:val="auto"/>
          <w:sz w:val="24"/>
          <w:szCs w:val="24"/>
          <w:highlight w:val="none"/>
        </w:rPr>
      </w:pPr>
      <w:r>
        <w:rPr>
          <w:rFonts w:ascii="Times New Roman" w:hAnsi="Times New Roman"/>
          <w:color w:val="auto"/>
          <w:sz w:val="24"/>
          <w:szCs w:val="24"/>
          <w:highlight w:val="none"/>
        </w:rPr>
        <w:fldChar w:fldCharType="begin"/>
      </w:r>
      <w:r>
        <w:rPr>
          <w:rFonts w:ascii="Times New Roman" w:hAnsi="Times New Roman"/>
          <w:color w:val="auto"/>
          <w:sz w:val="24"/>
          <w:szCs w:val="24"/>
          <w:highlight w:val="none"/>
        </w:rPr>
        <w:instrText xml:space="preserve"> HYPERLINK \l _Toc27047 </w:instrText>
      </w:r>
      <w:r>
        <w:rPr>
          <w:rFonts w:ascii="Times New Roman" w:hAnsi="Times New Roman"/>
          <w:color w:val="auto"/>
          <w:sz w:val="24"/>
          <w:szCs w:val="24"/>
          <w:highlight w:val="none"/>
        </w:rPr>
        <w:fldChar w:fldCharType="separate"/>
      </w:r>
      <w:r>
        <w:rPr>
          <w:rFonts w:ascii="Times New Roman" w:hAnsi="Times New Roman" w:cs="Times New Roman"/>
          <w:color w:val="auto"/>
          <w:sz w:val="24"/>
          <w:szCs w:val="24"/>
          <w:highlight w:val="none"/>
        </w:rPr>
        <w:t>第三章  供应商须知</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_Toc27047 \h </w:instrText>
      </w:r>
      <w:r>
        <w:rPr>
          <w:color w:val="auto"/>
          <w:sz w:val="24"/>
          <w:szCs w:val="24"/>
          <w:highlight w:val="none"/>
        </w:rPr>
        <w:fldChar w:fldCharType="separate"/>
      </w:r>
      <w:r>
        <w:rPr>
          <w:color w:val="auto"/>
          <w:sz w:val="24"/>
          <w:szCs w:val="24"/>
          <w:highlight w:val="none"/>
        </w:rPr>
        <w:t>13</w:t>
      </w:r>
      <w:r>
        <w:rPr>
          <w:color w:val="auto"/>
          <w:sz w:val="24"/>
          <w:szCs w:val="24"/>
          <w:highlight w:val="none"/>
        </w:rPr>
        <w:fldChar w:fldCharType="end"/>
      </w:r>
      <w:r>
        <w:rPr>
          <w:rFonts w:ascii="Times New Roman" w:hAnsi="Times New Roman"/>
          <w:color w:val="auto"/>
          <w:sz w:val="24"/>
          <w:szCs w:val="24"/>
          <w:highlight w:val="none"/>
        </w:rPr>
        <w:fldChar w:fldCharType="end"/>
      </w:r>
    </w:p>
    <w:p w14:paraId="3E45E76E">
      <w:pPr>
        <w:pStyle w:val="34"/>
        <w:tabs>
          <w:tab w:val="right" w:leader="dot" w:pos="9070"/>
          <w:tab w:val="clear" w:pos="8398"/>
        </w:tabs>
        <w:rPr>
          <w:color w:val="auto"/>
          <w:sz w:val="24"/>
          <w:szCs w:val="24"/>
          <w:highlight w:val="none"/>
        </w:rPr>
      </w:pPr>
      <w:r>
        <w:rPr>
          <w:rFonts w:ascii="Times New Roman" w:hAnsi="Times New Roman"/>
          <w:color w:val="auto"/>
          <w:sz w:val="24"/>
          <w:szCs w:val="24"/>
          <w:highlight w:val="none"/>
        </w:rPr>
        <w:fldChar w:fldCharType="begin"/>
      </w:r>
      <w:r>
        <w:rPr>
          <w:rFonts w:ascii="Times New Roman" w:hAnsi="Times New Roman"/>
          <w:color w:val="auto"/>
          <w:sz w:val="24"/>
          <w:szCs w:val="24"/>
          <w:highlight w:val="none"/>
        </w:rPr>
        <w:instrText xml:space="preserve"> HYPERLINK \l _Toc15587 </w:instrText>
      </w:r>
      <w:r>
        <w:rPr>
          <w:rFonts w:ascii="Times New Roman" w:hAnsi="Times New Roman"/>
          <w:color w:val="auto"/>
          <w:sz w:val="24"/>
          <w:szCs w:val="24"/>
          <w:highlight w:val="none"/>
        </w:rPr>
        <w:fldChar w:fldCharType="separate"/>
      </w:r>
      <w:r>
        <w:rPr>
          <w:rFonts w:ascii="Times New Roman" w:hAnsi="Times New Roman" w:cs="Times New Roman"/>
          <w:color w:val="auto"/>
          <w:sz w:val="24"/>
          <w:szCs w:val="24"/>
          <w:highlight w:val="none"/>
        </w:rPr>
        <w:t>第</w:t>
      </w:r>
      <w:r>
        <w:rPr>
          <w:rFonts w:hint="eastAsia" w:ascii="Times New Roman" w:hAnsi="Times New Roman" w:cs="Times New Roman"/>
          <w:color w:val="auto"/>
          <w:sz w:val="24"/>
          <w:szCs w:val="24"/>
          <w:highlight w:val="none"/>
        </w:rPr>
        <w:t>四</w:t>
      </w:r>
      <w:r>
        <w:rPr>
          <w:rFonts w:ascii="Times New Roman" w:hAnsi="Times New Roman" w:cs="Times New Roman"/>
          <w:color w:val="auto"/>
          <w:sz w:val="24"/>
          <w:szCs w:val="24"/>
          <w:highlight w:val="none"/>
        </w:rPr>
        <w:t>章  评审方法及标准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_Toc15587 \h </w:instrText>
      </w:r>
      <w:r>
        <w:rPr>
          <w:color w:val="auto"/>
          <w:sz w:val="24"/>
          <w:szCs w:val="24"/>
          <w:highlight w:val="none"/>
        </w:rPr>
        <w:fldChar w:fldCharType="separate"/>
      </w:r>
      <w:r>
        <w:rPr>
          <w:color w:val="auto"/>
          <w:sz w:val="24"/>
          <w:szCs w:val="24"/>
          <w:highlight w:val="none"/>
        </w:rPr>
        <w:t>33</w:t>
      </w:r>
      <w:r>
        <w:rPr>
          <w:color w:val="auto"/>
          <w:sz w:val="24"/>
          <w:szCs w:val="24"/>
          <w:highlight w:val="none"/>
        </w:rPr>
        <w:fldChar w:fldCharType="end"/>
      </w:r>
      <w:r>
        <w:rPr>
          <w:rFonts w:ascii="Times New Roman" w:hAnsi="Times New Roman"/>
          <w:color w:val="auto"/>
          <w:sz w:val="24"/>
          <w:szCs w:val="24"/>
          <w:highlight w:val="none"/>
        </w:rPr>
        <w:fldChar w:fldCharType="end"/>
      </w:r>
    </w:p>
    <w:p w14:paraId="189B2F6B">
      <w:pPr>
        <w:pStyle w:val="34"/>
        <w:tabs>
          <w:tab w:val="right" w:leader="dot" w:pos="9070"/>
          <w:tab w:val="clear" w:pos="8398"/>
        </w:tabs>
        <w:rPr>
          <w:color w:val="auto"/>
          <w:sz w:val="24"/>
          <w:szCs w:val="24"/>
          <w:highlight w:val="none"/>
        </w:rPr>
      </w:pPr>
      <w:r>
        <w:rPr>
          <w:rFonts w:ascii="Times New Roman" w:hAnsi="Times New Roman"/>
          <w:color w:val="auto"/>
          <w:sz w:val="24"/>
          <w:szCs w:val="24"/>
          <w:highlight w:val="none"/>
        </w:rPr>
        <w:fldChar w:fldCharType="begin"/>
      </w:r>
      <w:r>
        <w:rPr>
          <w:rFonts w:ascii="Times New Roman" w:hAnsi="Times New Roman"/>
          <w:color w:val="auto"/>
          <w:sz w:val="24"/>
          <w:szCs w:val="24"/>
          <w:highlight w:val="none"/>
        </w:rPr>
        <w:instrText xml:space="preserve"> HYPERLINK \l _Toc31832 </w:instrText>
      </w:r>
      <w:r>
        <w:rPr>
          <w:rFonts w:ascii="Times New Roman" w:hAnsi="Times New Roman"/>
          <w:color w:val="auto"/>
          <w:sz w:val="24"/>
          <w:szCs w:val="24"/>
          <w:highlight w:val="none"/>
        </w:rPr>
        <w:fldChar w:fldCharType="separate"/>
      </w:r>
      <w:r>
        <w:rPr>
          <w:rFonts w:ascii="Times New Roman" w:hAnsi="Times New Roman" w:cs="Times New Roman"/>
          <w:color w:val="auto"/>
          <w:sz w:val="24"/>
          <w:szCs w:val="24"/>
          <w:highlight w:val="none"/>
        </w:rPr>
        <w:t>第</w:t>
      </w:r>
      <w:r>
        <w:rPr>
          <w:rFonts w:hint="eastAsia" w:ascii="Times New Roman" w:hAnsi="Times New Roman" w:cs="Times New Roman"/>
          <w:color w:val="auto"/>
          <w:sz w:val="24"/>
          <w:szCs w:val="24"/>
          <w:highlight w:val="none"/>
        </w:rPr>
        <w:t>五</w:t>
      </w:r>
      <w:r>
        <w:rPr>
          <w:rFonts w:ascii="Times New Roman" w:hAnsi="Times New Roman" w:cs="Times New Roman"/>
          <w:color w:val="auto"/>
          <w:sz w:val="24"/>
          <w:szCs w:val="24"/>
          <w:highlight w:val="none"/>
        </w:rPr>
        <w:t>章  合同主要条款格式</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_Toc31832 \h </w:instrText>
      </w:r>
      <w:r>
        <w:rPr>
          <w:color w:val="auto"/>
          <w:sz w:val="24"/>
          <w:szCs w:val="24"/>
          <w:highlight w:val="none"/>
        </w:rPr>
        <w:fldChar w:fldCharType="separate"/>
      </w:r>
      <w:r>
        <w:rPr>
          <w:color w:val="auto"/>
          <w:sz w:val="24"/>
          <w:szCs w:val="24"/>
          <w:highlight w:val="none"/>
        </w:rPr>
        <w:t>40</w:t>
      </w:r>
      <w:r>
        <w:rPr>
          <w:color w:val="auto"/>
          <w:sz w:val="24"/>
          <w:szCs w:val="24"/>
          <w:highlight w:val="none"/>
        </w:rPr>
        <w:fldChar w:fldCharType="end"/>
      </w:r>
      <w:r>
        <w:rPr>
          <w:rFonts w:ascii="Times New Roman" w:hAnsi="Times New Roman"/>
          <w:color w:val="auto"/>
          <w:sz w:val="24"/>
          <w:szCs w:val="24"/>
          <w:highlight w:val="none"/>
        </w:rPr>
        <w:fldChar w:fldCharType="end"/>
      </w:r>
    </w:p>
    <w:p w14:paraId="2A12D508">
      <w:pPr>
        <w:pStyle w:val="34"/>
        <w:tabs>
          <w:tab w:val="right" w:leader="dot" w:pos="9070"/>
          <w:tab w:val="clear" w:pos="8398"/>
        </w:tabs>
        <w:rPr>
          <w:color w:val="auto"/>
          <w:sz w:val="24"/>
          <w:szCs w:val="24"/>
          <w:highlight w:val="none"/>
        </w:rPr>
      </w:pPr>
      <w:r>
        <w:rPr>
          <w:rFonts w:ascii="Times New Roman" w:hAnsi="Times New Roman"/>
          <w:color w:val="auto"/>
          <w:sz w:val="24"/>
          <w:szCs w:val="24"/>
          <w:highlight w:val="none"/>
        </w:rPr>
        <w:fldChar w:fldCharType="begin"/>
      </w:r>
      <w:r>
        <w:rPr>
          <w:rFonts w:ascii="Times New Roman" w:hAnsi="Times New Roman"/>
          <w:color w:val="auto"/>
          <w:sz w:val="24"/>
          <w:szCs w:val="24"/>
          <w:highlight w:val="none"/>
        </w:rPr>
        <w:instrText xml:space="preserve"> HYPERLINK \l _Toc30376 </w:instrText>
      </w:r>
      <w:r>
        <w:rPr>
          <w:rFonts w:ascii="Times New Roman" w:hAnsi="Times New Roman"/>
          <w:color w:val="auto"/>
          <w:sz w:val="24"/>
          <w:szCs w:val="24"/>
          <w:highlight w:val="none"/>
        </w:rPr>
        <w:fldChar w:fldCharType="separate"/>
      </w:r>
      <w:r>
        <w:rPr>
          <w:rFonts w:ascii="Times New Roman" w:hAnsi="Times New Roman" w:cs="Times New Roman"/>
          <w:color w:val="auto"/>
          <w:sz w:val="24"/>
          <w:szCs w:val="24"/>
          <w:highlight w:val="none"/>
        </w:rPr>
        <w:t>第</w:t>
      </w:r>
      <w:r>
        <w:rPr>
          <w:rFonts w:hint="eastAsia" w:ascii="Times New Roman" w:hAnsi="Times New Roman" w:cs="Times New Roman"/>
          <w:color w:val="auto"/>
          <w:sz w:val="24"/>
          <w:szCs w:val="24"/>
          <w:highlight w:val="none"/>
        </w:rPr>
        <w:t>六</w:t>
      </w:r>
      <w:r>
        <w:rPr>
          <w:rFonts w:ascii="Times New Roman" w:hAnsi="Times New Roman" w:cs="Times New Roman"/>
          <w:color w:val="auto"/>
          <w:sz w:val="24"/>
          <w:szCs w:val="24"/>
          <w:highlight w:val="none"/>
        </w:rPr>
        <w:t>章  响应文件格式</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_Toc30376 \h </w:instrText>
      </w:r>
      <w:r>
        <w:rPr>
          <w:color w:val="auto"/>
          <w:sz w:val="24"/>
          <w:szCs w:val="24"/>
          <w:highlight w:val="none"/>
        </w:rPr>
        <w:fldChar w:fldCharType="separate"/>
      </w:r>
      <w:r>
        <w:rPr>
          <w:color w:val="auto"/>
          <w:sz w:val="24"/>
          <w:szCs w:val="24"/>
          <w:highlight w:val="none"/>
        </w:rPr>
        <w:t>88</w:t>
      </w:r>
      <w:r>
        <w:rPr>
          <w:color w:val="auto"/>
          <w:sz w:val="24"/>
          <w:szCs w:val="24"/>
          <w:highlight w:val="none"/>
        </w:rPr>
        <w:fldChar w:fldCharType="end"/>
      </w:r>
      <w:r>
        <w:rPr>
          <w:rFonts w:ascii="Times New Roman" w:hAnsi="Times New Roman"/>
          <w:color w:val="auto"/>
          <w:sz w:val="24"/>
          <w:szCs w:val="24"/>
          <w:highlight w:val="none"/>
        </w:rPr>
        <w:fldChar w:fldCharType="end"/>
      </w:r>
    </w:p>
    <w:p w14:paraId="621FD8A1">
      <w:pPr>
        <w:pStyle w:val="34"/>
        <w:ind w:firstLine="281"/>
        <w:rPr>
          <w:rFonts w:ascii="Times New Roman" w:hAnsi="Times New Roman"/>
          <w:color w:val="auto"/>
          <w:sz w:val="24"/>
          <w:szCs w:val="24"/>
          <w:highlight w:val="none"/>
        </w:rPr>
        <w:sectPr>
          <w:headerReference r:id="rId7" w:type="first"/>
          <w:pgSz w:w="11906" w:h="16838"/>
          <w:pgMar w:top="1418" w:right="1418" w:bottom="1246" w:left="1418" w:header="851" w:footer="992" w:gutter="0"/>
          <w:pgNumType w:start="0"/>
          <w:cols w:space="720" w:num="1"/>
          <w:titlePg/>
          <w:docGrid w:linePitch="312" w:charSpace="0"/>
        </w:sectPr>
      </w:pPr>
      <w:r>
        <w:rPr>
          <w:rFonts w:ascii="Times New Roman" w:hAnsi="Times New Roman"/>
          <w:color w:val="auto"/>
          <w:sz w:val="24"/>
          <w:szCs w:val="24"/>
          <w:highlight w:val="none"/>
        </w:rPr>
        <w:fldChar w:fldCharType="end"/>
      </w:r>
    </w:p>
    <w:p w14:paraId="7AC693BE">
      <w:pPr>
        <w:pStyle w:val="27"/>
        <w:snapToGrid w:val="0"/>
        <w:spacing w:before="120" w:after="120" w:line="320" w:lineRule="exact"/>
        <w:jc w:val="center"/>
        <w:outlineLvl w:val="0"/>
        <w:rPr>
          <w:rFonts w:ascii="Times New Roman" w:hAnsi="Times New Roman" w:cs="Times New Roman"/>
          <w:color w:val="auto"/>
          <w:sz w:val="24"/>
          <w:szCs w:val="24"/>
          <w:highlight w:val="none"/>
        </w:rPr>
      </w:pPr>
      <w:bookmarkStart w:id="7" w:name="_Toc254970489"/>
      <w:bookmarkStart w:id="8" w:name="_Toc254970630"/>
      <w:bookmarkStart w:id="9" w:name="_Toc14726"/>
      <w:r>
        <w:rPr>
          <w:rFonts w:ascii="Times New Roman" w:hAnsi="Times New Roman" w:cs="Times New Roman"/>
          <w:color w:val="auto"/>
          <w:sz w:val="24"/>
          <w:szCs w:val="24"/>
          <w:highlight w:val="none"/>
        </w:rPr>
        <w:t xml:space="preserve">第一章  </w:t>
      </w:r>
      <w:bookmarkEnd w:id="7"/>
      <w:bookmarkEnd w:id="8"/>
      <w:r>
        <w:rPr>
          <w:rFonts w:ascii="Times New Roman" w:hAnsi="Times New Roman" w:cs="Times New Roman"/>
          <w:color w:val="auto"/>
          <w:sz w:val="24"/>
          <w:szCs w:val="24"/>
          <w:highlight w:val="none"/>
        </w:rPr>
        <w:t>竞争性磋商公告</w:t>
      </w:r>
      <w:bookmarkEnd w:id="9"/>
    </w:p>
    <w:p w14:paraId="2F1ED882">
      <w:pPr>
        <w:spacing w:line="400" w:lineRule="exact"/>
        <w:jc w:val="center"/>
        <w:rPr>
          <w:color w:val="auto"/>
          <w:kern w:val="0"/>
          <w:sz w:val="24"/>
          <w:highlight w:val="none"/>
        </w:rPr>
      </w:pPr>
      <w:bookmarkStart w:id="1145" w:name="_GoBack"/>
      <w:r>
        <w:rPr>
          <w:color w:val="auto"/>
          <w:kern w:val="0"/>
          <w:sz w:val="24"/>
          <w:highlight w:val="none"/>
        </w:rPr>
        <w:t>广西机电设备招标有限公司关于</w:t>
      </w:r>
      <w:r>
        <w:rPr>
          <w:rFonts w:hint="eastAsia"/>
          <w:color w:val="auto"/>
          <w:kern w:val="0"/>
          <w:sz w:val="24"/>
          <w:highlight w:val="none"/>
          <w:lang w:eastAsia="zh-CN"/>
        </w:rPr>
        <w:t>防城港市森林防火指挥中心和广西十万大山国家级自然保护区业务用房消防系统整改工程（重）</w:t>
      </w:r>
      <w:r>
        <w:rPr>
          <w:color w:val="auto"/>
          <w:kern w:val="0"/>
          <w:sz w:val="24"/>
          <w:highlight w:val="none"/>
        </w:rPr>
        <w:t>(</w:t>
      </w:r>
      <w:r>
        <w:rPr>
          <w:rFonts w:hint="eastAsia"/>
          <w:color w:val="auto"/>
          <w:kern w:val="0"/>
          <w:sz w:val="24"/>
          <w:highlight w:val="none"/>
          <w:lang w:eastAsia="zh-CN"/>
        </w:rPr>
        <w:t>FCZC2026-C2-990173-JDZB</w:t>
      </w:r>
      <w:r>
        <w:rPr>
          <w:color w:val="auto"/>
          <w:kern w:val="0"/>
          <w:sz w:val="24"/>
          <w:highlight w:val="none"/>
        </w:rPr>
        <w:t>)竞争性磋商公告</w:t>
      </w:r>
    </w:p>
    <w:bookmarkEnd w:id="1145"/>
    <w:p w14:paraId="4D64D010">
      <w:pPr>
        <w:spacing w:line="312" w:lineRule="auto"/>
        <w:ind w:firstLine="480" w:firstLineChars="200"/>
        <w:jc w:val="left"/>
        <w:rPr>
          <w:color w:val="auto"/>
          <w:kern w:val="0"/>
          <w:sz w:val="24"/>
          <w:szCs w:val="24"/>
          <w:highlight w:val="none"/>
        </w:rPr>
      </w:pPr>
    </w:p>
    <w:p w14:paraId="2F8ED1AD">
      <w:pPr>
        <w:spacing w:line="312" w:lineRule="auto"/>
        <w:ind w:firstLine="480" w:firstLineChars="200"/>
        <w:jc w:val="left"/>
        <w:rPr>
          <w:color w:val="auto"/>
          <w:kern w:val="0"/>
          <w:sz w:val="24"/>
          <w:szCs w:val="24"/>
          <w:highlight w:val="none"/>
        </w:rPr>
      </w:pPr>
      <w:r>
        <w:rPr>
          <w:rFonts w:hint="eastAsia"/>
          <w:color w:val="auto"/>
          <w:kern w:val="0"/>
          <w:sz w:val="24"/>
          <w:szCs w:val="24"/>
          <w:highlight w:val="none"/>
        </w:rPr>
        <w:t>项目概况：</w:t>
      </w:r>
      <w:r>
        <w:rPr>
          <w:rFonts w:hint="eastAsia"/>
          <w:color w:val="auto"/>
          <w:sz w:val="24"/>
          <w:szCs w:val="24"/>
          <w:highlight w:val="none"/>
          <w:lang w:eastAsia="zh-CN"/>
        </w:rPr>
        <w:t>防城港市森林防火指挥中心和广西十万大山国家级自然保护区业务用房消防系统整改工程（重）</w:t>
      </w:r>
      <w:r>
        <w:rPr>
          <w:rFonts w:hint="eastAsia"/>
          <w:color w:val="auto"/>
          <w:kern w:val="0"/>
          <w:sz w:val="24"/>
          <w:szCs w:val="24"/>
          <w:highlight w:val="none"/>
        </w:rPr>
        <w:t>项目的潜在供应商应在</w:t>
      </w:r>
      <w:r>
        <w:rPr>
          <w:rFonts w:hint="eastAsia"/>
          <w:color w:val="auto"/>
          <w:sz w:val="24"/>
          <w:szCs w:val="24"/>
          <w:highlight w:val="none"/>
        </w:rPr>
        <w:t>广西政府采购云平台 （https://www.gcy.zfcg.gxzf.gov.cn/）获取采购文件，并于202</w:t>
      </w:r>
      <w:r>
        <w:rPr>
          <w:rFonts w:hint="eastAsia"/>
          <w:color w:val="auto"/>
          <w:sz w:val="24"/>
          <w:szCs w:val="24"/>
          <w:highlight w:val="none"/>
          <w:lang w:val="en-US" w:eastAsia="zh-CN"/>
        </w:rPr>
        <w:t>6</w:t>
      </w:r>
      <w:r>
        <w:rPr>
          <w:rFonts w:hint="eastAsia"/>
          <w:color w:val="auto"/>
          <w:sz w:val="24"/>
          <w:szCs w:val="24"/>
          <w:highlight w:val="none"/>
        </w:rPr>
        <w:t>年</w:t>
      </w:r>
      <w:r>
        <w:rPr>
          <w:rFonts w:hint="eastAsia"/>
          <w:color w:val="auto"/>
          <w:sz w:val="24"/>
          <w:szCs w:val="24"/>
          <w:highlight w:val="none"/>
          <w:lang w:val="en-US" w:eastAsia="zh-CN"/>
        </w:rPr>
        <w:t>10</w:t>
      </w:r>
      <w:r>
        <w:rPr>
          <w:rFonts w:hint="eastAsia"/>
          <w:color w:val="auto"/>
          <w:sz w:val="24"/>
          <w:szCs w:val="24"/>
          <w:highlight w:val="none"/>
        </w:rPr>
        <w:t>月</w:t>
      </w:r>
      <w:r>
        <w:rPr>
          <w:rFonts w:hint="eastAsia"/>
          <w:color w:val="auto"/>
          <w:sz w:val="24"/>
          <w:szCs w:val="24"/>
          <w:highlight w:val="none"/>
          <w:lang w:val="en-US" w:eastAsia="zh-CN"/>
        </w:rPr>
        <w:t xml:space="preserve"> 16 </w:t>
      </w:r>
      <w:r>
        <w:rPr>
          <w:rFonts w:hint="eastAsia"/>
          <w:color w:val="auto"/>
          <w:sz w:val="24"/>
          <w:szCs w:val="24"/>
          <w:highlight w:val="none"/>
        </w:rPr>
        <w:t>日</w:t>
      </w:r>
      <w:r>
        <w:rPr>
          <w:rFonts w:hint="eastAsia"/>
          <w:color w:val="auto"/>
          <w:sz w:val="24"/>
          <w:szCs w:val="24"/>
          <w:highlight w:val="none"/>
          <w:lang w:val="en-US" w:eastAsia="zh-CN"/>
        </w:rPr>
        <w:t>9</w:t>
      </w:r>
      <w:r>
        <w:rPr>
          <w:rFonts w:hint="eastAsia"/>
          <w:color w:val="auto"/>
          <w:sz w:val="24"/>
          <w:szCs w:val="24"/>
          <w:highlight w:val="none"/>
        </w:rPr>
        <w:t>点30 分（北京时间）前提交响应</w:t>
      </w:r>
      <w:r>
        <w:rPr>
          <w:color w:val="auto"/>
          <w:sz w:val="24"/>
          <w:szCs w:val="24"/>
          <w:highlight w:val="none"/>
        </w:rPr>
        <w:t>文件</w:t>
      </w:r>
      <w:r>
        <w:rPr>
          <w:rFonts w:hint="eastAsia"/>
          <w:color w:val="auto"/>
          <w:sz w:val="24"/>
          <w:szCs w:val="24"/>
          <w:highlight w:val="none"/>
        </w:rPr>
        <w:t>。</w:t>
      </w:r>
    </w:p>
    <w:p w14:paraId="150EA7DA">
      <w:pPr>
        <w:spacing w:line="312" w:lineRule="auto"/>
        <w:ind w:firstLine="482" w:firstLineChars="200"/>
        <w:jc w:val="left"/>
        <w:rPr>
          <w:b/>
          <w:bCs/>
          <w:color w:val="auto"/>
          <w:kern w:val="0"/>
          <w:sz w:val="24"/>
          <w:szCs w:val="24"/>
          <w:highlight w:val="none"/>
        </w:rPr>
      </w:pPr>
      <w:r>
        <w:rPr>
          <w:rFonts w:hint="eastAsia"/>
          <w:b/>
          <w:bCs/>
          <w:color w:val="auto"/>
          <w:kern w:val="0"/>
          <w:sz w:val="24"/>
          <w:szCs w:val="24"/>
          <w:highlight w:val="none"/>
        </w:rPr>
        <w:t>一、项目基本情况</w:t>
      </w:r>
    </w:p>
    <w:p w14:paraId="6E4A0D0A">
      <w:pPr>
        <w:spacing w:line="312" w:lineRule="auto"/>
        <w:ind w:firstLine="480" w:firstLineChars="200"/>
        <w:jc w:val="left"/>
        <w:rPr>
          <w:rFonts w:hint="eastAsia" w:eastAsia="宋体"/>
          <w:color w:val="auto"/>
          <w:kern w:val="0"/>
          <w:sz w:val="24"/>
          <w:szCs w:val="24"/>
          <w:highlight w:val="none"/>
          <w:lang w:eastAsia="zh-CN"/>
        </w:rPr>
      </w:pPr>
      <w:r>
        <w:rPr>
          <w:rFonts w:hint="eastAsia"/>
          <w:color w:val="auto"/>
          <w:kern w:val="0"/>
          <w:sz w:val="24"/>
          <w:szCs w:val="24"/>
          <w:highlight w:val="none"/>
          <w:lang w:eastAsia="zh-CN"/>
        </w:rPr>
        <w:t>（一</w:t>
      </w:r>
      <w:r>
        <w:rPr>
          <w:rFonts w:hint="eastAsia"/>
          <w:color w:val="auto"/>
          <w:kern w:val="0"/>
          <w:sz w:val="24"/>
          <w:szCs w:val="24"/>
          <w:highlight w:val="none"/>
          <w:lang w:val="en-US" w:eastAsia="zh-CN"/>
        </w:rPr>
        <w:t>）</w:t>
      </w:r>
      <w:r>
        <w:rPr>
          <w:color w:val="auto"/>
          <w:kern w:val="0"/>
          <w:sz w:val="24"/>
          <w:szCs w:val="24"/>
          <w:highlight w:val="none"/>
        </w:rPr>
        <w:t>项目编号：</w:t>
      </w:r>
      <w:r>
        <w:rPr>
          <w:rFonts w:hint="eastAsia"/>
          <w:color w:val="auto"/>
          <w:sz w:val="24"/>
          <w:szCs w:val="24"/>
          <w:highlight w:val="none"/>
          <w:lang w:eastAsia="zh-CN"/>
        </w:rPr>
        <w:t>FCZC2026-C2-990173-JDZB</w:t>
      </w:r>
    </w:p>
    <w:p w14:paraId="29E33757">
      <w:pPr>
        <w:spacing w:line="312" w:lineRule="auto"/>
        <w:ind w:firstLine="480" w:firstLineChars="200"/>
        <w:jc w:val="left"/>
        <w:rPr>
          <w:rFonts w:hint="eastAsia" w:eastAsia="宋体"/>
          <w:color w:val="auto"/>
          <w:kern w:val="0"/>
          <w:sz w:val="24"/>
          <w:szCs w:val="24"/>
          <w:highlight w:val="none"/>
          <w:lang w:eastAsia="zh-CN"/>
        </w:rPr>
      </w:pPr>
      <w:r>
        <w:rPr>
          <w:color w:val="auto"/>
          <w:kern w:val="0"/>
          <w:sz w:val="24"/>
          <w:szCs w:val="24"/>
          <w:highlight w:val="none"/>
        </w:rPr>
        <w:t>项目名称：</w:t>
      </w:r>
      <w:r>
        <w:rPr>
          <w:rFonts w:hint="eastAsia"/>
          <w:color w:val="auto"/>
          <w:sz w:val="24"/>
          <w:szCs w:val="24"/>
          <w:highlight w:val="none"/>
          <w:lang w:eastAsia="zh-CN"/>
        </w:rPr>
        <w:t>防城港市森林防火指挥中心和广西十万大山国家级自然保护区业务用房消防系统整改工程（重）</w:t>
      </w:r>
    </w:p>
    <w:p w14:paraId="0CCEBE14">
      <w:pPr>
        <w:spacing w:line="312" w:lineRule="auto"/>
        <w:ind w:firstLine="480" w:firstLineChars="200"/>
        <w:jc w:val="left"/>
        <w:rPr>
          <w:color w:val="auto"/>
          <w:kern w:val="0"/>
          <w:sz w:val="24"/>
          <w:szCs w:val="24"/>
          <w:highlight w:val="none"/>
        </w:rPr>
      </w:pPr>
      <w:bookmarkStart w:id="10" w:name="_Hlk77608065"/>
      <w:r>
        <w:rPr>
          <w:rFonts w:hint="eastAsia"/>
          <w:color w:val="auto"/>
          <w:kern w:val="0"/>
          <w:sz w:val="24"/>
          <w:szCs w:val="24"/>
          <w:highlight w:val="none"/>
          <w:lang w:eastAsia="zh-CN"/>
        </w:rPr>
        <w:t>（二）</w:t>
      </w:r>
      <w:r>
        <w:rPr>
          <w:rFonts w:hint="eastAsia"/>
          <w:color w:val="auto"/>
          <w:kern w:val="0"/>
          <w:sz w:val="24"/>
          <w:szCs w:val="24"/>
          <w:highlight w:val="none"/>
        </w:rPr>
        <w:t xml:space="preserve">采购方式：□竞争性谈判 </w:t>
      </w:r>
      <w:r>
        <w:rPr>
          <w:color w:val="auto"/>
          <w:sz w:val="24"/>
          <w:szCs w:val="24"/>
          <w:highlight w:val="none"/>
        </w:rPr>
        <w:sym w:font="Wingdings 2" w:char="F052"/>
      </w:r>
      <w:r>
        <w:rPr>
          <w:rFonts w:hint="eastAsia"/>
          <w:color w:val="auto"/>
          <w:kern w:val="0"/>
          <w:sz w:val="24"/>
          <w:szCs w:val="24"/>
          <w:highlight w:val="none"/>
        </w:rPr>
        <w:t>竞争性磋商 □询价</w:t>
      </w:r>
    </w:p>
    <w:p w14:paraId="725EC4F4">
      <w:pPr>
        <w:spacing w:line="312" w:lineRule="auto"/>
        <w:ind w:firstLine="480" w:firstLineChars="200"/>
        <w:jc w:val="left"/>
        <w:rPr>
          <w:rFonts w:hint="default" w:eastAsia="宋体"/>
          <w:color w:val="auto"/>
          <w:kern w:val="0"/>
          <w:sz w:val="24"/>
          <w:szCs w:val="24"/>
          <w:highlight w:val="none"/>
          <w:lang w:val="en-US" w:eastAsia="zh-CN"/>
        </w:rPr>
      </w:pPr>
      <w:r>
        <w:rPr>
          <w:rFonts w:hint="eastAsia"/>
          <w:color w:val="auto"/>
          <w:kern w:val="0"/>
          <w:sz w:val="24"/>
          <w:szCs w:val="24"/>
          <w:highlight w:val="none"/>
          <w:lang w:eastAsia="zh-CN"/>
        </w:rPr>
        <w:t>招标上限控制价</w:t>
      </w:r>
      <w:r>
        <w:rPr>
          <w:rFonts w:hint="eastAsia"/>
          <w:color w:val="auto"/>
          <w:kern w:val="0"/>
          <w:sz w:val="24"/>
          <w:szCs w:val="24"/>
          <w:highlight w:val="none"/>
        </w:rPr>
        <w:t>（元）</w:t>
      </w:r>
      <w:r>
        <w:rPr>
          <w:color w:val="auto"/>
          <w:kern w:val="0"/>
          <w:sz w:val="24"/>
          <w:szCs w:val="24"/>
          <w:highlight w:val="none"/>
        </w:rPr>
        <w:t>：</w:t>
      </w:r>
      <w:r>
        <w:rPr>
          <w:rFonts w:hint="eastAsia"/>
          <w:color w:val="auto"/>
          <w:kern w:val="0"/>
          <w:sz w:val="24"/>
          <w:szCs w:val="24"/>
          <w:highlight w:val="none"/>
          <w:lang w:val="en-US" w:eastAsia="zh-CN"/>
        </w:rPr>
        <w:t xml:space="preserve"> 893182.29元</w:t>
      </w:r>
    </w:p>
    <w:p w14:paraId="38B6AD9E">
      <w:pPr>
        <w:spacing w:line="312" w:lineRule="auto"/>
        <w:ind w:firstLine="480" w:firstLineChars="200"/>
        <w:jc w:val="left"/>
        <w:rPr>
          <w:color w:val="auto"/>
          <w:kern w:val="0"/>
          <w:sz w:val="24"/>
          <w:szCs w:val="24"/>
          <w:highlight w:val="none"/>
        </w:rPr>
      </w:pPr>
      <w:r>
        <w:rPr>
          <w:rFonts w:hint="eastAsia"/>
          <w:color w:val="auto"/>
          <w:kern w:val="0"/>
          <w:sz w:val="24"/>
          <w:szCs w:val="24"/>
          <w:highlight w:val="none"/>
          <w:lang w:eastAsia="zh-CN"/>
        </w:rPr>
        <w:t>（三）</w:t>
      </w:r>
      <w:r>
        <w:rPr>
          <w:rFonts w:hint="eastAsia"/>
          <w:color w:val="auto"/>
          <w:kern w:val="0"/>
          <w:sz w:val="24"/>
          <w:szCs w:val="24"/>
          <w:highlight w:val="none"/>
        </w:rPr>
        <w:t>采购需求</w:t>
      </w:r>
      <w:r>
        <w:rPr>
          <w:color w:val="auto"/>
          <w:kern w:val="0"/>
          <w:sz w:val="24"/>
          <w:szCs w:val="24"/>
          <w:highlight w:val="none"/>
        </w:rPr>
        <w:t>：</w:t>
      </w:r>
    </w:p>
    <w:p w14:paraId="532F4C4E">
      <w:pPr>
        <w:spacing w:line="312" w:lineRule="auto"/>
        <w:ind w:firstLine="480" w:firstLineChars="200"/>
        <w:jc w:val="left"/>
        <w:rPr>
          <w:rFonts w:hint="default" w:eastAsia="宋体"/>
          <w:color w:val="auto"/>
          <w:kern w:val="0"/>
          <w:sz w:val="24"/>
          <w:szCs w:val="24"/>
          <w:highlight w:val="none"/>
          <w:lang w:val="en-US" w:eastAsia="zh-CN"/>
        </w:rPr>
      </w:pPr>
      <w:r>
        <w:rPr>
          <w:rFonts w:hint="eastAsia"/>
          <w:color w:val="auto"/>
          <w:kern w:val="0"/>
          <w:sz w:val="24"/>
          <w:szCs w:val="24"/>
          <w:highlight w:val="none"/>
        </w:rPr>
        <w:t>标项名称：</w:t>
      </w:r>
      <w:r>
        <w:rPr>
          <w:rFonts w:hint="eastAsia"/>
          <w:color w:val="auto"/>
          <w:sz w:val="24"/>
          <w:szCs w:val="24"/>
          <w:highlight w:val="none"/>
          <w:lang w:eastAsia="zh-CN"/>
        </w:rPr>
        <w:t>防城港市森林防火指挥中心和广西十万大山国家级自然保护区业务用房消防系统整改工程（重）</w:t>
      </w:r>
      <w:r>
        <w:rPr>
          <w:rFonts w:hint="eastAsia"/>
          <w:color w:val="auto"/>
          <w:sz w:val="24"/>
          <w:szCs w:val="24"/>
          <w:highlight w:val="none"/>
          <w:lang w:val="en-US" w:eastAsia="zh-CN"/>
        </w:rPr>
        <w:t>1项，具体施工内容以及工程量以图纸及工程量清单为准。</w:t>
      </w:r>
    </w:p>
    <w:p w14:paraId="3A456EDB">
      <w:pPr>
        <w:spacing w:line="312" w:lineRule="auto"/>
        <w:ind w:firstLine="0" w:firstLineChars="0"/>
        <w:jc w:val="left"/>
        <w:rPr>
          <w:color w:val="auto"/>
          <w:kern w:val="0"/>
          <w:sz w:val="24"/>
          <w:szCs w:val="24"/>
          <w:highlight w:val="none"/>
        </w:rPr>
      </w:pPr>
      <w:r>
        <w:rPr>
          <w:rFonts w:hint="eastAsia"/>
          <w:color w:val="auto"/>
          <w:kern w:val="0"/>
          <w:sz w:val="24"/>
          <w:szCs w:val="24"/>
          <w:highlight w:val="none"/>
          <w:lang w:val="en-US" w:eastAsia="zh-CN"/>
        </w:rPr>
        <w:t xml:space="preserve">   </w:t>
      </w:r>
      <w:r>
        <w:rPr>
          <w:rFonts w:hint="eastAsia"/>
          <w:color w:val="auto"/>
          <w:kern w:val="0"/>
          <w:sz w:val="24"/>
          <w:szCs w:val="24"/>
          <w:highlight w:val="none"/>
        </w:rPr>
        <w:t>项目基本概况：</w:t>
      </w:r>
      <w:r>
        <w:rPr>
          <w:rFonts w:hint="eastAsia"/>
          <w:color w:val="auto"/>
          <w:kern w:val="0"/>
          <w:sz w:val="24"/>
          <w:szCs w:val="24"/>
          <w:highlight w:val="none"/>
          <w:lang w:val="en-US" w:eastAsia="zh-CN"/>
        </w:rPr>
        <w:t>防城港市森林防火指挥中心和广西十万大山国家级自然保护区业务用房消防系统整改工程，本项目业务用房建筑面积 16884.66㎡，高度 68.5m，为一类高层公共建筑。本工程包含安装、拆除等专业工程。具体施工内容以及工程量以图纸及工程量清单为准，配合通过政府相关部门消防检验并颁发合格证书。</w:t>
      </w:r>
    </w:p>
    <w:p w14:paraId="5719545D">
      <w:pPr>
        <w:spacing w:line="312" w:lineRule="auto"/>
        <w:ind w:firstLine="480" w:firstLineChars="200"/>
        <w:jc w:val="left"/>
        <w:rPr>
          <w:color w:val="auto"/>
          <w:kern w:val="0"/>
          <w:sz w:val="24"/>
          <w:szCs w:val="24"/>
          <w:highlight w:val="none"/>
        </w:rPr>
      </w:pPr>
      <w:r>
        <w:rPr>
          <w:rFonts w:hint="eastAsia"/>
          <w:color w:val="auto"/>
          <w:kern w:val="0"/>
          <w:sz w:val="24"/>
          <w:szCs w:val="24"/>
          <w:highlight w:val="none"/>
          <w:lang w:eastAsia="zh-CN"/>
        </w:rPr>
        <w:t>（四）</w:t>
      </w:r>
      <w:r>
        <w:rPr>
          <w:rFonts w:hint="eastAsia"/>
          <w:color w:val="auto"/>
          <w:kern w:val="0"/>
          <w:sz w:val="24"/>
          <w:szCs w:val="24"/>
          <w:highlight w:val="none"/>
        </w:rPr>
        <w:t>合同履约期限：</w:t>
      </w:r>
      <w:r>
        <w:rPr>
          <w:rFonts w:hint="eastAsia"/>
          <w:color w:val="auto"/>
          <w:kern w:val="0"/>
          <w:sz w:val="24"/>
          <w:szCs w:val="24"/>
          <w:highlight w:val="none"/>
          <w:lang w:val="en-US" w:eastAsia="zh-CN"/>
        </w:rPr>
        <w:t>自合同签订之日起100</w:t>
      </w:r>
      <w:r>
        <w:rPr>
          <w:rFonts w:hint="eastAsia"/>
          <w:color w:val="auto"/>
          <w:kern w:val="0"/>
          <w:sz w:val="24"/>
          <w:szCs w:val="24"/>
          <w:highlight w:val="none"/>
        </w:rPr>
        <w:t>日历天</w:t>
      </w:r>
    </w:p>
    <w:p w14:paraId="01C6551F">
      <w:pPr>
        <w:spacing w:line="312" w:lineRule="auto"/>
        <w:ind w:firstLine="480" w:firstLineChars="200"/>
        <w:jc w:val="left"/>
        <w:rPr>
          <w:color w:val="auto"/>
          <w:kern w:val="0"/>
          <w:sz w:val="24"/>
          <w:szCs w:val="24"/>
          <w:highlight w:val="none"/>
        </w:rPr>
      </w:pPr>
      <w:r>
        <w:rPr>
          <w:rFonts w:hint="eastAsia"/>
          <w:color w:val="auto"/>
          <w:kern w:val="0"/>
          <w:sz w:val="24"/>
          <w:szCs w:val="24"/>
          <w:highlight w:val="none"/>
          <w:lang w:eastAsia="zh-CN"/>
        </w:rPr>
        <w:t>（五）</w:t>
      </w:r>
      <w:r>
        <w:rPr>
          <w:color w:val="auto"/>
          <w:kern w:val="0"/>
          <w:sz w:val="24"/>
          <w:szCs w:val="24"/>
          <w:highlight w:val="none"/>
        </w:rPr>
        <w:t>本项目</w:t>
      </w:r>
      <w:r>
        <w:rPr>
          <w:rFonts w:hint="eastAsia"/>
          <w:color w:val="auto"/>
          <w:kern w:val="0"/>
          <w:sz w:val="24"/>
          <w:szCs w:val="24"/>
          <w:highlight w:val="none"/>
          <w:lang w:eastAsia="zh-CN"/>
        </w:rPr>
        <w:t>不</w:t>
      </w:r>
      <w:r>
        <w:rPr>
          <w:rFonts w:hint="eastAsia"/>
          <w:color w:val="auto"/>
          <w:kern w:val="0"/>
          <w:sz w:val="24"/>
          <w:szCs w:val="24"/>
          <w:highlight w:val="none"/>
        </w:rPr>
        <w:t>接受</w:t>
      </w:r>
      <w:r>
        <w:rPr>
          <w:color w:val="auto"/>
          <w:kern w:val="0"/>
          <w:sz w:val="24"/>
          <w:szCs w:val="24"/>
          <w:highlight w:val="none"/>
        </w:rPr>
        <w:t>联合体。</w:t>
      </w:r>
    </w:p>
    <w:p w14:paraId="30BC37DE">
      <w:pPr>
        <w:spacing w:line="312" w:lineRule="auto"/>
        <w:ind w:firstLine="840" w:firstLineChars="350"/>
        <w:jc w:val="left"/>
        <w:rPr>
          <w:color w:val="auto"/>
          <w:kern w:val="0"/>
          <w:sz w:val="24"/>
          <w:szCs w:val="24"/>
          <w:highlight w:val="none"/>
        </w:rPr>
      </w:pPr>
      <w:r>
        <w:rPr>
          <w:rFonts w:hint="eastAsia"/>
          <w:color w:val="auto"/>
          <w:kern w:val="0"/>
          <w:sz w:val="24"/>
          <w:szCs w:val="24"/>
          <w:highlight w:val="none"/>
        </w:rPr>
        <w:t>备注：</w:t>
      </w:r>
    </w:p>
    <w:bookmarkEnd w:id="10"/>
    <w:p w14:paraId="3FB7FC91">
      <w:pPr>
        <w:spacing w:line="312" w:lineRule="auto"/>
        <w:ind w:firstLine="482" w:firstLineChars="200"/>
        <w:jc w:val="left"/>
        <w:rPr>
          <w:b/>
          <w:bCs/>
          <w:color w:val="auto"/>
          <w:kern w:val="0"/>
          <w:sz w:val="24"/>
          <w:szCs w:val="24"/>
          <w:highlight w:val="none"/>
        </w:rPr>
      </w:pPr>
      <w:r>
        <w:rPr>
          <w:rFonts w:hint="eastAsia"/>
          <w:b/>
          <w:bCs/>
          <w:color w:val="auto"/>
          <w:kern w:val="0"/>
          <w:sz w:val="24"/>
          <w:szCs w:val="24"/>
          <w:highlight w:val="none"/>
        </w:rPr>
        <w:t>二、申请人的资格要求</w:t>
      </w:r>
    </w:p>
    <w:p w14:paraId="10612B02">
      <w:pPr>
        <w:spacing w:line="312" w:lineRule="auto"/>
        <w:ind w:firstLine="480" w:firstLineChars="200"/>
        <w:jc w:val="left"/>
        <w:rPr>
          <w:color w:val="auto"/>
          <w:kern w:val="0"/>
          <w:sz w:val="24"/>
          <w:szCs w:val="24"/>
          <w:highlight w:val="none"/>
        </w:rPr>
      </w:pPr>
      <w:r>
        <w:rPr>
          <w:color w:val="auto"/>
          <w:kern w:val="0"/>
          <w:sz w:val="24"/>
          <w:szCs w:val="24"/>
          <w:highlight w:val="none"/>
        </w:rPr>
        <w:t>1</w:t>
      </w:r>
      <w:r>
        <w:rPr>
          <w:rFonts w:hint="eastAsia"/>
          <w:color w:val="auto"/>
          <w:kern w:val="0"/>
          <w:sz w:val="24"/>
          <w:szCs w:val="24"/>
          <w:highlight w:val="none"/>
        </w:rPr>
        <w:t>.满足</w:t>
      </w:r>
      <w:r>
        <w:rPr>
          <w:color w:val="auto"/>
          <w:kern w:val="0"/>
          <w:sz w:val="24"/>
          <w:szCs w:val="24"/>
          <w:highlight w:val="none"/>
        </w:rPr>
        <w:t>《中华人民共和国政府采购法》第二十二条规定；</w:t>
      </w:r>
    </w:p>
    <w:p w14:paraId="7ABBA784">
      <w:pPr>
        <w:spacing w:line="312" w:lineRule="auto"/>
        <w:ind w:firstLine="480" w:firstLineChars="200"/>
        <w:jc w:val="left"/>
        <w:rPr>
          <w:color w:val="auto"/>
          <w:sz w:val="24"/>
          <w:szCs w:val="24"/>
          <w:highlight w:val="none"/>
        </w:rPr>
      </w:pPr>
      <w:r>
        <w:rPr>
          <w:rFonts w:hint="eastAsia"/>
          <w:color w:val="auto"/>
          <w:sz w:val="24"/>
          <w:szCs w:val="24"/>
          <w:highlight w:val="none"/>
        </w:rPr>
        <w:t>2</w:t>
      </w:r>
      <w:r>
        <w:rPr>
          <w:rFonts w:hint="eastAsia"/>
          <w:color w:val="auto"/>
          <w:kern w:val="0"/>
          <w:sz w:val="24"/>
          <w:szCs w:val="24"/>
          <w:highlight w:val="none"/>
        </w:rPr>
        <w:t>.</w:t>
      </w:r>
      <w:r>
        <w:rPr>
          <w:rFonts w:hint="eastAsia"/>
          <w:color w:val="auto"/>
          <w:sz w:val="24"/>
          <w:szCs w:val="24"/>
          <w:highlight w:val="none"/>
        </w:rPr>
        <w:t>落实政府采购政策需满足的资格要求：</w:t>
      </w:r>
      <w:bookmarkStart w:id="11" w:name="_Hlk132732708"/>
    </w:p>
    <w:p w14:paraId="0C167136">
      <w:pPr>
        <w:spacing w:line="312" w:lineRule="auto"/>
        <w:ind w:firstLine="480" w:firstLineChars="200"/>
        <w:jc w:val="left"/>
        <w:rPr>
          <w:color w:val="auto"/>
          <w:kern w:val="0"/>
          <w:sz w:val="24"/>
          <w:szCs w:val="24"/>
          <w:highlight w:val="none"/>
        </w:rPr>
      </w:pPr>
      <w:r>
        <w:rPr>
          <w:rFonts w:hint="eastAsia"/>
          <w:color w:val="auto"/>
          <w:sz w:val="24"/>
          <w:szCs w:val="24"/>
          <w:highlight w:val="none"/>
        </w:rPr>
        <w:t>本项目供应商为中小微企业或残疾人福利企业或监狱企业</w:t>
      </w:r>
      <w:r>
        <w:rPr>
          <w:rFonts w:hint="eastAsia"/>
          <w:color w:val="auto"/>
          <w:kern w:val="0"/>
          <w:sz w:val="24"/>
          <w:szCs w:val="24"/>
          <w:highlight w:val="none"/>
        </w:rPr>
        <w:t>；</w:t>
      </w:r>
    </w:p>
    <w:bookmarkEnd w:id="11"/>
    <w:p w14:paraId="5401DAA4">
      <w:pPr>
        <w:spacing w:line="312" w:lineRule="auto"/>
        <w:ind w:firstLine="480" w:firstLineChars="200"/>
        <w:jc w:val="left"/>
        <w:rPr>
          <w:color w:val="auto"/>
          <w:kern w:val="0"/>
          <w:sz w:val="24"/>
          <w:szCs w:val="24"/>
          <w:highlight w:val="none"/>
        </w:rPr>
      </w:pPr>
      <w:r>
        <w:rPr>
          <w:color w:val="auto"/>
          <w:kern w:val="0"/>
          <w:sz w:val="24"/>
          <w:szCs w:val="24"/>
          <w:highlight w:val="none"/>
        </w:rPr>
        <w:t>3</w:t>
      </w:r>
      <w:r>
        <w:rPr>
          <w:rFonts w:hint="eastAsia"/>
          <w:color w:val="auto"/>
          <w:kern w:val="0"/>
          <w:sz w:val="24"/>
          <w:szCs w:val="24"/>
          <w:highlight w:val="none"/>
        </w:rPr>
        <w:t>.本项目的</w:t>
      </w:r>
      <w:r>
        <w:rPr>
          <w:color w:val="auto"/>
          <w:kern w:val="0"/>
          <w:sz w:val="24"/>
          <w:szCs w:val="24"/>
          <w:highlight w:val="none"/>
        </w:rPr>
        <w:t>特定资格</w:t>
      </w:r>
      <w:r>
        <w:rPr>
          <w:rFonts w:hint="eastAsia"/>
          <w:color w:val="auto"/>
          <w:kern w:val="0"/>
          <w:sz w:val="24"/>
          <w:szCs w:val="24"/>
          <w:highlight w:val="none"/>
        </w:rPr>
        <w:t>要求</w:t>
      </w:r>
      <w:r>
        <w:rPr>
          <w:color w:val="auto"/>
          <w:kern w:val="0"/>
          <w:sz w:val="24"/>
          <w:szCs w:val="24"/>
          <w:highlight w:val="none"/>
        </w:rPr>
        <w:t>：</w:t>
      </w:r>
    </w:p>
    <w:p w14:paraId="662D9DFE">
      <w:pPr>
        <w:spacing w:line="312" w:lineRule="auto"/>
        <w:ind w:firstLine="480" w:firstLineChars="200"/>
        <w:jc w:val="left"/>
        <w:rPr>
          <w:color w:val="auto"/>
          <w:kern w:val="0"/>
          <w:sz w:val="24"/>
          <w:szCs w:val="24"/>
          <w:highlight w:val="none"/>
        </w:rPr>
      </w:pPr>
      <w:r>
        <w:rPr>
          <w:color w:val="auto"/>
          <w:kern w:val="0"/>
          <w:sz w:val="24"/>
          <w:szCs w:val="24"/>
          <w:highlight w:val="none"/>
        </w:rPr>
        <w:t>（1）资质要求：具备消防设施工程专业承包一级资质</w:t>
      </w:r>
      <w:r>
        <w:rPr>
          <w:rFonts w:hint="eastAsia"/>
          <w:color w:val="auto"/>
          <w:kern w:val="0"/>
          <w:sz w:val="24"/>
          <w:szCs w:val="24"/>
          <w:highlight w:val="none"/>
        </w:rPr>
        <w:t>，</w:t>
      </w:r>
      <w:r>
        <w:rPr>
          <w:color w:val="auto"/>
          <w:sz w:val="24"/>
          <w:szCs w:val="24"/>
          <w:highlight w:val="none"/>
        </w:rPr>
        <w:t>具备有效的安全生产许可证</w:t>
      </w:r>
      <w:r>
        <w:rPr>
          <w:color w:val="auto"/>
          <w:kern w:val="0"/>
          <w:sz w:val="24"/>
          <w:szCs w:val="24"/>
          <w:highlight w:val="none"/>
        </w:rPr>
        <w:t>。</w:t>
      </w:r>
    </w:p>
    <w:p w14:paraId="7F12FFFF">
      <w:pPr>
        <w:spacing w:line="312" w:lineRule="auto"/>
        <w:ind w:firstLine="480" w:firstLineChars="200"/>
        <w:jc w:val="left"/>
        <w:rPr>
          <w:color w:val="auto"/>
          <w:kern w:val="0"/>
          <w:sz w:val="24"/>
          <w:szCs w:val="24"/>
          <w:highlight w:val="none"/>
        </w:rPr>
      </w:pPr>
      <w:r>
        <w:rPr>
          <w:rFonts w:hint="eastAsia"/>
          <w:color w:val="auto"/>
          <w:kern w:val="0"/>
          <w:sz w:val="24"/>
          <w:szCs w:val="24"/>
          <w:highlight w:val="none"/>
        </w:rPr>
        <w:t>（2）人员要求</w:t>
      </w:r>
    </w:p>
    <w:p w14:paraId="16F3DAF7">
      <w:pPr>
        <w:spacing w:line="312" w:lineRule="auto"/>
        <w:ind w:firstLine="480" w:firstLineChars="200"/>
        <w:jc w:val="left"/>
        <w:rPr>
          <w:color w:val="auto"/>
          <w:kern w:val="0"/>
          <w:sz w:val="24"/>
          <w:szCs w:val="24"/>
          <w:highlight w:val="none"/>
        </w:rPr>
      </w:pPr>
      <w:r>
        <w:rPr>
          <w:rFonts w:hint="eastAsia"/>
          <w:color w:val="auto"/>
          <w:kern w:val="0"/>
          <w:sz w:val="24"/>
          <w:szCs w:val="24"/>
          <w:highlight w:val="none"/>
        </w:rPr>
        <w:t>项目经理要求：</w:t>
      </w:r>
      <w:r>
        <w:rPr>
          <w:color w:val="auto"/>
          <w:kern w:val="0"/>
          <w:sz w:val="24"/>
          <w:szCs w:val="24"/>
          <w:highlight w:val="none"/>
        </w:rPr>
        <w:t>具备</w:t>
      </w:r>
      <w:r>
        <w:rPr>
          <w:rFonts w:hint="eastAsia"/>
          <w:color w:val="auto"/>
          <w:sz w:val="24"/>
          <w:highlight w:val="none"/>
          <w:u w:val="none"/>
          <w:lang w:val="en-US" w:eastAsia="zh-CN"/>
        </w:rPr>
        <w:t>机电</w:t>
      </w:r>
      <w:r>
        <w:rPr>
          <w:color w:val="auto"/>
          <w:sz w:val="24"/>
          <w:highlight w:val="none"/>
          <w:u w:val="none"/>
        </w:rPr>
        <w:t>工程专业二</w:t>
      </w:r>
      <w:r>
        <w:rPr>
          <w:color w:val="auto"/>
          <w:sz w:val="24"/>
          <w:highlight w:val="none"/>
        </w:rPr>
        <w:t>级以上（含</w:t>
      </w:r>
      <w:r>
        <w:rPr>
          <w:rFonts w:hint="eastAsia"/>
          <w:color w:val="auto"/>
          <w:sz w:val="24"/>
          <w:highlight w:val="none"/>
        </w:rPr>
        <w:t>本</w:t>
      </w:r>
      <w:r>
        <w:rPr>
          <w:color w:val="auto"/>
          <w:sz w:val="24"/>
          <w:highlight w:val="none"/>
        </w:rPr>
        <w:t>级）</w:t>
      </w:r>
      <w:r>
        <w:rPr>
          <w:color w:val="auto"/>
          <w:kern w:val="0"/>
          <w:sz w:val="24"/>
          <w:szCs w:val="24"/>
          <w:highlight w:val="none"/>
        </w:rPr>
        <w:t>注册建造师执业资格，</w:t>
      </w:r>
      <w:r>
        <w:rPr>
          <w:rFonts w:hint="eastAsia"/>
          <w:color w:val="auto"/>
          <w:kern w:val="0"/>
          <w:sz w:val="24"/>
          <w:szCs w:val="24"/>
          <w:highlight w:val="none"/>
        </w:rPr>
        <w:t>具备有效的</w:t>
      </w:r>
      <w:r>
        <w:rPr>
          <w:color w:val="auto"/>
          <w:kern w:val="0"/>
          <w:sz w:val="24"/>
          <w:szCs w:val="24"/>
          <w:highlight w:val="none"/>
        </w:rPr>
        <w:t>安全生产考核合格证书（B类）。</w:t>
      </w:r>
    </w:p>
    <w:p w14:paraId="2423FCFD">
      <w:pPr>
        <w:spacing w:line="312" w:lineRule="auto"/>
        <w:ind w:firstLine="480" w:firstLineChars="200"/>
        <w:jc w:val="left"/>
        <w:rPr>
          <w:color w:val="auto"/>
          <w:kern w:val="0"/>
          <w:sz w:val="24"/>
          <w:szCs w:val="24"/>
          <w:highlight w:val="none"/>
        </w:rPr>
      </w:pPr>
      <w:r>
        <w:rPr>
          <w:rFonts w:hint="eastAsia"/>
          <w:color w:val="auto"/>
          <w:kern w:val="0"/>
          <w:sz w:val="24"/>
          <w:szCs w:val="24"/>
          <w:highlight w:val="none"/>
        </w:rPr>
        <w:t>技术负责人要求：具备消防工程相关专业（机电工程、给排水、暖通、电气自动化等）中级及以上技术职称，或机电工程专业注册建造师资格。</w:t>
      </w:r>
    </w:p>
    <w:p w14:paraId="13AD45C9">
      <w:pPr>
        <w:spacing w:line="312" w:lineRule="auto"/>
        <w:ind w:firstLine="480" w:firstLineChars="200"/>
        <w:jc w:val="left"/>
        <w:rPr>
          <w:color w:val="auto"/>
          <w:kern w:val="0"/>
          <w:sz w:val="24"/>
          <w:szCs w:val="24"/>
          <w:highlight w:val="none"/>
        </w:rPr>
      </w:pPr>
      <w:r>
        <w:rPr>
          <w:color w:val="auto"/>
          <w:sz w:val="24"/>
          <w:highlight w:val="none"/>
        </w:rPr>
        <w:t>专职安全员</w:t>
      </w:r>
      <w:r>
        <w:rPr>
          <w:rFonts w:hint="eastAsia"/>
          <w:color w:val="auto"/>
          <w:kern w:val="0"/>
          <w:sz w:val="24"/>
          <w:szCs w:val="24"/>
          <w:highlight w:val="none"/>
        </w:rPr>
        <w:t>要求</w:t>
      </w:r>
      <w:r>
        <w:rPr>
          <w:color w:val="auto"/>
          <w:sz w:val="24"/>
          <w:highlight w:val="none"/>
        </w:rPr>
        <w:t>须具备有效的安全生产考核合格证书（C类），人数符合住房城乡建设部《</w:t>
      </w:r>
      <w:r>
        <w:rPr>
          <w:rFonts w:hint="eastAsia"/>
          <w:color w:val="auto"/>
          <w:sz w:val="24"/>
          <w:highlight w:val="none"/>
        </w:rPr>
        <w:t>建筑施工企业、工程项目安全生产管理机构设置及安全生产管理人员配备办法</w:t>
      </w:r>
      <w:r>
        <w:rPr>
          <w:color w:val="auto"/>
          <w:sz w:val="24"/>
          <w:highlight w:val="none"/>
        </w:rPr>
        <w:t>》（建质</w:t>
      </w:r>
      <w:r>
        <w:rPr>
          <w:rFonts w:hint="eastAsia"/>
          <w:color w:val="auto"/>
          <w:sz w:val="24"/>
          <w:highlight w:val="none"/>
          <w:lang w:val="en-US" w:eastAsia="zh-CN"/>
        </w:rPr>
        <w:t>规</w:t>
      </w:r>
      <w:r>
        <w:rPr>
          <w:color w:val="auto"/>
          <w:sz w:val="24"/>
          <w:highlight w:val="none"/>
        </w:rPr>
        <w:t>〔20</w:t>
      </w:r>
      <w:r>
        <w:rPr>
          <w:rFonts w:hint="eastAsia"/>
          <w:color w:val="auto"/>
          <w:sz w:val="24"/>
          <w:highlight w:val="none"/>
          <w:lang w:val="en-US" w:eastAsia="zh-CN"/>
        </w:rPr>
        <w:t>25</w:t>
      </w:r>
      <w:r>
        <w:rPr>
          <w:color w:val="auto"/>
          <w:sz w:val="24"/>
          <w:highlight w:val="none"/>
        </w:rPr>
        <w:t>〕</w:t>
      </w:r>
      <w:r>
        <w:rPr>
          <w:rFonts w:hint="eastAsia"/>
          <w:color w:val="auto"/>
          <w:sz w:val="24"/>
          <w:highlight w:val="none"/>
          <w:lang w:val="en-US" w:eastAsia="zh-CN"/>
        </w:rPr>
        <w:t>3</w:t>
      </w:r>
      <w:r>
        <w:rPr>
          <w:color w:val="auto"/>
          <w:sz w:val="24"/>
          <w:highlight w:val="none"/>
        </w:rPr>
        <w:t>号）的规定</w:t>
      </w:r>
      <w:r>
        <w:rPr>
          <w:rFonts w:hint="eastAsia"/>
          <w:color w:val="auto"/>
          <w:sz w:val="24"/>
          <w:highlight w:val="none"/>
        </w:rPr>
        <w:t>不少于</w:t>
      </w:r>
      <w:r>
        <w:rPr>
          <w:rFonts w:hint="eastAsia"/>
          <w:color w:val="auto"/>
          <w:sz w:val="24"/>
          <w:highlight w:val="none"/>
          <w:u w:val="single"/>
        </w:rPr>
        <w:t xml:space="preserve"> </w:t>
      </w:r>
      <w:r>
        <w:rPr>
          <w:color w:val="auto"/>
          <w:sz w:val="24"/>
          <w:highlight w:val="none"/>
          <w:u w:val="single"/>
        </w:rPr>
        <w:t xml:space="preserve"> </w:t>
      </w:r>
      <w:r>
        <w:rPr>
          <w:rFonts w:hint="eastAsia"/>
          <w:color w:val="auto"/>
          <w:sz w:val="24"/>
          <w:highlight w:val="none"/>
          <w:u w:val="single"/>
          <w:lang w:val="en-US" w:eastAsia="zh-CN"/>
        </w:rPr>
        <w:t>1</w:t>
      </w:r>
      <w:r>
        <w:rPr>
          <w:color w:val="auto"/>
          <w:sz w:val="24"/>
          <w:highlight w:val="none"/>
          <w:u w:val="single"/>
        </w:rPr>
        <w:t xml:space="preserve">  </w:t>
      </w:r>
      <w:r>
        <w:rPr>
          <w:rFonts w:hint="eastAsia"/>
          <w:color w:val="auto"/>
          <w:sz w:val="24"/>
          <w:highlight w:val="none"/>
        </w:rPr>
        <w:t>人</w:t>
      </w:r>
      <w:r>
        <w:rPr>
          <w:color w:val="auto"/>
          <w:sz w:val="24"/>
          <w:highlight w:val="none"/>
        </w:rPr>
        <w:t>。</w:t>
      </w:r>
    </w:p>
    <w:p w14:paraId="795AFB9E">
      <w:pPr>
        <w:spacing w:line="312" w:lineRule="auto"/>
        <w:ind w:firstLine="480" w:firstLineChars="200"/>
        <w:jc w:val="left"/>
        <w:rPr>
          <w:color w:val="auto"/>
          <w:kern w:val="0"/>
          <w:sz w:val="24"/>
          <w:szCs w:val="24"/>
          <w:highlight w:val="none"/>
        </w:rPr>
      </w:pPr>
      <w:r>
        <w:rPr>
          <w:color w:val="auto"/>
          <w:kern w:val="0"/>
          <w:sz w:val="24"/>
          <w:szCs w:val="24"/>
          <w:highlight w:val="none"/>
        </w:rPr>
        <w:t>（3）业绩要求：无。</w:t>
      </w:r>
    </w:p>
    <w:p w14:paraId="3273E72B">
      <w:pPr>
        <w:spacing w:line="312" w:lineRule="auto"/>
        <w:ind w:firstLine="480" w:firstLineChars="200"/>
        <w:jc w:val="left"/>
        <w:rPr>
          <w:color w:val="auto"/>
          <w:kern w:val="0"/>
          <w:sz w:val="24"/>
          <w:szCs w:val="24"/>
          <w:highlight w:val="none"/>
        </w:rPr>
      </w:pPr>
      <w:r>
        <w:rPr>
          <w:color w:val="auto"/>
          <w:kern w:val="0"/>
          <w:sz w:val="24"/>
          <w:szCs w:val="24"/>
          <w:highlight w:val="none"/>
        </w:rPr>
        <w:t>（4）单位负责人为同一人或者存在直接控股、管理关系的不同供应商，不得参加本项目同一合同项下的政府采购活动。为本项目提供整体设计、规范编制或者项目管理、监理、检测等服务的供应商，不得再参加</w:t>
      </w:r>
      <w:r>
        <w:rPr>
          <w:rFonts w:hint="eastAsia"/>
          <w:color w:val="auto"/>
          <w:kern w:val="0"/>
          <w:sz w:val="24"/>
          <w:szCs w:val="24"/>
          <w:highlight w:val="none"/>
        </w:rPr>
        <w:t>本</w:t>
      </w:r>
      <w:r>
        <w:rPr>
          <w:color w:val="auto"/>
          <w:kern w:val="0"/>
          <w:sz w:val="24"/>
          <w:szCs w:val="24"/>
          <w:highlight w:val="none"/>
        </w:rPr>
        <w:t>项目的采购活动</w:t>
      </w:r>
      <w:r>
        <w:rPr>
          <w:rFonts w:hint="eastAsia"/>
          <w:color w:val="auto"/>
          <w:kern w:val="0"/>
          <w:sz w:val="24"/>
          <w:szCs w:val="24"/>
          <w:highlight w:val="none"/>
        </w:rPr>
        <w:t>。</w:t>
      </w:r>
    </w:p>
    <w:p w14:paraId="23781F62">
      <w:pPr>
        <w:spacing w:line="312" w:lineRule="auto"/>
        <w:ind w:firstLine="480" w:firstLineChars="200"/>
        <w:jc w:val="left"/>
        <w:rPr>
          <w:color w:val="auto"/>
          <w:kern w:val="0"/>
          <w:sz w:val="24"/>
          <w:szCs w:val="24"/>
          <w:highlight w:val="none"/>
        </w:rPr>
      </w:pPr>
      <w:r>
        <w:rPr>
          <w:rFonts w:hint="eastAsia"/>
          <w:color w:val="auto"/>
          <w:kern w:val="0"/>
          <w:sz w:val="24"/>
          <w:szCs w:val="24"/>
          <w:highlight w:val="none"/>
        </w:rPr>
        <w:t>（</w:t>
      </w:r>
      <w:r>
        <w:rPr>
          <w:color w:val="auto"/>
          <w:kern w:val="0"/>
          <w:sz w:val="24"/>
          <w:szCs w:val="24"/>
          <w:highlight w:val="none"/>
        </w:rPr>
        <w:t>5</w:t>
      </w:r>
      <w:r>
        <w:rPr>
          <w:rFonts w:hint="eastAsia"/>
          <w:color w:val="auto"/>
          <w:kern w:val="0"/>
          <w:sz w:val="24"/>
          <w:szCs w:val="24"/>
          <w:highlight w:val="none"/>
        </w:rPr>
        <w:t>）</w:t>
      </w:r>
      <w:r>
        <w:rPr>
          <w:color w:val="auto"/>
          <w:kern w:val="0"/>
          <w:sz w:val="24"/>
          <w:szCs w:val="24"/>
          <w:highlight w:val="none"/>
        </w:rPr>
        <w:t>未被列入失信被执行人、重大税收违法失信主体、政府采购严重违法失信行为记录名单。</w:t>
      </w:r>
    </w:p>
    <w:p w14:paraId="5258C65F">
      <w:pPr>
        <w:spacing w:line="312" w:lineRule="auto"/>
        <w:ind w:firstLine="480" w:firstLineChars="200"/>
        <w:jc w:val="left"/>
        <w:rPr>
          <w:color w:val="auto"/>
          <w:kern w:val="0"/>
          <w:sz w:val="24"/>
          <w:szCs w:val="24"/>
          <w:highlight w:val="none"/>
        </w:rPr>
      </w:pPr>
      <w:bookmarkStart w:id="12" w:name="_Hlk132732817"/>
      <w:r>
        <w:rPr>
          <w:rFonts w:hint="eastAsia"/>
          <w:color w:val="auto"/>
          <w:sz w:val="24"/>
          <w:szCs w:val="24"/>
          <w:highlight w:val="none"/>
        </w:rPr>
        <w:t>（</w:t>
      </w:r>
      <w:r>
        <w:rPr>
          <w:color w:val="auto"/>
          <w:sz w:val="24"/>
          <w:szCs w:val="24"/>
          <w:highlight w:val="none"/>
        </w:rPr>
        <w:t>6</w:t>
      </w:r>
      <w:r>
        <w:rPr>
          <w:rFonts w:hint="eastAsia"/>
          <w:color w:val="auto"/>
          <w:sz w:val="24"/>
          <w:szCs w:val="24"/>
          <w:highlight w:val="none"/>
        </w:rPr>
        <w:t>）</w:t>
      </w:r>
      <w:r>
        <w:rPr>
          <w:rFonts w:hint="eastAsia"/>
          <w:color w:val="auto"/>
          <w:kern w:val="0"/>
          <w:sz w:val="24"/>
          <w:szCs w:val="24"/>
          <w:highlight w:val="none"/>
        </w:rPr>
        <w:t>本项目不允许分包。</w:t>
      </w:r>
    </w:p>
    <w:p w14:paraId="32BF0733">
      <w:pPr>
        <w:spacing w:line="312" w:lineRule="auto"/>
        <w:ind w:firstLine="480" w:firstLineChars="200"/>
        <w:jc w:val="left"/>
        <w:rPr>
          <w:color w:val="auto"/>
          <w:sz w:val="24"/>
          <w:szCs w:val="24"/>
          <w:highlight w:val="none"/>
        </w:rPr>
      </w:pPr>
      <w:r>
        <w:rPr>
          <w:rFonts w:hint="eastAsia"/>
          <w:color w:val="auto"/>
          <w:kern w:val="0"/>
          <w:sz w:val="24"/>
          <w:szCs w:val="24"/>
          <w:highlight w:val="none"/>
        </w:rPr>
        <w:t>（</w:t>
      </w:r>
      <w:r>
        <w:rPr>
          <w:color w:val="auto"/>
          <w:kern w:val="0"/>
          <w:sz w:val="24"/>
          <w:szCs w:val="24"/>
          <w:highlight w:val="none"/>
        </w:rPr>
        <w:t>7</w:t>
      </w:r>
      <w:r>
        <w:rPr>
          <w:rFonts w:hint="eastAsia"/>
          <w:color w:val="auto"/>
          <w:kern w:val="0"/>
          <w:sz w:val="24"/>
          <w:szCs w:val="24"/>
          <w:highlight w:val="none"/>
        </w:rPr>
        <w:t>）</w:t>
      </w:r>
      <w:r>
        <w:rPr>
          <w:color w:val="auto"/>
          <w:kern w:val="0"/>
          <w:sz w:val="24"/>
          <w:szCs w:val="24"/>
          <w:highlight w:val="none"/>
        </w:rPr>
        <w:t>本项目不接受联合体。</w:t>
      </w:r>
      <w:bookmarkEnd w:id="12"/>
    </w:p>
    <w:p w14:paraId="6583FD73">
      <w:pPr>
        <w:spacing w:line="312" w:lineRule="auto"/>
        <w:ind w:firstLine="480" w:firstLineChars="200"/>
        <w:jc w:val="left"/>
        <w:rPr>
          <w:color w:val="auto"/>
          <w:kern w:val="0"/>
          <w:sz w:val="24"/>
          <w:szCs w:val="24"/>
          <w:highlight w:val="none"/>
        </w:rPr>
      </w:pPr>
      <w:r>
        <w:rPr>
          <w:rFonts w:hint="eastAsia"/>
          <w:color w:val="auto"/>
          <w:kern w:val="0"/>
          <w:sz w:val="24"/>
          <w:szCs w:val="24"/>
          <w:highlight w:val="none"/>
        </w:rPr>
        <w:t>（</w:t>
      </w:r>
      <w:r>
        <w:rPr>
          <w:color w:val="auto"/>
          <w:kern w:val="0"/>
          <w:sz w:val="24"/>
          <w:szCs w:val="24"/>
          <w:highlight w:val="none"/>
        </w:rPr>
        <w:t>8</w:t>
      </w:r>
      <w:r>
        <w:rPr>
          <w:rFonts w:hint="eastAsia"/>
          <w:color w:val="auto"/>
          <w:kern w:val="0"/>
          <w:sz w:val="24"/>
          <w:szCs w:val="24"/>
          <w:highlight w:val="none"/>
        </w:rPr>
        <w:t>）按本公告规定获取采购文件，本项目不收取磋商保证金。</w:t>
      </w:r>
    </w:p>
    <w:p w14:paraId="139F2163">
      <w:pPr>
        <w:spacing w:line="312" w:lineRule="auto"/>
        <w:ind w:firstLine="482" w:firstLineChars="200"/>
        <w:jc w:val="left"/>
        <w:rPr>
          <w:b/>
          <w:bCs/>
          <w:color w:val="auto"/>
          <w:kern w:val="0"/>
          <w:sz w:val="24"/>
          <w:szCs w:val="24"/>
          <w:highlight w:val="none"/>
        </w:rPr>
      </w:pPr>
      <w:r>
        <w:rPr>
          <w:rFonts w:hint="eastAsia"/>
          <w:b/>
          <w:bCs/>
          <w:color w:val="auto"/>
          <w:kern w:val="0"/>
          <w:sz w:val="24"/>
          <w:szCs w:val="24"/>
          <w:highlight w:val="none"/>
        </w:rPr>
        <w:t>三、获取采购文件</w:t>
      </w:r>
    </w:p>
    <w:p w14:paraId="5AD08910">
      <w:pPr>
        <w:spacing w:line="312" w:lineRule="auto"/>
        <w:ind w:firstLine="480" w:firstLineChars="200"/>
        <w:jc w:val="left"/>
        <w:rPr>
          <w:color w:val="auto"/>
          <w:sz w:val="24"/>
          <w:highlight w:val="none"/>
        </w:rPr>
      </w:pPr>
      <w:r>
        <w:rPr>
          <w:rFonts w:hint="eastAsia"/>
          <w:color w:val="auto"/>
          <w:sz w:val="24"/>
          <w:highlight w:val="none"/>
        </w:rPr>
        <w:t>时间：</w:t>
      </w:r>
      <w:r>
        <w:rPr>
          <w:rFonts w:hint="eastAsia"/>
          <w:color w:val="auto"/>
          <w:sz w:val="24"/>
          <w:highlight w:val="none"/>
          <w:u w:val="single"/>
        </w:rPr>
        <w:t>202</w:t>
      </w:r>
      <w:r>
        <w:rPr>
          <w:rFonts w:hint="eastAsia"/>
          <w:color w:val="auto"/>
          <w:sz w:val="24"/>
          <w:highlight w:val="none"/>
          <w:u w:val="single"/>
          <w:lang w:val="en-US" w:eastAsia="zh-CN"/>
        </w:rPr>
        <w:t>6</w:t>
      </w:r>
      <w:r>
        <w:rPr>
          <w:rFonts w:hint="eastAsia"/>
          <w:color w:val="auto"/>
          <w:sz w:val="24"/>
          <w:highlight w:val="none"/>
          <w:u w:val="single"/>
        </w:rPr>
        <w:t>年</w:t>
      </w:r>
      <w:r>
        <w:rPr>
          <w:rFonts w:hint="eastAsia"/>
          <w:color w:val="auto"/>
          <w:sz w:val="24"/>
          <w:highlight w:val="none"/>
          <w:u w:val="single"/>
          <w:lang w:val="en-US" w:eastAsia="zh-CN"/>
        </w:rPr>
        <w:t xml:space="preserve"> 9 </w:t>
      </w:r>
      <w:r>
        <w:rPr>
          <w:rFonts w:hint="eastAsia"/>
          <w:color w:val="auto"/>
          <w:sz w:val="24"/>
          <w:highlight w:val="none"/>
          <w:u w:val="single"/>
        </w:rPr>
        <w:t>月</w:t>
      </w:r>
      <w:r>
        <w:rPr>
          <w:rFonts w:hint="eastAsia"/>
          <w:color w:val="auto"/>
          <w:sz w:val="24"/>
          <w:highlight w:val="none"/>
          <w:u w:val="single"/>
          <w:lang w:val="en-US" w:eastAsia="zh-CN"/>
        </w:rPr>
        <w:t xml:space="preserve"> 30</w:t>
      </w:r>
      <w:r>
        <w:rPr>
          <w:rFonts w:hint="eastAsia"/>
          <w:color w:val="auto"/>
          <w:sz w:val="24"/>
          <w:highlight w:val="none"/>
          <w:u w:val="single"/>
        </w:rPr>
        <w:t xml:space="preserve"> 日起至202</w:t>
      </w:r>
      <w:r>
        <w:rPr>
          <w:rFonts w:hint="eastAsia"/>
          <w:color w:val="auto"/>
          <w:sz w:val="24"/>
          <w:highlight w:val="none"/>
          <w:u w:val="single"/>
          <w:lang w:val="en-US" w:eastAsia="zh-CN"/>
        </w:rPr>
        <w:t>6</w:t>
      </w:r>
      <w:r>
        <w:rPr>
          <w:rFonts w:hint="eastAsia"/>
          <w:color w:val="auto"/>
          <w:sz w:val="24"/>
          <w:highlight w:val="none"/>
          <w:u w:val="single"/>
        </w:rPr>
        <w:t>年</w:t>
      </w:r>
      <w:r>
        <w:rPr>
          <w:rFonts w:hint="eastAsia"/>
          <w:color w:val="auto"/>
          <w:sz w:val="24"/>
          <w:highlight w:val="none"/>
          <w:u w:val="single"/>
          <w:lang w:val="en-US" w:eastAsia="zh-CN"/>
        </w:rPr>
        <w:t xml:space="preserve"> 10 </w:t>
      </w:r>
      <w:r>
        <w:rPr>
          <w:rFonts w:hint="eastAsia"/>
          <w:color w:val="auto"/>
          <w:sz w:val="24"/>
          <w:highlight w:val="none"/>
          <w:u w:val="single"/>
        </w:rPr>
        <w:t>月</w:t>
      </w:r>
      <w:r>
        <w:rPr>
          <w:rFonts w:hint="eastAsia"/>
          <w:color w:val="auto"/>
          <w:sz w:val="24"/>
          <w:highlight w:val="none"/>
          <w:u w:val="single"/>
          <w:lang w:val="en-US" w:eastAsia="zh-CN"/>
        </w:rPr>
        <w:t xml:space="preserve"> 13</w:t>
      </w:r>
      <w:r>
        <w:rPr>
          <w:rFonts w:hint="eastAsia"/>
          <w:color w:val="auto"/>
          <w:sz w:val="24"/>
          <w:highlight w:val="none"/>
          <w:u w:val="single"/>
        </w:rPr>
        <w:t xml:space="preserve"> 日</w:t>
      </w:r>
      <w:r>
        <w:rPr>
          <w:rFonts w:hint="eastAsia"/>
          <w:color w:val="auto"/>
          <w:sz w:val="24"/>
          <w:highlight w:val="none"/>
        </w:rPr>
        <w:t>，每天</w:t>
      </w:r>
      <w:r>
        <w:rPr>
          <w:rFonts w:hint="eastAsia" w:ascii="宋体" w:hAnsi="宋体" w:cs="宋体"/>
          <w:color w:val="auto"/>
          <w:sz w:val="24"/>
          <w:szCs w:val="24"/>
          <w:highlight w:val="none"/>
          <w:u w:val="single"/>
        </w:rPr>
        <w:t>上午00:00至12:00</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rPr>
        <w:t>下午12:00至23:59</w:t>
      </w:r>
      <w:r>
        <w:rPr>
          <w:rFonts w:hint="eastAsia"/>
          <w:color w:val="auto"/>
          <w:sz w:val="24"/>
          <w:highlight w:val="none"/>
        </w:rPr>
        <w:t>（北京时间，法定节假日除外）。</w:t>
      </w:r>
    </w:p>
    <w:p w14:paraId="0D270A33">
      <w:pPr>
        <w:spacing w:line="312" w:lineRule="auto"/>
        <w:ind w:firstLine="480" w:firstLineChars="200"/>
        <w:jc w:val="left"/>
        <w:rPr>
          <w:color w:val="auto"/>
          <w:sz w:val="24"/>
          <w:highlight w:val="none"/>
        </w:rPr>
      </w:pPr>
      <w:bookmarkStart w:id="13" w:name="_Hlk46137393"/>
      <w:r>
        <w:rPr>
          <w:rFonts w:hint="eastAsia"/>
          <w:color w:val="auto"/>
          <w:sz w:val="24"/>
          <w:highlight w:val="none"/>
        </w:rPr>
        <w:t>地点（网址）</w:t>
      </w:r>
      <w:bookmarkEnd w:id="13"/>
      <w:r>
        <w:rPr>
          <w:rFonts w:ascii="Arial" w:hAnsi="Arial" w:cs="Arial"/>
          <w:color w:val="auto"/>
          <w:kern w:val="0"/>
          <w:sz w:val="24"/>
          <w:szCs w:val="24"/>
          <w:highlight w:val="none"/>
        </w:rPr>
        <w:t>广西政府采购云平台</w:t>
      </w:r>
      <w:r>
        <w:rPr>
          <w:rFonts w:hint="eastAsia" w:ascii="Arial" w:hAnsi="Arial" w:cs="Arial"/>
          <w:color w:val="auto"/>
          <w:kern w:val="0"/>
          <w:sz w:val="24"/>
          <w:szCs w:val="24"/>
          <w:highlight w:val="none"/>
        </w:rPr>
        <w:t>（https://www.gcy.zfcg.gxzf.gov.cn/）</w:t>
      </w:r>
    </w:p>
    <w:p w14:paraId="2DBF02C5">
      <w:pPr>
        <w:spacing w:line="312" w:lineRule="auto"/>
        <w:ind w:firstLine="480" w:firstLineChars="200"/>
        <w:rPr>
          <w:color w:val="auto"/>
          <w:sz w:val="24"/>
          <w:highlight w:val="none"/>
        </w:rPr>
      </w:pPr>
      <w:r>
        <w:rPr>
          <w:rFonts w:hint="eastAsia"/>
          <w:color w:val="auto"/>
          <w:sz w:val="24"/>
          <w:szCs w:val="24"/>
          <w:highlight w:val="none"/>
        </w:rPr>
        <w:t>方式：供应商登录</w:t>
      </w:r>
      <w:r>
        <w:rPr>
          <w:rFonts w:ascii="Arial" w:hAnsi="Arial" w:cs="Arial"/>
          <w:color w:val="auto"/>
          <w:kern w:val="0"/>
          <w:sz w:val="24"/>
          <w:szCs w:val="24"/>
          <w:highlight w:val="none"/>
        </w:rPr>
        <w:t>广西政府采购云平台</w:t>
      </w:r>
      <w:r>
        <w:rPr>
          <w:rFonts w:hint="eastAsia"/>
          <w:color w:val="auto"/>
          <w:sz w:val="24"/>
          <w:szCs w:val="24"/>
          <w:highlight w:val="none"/>
        </w:rPr>
        <w:t>在线申请获取采购文件（进入“项目采购”应用，在获取采购文件菜单中选择项目，申请获取采购文件）</w:t>
      </w:r>
    </w:p>
    <w:p w14:paraId="13DA1AE8">
      <w:pPr>
        <w:spacing w:line="312" w:lineRule="auto"/>
        <w:ind w:firstLine="480" w:firstLineChars="200"/>
        <w:jc w:val="left"/>
        <w:rPr>
          <w:color w:val="auto"/>
          <w:sz w:val="24"/>
          <w:highlight w:val="none"/>
        </w:rPr>
      </w:pPr>
      <w:r>
        <w:rPr>
          <w:rFonts w:hint="eastAsia"/>
          <w:color w:val="auto"/>
          <w:sz w:val="24"/>
          <w:highlight w:val="none"/>
        </w:rPr>
        <w:t>售价（元）：</w:t>
      </w:r>
      <w:r>
        <w:rPr>
          <w:color w:val="auto"/>
          <w:sz w:val="24"/>
          <w:highlight w:val="none"/>
        </w:rPr>
        <w:t>0</w:t>
      </w:r>
    </w:p>
    <w:p w14:paraId="3146F9DE">
      <w:pPr>
        <w:spacing w:line="312" w:lineRule="auto"/>
        <w:ind w:firstLine="482" w:firstLineChars="200"/>
        <w:jc w:val="left"/>
        <w:rPr>
          <w:b/>
          <w:bCs/>
          <w:color w:val="auto"/>
          <w:kern w:val="0"/>
          <w:sz w:val="24"/>
          <w:szCs w:val="24"/>
          <w:highlight w:val="none"/>
        </w:rPr>
      </w:pPr>
      <w:r>
        <w:rPr>
          <w:rFonts w:hint="eastAsia"/>
          <w:b/>
          <w:bCs/>
          <w:color w:val="auto"/>
          <w:kern w:val="0"/>
          <w:sz w:val="24"/>
          <w:szCs w:val="24"/>
          <w:highlight w:val="none"/>
        </w:rPr>
        <w:t>四、响应文件提交</w:t>
      </w:r>
    </w:p>
    <w:p w14:paraId="0AEC8D59">
      <w:pPr>
        <w:spacing w:line="312" w:lineRule="auto"/>
        <w:ind w:firstLine="480" w:firstLineChars="200"/>
        <w:jc w:val="left"/>
        <w:rPr>
          <w:color w:val="auto"/>
          <w:kern w:val="0"/>
          <w:sz w:val="24"/>
          <w:szCs w:val="24"/>
          <w:highlight w:val="none"/>
        </w:rPr>
      </w:pPr>
      <w:r>
        <w:rPr>
          <w:rFonts w:hint="eastAsia"/>
          <w:color w:val="auto"/>
          <w:kern w:val="0"/>
          <w:sz w:val="24"/>
          <w:szCs w:val="24"/>
          <w:highlight w:val="none"/>
        </w:rPr>
        <w:t>截止时间：</w:t>
      </w:r>
      <w:r>
        <w:rPr>
          <w:color w:val="auto"/>
          <w:kern w:val="0"/>
          <w:sz w:val="24"/>
          <w:szCs w:val="24"/>
          <w:highlight w:val="none"/>
        </w:rPr>
        <w:t>20</w:t>
      </w:r>
      <w:r>
        <w:rPr>
          <w:rFonts w:hint="eastAsia"/>
          <w:color w:val="auto"/>
          <w:kern w:val="0"/>
          <w:sz w:val="24"/>
          <w:szCs w:val="24"/>
          <w:highlight w:val="none"/>
        </w:rPr>
        <w:t>2</w:t>
      </w:r>
      <w:r>
        <w:rPr>
          <w:rFonts w:hint="eastAsia"/>
          <w:color w:val="auto"/>
          <w:kern w:val="0"/>
          <w:sz w:val="24"/>
          <w:szCs w:val="24"/>
          <w:highlight w:val="none"/>
          <w:lang w:val="en-US" w:eastAsia="zh-CN"/>
        </w:rPr>
        <w:t>6</w:t>
      </w:r>
      <w:r>
        <w:rPr>
          <w:color w:val="auto"/>
          <w:kern w:val="0"/>
          <w:sz w:val="24"/>
          <w:szCs w:val="24"/>
          <w:highlight w:val="none"/>
        </w:rPr>
        <w:t>年</w:t>
      </w:r>
      <w:r>
        <w:rPr>
          <w:rFonts w:hint="eastAsia"/>
          <w:color w:val="auto"/>
          <w:kern w:val="0"/>
          <w:sz w:val="24"/>
          <w:szCs w:val="24"/>
          <w:highlight w:val="none"/>
          <w:lang w:val="en-US" w:eastAsia="zh-CN"/>
        </w:rPr>
        <w:t>10</w:t>
      </w:r>
      <w:r>
        <w:rPr>
          <w:color w:val="auto"/>
          <w:kern w:val="0"/>
          <w:sz w:val="24"/>
          <w:szCs w:val="24"/>
          <w:highlight w:val="none"/>
        </w:rPr>
        <w:t>月</w:t>
      </w:r>
      <w:r>
        <w:rPr>
          <w:rFonts w:hint="eastAsia"/>
          <w:color w:val="auto"/>
          <w:kern w:val="0"/>
          <w:sz w:val="24"/>
          <w:szCs w:val="24"/>
          <w:highlight w:val="none"/>
          <w:lang w:val="en-US" w:eastAsia="zh-CN"/>
        </w:rPr>
        <w:t xml:space="preserve"> 16 </w:t>
      </w:r>
      <w:r>
        <w:rPr>
          <w:rFonts w:hint="eastAsia"/>
          <w:color w:val="auto"/>
          <w:kern w:val="0"/>
          <w:sz w:val="24"/>
          <w:szCs w:val="24"/>
          <w:highlight w:val="none"/>
        </w:rPr>
        <w:t>日</w:t>
      </w:r>
      <w:r>
        <w:rPr>
          <w:rFonts w:hint="eastAsia"/>
          <w:color w:val="auto"/>
          <w:kern w:val="0"/>
          <w:sz w:val="24"/>
          <w:szCs w:val="24"/>
          <w:highlight w:val="none"/>
          <w:lang w:val="en-US" w:eastAsia="zh-CN"/>
        </w:rPr>
        <w:t>9：30</w:t>
      </w:r>
      <w:r>
        <w:rPr>
          <w:rFonts w:hint="eastAsia"/>
          <w:color w:val="auto"/>
          <w:kern w:val="0"/>
          <w:sz w:val="24"/>
          <w:szCs w:val="24"/>
          <w:highlight w:val="none"/>
        </w:rPr>
        <w:t>（北京时间）</w:t>
      </w:r>
    </w:p>
    <w:p w14:paraId="2FF73EB0">
      <w:pPr>
        <w:spacing w:line="312" w:lineRule="auto"/>
        <w:ind w:firstLine="480" w:firstLineChars="200"/>
        <w:jc w:val="left"/>
        <w:rPr>
          <w:color w:val="auto"/>
          <w:kern w:val="0"/>
          <w:sz w:val="24"/>
          <w:szCs w:val="24"/>
          <w:highlight w:val="none"/>
        </w:rPr>
      </w:pPr>
      <w:r>
        <w:rPr>
          <w:rFonts w:hint="eastAsia"/>
          <w:color w:val="auto"/>
          <w:kern w:val="0"/>
          <w:sz w:val="24"/>
          <w:szCs w:val="24"/>
          <w:highlight w:val="none"/>
        </w:rPr>
        <w:t>地点（网址）：</w:t>
      </w:r>
      <w:r>
        <w:rPr>
          <w:rFonts w:hint="eastAsia"/>
          <w:color w:val="auto"/>
          <w:sz w:val="24"/>
          <w:szCs w:val="24"/>
          <w:highlight w:val="none"/>
        </w:rPr>
        <w:t>本项目为全流程电子化项目，没有现场递交响应文件及现场截标环节，通过广西政府采购云平台（https://www.gcy.zfcg.gxzf.gov.cn/）实行在线电子响应，供应商应先安装广西政府采购云平台新版客户端（请自行前往广西政府采购网-办事服务-下载专区进行下载），并按照本项目采购文件和广西政府采购云平台的要求使用C</w:t>
      </w:r>
      <w:r>
        <w:rPr>
          <w:color w:val="auto"/>
          <w:sz w:val="24"/>
          <w:szCs w:val="24"/>
          <w:highlight w:val="none"/>
        </w:rPr>
        <w:t>A</w:t>
      </w:r>
      <w:r>
        <w:rPr>
          <w:rFonts w:hint="eastAsia"/>
          <w:color w:val="auto"/>
          <w:sz w:val="24"/>
          <w:szCs w:val="24"/>
          <w:highlight w:val="none"/>
        </w:rPr>
        <w:t xml:space="preserve">认证编制、加密响应文件后在响应截止时间前上传至广西政府采购云平台，供应商在广西政府采购云平台提交电子版响应文件时，请填写参加远程截标活动经办人联系方式。 </w:t>
      </w:r>
    </w:p>
    <w:p w14:paraId="3B2CB7FC">
      <w:pPr>
        <w:spacing w:line="312" w:lineRule="auto"/>
        <w:ind w:firstLine="482" w:firstLineChars="200"/>
        <w:jc w:val="left"/>
        <w:rPr>
          <w:b/>
          <w:bCs/>
          <w:color w:val="auto"/>
          <w:kern w:val="0"/>
          <w:sz w:val="24"/>
          <w:szCs w:val="24"/>
          <w:highlight w:val="none"/>
        </w:rPr>
      </w:pPr>
      <w:r>
        <w:rPr>
          <w:rFonts w:hint="eastAsia"/>
          <w:b/>
          <w:bCs/>
          <w:color w:val="auto"/>
          <w:kern w:val="0"/>
          <w:sz w:val="24"/>
          <w:szCs w:val="24"/>
          <w:highlight w:val="none"/>
        </w:rPr>
        <w:t>五、开启</w:t>
      </w:r>
    </w:p>
    <w:p w14:paraId="3D9B146A">
      <w:pPr>
        <w:spacing w:line="312" w:lineRule="auto"/>
        <w:ind w:firstLine="482" w:firstLineChars="200"/>
        <w:jc w:val="left"/>
        <w:rPr>
          <w:color w:val="auto"/>
          <w:kern w:val="0"/>
          <w:sz w:val="24"/>
          <w:szCs w:val="24"/>
          <w:highlight w:val="none"/>
        </w:rPr>
      </w:pPr>
      <w:r>
        <w:rPr>
          <w:rFonts w:hint="eastAsia"/>
          <w:b/>
          <w:bCs/>
          <w:color w:val="auto"/>
          <w:kern w:val="0"/>
          <w:sz w:val="24"/>
          <w:szCs w:val="24"/>
          <w:highlight w:val="none"/>
        </w:rPr>
        <w:t>开启时间：</w:t>
      </w:r>
      <w:r>
        <w:rPr>
          <w:color w:val="auto"/>
          <w:kern w:val="0"/>
          <w:sz w:val="24"/>
          <w:szCs w:val="24"/>
          <w:highlight w:val="none"/>
        </w:rPr>
        <w:t>20</w:t>
      </w:r>
      <w:r>
        <w:rPr>
          <w:rFonts w:hint="eastAsia"/>
          <w:color w:val="auto"/>
          <w:kern w:val="0"/>
          <w:sz w:val="24"/>
          <w:szCs w:val="24"/>
          <w:highlight w:val="none"/>
        </w:rPr>
        <w:t>2</w:t>
      </w:r>
      <w:r>
        <w:rPr>
          <w:rFonts w:hint="eastAsia"/>
          <w:color w:val="auto"/>
          <w:kern w:val="0"/>
          <w:sz w:val="24"/>
          <w:szCs w:val="24"/>
          <w:highlight w:val="none"/>
          <w:lang w:val="en-US" w:eastAsia="zh-CN"/>
        </w:rPr>
        <w:t>6</w:t>
      </w:r>
      <w:r>
        <w:rPr>
          <w:color w:val="auto"/>
          <w:kern w:val="0"/>
          <w:sz w:val="24"/>
          <w:szCs w:val="24"/>
          <w:highlight w:val="none"/>
        </w:rPr>
        <w:t>年</w:t>
      </w:r>
      <w:r>
        <w:rPr>
          <w:rFonts w:hint="eastAsia"/>
          <w:color w:val="auto"/>
          <w:kern w:val="0"/>
          <w:sz w:val="24"/>
          <w:szCs w:val="24"/>
          <w:highlight w:val="none"/>
          <w:lang w:val="en-US" w:eastAsia="zh-CN"/>
        </w:rPr>
        <w:t>10</w:t>
      </w:r>
      <w:r>
        <w:rPr>
          <w:color w:val="auto"/>
          <w:kern w:val="0"/>
          <w:sz w:val="24"/>
          <w:szCs w:val="24"/>
          <w:highlight w:val="none"/>
        </w:rPr>
        <w:t>月</w:t>
      </w:r>
      <w:r>
        <w:rPr>
          <w:rFonts w:hint="eastAsia"/>
          <w:color w:val="auto"/>
          <w:kern w:val="0"/>
          <w:sz w:val="24"/>
          <w:szCs w:val="24"/>
          <w:highlight w:val="none"/>
        </w:rPr>
        <w:t xml:space="preserve"> </w:t>
      </w:r>
      <w:r>
        <w:rPr>
          <w:rFonts w:hint="eastAsia"/>
          <w:color w:val="auto"/>
          <w:kern w:val="0"/>
          <w:sz w:val="24"/>
          <w:szCs w:val="24"/>
          <w:highlight w:val="none"/>
          <w:lang w:val="en-US" w:eastAsia="zh-CN"/>
        </w:rPr>
        <w:t xml:space="preserve"> 16 </w:t>
      </w:r>
      <w:r>
        <w:rPr>
          <w:rFonts w:hint="eastAsia"/>
          <w:color w:val="auto"/>
          <w:kern w:val="0"/>
          <w:sz w:val="24"/>
          <w:szCs w:val="24"/>
          <w:highlight w:val="none"/>
        </w:rPr>
        <w:t xml:space="preserve"> 日</w:t>
      </w:r>
      <w:r>
        <w:rPr>
          <w:rFonts w:hint="eastAsia"/>
          <w:color w:val="auto"/>
          <w:kern w:val="0"/>
          <w:sz w:val="24"/>
          <w:szCs w:val="24"/>
          <w:highlight w:val="none"/>
          <w:lang w:val="en-US" w:eastAsia="zh-CN"/>
        </w:rPr>
        <w:t xml:space="preserve"> 9 </w:t>
      </w:r>
      <w:r>
        <w:rPr>
          <w:rFonts w:hint="eastAsia"/>
          <w:color w:val="auto"/>
          <w:kern w:val="0"/>
          <w:sz w:val="24"/>
          <w:szCs w:val="24"/>
          <w:highlight w:val="none"/>
        </w:rPr>
        <w:t>：30（北京时间）</w:t>
      </w:r>
    </w:p>
    <w:p w14:paraId="016B067F">
      <w:pPr>
        <w:spacing w:line="312" w:lineRule="auto"/>
        <w:ind w:firstLine="482" w:firstLineChars="200"/>
        <w:jc w:val="left"/>
        <w:rPr>
          <w:b/>
          <w:bCs/>
          <w:color w:val="auto"/>
          <w:kern w:val="0"/>
          <w:sz w:val="24"/>
          <w:szCs w:val="24"/>
          <w:highlight w:val="none"/>
        </w:rPr>
      </w:pPr>
      <w:r>
        <w:rPr>
          <w:rFonts w:hint="eastAsia"/>
          <w:b/>
          <w:bCs/>
          <w:color w:val="auto"/>
          <w:kern w:val="0"/>
          <w:sz w:val="24"/>
          <w:szCs w:val="24"/>
          <w:highlight w:val="none"/>
        </w:rPr>
        <w:t>地点：</w:t>
      </w:r>
      <w:r>
        <w:rPr>
          <w:rFonts w:hint="eastAsia"/>
          <w:color w:val="auto"/>
          <w:sz w:val="24"/>
          <w:szCs w:val="24"/>
          <w:highlight w:val="none"/>
        </w:rPr>
        <w:t>供应商</w:t>
      </w:r>
      <w:r>
        <w:rPr>
          <w:rFonts w:hint="eastAsia"/>
          <w:color w:val="auto"/>
          <w:sz w:val="24"/>
          <w:highlight w:val="none"/>
        </w:rPr>
        <w:t>登录</w:t>
      </w:r>
      <w:r>
        <w:rPr>
          <w:rFonts w:ascii="Arial" w:hAnsi="Arial" w:cs="Arial"/>
          <w:color w:val="auto"/>
          <w:kern w:val="0"/>
          <w:sz w:val="24"/>
          <w:szCs w:val="24"/>
          <w:highlight w:val="none"/>
        </w:rPr>
        <w:t>广西政府采购云平台</w:t>
      </w:r>
      <w:r>
        <w:rPr>
          <w:rFonts w:hint="eastAsia"/>
          <w:color w:val="auto"/>
          <w:sz w:val="24"/>
          <w:szCs w:val="24"/>
          <w:highlight w:val="none"/>
        </w:rPr>
        <w:t>电子开标大厅截标。</w:t>
      </w:r>
    </w:p>
    <w:p w14:paraId="01E4DD67">
      <w:pPr>
        <w:spacing w:line="312" w:lineRule="auto"/>
        <w:ind w:firstLine="482" w:firstLineChars="200"/>
        <w:jc w:val="left"/>
        <w:rPr>
          <w:b/>
          <w:bCs/>
          <w:color w:val="auto"/>
          <w:kern w:val="0"/>
          <w:sz w:val="24"/>
          <w:szCs w:val="24"/>
          <w:highlight w:val="none"/>
        </w:rPr>
      </w:pPr>
      <w:r>
        <w:rPr>
          <w:rFonts w:hint="eastAsia"/>
          <w:b/>
          <w:bCs/>
          <w:color w:val="auto"/>
          <w:kern w:val="0"/>
          <w:sz w:val="24"/>
          <w:szCs w:val="24"/>
          <w:highlight w:val="none"/>
        </w:rPr>
        <w:t>六、公告期限</w:t>
      </w:r>
    </w:p>
    <w:p w14:paraId="440E72CA">
      <w:pPr>
        <w:spacing w:line="312" w:lineRule="auto"/>
        <w:ind w:firstLine="480" w:firstLineChars="200"/>
        <w:jc w:val="left"/>
        <w:rPr>
          <w:color w:val="auto"/>
          <w:kern w:val="0"/>
          <w:sz w:val="24"/>
          <w:szCs w:val="24"/>
          <w:highlight w:val="none"/>
        </w:rPr>
      </w:pPr>
      <w:r>
        <w:rPr>
          <w:rFonts w:hint="eastAsia"/>
          <w:color w:val="auto"/>
          <w:kern w:val="0"/>
          <w:sz w:val="24"/>
          <w:szCs w:val="24"/>
          <w:highlight w:val="none"/>
        </w:rPr>
        <w:t>自本公告发布之日起5个工作日。</w:t>
      </w:r>
    </w:p>
    <w:p w14:paraId="79568176">
      <w:pPr>
        <w:spacing w:line="312" w:lineRule="auto"/>
        <w:ind w:firstLine="482" w:firstLineChars="200"/>
        <w:jc w:val="left"/>
        <w:rPr>
          <w:b/>
          <w:bCs/>
          <w:color w:val="auto"/>
          <w:kern w:val="0"/>
          <w:sz w:val="24"/>
          <w:szCs w:val="24"/>
          <w:highlight w:val="none"/>
        </w:rPr>
      </w:pPr>
      <w:r>
        <w:rPr>
          <w:rFonts w:hint="eastAsia"/>
          <w:b/>
          <w:bCs/>
          <w:color w:val="auto"/>
          <w:kern w:val="0"/>
          <w:sz w:val="24"/>
          <w:szCs w:val="24"/>
          <w:highlight w:val="none"/>
        </w:rPr>
        <w:t>七、其他补充事宜</w:t>
      </w:r>
    </w:p>
    <w:p w14:paraId="06B187CD">
      <w:pPr>
        <w:spacing w:line="312" w:lineRule="auto"/>
        <w:ind w:firstLine="480" w:firstLineChars="200"/>
        <w:jc w:val="left"/>
        <w:rPr>
          <w:color w:val="auto"/>
          <w:kern w:val="0"/>
          <w:sz w:val="24"/>
          <w:szCs w:val="24"/>
          <w:highlight w:val="none"/>
        </w:rPr>
      </w:pPr>
      <w:r>
        <w:rPr>
          <w:rFonts w:hint="eastAsia"/>
          <w:color w:val="auto"/>
          <w:kern w:val="0"/>
          <w:sz w:val="24"/>
          <w:szCs w:val="24"/>
          <w:highlight w:val="none"/>
        </w:rPr>
        <w:t>1</w:t>
      </w:r>
      <w:r>
        <w:rPr>
          <w:color w:val="auto"/>
          <w:kern w:val="0"/>
          <w:sz w:val="24"/>
          <w:szCs w:val="24"/>
          <w:highlight w:val="none"/>
        </w:rPr>
        <w:t>.</w:t>
      </w:r>
      <w:r>
        <w:rPr>
          <w:rFonts w:hint="eastAsia"/>
          <w:color w:val="auto"/>
          <w:kern w:val="0"/>
          <w:sz w:val="24"/>
          <w:szCs w:val="24"/>
          <w:highlight w:val="none"/>
        </w:rPr>
        <w:t>公告发布媒体：广西壮族自治区政府采购网、中国政府采购网、全国公共资源交易平台（广西·防城港）上发布。</w:t>
      </w:r>
    </w:p>
    <w:p w14:paraId="63B387BB">
      <w:pPr>
        <w:spacing w:line="312" w:lineRule="auto"/>
        <w:ind w:firstLine="480" w:firstLineChars="200"/>
        <w:jc w:val="left"/>
        <w:rPr>
          <w:color w:val="auto"/>
          <w:kern w:val="0"/>
          <w:sz w:val="24"/>
          <w:szCs w:val="24"/>
          <w:highlight w:val="none"/>
        </w:rPr>
      </w:pPr>
      <w:r>
        <w:rPr>
          <w:rFonts w:hint="eastAsia"/>
          <w:color w:val="auto"/>
          <w:kern w:val="0"/>
          <w:sz w:val="24"/>
          <w:szCs w:val="24"/>
          <w:highlight w:val="none"/>
        </w:rPr>
        <w:t>2</w:t>
      </w:r>
      <w:r>
        <w:rPr>
          <w:color w:val="auto"/>
          <w:kern w:val="0"/>
          <w:sz w:val="24"/>
          <w:szCs w:val="24"/>
          <w:highlight w:val="none"/>
        </w:rPr>
        <w:t>.</w:t>
      </w:r>
      <w:r>
        <w:rPr>
          <w:rFonts w:hint="eastAsia"/>
          <w:color w:val="auto"/>
          <w:kern w:val="0"/>
          <w:sz w:val="24"/>
          <w:szCs w:val="24"/>
          <w:highlight w:val="none"/>
        </w:rPr>
        <w:t>需落实的政府采购政策：</w:t>
      </w:r>
      <w:r>
        <w:rPr>
          <w:color w:val="auto"/>
          <w:kern w:val="0"/>
          <w:sz w:val="24"/>
          <w:szCs w:val="24"/>
          <w:highlight w:val="none"/>
        </w:rPr>
        <w:t>本项目适用政府采购促进中小企业、监狱企业发展、促进残疾人就业、节能环保等有关政策，具体详见</w:t>
      </w:r>
      <w:r>
        <w:rPr>
          <w:rFonts w:hint="eastAsia"/>
          <w:color w:val="auto"/>
          <w:sz w:val="24"/>
          <w:highlight w:val="none"/>
        </w:rPr>
        <w:t>采购</w:t>
      </w:r>
      <w:r>
        <w:rPr>
          <w:color w:val="auto"/>
          <w:kern w:val="0"/>
          <w:sz w:val="24"/>
          <w:szCs w:val="24"/>
          <w:highlight w:val="none"/>
        </w:rPr>
        <w:t>文件。</w:t>
      </w:r>
    </w:p>
    <w:p w14:paraId="796AFCFA">
      <w:pPr>
        <w:spacing w:line="312" w:lineRule="auto"/>
        <w:ind w:firstLine="480" w:firstLineChars="200"/>
        <w:jc w:val="left"/>
        <w:rPr>
          <w:color w:val="auto"/>
          <w:kern w:val="0"/>
          <w:sz w:val="24"/>
          <w:szCs w:val="24"/>
          <w:highlight w:val="none"/>
        </w:rPr>
      </w:pPr>
      <w:r>
        <w:rPr>
          <w:color w:val="auto"/>
          <w:kern w:val="0"/>
          <w:sz w:val="24"/>
          <w:szCs w:val="24"/>
          <w:highlight w:val="none"/>
        </w:rPr>
        <w:t>3</w:t>
      </w:r>
      <w:r>
        <w:rPr>
          <w:rFonts w:hint="eastAsia"/>
          <w:color w:val="auto"/>
          <w:kern w:val="0"/>
          <w:sz w:val="24"/>
          <w:szCs w:val="24"/>
          <w:highlight w:val="none"/>
        </w:rPr>
        <w:t>.本项目供应商的产生方式：</w:t>
      </w:r>
      <w:r>
        <w:rPr>
          <w:color w:val="auto"/>
          <w:sz w:val="24"/>
          <w:highlight w:val="none"/>
        </w:rPr>
        <w:t>发布</w:t>
      </w:r>
      <w:r>
        <w:rPr>
          <w:rFonts w:hint="eastAsia"/>
          <w:color w:val="auto"/>
          <w:sz w:val="24"/>
          <w:highlight w:val="none"/>
        </w:rPr>
        <w:t>公告征集；</w:t>
      </w:r>
    </w:p>
    <w:p w14:paraId="1878002E">
      <w:pPr>
        <w:spacing w:line="312" w:lineRule="auto"/>
        <w:ind w:firstLine="480" w:firstLineChars="200"/>
        <w:rPr>
          <w:color w:val="auto"/>
          <w:kern w:val="0"/>
          <w:sz w:val="24"/>
          <w:szCs w:val="24"/>
          <w:highlight w:val="none"/>
        </w:rPr>
      </w:pPr>
      <w:r>
        <w:rPr>
          <w:rFonts w:hint="eastAsia"/>
          <w:color w:val="auto"/>
          <w:kern w:val="0"/>
          <w:sz w:val="24"/>
          <w:szCs w:val="24"/>
          <w:highlight w:val="none"/>
        </w:rPr>
        <w:t>4</w:t>
      </w:r>
      <w:r>
        <w:rPr>
          <w:color w:val="auto"/>
          <w:kern w:val="0"/>
          <w:sz w:val="24"/>
          <w:szCs w:val="24"/>
          <w:highlight w:val="none"/>
        </w:rPr>
        <w:t>.</w:t>
      </w:r>
      <w:r>
        <w:rPr>
          <w:rFonts w:hint="eastAsia"/>
          <w:color w:val="auto"/>
          <w:kern w:val="0"/>
          <w:sz w:val="24"/>
          <w:szCs w:val="24"/>
          <w:highlight w:val="none"/>
        </w:rPr>
        <w:t>注意事项：</w:t>
      </w:r>
    </w:p>
    <w:p w14:paraId="4EAB93D7">
      <w:pPr>
        <w:spacing w:line="276" w:lineRule="auto"/>
        <w:ind w:firstLine="480" w:firstLineChars="200"/>
        <w:rPr>
          <w:color w:val="auto"/>
          <w:sz w:val="24"/>
          <w:szCs w:val="24"/>
          <w:highlight w:val="none"/>
        </w:rPr>
      </w:pPr>
      <w:bookmarkStart w:id="14" w:name="_Hlk49778118"/>
      <w:r>
        <w:rPr>
          <w:rFonts w:hint="eastAsia"/>
          <w:color w:val="auto"/>
          <w:kern w:val="0"/>
          <w:sz w:val="24"/>
          <w:szCs w:val="24"/>
          <w:highlight w:val="none"/>
        </w:rPr>
        <w:t>（1）</w:t>
      </w:r>
      <w:r>
        <w:rPr>
          <w:rFonts w:hint="eastAsia"/>
          <w:color w:val="auto"/>
          <w:sz w:val="24"/>
          <w:szCs w:val="24"/>
          <w:highlight w:val="none"/>
        </w:rPr>
        <w:t>未进行网上注册并办理数字证书（CA认证）的供应商将无法参与本项目政府采购活动，潜在供应商应当在响应截止时间前，完成广西政府采购云平台上的CA数字证书办理及响应文件的提交。完成CA数字证书办理预计7日左右，建议各供应商抓紧时间办理。</w:t>
      </w:r>
    </w:p>
    <w:p w14:paraId="2753829D">
      <w:pPr>
        <w:spacing w:line="276" w:lineRule="auto"/>
        <w:ind w:firstLine="480" w:firstLineChars="200"/>
        <w:rPr>
          <w:color w:val="auto"/>
          <w:kern w:val="0"/>
          <w:sz w:val="24"/>
          <w:szCs w:val="24"/>
          <w:highlight w:val="none"/>
        </w:rPr>
      </w:pPr>
      <w:r>
        <w:rPr>
          <w:rFonts w:hint="eastAsia"/>
          <w:color w:val="auto"/>
          <w:sz w:val="24"/>
          <w:szCs w:val="24"/>
          <w:highlight w:val="none"/>
        </w:rPr>
        <w:t>（2）为确保网上操作合法、有效和安全，请供应商确保在电子投标过程中能够对相关数据电文进行加密和使用电子签章，妥善保管CA数字证书并使用有效的CA数字证书参与整个招标活动。</w:t>
      </w:r>
    </w:p>
    <w:p w14:paraId="49C67CE7">
      <w:pPr>
        <w:spacing w:line="276" w:lineRule="auto"/>
        <w:ind w:firstLine="480" w:firstLineChars="200"/>
        <w:rPr>
          <w:rFonts w:ascii="宋体" w:hAnsi="宋体" w:cs="宋体"/>
          <w:color w:val="auto"/>
          <w:kern w:val="0"/>
          <w:sz w:val="24"/>
          <w:szCs w:val="24"/>
          <w:highlight w:val="none"/>
        </w:rPr>
      </w:pPr>
      <w:r>
        <w:rPr>
          <w:rFonts w:hint="eastAsia"/>
          <w:color w:val="auto"/>
          <w:kern w:val="0"/>
          <w:sz w:val="24"/>
          <w:szCs w:val="24"/>
          <w:highlight w:val="none"/>
        </w:rPr>
        <w:t>（</w:t>
      </w:r>
      <w:r>
        <w:rPr>
          <w:color w:val="auto"/>
          <w:kern w:val="0"/>
          <w:sz w:val="24"/>
          <w:szCs w:val="24"/>
          <w:highlight w:val="none"/>
        </w:rPr>
        <w:t>3</w:t>
      </w:r>
      <w:r>
        <w:rPr>
          <w:rFonts w:hint="eastAsia"/>
          <w:color w:val="auto"/>
          <w:kern w:val="0"/>
          <w:sz w:val="24"/>
          <w:szCs w:val="24"/>
          <w:highlight w:val="none"/>
        </w:rPr>
        <w:t>）</w:t>
      </w:r>
      <w:r>
        <w:rPr>
          <w:rFonts w:hint="eastAsia" w:ascii="宋体" w:hAnsi="宋体" w:cs="宋体"/>
          <w:color w:val="auto"/>
          <w:kern w:val="0"/>
          <w:sz w:val="24"/>
          <w:szCs w:val="24"/>
          <w:highlight w:val="none"/>
        </w:rPr>
        <w:t>若对项目采购电子交易系统操作有疑问，可登录广西政府采购云平台（https://www.gcy.zfcg.gxzf.gov.cn/），点击右侧咨询小采或帮助文档或拨打客服热线</w:t>
      </w:r>
      <w:r>
        <w:rPr>
          <w:rFonts w:ascii="宋体" w:hAnsi="宋体" w:cs="宋体"/>
          <w:color w:val="auto"/>
          <w:kern w:val="0"/>
          <w:sz w:val="24"/>
          <w:szCs w:val="24"/>
          <w:highlight w:val="none"/>
        </w:rPr>
        <w:t>95763</w:t>
      </w:r>
      <w:r>
        <w:rPr>
          <w:rFonts w:hint="eastAsia" w:ascii="宋体" w:hAnsi="宋体" w:cs="宋体"/>
          <w:color w:val="auto"/>
          <w:kern w:val="0"/>
          <w:sz w:val="24"/>
          <w:szCs w:val="24"/>
          <w:highlight w:val="none"/>
        </w:rPr>
        <w:t>。</w:t>
      </w:r>
    </w:p>
    <w:bookmarkEnd w:id="14"/>
    <w:p w14:paraId="5EB288C7">
      <w:pPr>
        <w:spacing w:line="276" w:lineRule="auto"/>
        <w:ind w:firstLine="482" w:firstLineChars="200"/>
        <w:rPr>
          <w:b/>
          <w:bCs/>
          <w:color w:val="auto"/>
          <w:kern w:val="0"/>
          <w:sz w:val="24"/>
          <w:szCs w:val="24"/>
          <w:highlight w:val="none"/>
        </w:rPr>
      </w:pPr>
      <w:r>
        <w:rPr>
          <w:rFonts w:hint="eastAsia"/>
          <w:b/>
          <w:bCs/>
          <w:color w:val="auto"/>
          <w:kern w:val="0"/>
          <w:sz w:val="24"/>
          <w:szCs w:val="24"/>
          <w:highlight w:val="none"/>
        </w:rPr>
        <w:t>八、对本次采购提出询问，请按以下方式联系</w:t>
      </w:r>
    </w:p>
    <w:p w14:paraId="0236127D">
      <w:pPr>
        <w:spacing w:line="312" w:lineRule="auto"/>
        <w:ind w:firstLine="480" w:firstLineChars="200"/>
        <w:jc w:val="left"/>
        <w:rPr>
          <w:color w:val="auto"/>
          <w:kern w:val="0"/>
          <w:sz w:val="24"/>
          <w:szCs w:val="24"/>
          <w:highlight w:val="none"/>
        </w:rPr>
      </w:pPr>
      <w:r>
        <w:rPr>
          <w:rFonts w:hint="eastAsia"/>
          <w:color w:val="auto"/>
          <w:kern w:val="0"/>
          <w:sz w:val="24"/>
          <w:szCs w:val="24"/>
          <w:highlight w:val="none"/>
        </w:rPr>
        <w:t>1</w:t>
      </w:r>
      <w:r>
        <w:rPr>
          <w:color w:val="auto"/>
          <w:kern w:val="0"/>
          <w:sz w:val="24"/>
          <w:szCs w:val="24"/>
          <w:highlight w:val="none"/>
        </w:rPr>
        <w:t>.</w:t>
      </w:r>
      <w:r>
        <w:rPr>
          <w:rFonts w:hint="eastAsia"/>
          <w:color w:val="auto"/>
          <w:kern w:val="0"/>
          <w:sz w:val="24"/>
          <w:szCs w:val="24"/>
          <w:highlight w:val="none"/>
        </w:rPr>
        <w:t>采购人信息</w:t>
      </w:r>
    </w:p>
    <w:p w14:paraId="6F6FF0DE">
      <w:pPr>
        <w:spacing w:line="312" w:lineRule="auto"/>
        <w:ind w:firstLine="480" w:firstLineChars="200"/>
        <w:jc w:val="left"/>
        <w:rPr>
          <w:rFonts w:hint="eastAsia" w:eastAsia="宋体"/>
          <w:color w:val="auto"/>
          <w:kern w:val="0"/>
          <w:sz w:val="24"/>
          <w:szCs w:val="24"/>
          <w:highlight w:val="none"/>
          <w:u w:val="single"/>
          <w:lang w:eastAsia="zh-CN"/>
        </w:rPr>
      </w:pPr>
      <w:bookmarkStart w:id="15" w:name="_Hlk19048373"/>
      <w:r>
        <w:rPr>
          <w:rFonts w:hint="eastAsia"/>
          <w:color w:val="auto"/>
          <w:kern w:val="0"/>
          <w:sz w:val="24"/>
          <w:szCs w:val="24"/>
          <w:highlight w:val="none"/>
        </w:rPr>
        <w:t>名称</w:t>
      </w:r>
      <w:r>
        <w:rPr>
          <w:color w:val="auto"/>
          <w:kern w:val="0"/>
          <w:sz w:val="24"/>
          <w:szCs w:val="24"/>
          <w:highlight w:val="none"/>
        </w:rPr>
        <w:t>：</w:t>
      </w:r>
      <w:r>
        <w:rPr>
          <w:rFonts w:hint="eastAsia"/>
          <w:color w:val="auto"/>
          <w:kern w:val="0"/>
          <w:sz w:val="24"/>
          <w:szCs w:val="24"/>
          <w:highlight w:val="none"/>
          <w:u w:val="single"/>
          <w:lang w:eastAsia="zh-CN"/>
        </w:rPr>
        <w:t>防城港市十万大山国家级自然保护区管理局</w:t>
      </w:r>
    </w:p>
    <w:p w14:paraId="34785BFA">
      <w:pPr>
        <w:spacing w:line="312" w:lineRule="auto"/>
        <w:ind w:firstLine="480" w:firstLineChars="200"/>
        <w:jc w:val="left"/>
        <w:rPr>
          <w:rFonts w:hint="eastAsia" w:eastAsia="宋体"/>
          <w:color w:val="auto"/>
          <w:kern w:val="0"/>
          <w:sz w:val="24"/>
          <w:szCs w:val="24"/>
          <w:highlight w:val="none"/>
          <w:u w:val="single"/>
          <w:lang w:eastAsia="zh-CN"/>
        </w:rPr>
      </w:pPr>
      <w:r>
        <w:rPr>
          <w:color w:val="auto"/>
          <w:kern w:val="0"/>
          <w:sz w:val="24"/>
          <w:szCs w:val="24"/>
          <w:highlight w:val="none"/>
        </w:rPr>
        <w:t>地址：</w:t>
      </w:r>
      <w:r>
        <w:rPr>
          <w:rFonts w:hint="eastAsia"/>
          <w:color w:val="auto"/>
          <w:kern w:val="0"/>
          <w:sz w:val="24"/>
          <w:szCs w:val="24"/>
          <w:highlight w:val="none"/>
          <w:lang w:eastAsia="zh-CN"/>
        </w:rPr>
        <w:t>防城港市港口区（行政中心区）万山路</w:t>
      </w:r>
      <w:r>
        <w:rPr>
          <w:rFonts w:hint="eastAsia"/>
          <w:color w:val="auto"/>
          <w:kern w:val="0"/>
          <w:sz w:val="24"/>
          <w:szCs w:val="24"/>
          <w:highlight w:val="none"/>
          <w:lang w:val="en-US" w:eastAsia="zh-CN"/>
        </w:rPr>
        <w:t xml:space="preserve">500号 </w:t>
      </w:r>
    </w:p>
    <w:p w14:paraId="086D62CF">
      <w:pPr>
        <w:spacing w:line="312" w:lineRule="auto"/>
        <w:ind w:firstLine="480" w:firstLineChars="200"/>
        <w:jc w:val="left"/>
        <w:rPr>
          <w:rFonts w:hint="eastAsia" w:eastAsia="宋体"/>
          <w:color w:val="auto"/>
          <w:kern w:val="0"/>
          <w:sz w:val="24"/>
          <w:szCs w:val="24"/>
          <w:highlight w:val="none"/>
          <w:u w:val="single"/>
          <w:lang w:eastAsia="zh-CN"/>
        </w:rPr>
      </w:pPr>
      <w:r>
        <w:rPr>
          <w:rFonts w:hint="eastAsia"/>
          <w:color w:val="auto"/>
          <w:kern w:val="0"/>
          <w:sz w:val="24"/>
          <w:szCs w:val="24"/>
          <w:highlight w:val="none"/>
        </w:rPr>
        <w:t>项目联系人：</w:t>
      </w:r>
      <w:r>
        <w:rPr>
          <w:rFonts w:hint="eastAsia"/>
          <w:color w:val="auto"/>
          <w:kern w:val="0"/>
          <w:sz w:val="24"/>
          <w:szCs w:val="24"/>
          <w:highlight w:val="none"/>
          <w:lang w:eastAsia="zh-CN"/>
        </w:rPr>
        <w:t>禤海霞</w:t>
      </w:r>
    </w:p>
    <w:p w14:paraId="677462A2">
      <w:pPr>
        <w:spacing w:line="312" w:lineRule="auto"/>
        <w:ind w:firstLine="480" w:firstLineChars="200"/>
        <w:jc w:val="left"/>
        <w:rPr>
          <w:color w:val="auto"/>
          <w:kern w:val="0"/>
          <w:sz w:val="24"/>
          <w:szCs w:val="24"/>
          <w:highlight w:val="none"/>
          <w:u w:val="single"/>
        </w:rPr>
      </w:pPr>
      <w:r>
        <w:rPr>
          <w:rFonts w:hint="eastAsia"/>
          <w:color w:val="auto"/>
          <w:kern w:val="0"/>
          <w:sz w:val="24"/>
          <w:szCs w:val="24"/>
          <w:highlight w:val="none"/>
        </w:rPr>
        <w:t>项目联系方式：</w:t>
      </w:r>
      <w:r>
        <w:rPr>
          <w:rFonts w:hint="eastAsia"/>
          <w:color w:val="auto"/>
          <w:kern w:val="0"/>
          <w:sz w:val="24"/>
          <w:szCs w:val="24"/>
          <w:highlight w:val="none"/>
          <w:lang w:val="en-US" w:eastAsia="zh-CN"/>
        </w:rPr>
        <w:t>0770-2800136</w:t>
      </w:r>
    </w:p>
    <w:p w14:paraId="76F8CCF8">
      <w:pPr>
        <w:spacing w:line="312" w:lineRule="auto"/>
        <w:ind w:firstLine="480" w:firstLineChars="200"/>
        <w:jc w:val="left"/>
        <w:rPr>
          <w:color w:val="auto"/>
          <w:kern w:val="0"/>
          <w:sz w:val="24"/>
          <w:szCs w:val="24"/>
          <w:highlight w:val="none"/>
        </w:rPr>
      </w:pPr>
      <w:r>
        <w:rPr>
          <w:rFonts w:hint="eastAsia"/>
          <w:color w:val="auto"/>
          <w:kern w:val="0"/>
          <w:sz w:val="24"/>
          <w:szCs w:val="24"/>
          <w:highlight w:val="none"/>
        </w:rPr>
        <w:t>2</w:t>
      </w:r>
      <w:r>
        <w:rPr>
          <w:color w:val="auto"/>
          <w:kern w:val="0"/>
          <w:sz w:val="24"/>
          <w:szCs w:val="24"/>
          <w:highlight w:val="none"/>
        </w:rPr>
        <w:t>.</w:t>
      </w:r>
      <w:r>
        <w:rPr>
          <w:rFonts w:hint="eastAsia"/>
          <w:color w:val="auto"/>
          <w:kern w:val="0"/>
          <w:sz w:val="24"/>
          <w:szCs w:val="24"/>
          <w:highlight w:val="none"/>
        </w:rPr>
        <w:t>采购代理机构信息</w:t>
      </w:r>
    </w:p>
    <w:p w14:paraId="41DC4A6B">
      <w:pPr>
        <w:spacing w:line="312" w:lineRule="auto"/>
        <w:ind w:firstLine="480" w:firstLineChars="200"/>
        <w:jc w:val="left"/>
        <w:rPr>
          <w:color w:val="auto"/>
          <w:kern w:val="0"/>
          <w:sz w:val="24"/>
          <w:szCs w:val="24"/>
          <w:highlight w:val="none"/>
          <w:u w:val="single"/>
        </w:rPr>
      </w:pPr>
      <w:r>
        <w:rPr>
          <w:rFonts w:hint="eastAsia"/>
          <w:color w:val="auto"/>
          <w:kern w:val="0"/>
          <w:sz w:val="24"/>
          <w:szCs w:val="24"/>
          <w:highlight w:val="none"/>
        </w:rPr>
        <w:t>名称</w:t>
      </w:r>
      <w:r>
        <w:rPr>
          <w:color w:val="auto"/>
          <w:kern w:val="0"/>
          <w:sz w:val="24"/>
          <w:szCs w:val="24"/>
          <w:highlight w:val="none"/>
        </w:rPr>
        <w:t>：</w:t>
      </w:r>
      <w:r>
        <w:rPr>
          <w:color w:val="auto"/>
          <w:kern w:val="0"/>
          <w:sz w:val="24"/>
          <w:szCs w:val="24"/>
          <w:highlight w:val="none"/>
          <w:u w:val="single"/>
        </w:rPr>
        <w:t>广西机电设备招标有限公司</w:t>
      </w:r>
    </w:p>
    <w:p w14:paraId="3B1FBC52">
      <w:pPr>
        <w:spacing w:line="312" w:lineRule="auto"/>
        <w:ind w:firstLine="480" w:firstLineChars="200"/>
        <w:jc w:val="left"/>
        <w:rPr>
          <w:color w:val="auto"/>
          <w:sz w:val="24"/>
          <w:highlight w:val="none"/>
          <w:u w:val="single"/>
        </w:rPr>
      </w:pPr>
      <w:r>
        <w:rPr>
          <w:color w:val="auto"/>
          <w:kern w:val="0"/>
          <w:sz w:val="24"/>
          <w:szCs w:val="24"/>
          <w:highlight w:val="none"/>
        </w:rPr>
        <w:t>地址：</w:t>
      </w:r>
      <w:bookmarkStart w:id="16" w:name="_Hlk43198245"/>
      <w:bookmarkStart w:id="17" w:name="_Hlk43199749"/>
      <w:r>
        <w:rPr>
          <w:color w:val="auto"/>
          <w:sz w:val="24"/>
          <w:highlight w:val="none"/>
          <w:u w:val="single"/>
        </w:rPr>
        <w:t>广西南宁市金湖路63号金源CBD现代城B座7层</w:t>
      </w:r>
      <w:r>
        <w:rPr>
          <w:color w:val="auto"/>
          <w:kern w:val="0"/>
          <w:sz w:val="24"/>
          <w:szCs w:val="24"/>
          <w:highlight w:val="none"/>
          <w:u w:val="single"/>
        </w:rPr>
        <w:t>701</w:t>
      </w:r>
      <w:bookmarkEnd w:id="16"/>
    </w:p>
    <w:bookmarkEnd w:id="15"/>
    <w:bookmarkEnd w:id="17"/>
    <w:p w14:paraId="4B885A46">
      <w:pPr>
        <w:spacing w:line="312" w:lineRule="auto"/>
        <w:ind w:firstLine="480" w:firstLineChars="200"/>
        <w:jc w:val="left"/>
        <w:rPr>
          <w:color w:val="auto"/>
          <w:kern w:val="0"/>
          <w:sz w:val="24"/>
          <w:szCs w:val="24"/>
          <w:highlight w:val="none"/>
          <w:u w:val="single"/>
        </w:rPr>
      </w:pPr>
      <w:bookmarkStart w:id="18" w:name="_Toc254970490"/>
      <w:bookmarkStart w:id="19" w:name="_Toc254970631"/>
      <w:r>
        <w:rPr>
          <w:rFonts w:hint="eastAsia"/>
          <w:color w:val="auto"/>
          <w:kern w:val="0"/>
          <w:sz w:val="24"/>
          <w:szCs w:val="24"/>
          <w:highlight w:val="none"/>
        </w:rPr>
        <w:t>项目联系人：</w:t>
      </w:r>
      <w:r>
        <w:rPr>
          <w:rFonts w:hint="eastAsia"/>
          <w:color w:val="auto"/>
          <w:kern w:val="0"/>
          <w:sz w:val="24"/>
          <w:szCs w:val="24"/>
          <w:highlight w:val="none"/>
          <w:u w:val="single"/>
        </w:rPr>
        <w:t>梁策</w:t>
      </w:r>
    </w:p>
    <w:p w14:paraId="08192C73">
      <w:pPr>
        <w:spacing w:line="312" w:lineRule="auto"/>
        <w:ind w:right="420" w:firstLine="480" w:firstLineChars="200"/>
        <w:rPr>
          <w:b/>
          <w:bCs/>
          <w:color w:val="auto"/>
          <w:kern w:val="0"/>
          <w:sz w:val="24"/>
          <w:szCs w:val="24"/>
          <w:highlight w:val="none"/>
        </w:rPr>
      </w:pPr>
      <w:r>
        <w:rPr>
          <w:rFonts w:hint="eastAsia"/>
          <w:color w:val="auto"/>
          <w:kern w:val="0"/>
          <w:sz w:val="24"/>
          <w:szCs w:val="24"/>
          <w:highlight w:val="none"/>
        </w:rPr>
        <w:t>项目联系方式：</w:t>
      </w:r>
      <w:r>
        <w:rPr>
          <w:rFonts w:hint="eastAsia"/>
          <w:color w:val="auto"/>
          <w:kern w:val="0"/>
          <w:sz w:val="24"/>
          <w:szCs w:val="24"/>
          <w:highlight w:val="none"/>
          <w:u w:val="single"/>
        </w:rPr>
        <w:t>17677662572</w:t>
      </w:r>
      <w:r>
        <w:rPr>
          <w:color w:val="auto"/>
          <w:kern w:val="0"/>
          <w:sz w:val="24"/>
          <w:szCs w:val="24"/>
          <w:highlight w:val="none"/>
          <w:u w:val="single"/>
        </w:rPr>
        <w:t xml:space="preserve"> </w:t>
      </w:r>
    </w:p>
    <w:p w14:paraId="48CAE7F5">
      <w:pPr>
        <w:spacing w:line="312" w:lineRule="auto"/>
        <w:ind w:firstLine="480" w:firstLineChars="200"/>
        <w:jc w:val="right"/>
        <w:rPr>
          <w:color w:val="auto"/>
          <w:kern w:val="0"/>
          <w:sz w:val="24"/>
          <w:szCs w:val="24"/>
          <w:highlight w:val="none"/>
        </w:rPr>
      </w:pPr>
    </w:p>
    <w:p w14:paraId="2B3173FA">
      <w:pPr>
        <w:spacing w:line="312" w:lineRule="auto"/>
        <w:ind w:firstLine="480" w:firstLineChars="200"/>
        <w:jc w:val="right"/>
        <w:rPr>
          <w:color w:val="auto"/>
          <w:kern w:val="0"/>
          <w:sz w:val="24"/>
          <w:szCs w:val="24"/>
          <w:highlight w:val="none"/>
        </w:rPr>
      </w:pPr>
      <w:r>
        <w:rPr>
          <w:color w:val="auto"/>
          <w:kern w:val="0"/>
          <w:sz w:val="24"/>
          <w:szCs w:val="24"/>
          <w:highlight w:val="none"/>
        </w:rPr>
        <w:t>广西机电设备招标有限公司</w:t>
      </w:r>
    </w:p>
    <w:p w14:paraId="233B0CB9">
      <w:pPr>
        <w:spacing w:line="312" w:lineRule="auto"/>
        <w:ind w:firstLine="480" w:firstLineChars="200"/>
        <w:jc w:val="right"/>
        <w:rPr>
          <w:color w:val="auto"/>
          <w:sz w:val="24"/>
          <w:szCs w:val="24"/>
          <w:highlight w:val="none"/>
        </w:rPr>
      </w:pPr>
      <w:r>
        <w:rPr>
          <w:rFonts w:hint="eastAsia"/>
          <w:color w:val="auto"/>
          <w:kern w:val="0"/>
          <w:sz w:val="24"/>
          <w:szCs w:val="24"/>
          <w:highlight w:val="none"/>
        </w:rPr>
        <w:t>202</w:t>
      </w:r>
      <w:r>
        <w:rPr>
          <w:rFonts w:hint="eastAsia"/>
          <w:color w:val="auto"/>
          <w:kern w:val="0"/>
          <w:sz w:val="24"/>
          <w:szCs w:val="24"/>
          <w:highlight w:val="none"/>
          <w:lang w:val="en-US" w:eastAsia="zh-CN"/>
        </w:rPr>
        <w:t>6</w:t>
      </w:r>
      <w:r>
        <w:rPr>
          <w:color w:val="auto"/>
          <w:kern w:val="0"/>
          <w:sz w:val="24"/>
          <w:szCs w:val="24"/>
          <w:highlight w:val="none"/>
        </w:rPr>
        <w:t>年</w:t>
      </w:r>
      <w:r>
        <w:rPr>
          <w:rFonts w:hint="eastAsia"/>
          <w:color w:val="auto"/>
          <w:kern w:val="0"/>
          <w:sz w:val="24"/>
          <w:szCs w:val="24"/>
          <w:highlight w:val="none"/>
          <w:lang w:val="en-US" w:eastAsia="zh-CN"/>
        </w:rPr>
        <w:t xml:space="preserve"> 9 </w:t>
      </w:r>
      <w:r>
        <w:rPr>
          <w:color w:val="auto"/>
          <w:kern w:val="0"/>
          <w:sz w:val="24"/>
          <w:szCs w:val="24"/>
          <w:highlight w:val="none"/>
        </w:rPr>
        <w:t>月</w:t>
      </w:r>
      <w:r>
        <w:rPr>
          <w:rFonts w:hint="eastAsia"/>
          <w:color w:val="auto"/>
          <w:kern w:val="0"/>
          <w:sz w:val="24"/>
          <w:szCs w:val="24"/>
          <w:highlight w:val="none"/>
          <w:lang w:val="en-US" w:eastAsia="zh-CN"/>
        </w:rPr>
        <w:t xml:space="preserve"> 30 </w:t>
      </w:r>
      <w:r>
        <w:rPr>
          <w:color w:val="auto"/>
          <w:kern w:val="0"/>
          <w:sz w:val="24"/>
          <w:szCs w:val="24"/>
          <w:highlight w:val="none"/>
        </w:rPr>
        <w:t>日</w:t>
      </w:r>
    </w:p>
    <w:bookmarkEnd w:id="18"/>
    <w:bookmarkEnd w:id="19"/>
    <w:p w14:paraId="2B63D2F3">
      <w:pPr>
        <w:rPr>
          <w:color w:val="auto"/>
          <w:szCs w:val="21"/>
          <w:highlight w:val="none"/>
        </w:rPr>
        <w:sectPr>
          <w:footerReference r:id="rId9" w:type="first"/>
          <w:headerReference r:id="rId8" w:type="default"/>
          <w:pgSz w:w="11906" w:h="16838"/>
          <w:pgMar w:top="2098" w:right="1474" w:bottom="1417" w:left="1587" w:header="851" w:footer="797" w:gutter="0"/>
          <w:cols w:space="720" w:num="1"/>
          <w:docGrid w:linePitch="312" w:charSpace="0"/>
        </w:sectPr>
      </w:pPr>
    </w:p>
    <w:p w14:paraId="2FA08188">
      <w:pPr>
        <w:pStyle w:val="27"/>
        <w:snapToGrid w:val="0"/>
        <w:spacing w:before="120" w:after="120" w:line="320" w:lineRule="exact"/>
        <w:jc w:val="center"/>
        <w:outlineLvl w:val="0"/>
        <w:rPr>
          <w:rFonts w:ascii="Times New Roman" w:hAnsi="Times New Roman" w:cs="Times New Roman"/>
          <w:color w:val="auto"/>
          <w:sz w:val="24"/>
          <w:szCs w:val="24"/>
          <w:highlight w:val="none"/>
        </w:rPr>
      </w:pPr>
      <w:bookmarkStart w:id="20" w:name="_Toc25196"/>
      <w:bookmarkStart w:id="21" w:name="_Hlk89187818"/>
      <w:r>
        <w:rPr>
          <w:rFonts w:ascii="Times New Roman" w:hAnsi="Times New Roman" w:cs="Times New Roman"/>
          <w:color w:val="auto"/>
          <w:sz w:val="24"/>
          <w:szCs w:val="24"/>
          <w:highlight w:val="none"/>
        </w:rPr>
        <w:t>第</w:t>
      </w:r>
      <w:r>
        <w:rPr>
          <w:rFonts w:hint="eastAsia" w:ascii="Times New Roman" w:hAnsi="Times New Roman" w:cs="Times New Roman"/>
          <w:color w:val="auto"/>
          <w:sz w:val="24"/>
          <w:szCs w:val="24"/>
          <w:highlight w:val="none"/>
        </w:rPr>
        <w:t>二</w:t>
      </w:r>
      <w:r>
        <w:rPr>
          <w:rFonts w:ascii="Times New Roman" w:hAnsi="Times New Roman" w:cs="Times New Roman"/>
          <w:color w:val="auto"/>
          <w:sz w:val="24"/>
          <w:szCs w:val="24"/>
          <w:highlight w:val="none"/>
        </w:rPr>
        <w:t xml:space="preserve">章  </w:t>
      </w:r>
      <w:r>
        <w:rPr>
          <w:rFonts w:hint="eastAsia" w:ascii="Times New Roman" w:hAnsi="Times New Roman" w:cs="Times New Roman"/>
          <w:color w:val="auto"/>
          <w:sz w:val="24"/>
          <w:szCs w:val="24"/>
          <w:highlight w:val="none"/>
        </w:rPr>
        <w:t>采购需求</w:t>
      </w:r>
      <w:bookmarkEnd w:id="20"/>
    </w:p>
    <w:p w14:paraId="3B95FC4C">
      <w:pPr>
        <w:jc w:val="center"/>
        <w:rPr>
          <w:color w:val="auto"/>
          <w:sz w:val="24"/>
          <w:szCs w:val="24"/>
          <w:highlight w:val="none"/>
        </w:rPr>
      </w:pPr>
    </w:p>
    <w:p w14:paraId="594E170A">
      <w:pPr>
        <w:spacing w:line="312" w:lineRule="auto"/>
        <w:ind w:firstLine="562" w:firstLineChars="200"/>
        <w:jc w:val="left"/>
        <w:outlineLvl w:val="1"/>
        <w:rPr>
          <w:rFonts w:ascii="黑体" w:hAnsi="黑体" w:eastAsia="黑体" w:cs="Arial"/>
          <w:b/>
          <w:color w:val="auto"/>
          <w:kern w:val="0"/>
          <w:sz w:val="28"/>
          <w:szCs w:val="28"/>
          <w:highlight w:val="none"/>
        </w:rPr>
      </w:pPr>
      <w:bookmarkStart w:id="22" w:name="_Hlk101188646"/>
      <w:r>
        <w:rPr>
          <w:rFonts w:ascii="黑体" w:hAnsi="黑体" w:eastAsia="黑体" w:cs="Arial"/>
          <w:b/>
          <w:color w:val="auto"/>
          <w:kern w:val="0"/>
          <w:sz w:val="28"/>
          <w:szCs w:val="28"/>
          <w:highlight w:val="none"/>
        </w:rPr>
        <w:t>一、工程量清单</w:t>
      </w:r>
    </w:p>
    <w:p w14:paraId="1556C30D">
      <w:pPr>
        <w:spacing w:line="312" w:lineRule="auto"/>
        <w:ind w:firstLine="422" w:firstLineChars="200"/>
        <w:jc w:val="left"/>
        <w:rPr>
          <w:b/>
          <w:bCs/>
          <w:color w:val="auto"/>
          <w:kern w:val="0"/>
          <w:szCs w:val="21"/>
          <w:highlight w:val="none"/>
        </w:rPr>
      </w:pPr>
      <w:r>
        <w:rPr>
          <w:rFonts w:hint="eastAsia"/>
          <w:b/>
          <w:bCs/>
          <w:color w:val="auto"/>
          <w:kern w:val="0"/>
          <w:szCs w:val="21"/>
          <w:highlight w:val="none"/>
        </w:rPr>
        <w:t>1</w:t>
      </w:r>
      <w:r>
        <w:rPr>
          <w:b/>
          <w:bCs/>
          <w:color w:val="auto"/>
          <w:kern w:val="0"/>
          <w:szCs w:val="21"/>
          <w:highlight w:val="none"/>
        </w:rPr>
        <w:t>.工程量清单说明</w:t>
      </w:r>
    </w:p>
    <w:p w14:paraId="5D7EDEA1">
      <w:pPr>
        <w:spacing w:line="360" w:lineRule="auto"/>
        <w:ind w:firstLine="420" w:firstLineChars="200"/>
        <w:rPr>
          <w:rFonts w:hint="eastAsia" w:hAnsi="宋体" w:cs="宋体"/>
          <w:color w:val="auto"/>
          <w:highlight w:val="none"/>
        </w:rPr>
      </w:pPr>
      <w:r>
        <w:rPr>
          <w:color w:val="auto"/>
          <w:highlight w:val="none"/>
        </w:rPr>
        <w:t>1.1</w:t>
      </w:r>
      <w:r>
        <w:rPr>
          <w:rFonts w:hint="eastAsia" w:hAnsi="宋体" w:cs="宋体"/>
          <w:color w:val="auto"/>
          <w:highlight w:val="none"/>
        </w:rPr>
        <w:t>本工程量清单依据</w:t>
      </w:r>
      <w:r>
        <w:rPr>
          <w:rFonts w:hint="eastAsia" w:hAnsi="宋体" w:cs="宋体"/>
          <w:color w:val="auto"/>
          <w:highlight w:val="none"/>
          <w:lang w:eastAsia="zh-CN"/>
        </w:rPr>
        <w:t>《广西壮族自治区建设工程全过程计价规范》（以下简称《计价规范》）</w:t>
      </w:r>
      <w:r>
        <w:rPr>
          <w:rFonts w:hint="eastAsia" w:hAnsi="宋体" w:cs="宋体"/>
          <w:color w:val="auto"/>
          <w:highlight w:val="none"/>
        </w:rPr>
        <w:t>、</w:t>
      </w:r>
      <w:r>
        <w:rPr>
          <w:rFonts w:hint="eastAsia" w:hAnsi="宋体" w:cs="宋体"/>
          <w:color w:val="auto"/>
          <w:highlight w:val="none"/>
          <w:lang w:eastAsia="zh-CN"/>
        </w:rPr>
        <w:t>《广西壮族自治区建设工程多层级工程量清单计算规范》（以下简称《计算规范》）</w:t>
      </w:r>
      <w:r>
        <w:rPr>
          <w:rFonts w:hint="eastAsia" w:hAnsi="宋体" w:cs="宋体"/>
          <w:color w:val="auto"/>
          <w:highlight w:val="none"/>
        </w:rPr>
        <w:t>、</w:t>
      </w:r>
      <w:r>
        <w:rPr>
          <w:rFonts w:hint="eastAsia" w:hAnsi="宋体" w:cs="宋体"/>
          <w:color w:val="auto"/>
          <w:kern w:val="0"/>
          <w:highlight w:val="none"/>
          <w:lang w:val="en-US" w:eastAsia="zh-CN"/>
        </w:rPr>
        <w:t>采购</w:t>
      </w:r>
      <w:r>
        <w:rPr>
          <w:rFonts w:hint="eastAsia" w:hAnsi="宋体" w:cs="宋体"/>
          <w:color w:val="auto"/>
          <w:highlight w:val="none"/>
        </w:rPr>
        <w:t>文件、</w:t>
      </w:r>
      <w:r>
        <w:rPr>
          <w:rFonts w:hint="eastAsia" w:hAnsi="宋体" w:cs="宋体"/>
          <w:color w:val="auto"/>
          <w:highlight w:val="none"/>
          <w:lang w:eastAsia="zh-CN"/>
        </w:rPr>
        <w:t>图纸</w:t>
      </w:r>
      <w:r>
        <w:rPr>
          <w:rFonts w:hint="eastAsia" w:hAnsi="宋体" w:cs="宋体"/>
          <w:color w:val="auto"/>
          <w:highlight w:val="none"/>
        </w:rPr>
        <w:t>等编制。计算规范中没有的清单项目，应在本章第</w:t>
      </w:r>
      <w:r>
        <w:rPr>
          <w:color w:val="auto"/>
          <w:highlight w:val="none"/>
        </w:rPr>
        <w:t>1.4</w:t>
      </w:r>
      <w:r>
        <w:rPr>
          <w:rFonts w:hint="eastAsia" w:hAnsi="宋体" w:cs="宋体"/>
          <w:color w:val="auto"/>
          <w:highlight w:val="none"/>
        </w:rPr>
        <w:t>款约定。</w:t>
      </w:r>
    </w:p>
    <w:p w14:paraId="7640AEE5">
      <w:pPr>
        <w:spacing w:line="360" w:lineRule="auto"/>
        <w:ind w:firstLine="420" w:firstLineChars="200"/>
        <w:rPr>
          <w:color w:val="auto"/>
          <w:highlight w:val="none"/>
        </w:rPr>
      </w:pPr>
      <w:r>
        <w:rPr>
          <w:color w:val="auto"/>
          <w:highlight w:val="none"/>
        </w:rPr>
        <w:t xml:space="preserve">1.2 </w:t>
      </w:r>
      <w:r>
        <w:rPr>
          <w:rFonts w:hint="eastAsia"/>
          <w:color w:val="auto"/>
          <w:highlight w:val="none"/>
        </w:rPr>
        <w:t>工程量清单应与供应商须知、合同协议条款、合同的通用条款、合同专用条款、技术规范及图纸等文件一起结合使用。</w:t>
      </w:r>
    </w:p>
    <w:p w14:paraId="0F72D04F">
      <w:pPr>
        <w:spacing w:line="360" w:lineRule="auto"/>
        <w:ind w:firstLine="420" w:firstLineChars="200"/>
        <w:rPr>
          <w:color w:val="auto"/>
          <w:highlight w:val="none"/>
        </w:rPr>
      </w:pPr>
      <w:r>
        <w:rPr>
          <w:color w:val="auto"/>
          <w:highlight w:val="none"/>
        </w:rPr>
        <w:t xml:space="preserve">1.3 </w:t>
      </w:r>
      <w:r>
        <w:rPr>
          <w:rFonts w:hint="eastAsia" w:cs="宋体"/>
          <w:color w:val="auto"/>
          <w:highlight w:val="none"/>
        </w:rPr>
        <w:t>工程量清单是采购文件的组成部分。</w:t>
      </w:r>
    </w:p>
    <w:p w14:paraId="0BED36D7">
      <w:pPr>
        <w:spacing w:line="360" w:lineRule="auto"/>
        <w:ind w:left="0" w:firstLine="420" w:firstLineChars="200"/>
        <w:rPr>
          <w:color w:val="auto"/>
          <w:highlight w:val="none"/>
        </w:rPr>
      </w:pPr>
      <w:r>
        <w:rPr>
          <w:color w:val="auto"/>
          <w:highlight w:val="none"/>
        </w:rPr>
        <w:t xml:space="preserve">1.4 </w:t>
      </w:r>
      <w:r>
        <w:rPr>
          <w:rFonts w:hint="eastAsia" w:cs="宋体"/>
          <w:color w:val="auto"/>
          <w:highlight w:val="none"/>
        </w:rPr>
        <w:t>补充</w:t>
      </w:r>
      <w:r>
        <w:rPr>
          <w:rFonts w:hint="eastAsia" w:ascii="Times New Roman" w:hAnsi="Times New Roman" w:eastAsia="宋体" w:cs="Times New Roman"/>
          <w:color w:val="auto"/>
          <w:highlight w:val="none"/>
        </w:rPr>
        <w:t>清单</w:t>
      </w:r>
      <w:r>
        <w:rPr>
          <w:rFonts w:hint="eastAsia" w:cs="宋体"/>
          <w:color w:val="auto"/>
          <w:highlight w:val="none"/>
        </w:rPr>
        <w:t>项目的特征、计量单位、工程量计算规则及工作内容在发布的工程量清单编制说明中明确</w:t>
      </w:r>
      <w:r>
        <w:rPr>
          <w:rFonts w:hint="eastAsia" w:hAnsi="宋体" w:cs="宋体"/>
          <w:color w:val="auto"/>
          <w:highlight w:val="none"/>
        </w:rPr>
        <w:t>。</w:t>
      </w:r>
    </w:p>
    <w:p w14:paraId="2B5E54F9">
      <w:pPr>
        <w:pStyle w:val="27"/>
        <w:spacing w:line="360" w:lineRule="auto"/>
        <w:ind w:firstLine="420" w:firstLineChars="200"/>
        <w:rPr>
          <w:rFonts w:hint="eastAsia" w:ascii="Times New Roman" w:hAnsi="Times New Roman"/>
          <w:color w:val="auto"/>
          <w:sz w:val="21"/>
          <w:szCs w:val="21"/>
          <w:highlight w:val="none"/>
        </w:rPr>
      </w:pPr>
      <w:r>
        <w:rPr>
          <w:rFonts w:ascii="Times New Roman" w:hAnsi="Times New Roman"/>
          <w:color w:val="auto"/>
          <w:sz w:val="21"/>
          <w:szCs w:val="21"/>
          <w:highlight w:val="none"/>
        </w:rPr>
        <w:t xml:space="preserve">1.5 </w:t>
      </w:r>
      <w:r>
        <w:rPr>
          <w:rFonts w:hint="eastAsia" w:ascii="Times New Roman" w:hAnsi="Times New Roman"/>
          <w:color w:val="auto"/>
          <w:sz w:val="21"/>
          <w:szCs w:val="21"/>
          <w:highlight w:val="none"/>
        </w:rPr>
        <w:t>工程量清单应载明人工及主要材料价差调整的相关信息，具体如下：</w:t>
      </w:r>
    </w:p>
    <w:p w14:paraId="45D6C72E">
      <w:pPr>
        <w:pStyle w:val="27"/>
        <w:spacing w:line="360" w:lineRule="auto"/>
        <w:ind w:firstLine="420" w:firstLineChars="200"/>
        <w:rPr>
          <w:rFonts w:hint="eastAsia" w:ascii="Times New Roman" w:hAnsi="Times New Roman"/>
          <w:color w:val="auto"/>
          <w:sz w:val="21"/>
          <w:szCs w:val="21"/>
          <w:highlight w:val="none"/>
        </w:rPr>
      </w:pPr>
      <w:r>
        <w:rPr>
          <w:rFonts w:hint="eastAsia" w:ascii="Times New Roman" w:hAnsi="Times New Roman"/>
          <w:color w:val="auto"/>
          <w:sz w:val="21"/>
          <w:szCs w:val="21"/>
          <w:highlight w:val="none"/>
        </w:rPr>
        <w:sym w:font="Wingdings 2" w:char="0052"/>
      </w:r>
      <w:r>
        <w:rPr>
          <w:rFonts w:hint="eastAsia" w:ascii="Times New Roman" w:hAnsi="Times New Roman"/>
          <w:color w:val="auto"/>
          <w:sz w:val="21"/>
          <w:szCs w:val="21"/>
          <w:highlight w:val="none"/>
        </w:rPr>
        <w:t>本工程为单价合同，主要材料价差调整采用价格差额调整法，有关调价信息详见《允许调整价格的主要材料一览表》。</w:t>
      </w:r>
      <w:r>
        <w:rPr>
          <w:rFonts w:hint="default" w:ascii="Times New Roman" w:hAnsi="Times New Roman"/>
          <w:color w:val="auto"/>
          <w:sz w:val="21"/>
          <w:szCs w:val="21"/>
          <w:highlight w:val="none"/>
          <w:lang w:val="en"/>
        </w:rPr>
        <w:t>人工基准价格指数和风险幅度详见合同专用条款11。</w:t>
      </w:r>
    </w:p>
    <w:p w14:paraId="30155DCC">
      <w:pPr>
        <w:pStyle w:val="27"/>
        <w:spacing w:line="360" w:lineRule="auto"/>
        <w:ind w:firstLine="420" w:firstLineChars="200"/>
        <w:rPr>
          <w:rFonts w:ascii="Times New Roman" w:hAnsi="Times New Roman"/>
          <w:color w:val="auto"/>
          <w:sz w:val="21"/>
          <w:szCs w:val="21"/>
          <w:highlight w:val="none"/>
        </w:rPr>
      </w:pPr>
      <w:r>
        <w:rPr>
          <w:rFonts w:hint="eastAsia" w:ascii="Times New Roman" w:hAnsi="Times New Roman"/>
          <w:color w:val="auto"/>
          <w:sz w:val="21"/>
          <w:szCs w:val="21"/>
          <w:highlight w:val="none"/>
        </w:rPr>
        <w:sym w:font="Wingdings 2" w:char="00A3"/>
      </w:r>
      <w:r>
        <w:rPr>
          <w:rFonts w:hint="eastAsia" w:ascii="Times New Roman" w:hAnsi="Times New Roman"/>
          <w:color w:val="auto"/>
          <w:sz w:val="21"/>
          <w:szCs w:val="21"/>
          <w:highlight w:val="none"/>
        </w:rPr>
        <w:t>本工程为总价合同，人工及主要材料价差调整采用价格指数调整法。有关调价信息详见《人工及主要材料可调因子价格指数及权重表》。</w:t>
      </w:r>
    </w:p>
    <w:p w14:paraId="683387B9">
      <w:pPr>
        <w:pStyle w:val="27"/>
        <w:spacing w:line="360" w:lineRule="auto"/>
        <w:ind w:firstLine="420" w:firstLineChars="200"/>
        <w:rPr>
          <w:rFonts w:ascii="Times New Roman" w:hAnsi="Times New Roman"/>
          <w:color w:val="auto"/>
          <w:sz w:val="21"/>
          <w:szCs w:val="21"/>
          <w:highlight w:val="none"/>
        </w:rPr>
      </w:pPr>
      <w:r>
        <w:rPr>
          <w:rFonts w:ascii="Times New Roman" w:hAnsi="Times New Roman"/>
          <w:color w:val="auto"/>
          <w:sz w:val="21"/>
          <w:szCs w:val="21"/>
          <w:highlight w:val="none"/>
        </w:rPr>
        <w:t xml:space="preserve">1.6 </w:t>
      </w:r>
      <w:r>
        <w:rPr>
          <w:rFonts w:hint="eastAsia" w:ascii="Times New Roman" w:hAnsi="Times New Roman"/>
          <w:color w:val="auto"/>
          <w:sz w:val="21"/>
          <w:szCs w:val="21"/>
          <w:highlight w:val="none"/>
        </w:rPr>
        <w:t>本工程暂列金额本工程暂列金额详见招标控制价文件，供应商应按工程量清单中列明的金额填写，不得变动。暂列金额用于合同签订时尚未确定或者不可预见但施工中可能发生的费用。</w:t>
      </w:r>
    </w:p>
    <w:p w14:paraId="4D5ECC7F">
      <w:pPr>
        <w:pStyle w:val="27"/>
        <w:spacing w:line="360" w:lineRule="auto"/>
        <w:ind w:firstLine="420" w:firstLineChars="200"/>
        <w:rPr>
          <w:rFonts w:hint="eastAsia" w:ascii="Times New Roman" w:hAnsi="Times New Roman"/>
          <w:color w:val="auto"/>
          <w:sz w:val="21"/>
          <w:szCs w:val="21"/>
          <w:highlight w:val="none"/>
        </w:rPr>
      </w:pPr>
      <w:r>
        <w:rPr>
          <w:rFonts w:hint="eastAsia" w:ascii="Times New Roman" w:hAnsi="Times New Roman"/>
          <w:color w:val="auto"/>
          <w:sz w:val="21"/>
          <w:szCs w:val="21"/>
          <w:highlight w:val="none"/>
        </w:rPr>
        <w:t>1.7 本工程</w:t>
      </w:r>
      <w:r>
        <w:rPr>
          <w:rFonts w:hint="eastAsia" w:ascii="Times New Roman" w:hAnsi="Times New Roman"/>
          <w:color w:val="auto"/>
          <w:sz w:val="21"/>
          <w:szCs w:val="21"/>
          <w:highlight w:val="none"/>
          <w:lang w:eastAsia="zh-CN"/>
        </w:rPr>
        <w:t>☑</w:t>
      </w:r>
      <w:r>
        <w:rPr>
          <w:rFonts w:hint="eastAsia" w:ascii="Times New Roman" w:hAnsi="Times New Roman"/>
          <w:color w:val="auto"/>
          <w:sz w:val="21"/>
          <w:szCs w:val="21"/>
          <w:highlight w:val="none"/>
        </w:rPr>
        <w:t>有□无材料暂估价，具体内容详见《材料暂估价明细表》，结算按实调整。</w:t>
      </w:r>
    </w:p>
    <w:p w14:paraId="699B8547">
      <w:pPr>
        <w:pStyle w:val="27"/>
        <w:spacing w:line="360" w:lineRule="auto"/>
        <w:ind w:firstLine="420" w:firstLineChars="200"/>
        <w:rPr>
          <w:rFonts w:hint="eastAsia" w:ascii="Times New Roman" w:hAnsi="Times New Roman"/>
          <w:color w:val="auto"/>
          <w:sz w:val="21"/>
          <w:szCs w:val="21"/>
          <w:highlight w:val="none"/>
        </w:rPr>
      </w:pPr>
      <w:r>
        <w:rPr>
          <w:rFonts w:hint="eastAsia" w:ascii="Times New Roman" w:hAnsi="Times New Roman"/>
          <w:color w:val="auto"/>
          <w:sz w:val="21"/>
          <w:szCs w:val="21"/>
          <w:highlight w:val="none"/>
        </w:rPr>
        <w:t>1.8 本工程</w:t>
      </w:r>
      <w:r>
        <w:rPr>
          <w:rFonts w:hint="eastAsia" w:ascii="Times New Roman" w:hAnsi="Times New Roman"/>
          <w:color w:val="auto"/>
          <w:sz w:val="21"/>
          <w:szCs w:val="21"/>
          <w:highlight w:val="none"/>
          <w:lang w:eastAsia="zh-CN"/>
        </w:rPr>
        <w:t>☑</w:t>
      </w:r>
      <w:r>
        <w:rPr>
          <w:rFonts w:hint="eastAsia" w:ascii="Times New Roman" w:hAnsi="Times New Roman"/>
          <w:color w:val="auto"/>
          <w:sz w:val="21"/>
          <w:szCs w:val="21"/>
          <w:highlight w:val="none"/>
        </w:rPr>
        <w:t>有□无暂估专业工程，具体内容详见《专业工程暂估价明细表》，结算按实调整。</w:t>
      </w:r>
    </w:p>
    <w:p w14:paraId="585E0805">
      <w:pPr>
        <w:spacing w:line="360" w:lineRule="auto"/>
        <w:ind w:firstLine="420" w:firstLineChars="200"/>
        <w:rPr>
          <w:color w:val="auto"/>
          <w:highlight w:val="none"/>
        </w:rPr>
      </w:pPr>
      <w:r>
        <w:rPr>
          <w:rFonts w:hint="eastAsia" w:ascii="Times New Roman" w:hAnsi="Times New Roman"/>
          <w:color w:val="auto"/>
          <w:sz w:val="21"/>
          <w:szCs w:val="21"/>
          <w:highlight w:val="none"/>
        </w:rPr>
        <w:t>1.9 本工程</w:t>
      </w:r>
      <w:r>
        <w:rPr>
          <w:rFonts w:hint="eastAsia" w:ascii="Times New Roman" w:hAnsi="Times New Roman"/>
          <w:color w:val="auto"/>
          <w:sz w:val="21"/>
          <w:szCs w:val="21"/>
          <w:highlight w:val="none"/>
          <w:lang w:eastAsia="zh-CN"/>
        </w:rPr>
        <w:t>☑</w:t>
      </w:r>
      <w:r>
        <w:rPr>
          <w:rFonts w:hint="eastAsia" w:ascii="Times New Roman" w:hAnsi="Times New Roman"/>
          <w:color w:val="auto"/>
          <w:sz w:val="21"/>
          <w:szCs w:val="21"/>
          <w:highlight w:val="none"/>
        </w:rPr>
        <w:t>有□无发包人提供的材料，具体内容详见《发包人提供材料一览表》。</w:t>
      </w:r>
    </w:p>
    <w:p w14:paraId="0343A9BC">
      <w:pPr>
        <w:spacing w:line="360" w:lineRule="auto"/>
        <w:rPr>
          <w:color w:val="auto"/>
          <w:highlight w:val="none"/>
        </w:rPr>
      </w:pPr>
      <w:r>
        <w:rPr>
          <w:color w:val="auto"/>
          <w:highlight w:val="none"/>
        </w:rPr>
        <w:t>1.1</w:t>
      </w:r>
      <w:r>
        <w:rPr>
          <w:rFonts w:hint="eastAsia"/>
          <w:color w:val="auto"/>
          <w:highlight w:val="none"/>
          <w:lang w:val="en-US" w:eastAsia="zh-CN"/>
        </w:rPr>
        <w:t>0</w:t>
      </w:r>
      <w:r>
        <w:rPr>
          <w:color w:val="auto"/>
          <w:highlight w:val="none"/>
        </w:rPr>
        <w:t xml:space="preserve"> </w:t>
      </w:r>
      <w:r>
        <w:rPr>
          <w:rFonts w:hint="eastAsia" w:cs="宋体"/>
          <w:color w:val="auto"/>
          <w:highlight w:val="none"/>
        </w:rPr>
        <w:t>其它需要说明的问题：</w:t>
      </w:r>
      <w:r>
        <w:rPr>
          <w:color w:val="auto"/>
          <w:highlight w:val="none"/>
          <w:u w:val="single"/>
        </w:rPr>
        <w:t xml:space="preserve">   </w:t>
      </w:r>
      <w:r>
        <w:rPr>
          <w:rFonts w:hint="eastAsia"/>
          <w:color w:val="auto"/>
          <w:highlight w:val="none"/>
          <w:u w:val="single"/>
        </w:rPr>
        <w:t>本项目须完成消防整改并取得消防检验合格证明</w:t>
      </w:r>
      <w:r>
        <w:rPr>
          <w:color w:val="auto"/>
          <w:highlight w:val="none"/>
          <w:u w:val="single"/>
        </w:rPr>
        <w:t xml:space="preserve">   </w:t>
      </w:r>
      <w:r>
        <w:rPr>
          <w:rFonts w:hint="eastAsia" w:cs="宋体"/>
          <w:color w:val="auto"/>
          <w:highlight w:val="none"/>
        </w:rPr>
        <w:t>。</w:t>
      </w:r>
    </w:p>
    <w:p w14:paraId="01072178">
      <w:pPr>
        <w:spacing w:line="312" w:lineRule="auto"/>
        <w:ind w:firstLine="422" w:firstLineChars="200"/>
        <w:jc w:val="left"/>
        <w:rPr>
          <w:b/>
          <w:bCs/>
          <w:color w:val="auto"/>
          <w:kern w:val="0"/>
          <w:szCs w:val="21"/>
          <w:highlight w:val="none"/>
        </w:rPr>
      </w:pPr>
      <w:r>
        <w:rPr>
          <w:rFonts w:hint="eastAsia"/>
          <w:b/>
          <w:bCs/>
          <w:color w:val="auto"/>
          <w:kern w:val="0"/>
          <w:szCs w:val="21"/>
          <w:highlight w:val="none"/>
        </w:rPr>
        <w:t>2</w:t>
      </w:r>
      <w:r>
        <w:rPr>
          <w:b/>
          <w:bCs/>
          <w:color w:val="auto"/>
          <w:kern w:val="0"/>
          <w:szCs w:val="21"/>
          <w:highlight w:val="none"/>
        </w:rPr>
        <w:t>.本工程预算金额评审依据</w:t>
      </w:r>
    </w:p>
    <w:p w14:paraId="1E50EEA0">
      <w:pPr>
        <w:spacing w:line="360" w:lineRule="auto"/>
        <w:ind w:firstLine="420" w:firstLineChars="200"/>
        <w:rPr>
          <w:rFonts w:hint="eastAsia"/>
          <w:color w:val="auto"/>
          <w:highlight w:val="none"/>
        </w:rPr>
      </w:pPr>
      <w:r>
        <w:rPr>
          <w:color w:val="auto"/>
          <w:highlight w:val="none"/>
        </w:rPr>
        <w:t>2.1</w:t>
      </w:r>
      <w:r>
        <w:rPr>
          <w:rFonts w:hint="eastAsia" w:hAnsi="宋体" w:cs="宋体"/>
          <w:color w:val="auto"/>
          <w:highlight w:val="none"/>
        </w:rPr>
        <w:t>编制依据：</w:t>
      </w:r>
    </w:p>
    <w:p w14:paraId="31F840B9">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jc w:val="left"/>
        <w:textAlignment w:val="auto"/>
        <w:rPr>
          <w:rFonts w:hint="default" w:ascii="宋体" w:hAnsi="宋体" w:cs="宋体"/>
          <w:b w:val="0"/>
          <w:bCs/>
          <w:color w:val="auto"/>
          <w:sz w:val="21"/>
          <w:szCs w:val="21"/>
          <w:highlight w:val="none"/>
          <w:lang w:val="en" w:eastAsia="zh-CN"/>
        </w:rPr>
      </w:pPr>
      <w:r>
        <w:rPr>
          <w:rFonts w:hint="eastAsia" w:ascii="宋体" w:hAnsi="宋体" w:cs="宋体"/>
          <w:b/>
          <w:bCs w:val="0"/>
          <w:color w:val="auto"/>
          <w:sz w:val="21"/>
          <w:szCs w:val="21"/>
          <w:highlight w:val="none"/>
          <w:lang w:val="en-US" w:eastAsia="zh-CN"/>
        </w:rPr>
        <w:t>（1）</w:t>
      </w:r>
      <w:r>
        <w:rPr>
          <w:rFonts w:hint="default" w:ascii="宋体" w:hAnsi="宋体" w:cs="宋体"/>
          <w:b w:val="0"/>
          <w:bCs/>
          <w:color w:val="auto"/>
          <w:sz w:val="21"/>
          <w:szCs w:val="21"/>
          <w:highlight w:val="none"/>
          <w:lang w:val="en" w:eastAsia="zh-CN"/>
        </w:rPr>
        <w:t>自治区建设行政主管部门颁发的</w:t>
      </w:r>
      <w:r>
        <w:rPr>
          <w:rFonts w:hint="eastAsia" w:ascii="宋体" w:hAnsi="宋体" w:cs="宋体"/>
          <w:b w:val="0"/>
          <w:bCs/>
          <w:color w:val="auto"/>
          <w:sz w:val="21"/>
          <w:szCs w:val="21"/>
          <w:highlight w:val="none"/>
          <w:lang w:val="en" w:eastAsia="zh-CN"/>
        </w:rPr>
        <w:t>《</w:t>
      </w:r>
      <w:r>
        <w:rPr>
          <w:rFonts w:hint="eastAsia" w:ascii="宋体" w:hAnsi="宋体" w:cs="宋体"/>
          <w:b w:val="0"/>
          <w:bCs/>
          <w:color w:val="auto"/>
          <w:sz w:val="21"/>
          <w:szCs w:val="21"/>
          <w:highlight w:val="none"/>
          <w:lang w:val="en-US" w:eastAsia="zh-CN"/>
        </w:rPr>
        <w:t>计价规范》《</w:t>
      </w:r>
      <w:r>
        <w:rPr>
          <w:rFonts w:hint="default" w:ascii="宋体" w:hAnsi="宋体" w:cs="宋体"/>
          <w:b w:val="0"/>
          <w:bCs/>
          <w:color w:val="auto"/>
          <w:sz w:val="21"/>
          <w:szCs w:val="21"/>
          <w:highlight w:val="none"/>
          <w:lang w:val="en" w:eastAsia="zh-CN"/>
        </w:rPr>
        <w:t>计算规范</w:t>
      </w:r>
      <w:r>
        <w:rPr>
          <w:rFonts w:hint="eastAsia" w:ascii="宋体" w:hAnsi="宋体" w:cs="宋体"/>
          <w:b w:val="0"/>
          <w:bCs/>
          <w:color w:val="auto"/>
          <w:sz w:val="21"/>
          <w:szCs w:val="21"/>
          <w:highlight w:val="none"/>
          <w:lang w:val="en" w:eastAsia="zh-CN"/>
        </w:rPr>
        <w:t>》，</w:t>
      </w:r>
      <w:r>
        <w:rPr>
          <w:rFonts w:hint="default" w:ascii="宋体" w:hAnsi="宋体" w:cs="宋体"/>
          <w:b w:val="0"/>
          <w:bCs/>
          <w:color w:val="auto"/>
          <w:sz w:val="21"/>
          <w:szCs w:val="21"/>
          <w:highlight w:val="none"/>
          <w:lang w:val="en" w:eastAsia="zh-CN"/>
        </w:rPr>
        <w:t>以及根据工程需要补充的工程量计算规则；</w:t>
      </w:r>
    </w:p>
    <w:p w14:paraId="7A3E2065">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jc w:val="left"/>
        <w:textAlignment w:val="auto"/>
        <w:rPr>
          <w:rFonts w:hint="default" w:ascii="宋体" w:hAnsi="宋体" w:cs="宋体"/>
          <w:b w:val="0"/>
          <w:bCs/>
          <w:color w:val="auto"/>
          <w:sz w:val="21"/>
          <w:szCs w:val="21"/>
          <w:highlight w:val="none"/>
          <w:lang w:val="en" w:eastAsia="zh-CN"/>
        </w:rPr>
      </w:pPr>
      <w:r>
        <w:rPr>
          <w:rFonts w:hint="eastAsia" w:ascii="宋体" w:hAnsi="宋体" w:cs="宋体"/>
          <w:b/>
          <w:bCs w:val="0"/>
          <w:color w:val="auto"/>
          <w:sz w:val="21"/>
          <w:szCs w:val="21"/>
          <w:highlight w:val="none"/>
          <w:lang w:val="en-US" w:eastAsia="zh-CN"/>
        </w:rPr>
        <w:t>（2）</w:t>
      </w:r>
      <w:r>
        <w:rPr>
          <w:rFonts w:hint="eastAsia" w:ascii="宋体" w:hAnsi="宋体" w:cs="宋体"/>
          <w:b w:val="0"/>
          <w:bCs/>
          <w:color w:val="auto"/>
          <w:sz w:val="21"/>
          <w:szCs w:val="21"/>
          <w:highlight w:val="none"/>
          <w:lang w:val="en-US" w:eastAsia="zh-CN"/>
        </w:rPr>
        <w:t>采购</w:t>
      </w:r>
      <w:r>
        <w:rPr>
          <w:rFonts w:hint="default" w:ascii="宋体" w:hAnsi="宋体" w:cs="宋体"/>
          <w:b w:val="0"/>
          <w:bCs/>
          <w:color w:val="auto"/>
          <w:sz w:val="21"/>
          <w:szCs w:val="21"/>
          <w:highlight w:val="none"/>
          <w:lang w:val="en" w:eastAsia="zh-CN"/>
        </w:rPr>
        <w:t>文件（包括工程量清单、合同条款、图纸等）及其补遗、澄清或修改；</w:t>
      </w:r>
    </w:p>
    <w:p w14:paraId="6E974271">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jc w:val="left"/>
        <w:textAlignment w:val="auto"/>
        <w:rPr>
          <w:rFonts w:hint="default" w:ascii="宋体" w:hAnsi="宋体" w:cs="宋体"/>
          <w:b w:val="0"/>
          <w:bCs/>
          <w:color w:val="auto"/>
          <w:sz w:val="21"/>
          <w:szCs w:val="21"/>
          <w:highlight w:val="none"/>
          <w:lang w:val="en" w:eastAsia="zh-CN"/>
        </w:rPr>
      </w:pPr>
      <w:r>
        <w:rPr>
          <w:rFonts w:hint="eastAsia" w:ascii="宋体" w:hAnsi="宋体" w:cs="宋体"/>
          <w:b/>
          <w:bCs w:val="0"/>
          <w:color w:val="auto"/>
          <w:sz w:val="21"/>
          <w:szCs w:val="21"/>
          <w:highlight w:val="none"/>
          <w:lang w:val="en-US" w:eastAsia="zh-CN"/>
        </w:rPr>
        <w:t>（3）</w:t>
      </w:r>
      <w:r>
        <w:rPr>
          <w:rFonts w:hint="default" w:ascii="宋体" w:hAnsi="宋体" w:cs="宋体"/>
          <w:b w:val="0"/>
          <w:bCs/>
          <w:color w:val="auto"/>
          <w:sz w:val="21"/>
          <w:szCs w:val="21"/>
          <w:highlight w:val="none"/>
          <w:lang w:val="en" w:eastAsia="zh-CN"/>
        </w:rPr>
        <w:t>与</w:t>
      </w:r>
      <w:r>
        <w:rPr>
          <w:rFonts w:hint="eastAsia" w:ascii="宋体" w:hAnsi="宋体" w:cs="宋体"/>
          <w:b w:val="0"/>
          <w:bCs/>
          <w:color w:val="auto"/>
          <w:sz w:val="21"/>
          <w:szCs w:val="21"/>
          <w:highlight w:val="none"/>
          <w:lang w:val="en-US" w:eastAsia="zh-CN"/>
        </w:rPr>
        <w:t>本</w:t>
      </w:r>
      <w:r>
        <w:rPr>
          <w:rFonts w:hint="default" w:ascii="宋体" w:hAnsi="宋体" w:cs="宋体"/>
          <w:b w:val="0"/>
          <w:bCs/>
          <w:color w:val="auto"/>
          <w:sz w:val="21"/>
          <w:szCs w:val="21"/>
          <w:highlight w:val="none"/>
          <w:lang w:val="en" w:eastAsia="zh-CN"/>
        </w:rPr>
        <w:t>工程相关的标准、规范、技术资料；</w:t>
      </w:r>
    </w:p>
    <w:p w14:paraId="31CC2F84">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jc w:val="left"/>
        <w:textAlignment w:val="auto"/>
        <w:rPr>
          <w:rFonts w:hint="default" w:ascii="宋体" w:hAnsi="宋体" w:cs="宋体"/>
          <w:b w:val="0"/>
          <w:bCs/>
          <w:color w:val="auto"/>
          <w:sz w:val="21"/>
          <w:szCs w:val="21"/>
          <w:highlight w:val="none"/>
          <w:lang w:val="en" w:eastAsia="zh-CN"/>
        </w:rPr>
      </w:pPr>
      <w:r>
        <w:rPr>
          <w:rFonts w:hint="eastAsia" w:ascii="宋体" w:hAnsi="宋体" w:cs="宋体"/>
          <w:b/>
          <w:bCs w:val="0"/>
          <w:color w:val="auto"/>
          <w:sz w:val="21"/>
          <w:szCs w:val="21"/>
          <w:highlight w:val="none"/>
          <w:lang w:val="en-US" w:eastAsia="zh-CN"/>
        </w:rPr>
        <w:t>（4）</w:t>
      </w:r>
      <w:r>
        <w:rPr>
          <w:rFonts w:hint="default" w:ascii="宋体" w:hAnsi="宋体" w:cs="宋体"/>
          <w:b w:val="0"/>
          <w:bCs/>
          <w:color w:val="auto"/>
          <w:sz w:val="21"/>
          <w:szCs w:val="21"/>
          <w:highlight w:val="none"/>
          <w:lang w:val="en" w:eastAsia="zh-CN"/>
        </w:rPr>
        <w:t>施工现场情况、地勘水文资料、工程特点等；</w:t>
      </w:r>
    </w:p>
    <w:p w14:paraId="6E13858B">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jc w:val="left"/>
        <w:textAlignment w:val="auto"/>
        <w:rPr>
          <w:rFonts w:hint="default" w:ascii="宋体" w:hAnsi="宋体" w:cs="宋体"/>
          <w:b w:val="0"/>
          <w:bCs/>
          <w:color w:val="auto"/>
          <w:sz w:val="21"/>
          <w:szCs w:val="21"/>
          <w:highlight w:val="none"/>
          <w:lang w:val="en" w:eastAsia="zh-CN"/>
        </w:rPr>
      </w:pPr>
      <w:r>
        <w:rPr>
          <w:rFonts w:hint="eastAsia" w:ascii="宋体" w:hAnsi="宋体" w:cs="宋体"/>
          <w:b/>
          <w:bCs w:val="0"/>
          <w:color w:val="auto"/>
          <w:sz w:val="21"/>
          <w:szCs w:val="21"/>
          <w:highlight w:val="none"/>
          <w:lang w:val="en-US" w:eastAsia="zh-CN"/>
        </w:rPr>
        <w:t>（5）</w:t>
      </w:r>
      <w:r>
        <w:rPr>
          <w:rFonts w:hint="default" w:ascii="宋体" w:hAnsi="宋体" w:cs="宋体"/>
          <w:b w:val="0"/>
          <w:bCs/>
          <w:color w:val="auto"/>
          <w:sz w:val="21"/>
          <w:szCs w:val="21"/>
          <w:highlight w:val="none"/>
          <w:lang w:val="en" w:eastAsia="zh-CN"/>
        </w:rPr>
        <w:t>合理施工工期及常规施工工艺、顺序；</w:t>
      </w:r>
    </w:p>
    <w:p w14:paraId="2ED51EF0">
      <w:pPr>
        <w:spacing w:line="360" w:lineRule="auto"/>
        <w:ind w:firstLine="422" w:firstLineChars="200"/>
        <w:rPr>
          <w:rFonts w:hint="eastAsia" w:ascii="宋体" w:hAnsi="宋体" w:cs="宋体"/>
          <w:b w:val="0"/>
          <w:bCs/>
          <w:color w:val="auto"/>
          <w:sz w:val="21"/>
          <w:szCs w:val="21"/>
          <w:highlight w:val="none"/>
          <w:u w:val="single"/>
          <w:lang w:val="en-US" w:eastAsia="zh-CN"/>
        </w:rPr>
      </w:pPr>
      <w:r>
        <w:rPr>
          <w:rFonts w:hint="eastAsia" w:ascii="宋体" w:hAnsi="宋体" w:cs="宋体"/>
          <w:b/>
          <w:bCs w:val="0"/>
          <w:color w:val="auto"/>
          <w:sz w:val="21"/>
          <w:szCs w:val="21"/>
          <w:highlight w:val="none"/>
          <w:lang w:val="en-US" w:eastAsia="zh-CN"/>
        </w:rPr>
        <w:t>（6）</w:t>
      </w:r>
      <w:r>
        <w:rPr>
          <w:rFonts w:hint="eastAsia" w:ascii="宋体" w:hAnsi="宋体" w:eastAsia="宋体" w:cs="宋体"/>
          <w:b/>
          <w:bCs w:val="0"/>
          <w:color w:val="auto"/>
          <w:kern w:val="2"/>
          <w:szCs w:val="21"/>
          <w:highlight w:val="none"/>
        </w:rPr>
        <w:t>预算金额</w:t>
      </w:r>
      <w:r>
        <w:rPr>
          <w:rFonts w:hint="eastAsia" w:ascii="宋体" w:hAnsi="宋体" w:eastAsia="宋体" w:cs="宋体"/>
          <w:b/>
          <w:bCs w:val="0"/>
          <w:color w:val="auto"/>
          <w:sz w:val="21"/>
          <w:szCs w:val="21"/>
          <w:highlight w:val="none"/>
          <w:lang w:val="en-US" w:eastAsia="zh-CN"/>
        </w:rPr>
        <w:t>计算</w:t>
      </w:r>
      <w:r>
        <w:rPr>
          <w:rFonts w:hint="eastAsia" w:ascii="宋体" w:hAnsi="宋体" w:cs="宋体"/>
          <w:b/>
          <w:bCs w:val="0"/>
          <w:color w:val="auto"/>
          <w:sz w:val="21"/>
          <w:szCs w:val="21"/>
          <w:highlight w:val="none"/>
          <w:lang w:val="en-US" w:eastAsia="zh-CN"/>
        </w:rPr>
        <w:t>方法及价格来源：</w:t>
      </w:r>
    </w:p>
    <w:p w14:paraId="2FFCE194">
      <w:pPr>
        <w:spacing w:line="360" w:lineRule="auto"/>
        <w:ind w:firstLine="420" w:firstLineChars="200"/>
        <w:rPr>
          <w:rFonts w:hint="eastAsia" w:ascii="宋体" w:hAnsi="宋体" w:cs="宋体"/>
          <w:b w:val="0"/>
          <w:bCs/>
          <w:color w:val="auto"/>
          <w:sz w:val="21"/>
          <w:szCs w:val="21"/>
          <w:highlight w:val="none"/>
          <w:u w:val="single"/>
          <w:lang w:val="en-US" w:eastAsia="zh-CN"/>
        </w:rPr>
      </w:pPr>
      <w:r>
        <w:rPr>
          <w:rFonts w:hint="eastAsia" w:ascii="宋体" w:hAnsi="宋体" w:cs="宋体"/>
          <w:b w:val="0"/>
          <w:bCs/>
          <w:color w:val="auto"/>
          <w:sz w:val="21"/>
          <w:szCs w:val="21"/>
          <w:highlight w:val="none"/>
          <w:u w:val="single"/>
          <w:lang w:val="en-US" w:eastAsia="zh-CN"/>
        </w:rPr>
        <w:t>（一）《广西壮族自治区建筑装饰装修工程消耗量定额》（2024 年版本）；</w:t>
      </w:r>
    </w:p>
    <w:p w14:paraId="3EA50DB8">
      <w:pPr>
        <w:spacing w:line="360" w:lineRule="auto"/>
        <w:ind w:firstLine="420" w:firstLineChars="200"/>
        <w:rPr>
          <w:rFonts w:hint="eastAsia" w:ascii="宋体" w:hAnsi="宋体" w:cs="宋体"/>
          <w:b w:val="0"/>
          <w:bCs/>
          <w:color w:val="auto"/>
          <w:sz w:val="21"/>
          <w:szCs w:val="21"/>
          <w:highlight w:val="none"/>
          <w:u w:val="single"/>
          <w:lang w:val="en-US" w:eastAsia="zh-CN"/>
        </w:rPr>
      </w:pPr>
      <w:r>
        <w:rPr>
          <w:rFonts w:hint="eastAsia" w:ascii="宋体" w:hAnsi="宋体" w:cs="宋体"/>
          <w:b w:val="0"/>
          <w:bCs/>
          <w:color w:val="auto"/>
          <w:sz w:val="21"/>
          <w:szCs w:val="21"/>
          <w:highlight w:val="none"/>
          <w:u w:val="single"/>
          <w:lang w:val="en-US" w:eastAsia="zh-CN"/>
        </w:rPr>
        <w:t>（二）《广西壮族自治区建筑拆除工程消耗量定额》（2024 年版本）；</w:t>
      </w:r>
    </w:p>
    <w:p w14:paraId="77234FF2">
      <w:pPr>
        <w:spacing w:line="360" w:lineRule="auto"/>
        <w:ind w:firstLine="420" w:firstLineChars="200"/>
        <w:rPr>
          <w:rFonts w:hint="eastAsia" w:ascii="宋体" w:hAnsi="宋体" w:cs="宋体"/>
          <w:b w:val="0"/>
          <w:bCs/>
          <w:color w:val="auto"/>
          <w:sz w:val="21"/>
          <w:szCs w:val="21"/>
          <w:highlight w:val="none"/>
          <w:u w:val="single"/>
          <w:lang w:val="en-US" w:eastAsia="zh-CN"/>
        </w:rPr>
      </w:pPr>
      <w:r>
        <w:rPr>
          <w:rFonts w:hint="eastAsia" w:ascii="宋体" w:hAnsi="宋体" w:cs="宋体"/>
          <w:b w:val="0"/>
          <w:bCs/>
          <w:color w:val="auto"/>
          <w:sz w:val="21"/>
          <w:szCs w:val="21"/>
          <w:highlight w:val="none"/>
          <w:u w:val="single"/>
          <w:lang w:val="en-US" w:eastAsia="zh-CN"/>
        </w:rPr>
        <w:t>（三）《广西壮族自治区建筑安装工程消耗量定额》（2023 年版本）；</w:t>
      </w:r>
    </w:p>
    <w:p w14:paraId="6EC9BC36">
      <w:pPr>
        <w:spacing w:line="360" w:lineRule="auto"/>
        <w:ind w:firstLine="420" w:firstLineChars="200"/>
        <w:rPr>
          <w:rFonts w:hint="eastAsia" w:ascii="宋体" w:hAnsi="宋体" w:cs="宋体"/>
          <w:b w:val="0"/>
          <w:bCs/>
          <w:color w:val="auto"/>
          <w:sz w:val="21"/>
          <w:szCs w:val="21"/>
          <w:highlight w:val="none"/>
          <w:u w:val="single"/>
          <w:lang w:val="en-US" w:eastAsia="zh-CN"/>
        </w:rPr>
      </w:pPr>
      <w:r>
        <w:rPr>
          <w:rFonts w:hint="eastAsia" w:ascii="宋体" w:hAnsi="宋体" w:cs="宋体"/>
          <w:b w:val="0"/>
          <w:bCs/>
          <w:color w:val="auto"/>
          <w:sz w:val="21"/>
          <w:szCs w:val="21"/>
          <w:highlight w:val="none"/>
          <w:u w:val="single"/>
          <w:lang w:val="en-US" w:eastAsia="zh-CN"/>
        </w:rPr>
        <w:t>（四）《广西壮族自治区安装拆除工程消耗量及费用定额》（2013 年版本）；</w:t>
      </w:r>
    </w:p>
    <w:p w14:paraId="60A3B91C">
      <w:pPr>
        <w:spacing w:line="360" w:lineRule="auto"/>
        <w:ind w:firstLine="420" w:firstLineChars="200"/>
        <w:rPr>
          <w:rFonts w:hint="eastAsia" w:ascii="宋体" w:hAnsi="宋体" w:cs="宋体"/>
          <w:b w:val="0"/>
          <w:bCs/>
          <w:color w:val="auto"/>
          <w:sz w:val="21"/>
          <w:szCs w:val="21"/>
          <w:highlight w:val="none"/>
          <w:u w:val="single"/>
          <w:lang w:val="en-US" w:eastAsia="zh-CN"/>
        </w:rPr>
      </w:pPr>
      <w:r>
        <w:rPr>
          <w:rFonts w:hint="eastAsia" w:ascii="宋体" w:hAnsi="宋体" w:cs="宋体"/>
          <w:b w:val="0"/>
          <w:bCs/>
          <w:color w:val="auto"/>
          <w:sz w:val="21"/>
          <w:szCs w:val="21"/>
          <w:highlight w:val="none"/>
          <w:u w:val="single"/>
          <w:lang w:val="en-US" w:eastAsia="zh-CN"/>
        </w:rPr>
        <w:t>（五）《自治区住房城乡建设厅关于颁布2016 年〈广西壮族自治区建设工程费用定额〉的通知》 (桂建标〔2016〕16 号)；</w:t>
      </w:r>
    </w:p>
    <w:p w14:paraId="68B2E8AE">
      <w:pPr>
        <w:spacing w:line="360" w:lineRule="auto"/>
        <w:ind w:firstLine="420" w:firstLineChars="200"/>
        <w:rPr>
          <w:rFonts w:hint="eastAsia" w:ascii="宋体" w:hAnsi="宋体" w:cs="宋体"/>
          <w:b w:val="0"/>
          <w:bCs/>
          <w:color w:val="auto"/>
          <w:sz w:val="21"/>
          <w:szCs w:val="21"/>
          <w:highlight w:val="none"/>
          <w:u w:val="single"/>
          <w:lang w:val="en-US" w:eastAsia="zh-CN"/>
        </w:rPr>
      </w:pPr>
      <w:r>
        <w:rPr>
          <w:rFonts w:hint="eastAsia" w:ascii="宋体" w:hAnsi="宋体" w:cs="宋体"/>
          <w:b w:val="0"/>
          <w:bCs/>
          <w:color w:val="auto"/>
          <w:sz w:val="21"/>
          <w:szCs w:val="21"/>
          <w:highlight w:val="none"/>
          <w:u w:val="single"/>
          <w:lang w:val="en-US" w:eastAsia="zh-CN"/>
        </w:rPr>
        <w:t>（六）《自治区住房城乡建设厅关于建筑业实施营业税改征增值税后广西壮族自治区建设工程计价依据调整的通知》 (桂建标〔2016〕17 号)；</w:t>
      </w:r>
    </w:p>
    <w:p w14:paraId="0FD70270">
      <w:pPr>
        <w:spacing w:line="360" w:lineRule="auto"/>
        <w:ind w:firstLine="420" w:firstLineChars="200"/>
        <w:rPr>
          <w:rFonts w:hint="eastAsia" w:ascii="宋体" w:hAnsi="宋体" w:cs="宋体"/>
          <w:b w:val="0"/>
          <w:bCs/>
          <w:color w:val="auto"/>
          <w:sz w:val="21"/>
          <w:szCs w:val="21"/>
          <w:highlight w:val="none"/>
          <w:u w:val="single"/>
          <w:lang w:val="en-US" w:eastAsia="zh-CN"/>
        </w:rPr>
      </w:pPr>
      <w:r>
        <w:rPr>
          <w:rFonts w:hint="eastAsia" w:ascii="宋体" w:hAnsi="宋体" w:cs="宋体"/>
          <w:b w:val="0"/>
          <w:bCs/>
          <w:color w:val="auto"/>
          <w:sz w:val="21"/>
          <w:szCs w:val="21"/>
          <w:highlight w:val="none"/>
          <w:u w:val="single"/>
          <w:lang w:val="en-US" w:eastAsia="zh-CN"/>
        </w:rPr>
        <w:t>（七）《自治区住房城乡建设厅关于调整建设工程计价增值税税率的通知》 (桂建标〔2018〕14 号)；</w:t>
      </w:r>
    </w:p>
    <w:p w14:paraId="4AFAADAF">
      <w:pPr>
        <w:spacing w:line="360" w:lineRule="auto"/>
        <w:ind w:firstLine="420" w:firstLineChars="200"/>
        <w:rPr>
          <w:rFonts w:hint="eastAsia" w:ascii="宋体" w:hAnsi="宋体" w:cs="宋体"/>
          <w:b w:val="0"/>
          <w:bCs/>
          <w:color w:val="auto"/>
          <w:sz w:val="21"/>
          <w:szCs w:val="21"/>
          <w:highlight w:val="none"/>
          <w:u w:val="single"/>
          <w:lang w:val="en-US" w:eastAsia="zh-CN"/>
        </w:rPr>
      </w:pPr>
      <w:r>
        <w:rPr>
          <w:rFonts w:hint="eastAsia" w:ascii="宋体" w:hAnsi="宋体" w:cs="宋体"/>
          <w:b w:val="0"/>
          <w:bCs/>
          <w:color w:val="auto"/>
          <w:sz w:val="21"/>
          <w:szCs w:val="21"/>
          <w:highlight w:val="none"/>
          <w:u w:val="single"/>
          <w:lang w:val="en-US" w:eastAsia="zh-CN"/>
        </w:rPr>
        <w:t>（八）《自治区住房城乡建设厅关于调整建设工程定额人工费及有关费率的通知》 (桂建标〔2023〕7 号)；</w:t>
      </w:r>
    </w:p>
    <w:p w14:paraId="0DC0CD34">
      <w:pPr>
        <w:spacing w:line="360" w:lineRule="auto"/>
        <w:ind w:firstLine="420" w:firstLineChars="200"/>
        <w:rPr>
          <w:rFonts w:hint="eastAsia" w:ascii="宋体" w:hAnsi="宋体" w:cs="宋体"/>
          <w:b w:val="0"/>
          <w:bCs/>
          <w:color w:val="auto"/>
          <w:sz w:val="21"/>
          <w:szCs w:val="21"/>
          <w:highlight w:val="none"/>
          <w:u w:val="single"/>
          <w:lang w:val="en-US" w:eastAsia="zh-CN"/>
        </w:rPr>
      </w:pPr>
      <w:r>
        <w:rPr>
          <w:rFonts w:hint="eastAsia" w:ascii="宋体" w:hAnsi="宋体" w:cs="宋体"/>
          <w:b w:val="0"/>
          <w:bCs/>
          <w:color w:val="auto"/>
          <w:sz w:val="21"/>
          <w:szCs w:val="21"/>
          <w:highlight w:val="none"/>
          <w:u w:val="single"/>
          <w:lang w:val="en-US" w:eastAsia="zh-CN"/>
        </w:rPr>
        <w:t>（九）《关于调整除税价计算适用增值税税率的通知》 (桂造价〔2019〕10号)；</w:t>
      </w:r>
    </w:p>
    <w:p w14:paraId="52D4D61B">
      <w:pPr>
        <w:spacing w:line="360" w:lineRule="auto"/>
        <w:ind w:firstLine="420" w:firstLineChars="200"/>
        <w:rPr>
          <w:rFonts w:hint="eastAsia" w:ascii="宋体" w:hAnsi="宋体" w:cs="宋体"/>
          <w:b w:val="0"/>
          <w:bCs/>
          <w:color w:val="auto"/>
          <w:sz w:val="21"/>
          <w:szCs w:val="21"/>
          <w:highlight w:val="none"/>
          <w:u w:val="single"/>
          <w:lang w:val="en-US" w:eastAsia="zh-CN"/>
        </w:rPr>
      </w:pPr>
      <w:r>
        <w:rPr>
          <w:rFonts w:hint="eastAsia" w:ascii="宋体" w:hAnsi="宋体" w:cs="宋体"/>
          <w:b w:val="0"/>
          <w:bCs/>
          <w:color w:val="auto"/>
          <w:sz w:val="21"/>
          <w:szCs w:val="21"/>
          <w:highlight w:val="none"/>
          <w:u w:val="single"/>
          <w:lang w:val="en-US" w:eastAsia="zh-CN"/>
        </w:rPr>
        <w:t>（十）《关于调整建设工程计价增值税税率的通知》 (桂建标〔2019〕12号)；</w:t>
      </w:r>
    </w:p>
    <w:p w14:paraId="7BB5D625">
      <w:pPr>
        <w:spacing w:line="360" w:lineRule="auto"/>
        <w:ind w:firstLine="420" w:firstLineChars="200"/>
        <w:rPr>
          <w:rFonts w:hint="eastAsia" w:ascii="宋体" w:hAnsi="宋体" w:cs="宋体"/>
          <w:b w:val="0"/>
          <w:bCs/>
          <w:color w:val="auto"/>
          <w:sz w:val="21"/>
          <w:szCs w:val="21"/>
          <w:highlight w:val="none"/>
          <w:u w:val="single"/>
          <w:lang w:val="en-US" w:eastAsia="zh-CN"/>
        </w:rPr>
      </w:pPr>
      <w:r>
        <w:rPr>
          <w:rFonts w:hint="eastAsia" w:ascii="宋体" w:hAnsi="宋体" w:cs="宋体"/>
          <w:b w:val="0"/>
          <w:bCs/>
          <w:color w:val="auto"/>
          <w:sz w:val="21"/>
          <w:szCs w:val="21"/>
          <w:highlight w:val="none"/>
          <w:u w:val="single"/>
          <w:lang w:val="en-US" w:eastAsia="zh-CN"/>
        </w:rPr>
        <w:t>（十一）与本项目工程有关的标准、规范、技术资料；</w:t>
      </w:r>
    </w:p>
    <w:p w14:paraId="0F9CFC08">
      <w:pPr>
        <w:spacing w:line="360" w:lineRule="auto"/>
        <w:ind w:firstLine="420" w:firstLineChars="200"/>
        <w:rPr>
          <w:rFonts w:hint="eastAsia" w:ascii="宋体" w:hAnsi="宋体" w:cs="宋体"/>
          <w:b w:val="0"/>
          <w:bCs/>
          <w:color w:val="auto"/>
          <w:sz w:val="21"/>
          <w:szCs w:val="21"/>
          <w:highlight w:val="none"/>
          <w:u w:val="single"/>
          <w:lang w:val="en-US" w:eastAsia="zh-CN"/>
        </w:rPr>
      </w:pPr>
      <w:r>
        <w:rPr>
          <w:rFonts w:hint="eastAsia" w:ascii="宋体" w:hAnsi="宋体" w:cs="宋体"/>
          <w:b w:val="0"/>
          <w:bCs/>
          <w:color w:val="auto"/>
          <w:sz w:val="21"/>
          <w:szCs w:val="21"/>
          <w:highlight w:val="none"/>
          <w:u w:val="single"/>
          <w:lang w:val="en-US" w:eastAsia="zh-CN"/>
        </w:rPr>
        <w:t>（十二）其他现行计价文件、规范及标准；</w:t>
      </w:r>
    </w:p>
    <w:p w14:paraId="74AFEAB9">
      <w:pPr>
        <w:spacing w:line="360" w:lineRule="auto"/>
        <w:ind w:firstLine="420" w:firstLineChars="200"/>
        <w:rPr>
          <w:b w:val="0"/>
          <w:bCs/>
          <w:color w:val="auto"/>
          <w:highlight w:val="none"/>
        </w:rPr>
      </w:pPr>
      <w:r>
        <w:rPr>
          <w:rFonts w:hint="eastAsia" w:ascii="宋体" w:hAnsi="宋体" w:cs="宋体"/>
          <w:b w:val="0"/>
          <w:bCs/>
          <w:color w:val="auto"/>
          <w:sz w:val="21"/>
          <w:szCs w:val="21"/>
          <w:highlight w:val="none"/>
          <w:u w:val="single"/>
          <w:lang w:val="en-US" w:eastAsia="zh-CN"/>
        </w:rPr>
        <w:t>（十三）材料价格参照《防城港市建设工程造价信息》2026 年第6期所公布的防城港市除税材料价计取，若《防城港市建设工程造价信息》没有的参考同期南宁除税信息价，如信息价没有的参考市场价；本项目材料价格均包含到工地的运费 。</w:t>
      </w:r>
    </w:p>
    <w:p w14:paraId="3708543F">
      <w:pPr>
        <w:spacing w:line="360" w:lineRule="auto"/>
        <w:ind w:firstLine="420" w:firstLineChars="200"/>
        <w:rPr>
          <w:color w:val="auto"/>
          <w:highlight w:val="none"/>
        </w:rPr>
      </w:pPr>
      <w:r>
        <w:rPr>
          <w:color w:val="auto"/>
          <w:highlight w:val="none"/>
        </w:rPr>
        <w:t xml:space="preserve">2.2 </w:t>
      </w:r>
      <w:r>
        <w:rPr>
          <w:rFonts w:hint="eastAsia" w:hAnsi="宋体" w:cs="宋体"/>
          <w:color w:val="auto"/>
          <w:highlight w:val="none"/>
        </w:rPr>
        <w:t>分部分项及单价措施项目综合单价应包括</w:t>
      </w:r>
      <w:r>
        <w:rPr>
          <w:rFonts w:hint="eastAsia" w:cs="宋体"/>
          <w:color w:val="auto"/>
          <w:highlight w:val="none"/>
        </w:rPr>
        <w:t>采购</w:t>
      </w:r>
      <w:r>
        <w:rPr>
          <w:rFonts w:hint="eastAsia" w:hAnsi="宋体" w:cs="宋体"/>
          <w:color w:val="auto"/>
          <w:highlight w:val="none"/>
        </w:rPr>
        <w:t>文件中</w:t>
      </w:r>
      <w:r>
        <w:rPr>
          <w:rFonts w:hint="eastAsia" w:cs="宋体"/>
          <w:color w:val="auto"/>
          <w:highlight w:val="none"/>
        </w:rPr>
        <w:t>采购</w:t>
      </w:r>
      <w:r>
        <w:rPr>
          <w:rFonts w:hint="eastAsia" w:hAnsi="宋体" w:cs="宋体"/>
          <w:color w:val="auto"/>
          <w:highlight w:val="none"/>
        </w:rPr>
        <w:t>人要求成交供应商所承担的风险内容及其范围（幅度）产生的风险费用。</w:t>
      </w:r>
    </w:p>
    <w:p w14:paraId="4548ABEF">
      <w:pPr>
        <w:spacing w:line="360" w:lineRule="auto"/>
        <w:ind w:firstLine="420"/>
        <w:rPr>
          <w:color w:val="auto"/>
          <w:highlight w:val="none"/>
        </w:rPr>
      </w:pPr>
      <w:r>
        <w:rPr>
          <w:color w:val="auto"/>
          <w:highlight w:val="none"/>
        </w:rPr>
        <w:t xml:space="preserve">2.3 </w:t>
      </w:r>
      <w:r>
        <w:rPr>
          <w:rFonts w:hint="eastAsia" w:ascii="Times New Roman" w:hAnsi="Times New Roman" w:eastAsia="宋体" w:cs="宋体"/>
          <w:b w:val="0"/>
          <w:color w:val="auto"/>
          <w:sz w:val="21"/>
          <w:szCs w:val="21"/>
          <w:highlight w:val="none"/>
        </w:rPr>
        <w:t>技术措施项目</w:t>
      </w:r>
      <w:r>
        <w:rPr>
          <w:rFonts w:hint="eastAsia" w:ascii="Times New Roman" w:hAnsi="Times New Roman" w:eastAsia="宋体" w:cs="宋体"/>
          <w:b w:val="0"/>
          <w:color w:val="auto"/>
          <w:sz w:val="21"/>
          <w:szCs w:val="21"/>
          <w:highlight w:val="none"/>
          <w:lang w:val="en-US" w:eastAsia="zh-CN"/>
        </w:rPr>
        <w:t>清单和</w:t>
      </w:r>
      <w:r>
        <w:rPr>
          <w:rFonts w:hint="eastAsia" w:hAnsi="宋体" w:cs="宋体"/>
          <w:color w:val="auto"/>
          <w:highlight w:val="none"/>
          <w:lang w:val="en-US" w:eastAsia="zh-CN"/>
        </w:rPr>
        <w:t>综合措施</w:t>
      </w:r>
      <w:r>
        <w:rPr>
          <w:rFonts w:hint="eastAsia" w:hAnsi="宋体" w:cs="宋体"/>
          <w:color w:val="auto"/>
          <w:highlight w:val="none"/>
        </w:rPr>
        <w:t>项目</w:t>
      </w:r>
      <w:r>
        <w:rPr>
          <w:rFonts w:hint="eastAsia" w:hAnsi="宋体" w:cs="宋体"/>
          <w:color w:val="auto"/>
          <w:highlight w:val="none"/>
          <w:lang w:val="en-US" w:eastAsia="zh-CN"/>
        </w:rPr>
        <w:t>清单</w:t>
      </w:r>
      <w:r>
        <w:rPr>
          <w:rFonts w:hint="eastAsia" w:hAnsi="宋体" w:cs="宋体"/>
          <w:color w:val="auto"/>
          <w:highlight w:val="none"/>
        </w:rPr>
        <w:t>根据拟定的</w:t>
      </w:r>
      <w:r>
        <w:rPr>
          <w:rFonts w:hint="eastAsia" w:cs="宋体"/>
          <w:color w:val="auto"/>
          <w:highlight w:val="none"/>
        </w:rPr>
        <w:t>采购</w:t>
      </w:r>
      <w:r>
        <w:rPr>
          <w:rFonts w:hint="eastAsia" w:hAnsi="宋体" w:cs="宋体"/>
          <w:color w:val="auto"/>
          <w:highlight w:val="none"/>
        </w:rPr>
        <w:t>文件和常规施工方案按《计价规范》和《计算规范》规定编制。</w:t>
      </w:r>
    </w:p>
    <w:p w14:paraId="02908610">
      <w:pPr>
        <w:spacing w:line="360" w:lineRule="auto"/>
        <w:ind w:firstLine="420" w:firstLineChars="200"/>
        <w:rPr>
          <w:color w:val="auto"/>
          <w:highlight w:val="none"/>
        </w:rPr>
      </w:pPr>
      <w:r>
        <w:rPr>
          <w:color w:val="auto"/>
          <w:highlight w:val="none"/>
        </w:rPr>
        <w:t xml:space="preserve">2.4 </w:t>
      </w:r>
      <w:r>
        <w:rPr>
          <w:rFonts w:hint="eastAsia" w:cs="宋体"/>
          <w:color w:val="auto"/>
          <w:highlight w:val="none"/>
        </w:rPr>
        <w:t>其他项目费应按下列规定报价：</w:t>
      </w:r>
    </w:p>
    <w:p w14:paraId="6B2968C3">
      <w:pPr>
        <w:spacing w:line="360" w:lineRule="auto"/>
        <w:ind w:firstLine="420" w:firstLineChars="200"/>
        <w:rPr>
          <w:rFonts w:hint="eastAsia" w:ascii="Times New Roman" w:hAnsi="Times New Roman" w:eastAsia="宋体" w:cs="宋体"/>
          <w:color w:val="auto"/>
          <w:highlight w:val="none"/>
        </w:rPr>
      </w:pPr>
      <w:r>
        <w:rPr>
          <w:rFonts w:hint="eastAsia" w:cs="宋体"/>
          <w:color w:val="auto"/>
          <w:highlight w:val="none"/>
        </w:rPr>
        <w:t>（</w:t>
      </w:r>
      <w:r>
        <w:rPr>
          <w:color w:val="auto"/>
          <w:highlight w:val="none"/>
        </w:rPr>
        <w:t>1</w:t>
      </w:r>
      <w:r>
        <w:rPr>
          <w:rFonts w:hint="eastAsia" w:cs="宋体"/>
          <w:color w:val="auto"/>
          <w:highlight w:val="none"/>
        </w:rPr>
        <w:t>）</w:t>
      </w:r>
      <w:r>
        <w:rPr>
          <w:rFonts w:hint="eastAsia" w:ascii="Times New Roman" w:hAnsi="Times New Roman" w:eastAsia="宋体" w:cs="宋体"/>
          <w:color w:val="auto"/>
          <w:highlight w:val="none"/>
        </w:rPr>
        <w:t>材料暂估价按工程量清单中列出的单价</w:t>
      </w:r>
      <w:r>
        <w:rPr>
          <w:rFonts w:hint="eastAsia" w:ascii="Times New Roman" w:hAnsi="Times New Roman" w:eastAsia="宋体" w:cs="宋体"/>
          <w:color w:val="auto"/>
          <w:highlight w:val="none"/>
          <w:lang w:val="en-US" w:eastAsia="zh-CN"/>
        </w:rPr>
        <w:t>计算，不计入分部分项工程项目清单综合单价</w:t>
      </w:r>
      <w:r>
        <w:rPr>
          <w:rFonts w:hint="eastAsia" w:ascii="Times New Roman" w:hAnsi="Times New Roman" w:eastAsia="宋体" w:cs="宋体"/>
          <w:color w:val="auto"/>
          <w:highlight w:val="none"/>
        </w:rPr>
        <w:t>；</w:t>
      </w:r>
    </w:p>
    <w:p w14:paraId="1A5CFDBA">
      <w:pPr>
        <w:ind w:firstLine="420" w:firstLineChars="200"/>
        <w:rPr>
          <w:rFonts w:hint="eastAsia" w:ascii="Times New Roman" w:hAnsi="Times New Roman" w:eastAsia="宋体" w:cs="宋体"/>
          <w:color w:val="auto"/>
          <w:highlight w:val="none"/>
        </w:rPr>
      </w:pPr>
      <w:r>
        <w:rPr>
          <w:rFonts w:hint="eastAsia" w:ascii="Times New Roman" w:hAnsi="Times New Roman" w:eastAsia="宋体" w:cs="宋体"/>
          <w:color w:val="auto"/>
          <w:highlight w:val="none"/>
        </w:rPr>
        <w:t>（2）专业工程暂估价按工程量清单中列出的金额</w:t>
      </w:r>
      <w:r>
        <w:rPr>
          <w:rFonts w:hint="eastAsia" w:ascii="Times New Roman" w:hAnsi="Times New Roman" w:eastAsia="宋体" w:cs="宋体"/>
          <w:color w:val="auto"/>
          <w:highlight w:val="none"/>
          <w:lang w:val="en-US" w:eastAsia="zh-CN"/>
        </w:rPr>
        <w:t>计算</w:t>
      </w:r>
      <w:r>
        <w:rPr>
          <w:rFonts w:hint="eastAsia" w:ascii="Times New Roman" w:hAnsi="Times New Roman" w:eastAsia="宋体" w:cs="宋体"/>
          <w:color w:val="auto"/>
          <w:highlight w:val="none"/>
        </w:rPr>
        <w:t>；</w:t>
      </w:r>
    </w:p>
    <w:p w14:paraId="0996215D">
      <w:pPr>
        <w:spacing w:line="360" w:lineRule="auto"/>
        <w:ind w:firstLine="420" w:firstLineChars="200"/>
        <w:rPr>
          <w:rFonts w:hint="eastAsia" w:ascii="Times New Roman" w:hAnsi="Times New Roman" w:eastAsia="宋体" w:cs="宋体"/>
          <w:color w:val="auto"/>
          <w:highlight w:val="none"/>
        </w:rPr>
      </w:pPr>
      <w:r>
        <w:rPr>
          <w:rFonts w:hint="eastAsia" w:ascii="Times New Roman" w:hAnsi="Times New Roman" w:eastAsia="宋体" w:cs="宋体"/>
          <w:color w:val="auto"/>
          <w:highlight w:val="none"/>
        </w:rPr>
        <w:t>（3）暂列金额按工程量清单中列出的金额</w:t>
      </w:r>
      <w:r>
        <w:rPr>
          <w:rFonts w:hint="eastAsia" w:ascii="Times New Roman" w:hAnsi="Times New Roman" w:eastAsia="宋体" w:cs="宋体"/>
          <w:color w:val="auto"/>
          <w:highlight w:val="none"/>
          <w:lang w:val="en-US" w:eastAsia="zh-CN"/>
        </w:rPr>
        <w:t>计算</w:t>
      </w:r>
      <w:r>
        <w:rPr>
          <w:rFonts w:hint="eastAsia" w:ascii="Times New Roman" w:hAnsi="Times New Roman" w:eastAsia="宋体" w:cs="宋体"/>
          <w:color w:val="auto"/>
          <w:highlight w:val="none"/>
        </w:rPr>
        <w:t>；</w:t>
      </w:r>
    </w:p>
    <w:p w14:paraId="3DAFF1C7">
      <w:pPr>
        <w:spacing w:line="360" w:lineRule="auto"/>
        <w:ind w:firstLine="420" w:firstLineChars="200"/>
        <w:rPr>
          <w:rFonts w:hint="eastAsia" w:ascii="Times New Roman" w:hAnsi="Times New Roman" w:eastAsia="宋体" w:cs="宋体"/>
          <w:color w:val="auto"/>
          <w:highlight w:val="none"/>
        </w:rPr>
      </w:pPr>
      <w:r>
        <w:rPr>
          <w:rFonts w:hint="eastAsia" w:ascii="Times New Roman" w:hAnsi="Times New Roman" w:eastAsia="宋体" w:cs="宋体"/>
          <w:color w:val="auto"/>
          <w:highlight w:val="none"/>
        </w:rPr>
        <w:t>（4）</w:t>
      </w:r>
      <w:r>
        <w:rPr>
          <w:rFonts w:hint="eastAsia" w:ascii="Times New Roman" w:hAnsi="Times New Roman" w:eastAsia="宋体" w:cs="宋体"/>
          <w:b w:val="0"/>
          <w:bCs w:val="0"/>
          <w:color w:val="auto"/>
          <w:sz w:val="21"/>
          <w:szCs w:val="21"/>
          <w:highlight w:val="none"/>
          <w:lang w:val="zh-TW" w:eastAsia="zh-CN"/>
        </w:rPr>
        <w:t>总承包服务费按工程量清单列出的</w:t>
      </w:r>
      <w:r>
        <w:rPr>
          <w:rFonts w:hint="eastAsia" w:ascii="Times New Roman" w:hAnsi="Times New Roman" w:eastAsia="宋体" w:cs="宋体"/>
          <w:b w:val="0"/>
          <w:bCs w:val="0"/>
          <w:color w:val="auto"/>
          <w:sz w:val="21"/>
          <w:szCs w:val="21"/>
          <w:highlight w:val="none"/>
          <w:lang w:val="en-US" w:eastAsia="zh-CN"/>
        </w:rPr>
        <w:t>需要供应商提供服务的服务内容计价</w:t>
      </w:r>
      <w:r>
        <w:rPr>
          <w:rFonts w:hint="default" w:ascii="Times New Roman" w:hAnsi="Times New Roman" w:cs="Times New Roman"/>
          <w:color w:val="auto"/>
          <w:szCs w:val="21"/>
          <w:highlight w:val="none"/>
        </w:rPr>
        <w:t>。</w:t>
      </w:r>
    </w:p>
    <w:p w14:paraId="41008E30">
      <w:pPr>
        <w:spacing w:line="360" w:lineRule="auto"/>
        <w:ind w:firstLine="420" w:firstLineChars="200"/>
        <w:rPr>
          <w:rFonts w:hint="eastAsia" w:cs="宋体"/>
          <w:color w:val="auto"/>
          <w:highlight w:val="none"/>
        </w:rPr>
      </w:pPr>
      <w:r>
        <w:rPr>
          <w:color w:val="auto"/>
          <w:highlight w:val="none"/>
        </w:rPr>
        <w:t xml:space="preserve">2.5 </w:t>
      </w:r>
      <w:r>
        <w:rPr>
          <w:rFonts w:hint="eastAsia" w:ascii="Times New Roman" w:hAnsi="Times New Roman" w:eastAsia="宋体" w:cs="宋体"/>
          <w:color w:val="auto"/>
          <w:sz w:val="21"/>
          <w:szCs w:val="21"/>
          <w:highlight w:val="none"/>
        </w:rPr>
        <w:t>安全生产费</w:t>
      </w:r>
      <w:r>
        <w:rPr>
          <w:rFonts w:hint="eastAsia" w:cs="宋体"/>
          <w:color w:val="auto"/>
          <w:highlight w:val="none"/>
        </w:rPr>
        <w:t>按</w:t>
      </w:r>
      <w:r>
        <w:rPr>
          <w:rFonts w:hint="default" w:cs="宋体"/>
          <w:color w:val="auto"/>
          <w:highlight w:val="none"/>
          <w:lang w:val="en"/>
        </w:rPr>
        <w:t>建设行政主管部门有关</w:t>
      </w:r>
      <w:r>
        <w:rPr>
          <w:rFonts w:hint="eastAsia" w:cs="宋体"/>
          <w:color w:val="auto"/>
          <w:highlight w:val="none"/>
        </w:rPr>
        <w:t>规定确定，作为不可竞争费用。</w:t>
      </w:r>
    </w:p>
    <w:p w14:paraId="4DC9BFDE">
      <w:pPr>
        <w:spacing w:line="360" w:lineRule="auto"/>
        <w:ind w:firstLine="420" w:firstLineChars="200"/>
        <w:rPr>
          <w:rFonts w:hint="default" w:eastAsia="宋体" w:cs="宋体"/>
          <w:color w:val="auto"/>
          <w:highlight w:val="none"/>
          <w:lang w:val="en-US" w:eastAsia="zh-CN"/>
        </w:rPr>
      </w:pPr>
      <w:r>
        <w:rPr>
          <w:rFonts w:hint="eastAsia" w:cs="宋体"/>
          <w:color w:val="auto"/>
          <w:highlight w:val="none"/>
          <w:lang w:val="en-US" w:eastAsia="zh-CN"/>
        </w:rPr>
        <w:t>2.6</w:t>
      </w:r>
      <w:r>
        <w:rPr>
          <w:rFonts w:hint="eastAsia" w:ascii="宋体" w:hAnsi="宋体" w:eastAsia="宋体" w:cs="宋体"/>
          <w:color w:val="auto"/>
          <w:sz w:val="21"/>
          <w:szCs w:val="21"/>
          <w:highlight w:val="none"/>
          <w:lang w:val="zh-TW"/>
        </w:rPr>
        <w:t xml:space="preserve"> </w:t>
      </w:r>
      <w:r>
        <w:rPr>
          <w:rFonts w:hint="eastAsia" w:ascii="宋体" w:hAnsi="宋体" w:eastAsia="宋体" w:cs="宋体"/>
          <w:b w:val="0"/>
          <w:bCs w:val="0"/>
          <w:color w:val="auto"/>
          <w:sz w:val="21"/>
          <w:szCs w:val="21"/>
          <w:highlight w:val="none"/>
          <w:lang w:val="en-US" w:eastAsia="zh-CN"/>
        </w:rPr>
        <w:t>增值税按政府有关主管部门的规定计算</w:t>
      </w:r>
      <w:r>
        <w:rPr>
          <w:rFonts w:hint="eastAsia" w:ascii="宋体" w:hAnsi="宋体" w:cs="宋体"/>
          <w:b w:val="0"/>
          <w:bCs w:val="0"/>
          <w:color w:val="auto"/>
          <w:sz w:val="21"/>
          <w:szCs w:val="21"/>
          <w:highlight w:val="none"/>
          <w:lang w:val="en-US" w:eastAsia="zh-CN"/>
        </w:rPr>
        <w:t>。</w:t>
      </w:r>
    </w:p>
    <w:p w14:paraId="4164C901">
      <w:pPr>
        <w:spacing w:line="360" w:lineRule="auto"/>
        <w:ind w:firstLine="420" w:firstLineChars="200"/>
        <w:rPr>
          <w:rFonts w:hAnsi="宋体"/>
          <w:color w:val="auto"/>
          <w:highlight w:val="none"/>
        </w:rPr>
      </w:pPr>
      <w:r>
        <w:rPr>
          <w:color w:val="auto"/>
          <w:highlight w:val="none"/>
        </w:rPr>
        <w:t>2.</w:t>
      </w:r>
      <w:r>
        <w:rPr>
          <w:rFonts w:hint="eastAsia"/>
          <w:color w:val="auto"/>
          <w:highlight w:val="none"/>
          <w:lang w:val="en-US" w:eastAsia="zh-CN"/>
        </w:rPr>
        <w:t>7</w:t>
      </w:r>
      <w:r>
        <w:rPr>
          <w:color w:val="auto"/>
          <w:highlight w:val="none"/>
        </w:rPr>
        <w:t xml:space="preserve"> </w:t>
      </w:r>
      <w:r>
        <w:rPr>
          <w:rFonts w:hint="eastAsia" w:hAnsi="宋体" w:cs="宋体"/>
          <w:color w:val="auto"/>
          <w:highlight w:val="none"/>
        </w:rPr>
        <w:t>其它需要说明的问题：</w:t>
      </w:r>
      <w:r>
        <w:rPr>
          <w:color w:val="auto"/>
          <w:highlight w:val="none"/>
          <w:u w:val="single"/>
        </w:rPr>
        <w:t xml:space="preserve">   </w:t>
      </w:r>
      <w:r>
        <w:rPr>
          <w:rFonts w:hint="eastAsia"/>
          <w:color w:val="auto"/>
          <w:highlight w:val="none"/>
          <w:u w:val="single"/>
        </w:rPr>
        <w:t>安全生产责任保险费</w:t>
      </w:r>
      <w:r>
        <w:rPr>
          <w:color w:val="auto"/>
          <w:highlight w:val="none"/>
          <w:u w:val="single"/>
        </w:rPr>
        <w:t xml:space="preserve">应按招标工程量清单中给出的安责险暂估价的具体金额填写，不得调整 </w:t>
      </w:r>
      <w:r>
        <w:rPr>
          <w:rFonts w:hint="eastAsia"/>
          <w:color w:val="auto"/>
          <w:highlight w:val="none"/>
          <w:u w:val="single"/>
          <w:lang w:eastAsia="zh-CN"/>
        </w:rPr>
        <w:t>。</w:t>
      </w:r>
      <w:r>
        <w:rPr>
          <w:color w:val="auto"/>
          <w:highlight w:val="none"/>
          <w:u w:val="single"/>
        </w:rPr>
        <w:t xml:space="preserve"> </w:t>
      </w:r>
    </w:p>
    <w:p w14:paraId="7C4AE810">
      <w:pPr>
        <w:spacing w:line="312" w:lineRule="auto"/>
        <w:ind w:firstLine="422" w:firstLineChars="200"/>
        <w:jc w:val="left"/>
        <w:rPr>
          <w:b/>
          <w:bCs/>
          <w:color w:val="auto"/>
          <w:kern w:val="0"/>
          <w:szCs w:val="21"/>
          <w:highlight w:val="none"/>
        </w:rPr>
      </w:pPr>
      <w:r>
        <w:rPr>
          <w:b/>
          <w:bCs/>
          <w:color w:val="auto"/>
          <w:kern w:val="0"/>
          <w:szCs w:val="21"/>
          <w:highlight w:val="none"/>
        </w:rPr>
        <w:t>3.</w:t>
      </w:r>
      <w:r>
        <w:rPr>
          <w:rFonts w:hint="eastAsia"/>
          <w:b/>
          <w:bCs/>
          <w:color w:val="auto"/>
          <w:kern w:val="0"/>
          <w:szCs w:val="21"/>
          <w:highlight w:val="none"/>
        </w:rPr>
        <w:t>响应</w:t>
      </w:r>
      <w:r>
        <w:rPr>
          <w:b/>
          <w:bCs/>
          <w:color w:val="auto"/>
          <w:kern w:val="0"/>
          <w:szCs w:val="21"/>
          <w:highlight w:val="none"/>
        </w:rPr>
        <w:t>报价（已标价工程量清单）编制说明</w:t>
      </w:r>
    </w:p>
    <w:p w14:paraId="06C9E116">
      <w:pPr>
        <w:spacing w:line="360" w:lineRule="auto"/>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3.1</w:t>
      </w:r>
      <w:r>
        <w:rPr>
          <w:rFonts w:hint="default" w:ascii="Times New Roman" w:hAnsi="Times New Roman" w:eastAsia="宋体" w:cs="Times New Roman"/>
          <w:color w:val="auto"/>
          <w:szCs w:val="21"/>
          <w:highlight w:val="none"/>
        </w:rPr>
        <w:t xml:space="preserve"> </w:t>
      </w:r>
      <w:r>
        <w:rPr>
          <w:rFonts w:hint="default" w:ascii="Times New Roman" w:hAnsi="Times New Roman" w:eastAsia="宋体" w:cs="Times New Roman"/>
          <w:color w:val="auto"/>
          <w:szCs w:val="21"/>
          <w:highlight w:val="none"/>
          <w:lang w:val="en-US" w:eastAsia="zh-CN"/>
        </w:rPr>
        <w:t>供应商</w:t>
      </w:r>
      <w:r>
        <w:rPr>
          <w:rFonts w:hint="default" w:ascii="Times New Roman" w:hAnsi="Times New Roman" w:eastAsia="宋体" w:cs="Times New Roman"/>
          <w:color w:val="auto"/>
          <w:szCs w:val="21"/>
          <w:highlight w:val="none"/>
        </w:rPr>
        <w:t>依据</w:t>
      </w:r>
      <w:r>
        <w:rPr>
          <w:rFonts w:hint="default" w:ascii="Times New Roman" w:hAnsi="Times New Roman" w:eastAsia="宋体" w:cs="Times New Roman"/>
          <w:color w:val="auto"/>
          <w:szCs w:val="21"/>
          <w:highlight w:val="none"/>
          <w:lang w:val="en-US" w:eastAsia="zh-CN"/>
        </w:rPr>
        <w:t>采购</w:t>
      </w:r>
      <w:r>
        <w:rPr>
          <w:rFonts w:hint="default" w:ascii="Times New Roman" w:hAnsi="Times New Roman" w:eastAsia="宋体" w:cs="Times New Roman"/>
          <w:color w:val="auto"/>
          <w:szCs w:val="21"/>
          <w:highlight w:val="none"/>
        </w:rPr>
        <w:t>文件、工程量清单以及《计价规范》《计算规范》自主确定</w:t>
      </w:r>
      <w:r>
        <w:rPr>
          <w:rFonts w:hint="default" w:ascii="Times New Roman" w:hAnsi="Times New Roman" w:eastAsia="宋体" w:cs="Times New Roman"/>
          <w:color w:val="auto"/>
          <w:szCs w:val="21"/>
          <w:highlight w:val="none"/>
          <w:lang w:val="en-US" w:eastAsia="zh-CN"/>
        </w:rPr>
        <w:t>响应</w:t>
      </w:r>
      <w:r>
        <w:rPr>
          <w:rFonts w:hint="default" w:ascii="Times New Roman" w:hAnsi="Times New Roman" w:eastAsia="宋体" w:cs="Times New Roman"/>
          <w:color w:val="auto"/>
          <w:szCs w:val="21"/>
          <w:highlight w:val="none"/>
        </w:rPr>
        <w:t>报价</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zh-TW"/>
        </w:rPr>
        <w:t>并应对已标价工程量清单填报价格的一致性及合理性负责，承担不合理报价及总价合同工程量清单缺陷等风险</w:t>
      </w:r>
      <w:r>
        <w:rPr>
          <w:rFonts w:hint="default" w:ascii="Times New Roman" w:hAnsi="Times New Roman" w:eastAsia="宋体" w:cs="Times New Roman"/>
          <w:color w:val="auto"/>
          <w:szCs w:val="21"/>
          <w:highlight w:val="none"/>
        </w:rPr>
        <w:t>。</w:t>
      </w:r>
    </w:p>
    <w:p w14:paraId="5EAF0470">
      <w:pPr>
        <w:spacing w:line="360" w:lineRule="auto"/>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3.2  供应商</w:t>
      </w:r>
      <w:r>
        <w:rPr>
          <w:rFonts w:hint="default" w:ascii="Times New Roman" w:hAnsi="Times New Roman" w:eastAsia="宋体" w:cs="Times New Roman"/>
          <w:color w:val="auto"/>
          <w:szCs w:val="21"/>
          <w:highlight w:val="none"/>
        </w:rPr>
        <w:t>的</w:t>
      </w:r>
      <w:r>
        <w:rPr>
          <w:rFonts w:hint="default" w:ascii="Times New Roman" w:hAnsi="Times New Roman" w:eastAsia="宋体" w:cs="Times New Roman"/>
          <w:color w:val="auto"/>
          <w:szCs w:val="21"/>
          <w:highlight w:val="none"/>
          <w:lang w:val="en-US" w:eastAsia="zh-CN"/>
        </w:rPr>
        <w:t>响应</w:t>
      </w:r>
      <w:r>
        <w:rPr>
          <w:rFonts w:hint="default" w:ascii="Times New Roman" w:hAnsi="Times New Roman" w:eastAsia="宋体" w:cs="Times New Roman"/>
          <w:color w:val="auto"/>
          <w:szCs w:val="21"/>
          <w:highlight w:val="none"/>
        </w:rPr>
        <w:t>报价不得高于</w:t>
      </w:r>
      <w:r>
        <w:rPr>
          <w:rFonts w:hint="default" w:ascii="Times New Roman" w:hAnsi="Times New Roman" w:eastAsia="宋体" w:cs="Times New Roman"/>
          <w:color w:val="auto"/>
          <w:szCs w:val="21"/>
          <w:highlight w:val="none"/>
          <w:lang w:val="en-US" w:eastAsia="zh-CN"/>
        </w:rPr>
        <w:t>采购</w:t>
      </w:r>
      <w:r>
        <w:rPr>
          <w:rFonts w:hint="default" w:ascii="Times New Roman" w:hAnsi="Times New Roman" w:eastAsia="宋体" w:cs="Times New Roman"/>
          <w:color w:val="auto"/>
          <w:szCs w:val="21"/>
          <w:highlight w:val="none"/>
        </w:rPr>
        <w:t>人公布的最高限价。</w:t>
      </w:r>
    </w:p>
    <w:p w14:paraId="72601A77">
      <w:pPr>
        <w:spacing w:line="360" w:lineRule="auto"/>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3.3</w:t>
      </w:r>
      <w:r>
        <w:rPr>
          <w:rFonts w:hint="default" w:ascii="Times New Roman" w:hAnsi="Times New Roman" w:eastAsia="宋体" w:cs="Times New Roman"/>
          <w:color w:val="auto"/>
          <w:szCs w:val="21"/>
          <w:highlight w:val="none"/>
          <w:lang w:val="zh-TW"/>
        </w:rPr>
        <w:t xml:space="preserve"> </w:t>
      </w:r>
      <w:r>
        <w:rPr>
          <w:rFonts w:hint="default" w:ascii="Times New Roman" w:hAnsi="Times New Roman" w:eastAsia="宋体" w:cs="Times New Roman"/>
          <w:color w:val="auto"/>
          <w:szCs w:val="21"/>
          <w:highlight w:val="none"/>
          <w:lang w:val="en-US" w:eastAsia="zh-CN"/>
        </w:rPr>
        <w:t xml:space="preserve"> 供应商</w:t>
      </w:r>
      <w:r>
        <w:rPr>
          <w:rFonts w:hint="default" w:ascii="Times New Roman" w:hAnsi="Times New Roman" w:eastAsia="宋体" w:cs="Times New Roman"/>
          <w:color w:val="auto"/>
          <w:szCs w:val="21"/>
          <w:highlight w:val="none"/>
        </w:rPr>
        <w:t>应在接收</w:t>
      </w:r>
      <w:r>
        <w:rPr>
          <w:rFonts w:hint="default" w:ascii="Times New Roman" w:hAnsi="Times New Roman" w:eastAsia="宋体" w:cs="Times New Roman"/>
          <w:color w:val="auto"/>
          <w:szCs w:val="21"/>
          <w:highlight w:val="none"/>
          <w:lang w:val="en-US" w:eastAsia="zh-CN"/>
        </w:rPr>
        <w:t>采购</w:t>
      </w:r>
      <w:r>
        <w:rPr>
          <w:rFonts w:hint="default" w:ascii="Times New Roman" w:hAnsi="Times New Roman" w:eastAsia="宋体" w:cs="Times New Roman"/>
          <w:color w:val="auto"/>
          <w:szCs w:val="21"/>
          <w:highlight w:val="none"/>
        </w:rPr>
        <w:t>文件后，在规定时间内根据</w:t>
      </w:r>
      <w:r>
        <w:rPr>
          <w:rFonts w:hint="default" w:ascii="Times New Roman" w:hAnsi="Times New Roman" w:eastAsia="宋体" w:cs="Times New Roman"/>
          <w:color w:val="auto"/>
          <w:szCs w:val="21"/>
          <w:highlight w:val="none"/>
          <w:lang w:val="en-US" w:eastAsia="zh-CN"/>
        </w:rPr>
        <w:t>采购</w:t>
      </w:r>
      <w:r>
        <w:rPr>
          <w:rFonts w:hint="default" w:ascii="Times New Roman" w:hAnsi="Times New Roman" w:eastAsia="宋体" w:cs="Times New Roman"/>
          <w:color w:val="auto"/>
          <w:szCs w:val="21"/>
          <w:highlight w:val="none"/>
        </w:rPr>
        <w:t>文件说明的工程特点及合同要求复查</w:t>
      </w:r>
      <w:r>
        <w:rPr>
          <w:rFonts w:hint="default" w:ascii="Times New Roman" w:hAnsi="Times New Roman" w:eastAsia="宋体" w:cs="Times New Roman"/>
          <w:color w:val="auto"/>
          <w:szCs w:val="21"/>
          <w:highlight w:val="none"/>
          <w:lang w:val="en-US" w:eastAsia="zh-CN"/>
        </w:rPr>
        <w:t>采购</w:t>
      </w:r>
      <w:r>
        <w:rPr>
          <w:rFonts w:hint="default" w:ascii="Times New Roman" w:hAnsi="Times New Roman" w:eastAsia="宋体" w:cs="Times New Roman"/>
          <w:color w:val="auto"/>
          <w:szCs w:val="21"/>
          <w:highlight w:val="none"/>
        </w:rPr>
        <w:t>文件中计划工期的可行性及其风险与影响，对计划工期存有疑问的，应按</w:t>
      </w:r>
      <w:r>
        <w:rPr>
          <w:rFonts w:hint="default" w:ascii="Times New Roman" w:hAnsi="Times New Roman" w:eastAsia="宋体" w:cs="Times New Roman"/>
          <w:color w:val="auto"/>
          <w:szCs w:val="21"/>
          <w:highlight w:val="none"/>
          <w:lang w:val="en-US" w:eastAsia="zh-CN"/>
        </w:rPr>
        <w:t>采购</w:t>
      </w:r>
      <w:r>
        <w:rPr>
          <w:rFonts w:hint="default" w:ascii="Times New Roman" w:hAnsi="Times New Roman" w:eastAsia="宋体" w:cs="Times New Roman"/>
          <w:color w:val="auto"/>
          <w:szCs w:val="21"/>
          <w:highlight w:val="none"/>
        </w:rPr>
        <w:t>文件的规定及时以书面形式提请</w:t>
      </w:r>
      <w:r>
        <w:rPr>
          <w:rFonts w:hint="default" w:ascii="Times New Roman" w:hAnsi="Times New Roman" w:eastAsia="宋体" w:cs="Times New Roman"/>
          <w:color w:val="auto"/>
          <w:szCs w:val="21"/>
          <w:highlight w:val="none"/>
          <w:lang w:val="en-US" w:eastAsia="zh-CN"/>
        </w:rPr>
        <w:t>采购</w:t>
      </w:r>
      <w:r>
        <w:rPr>
          <w:rFonts w:hint="default" w:ascii="Times New Roman" w:hAnsi="Times New Roman" w:eastAsia="宋体" w:cs="Times New Roman"/>
          <w:color w:val="auto"/>
          <w:szCs w:val="21"/>
          <w:highlight w:val="none"/>
        </w:rPr>
        <w:t>人澄清</w:t>
      </w:r>
      <w:r>
        <w:rPr>
          <w:rFonts w:hint="default" w:ascii="Times New Roman" w:hAnsi="Times New Roman" w:eastAsia="宋体" w:cs="Times New Roman"/>
          <w:color w:val="auto"/>
          <w:szCs w:val="21"/>
          <w:highlight w:val="none"/>
          <w:lang w:eastAsia="zh-CN"/>
        </w:rPr>
        <w:t>或修正</w:t>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Cs w:val="21"/>
          <w:highlight w:val="none"/>
          <w:lang w:val="en-US" w:eastAsia="zh-CN"/>
        </w:rPr>
        <w:t>供应商</w:t>
      </w:r>
      <w:r>
        <w:rPr>
          <w:rFonts w:hint="default" w:ascii="Times New Roman" w:hAnsi="Times New Roman" w:eastAsia="宋体" w:cs="Times New Roman"/>
          <w:color w:val="auto"/>
          <w:szCs w:val="21"/>
          <w:highlight w:val="none"/>
        </w:rPr>
        <w:t>对计划工期或</w:t>
      </w:r>
      <w:r>
        <w:rPr>
          <w:rFonts w:hint="default" w:ascii="Times New Roman" w:hAnsi="Times New Roman" w:eastAsia="宋体" w:cs="Times New Roman"/>
          <w:color w:val="auto"/>
          <w:szCs w:val="21"/>
          <w:highlight w:val="none"/>
          <w:lang w:val="en-US" w:eastAsia="zh-CN"/>
        </w:rPr>
        <w:t>采购</w:t>
      </w:r>
      <w:r>
        <w:rPr>
          <w:rFonts w:hint="default" w:ascii="Times New Roman" w:hAnsi="Times New Roman" w:eastAsia="宋体" w:cs="Times New Roman"/>
          <w:color w:val="auto"/>
          <w:szCs w:val="21"/>
          <w:highlight w:val="none"/>
        </w:rPr>
        <w:t>人澄清</w:t>
      </w:r>
      <w:r>
        <w:rPr>
          <w:rFonts w:hint="default" w:ascii="Times New Roman" w:hAnsi="Times New Roman" w:eastAsia="宋体" w:cs="Times New Roman"/>
          <w:color w:val="auto"/>
          <w:szCs w:val="21"/>
          <w:highlight w:val="none"/>
          <w:lang w:eastAsia="zh-CN"/>
        </w:rPr>
        <w:t>或修正</w:t>
      </w:r>
      <w:r>
        <w:rPr>
          <w:rFonts w:hint="default" w:ascii="Times New Roman" w:hAnsi="Times New Roman" w:eastAsia="宋体" w:cs="Times New Roman"/>
          <w:color w:val="auto"/>
          <w:szCs w:val="21"/>
          <w:highlight w:val="none"/>
        </w:rPr>
        <w:t>后的计划工期无疑问的，</w:t>
      </w:r>
      <w:r>
        <w:rPr>
          <w:rFonts w:hint="default" w:ascii="Times New Roman" w:hAnsi="Times New Roman" w:eastAsia="宋体" w:cs="Times New Roman"/>
          <w:color w:val="auto"/>
          <w:szCs w:val="21"/>
          <w:highlight w:val="none"/>
          <w:lang w:val="en-US" w:eastAsia="zh-CN"/>
        </w:rPr>
        <w:t>供应商</w:t>
      </w:r>
      <w:r>
        <w:rPr>
          <w:rFonts w:hint="default" w:ascii="Times New Roman" w:hAnsi="Times New Roman" w:eastAsia="宋体" w:cs="Times New Roman"/>
          <w:color w:val="auto"/>
          <w:szCs w:val="21"/>
          <w:highlight w:val="none"/>
        </w:rPr>
        <w:t>应根据自身的实施方案、施工技术、管理水平、合同履约风险及</w:t>
      </w:r>
      <w:r>
        <w:rPr>
          <w:rFonts w:hint="default" w:ascii="Times New Roman" w:hAnsi="Times New Roman" w:eastAsia="宋体" w:cs="Times New Roman"/>
          <w:color w:val="auto"/>
          <w:szCs w:val="21"/>
          <w:highlight w:val="none"/>
          <w:lang w:val="en-US"/>
        </w:rPr>
        <w:t>暂估</w:t>
      </w:r>
      <w:r>
        <w:rPr>
          <w:rFonts w:hint="default" w:ascii="Times New Roman" w:hAnsi="Times New Roman" w:eastAsia="宋体" w:cs="Times New Roman"/>
          <w:color w:val="auto"/>
          <w:szCs w:val="21"/>
          <w:highlight w:val="none"/>
        </w:rPr>
        <w:t>专业工程工期等合理确定</w:t>
      </w:r>
      <w:r>
        <w:rPr>
          <w:rFonts w:hint="default" w:ascii="Times New Roman" w:hAnsi="Times New Roman" w:eastAsia="宋体" w:cs="Times New Roman"/>
          <w:color w:val="auto"/>
          <w:szCs w:val="21"/>
          <w:highlight w:val="none"/>
          <w:lang w:val="en-US" w:eastAsia="zh-CN"/>
        </w:rPr>
        <w:t>响应</w:t>
      </w:r>
      <w:r>
        <w:rPr>
          <w:rFonts w:hint="default" w:ascii="Times New Roman" w:hAnsi="Times New Roman" w:eastAsia="宋体" w:cs="Times New Roman"/>
          <w:color w:val="auto"/>
          <w:szCs w:val="21"/>
          <w:highlight w:val="none"/>
        </w:rPr>
        <w:t>工期并</w:t>
      </w:r>
      <w:r>
        <w:rPr>
          <w:rFonts w:hint="default" w:ascii="Times New Roman" w:hAnsi="Times New Roman" w:eastAsia="宋体" w:cs="Times New Roman"/>
          <w:color w:val="auto"/>
          <w:szCs w:val="21"/>
          <w:highlight w:val="none"/>
          <w:lang w:val="en-US" w:eastAsia="zh-CN"/>
        </w:rPr>
        <w:t>响应</w:t>
      </w:r>
      <w:r>
        <w:rPr>
          <w:rFonts w:hint="default" w:ascii="Times New Roman" w:hAnsi="Times New Roman" w:eastAsia="宋体" w:cs="Times New Roman"/>
          <w:color w:val="auto"/>
          <w:szCs w:val="21"/>
          <w:highlight w:val="none"/>
        </w:rPr>
        <w:t>报价。</w:t>
      </w:r>
      <w:r>
        <w:rPr>
          <w:rFonts w:hint="default" w:ascii="Times New Roman" w:hAnsi="Times New Roman" w:eastAsia="宋体" w:cs="Times New Roman"/>
          <w:color w:val="auto"/>
          <w:szCs w:val="21"/>
          <w:highlight w:val="none"/>
          <w:lang w:val="en-US" w:eastAsia="zh-CN"/>
        </w:rPr>
        <w:t>响应</w:t>
      </w:r>
      <w:r>
        <w:rPr>
          <w:rFonts w:hint="default" w:ascii="Times New Roman" w:hAnsi="Times New Roman" w:eastAsia="宋体" w:cs="Times New Roman"/>
          <w:color w:val="auto"/>
          <w:szCs w:val="21"/>
          <w:highlight w:val="none"/>
        </w:rPr>
        <w:t>工期不</w:t>
      </w:r>
      <w:r>
        <w:rPr>
          <w:rFonts w:hint="default" w:ascii="Times New Roman" w:hAnsi="Times New Roman" w:eastAsia="宋体" w:cs="Times New Roman"/>
          <w:color w:val="auto"/>
          <w:szCs w:val="21"/>
          <w:highlight w:val="none"/>
          <w:lang w:val="en-US" w:eastAsia="zh-CN"/>
        </w:rPr>
        <w:t>得</w:t>
      </w:r>
      <w:r>
        <w:rPr>
          <w:rFonts w:hint="default" w:ascii="Times New Roman" w:hAnsi="Times New Roman" w:eastAsia="宋体" w:cs="Times New Roman"/>
          <w:color w:val="auto"/>
          <w:szCs w:val="21"/>
          <w:highlight w:val="none"/>
        </w:rPr>
        <w:t>超过</w:t>
      </w:r>
      <w:r>
        <w:rPr>
          <w:rFonts w:hint="default" w:ascii="Times New Roman" w:hAnsi="Times New Roman" w:eastAsia="宋体" w:cs="Times New Roman"/>
          <w:color w:val="auto"/>
          <w:szCs w:val="21"/>
          <w:highlight w:val="none"/>
          <w:lang w:val="en-US" w:eastAsia="zh-CN"/>
        </w:rPr>
        <w:t>采购</w:t>
      </w:r>
      <w:r>
        <w:rPr>
          <w:rFonts w:hint="default" w:ascii="Times New Roman" w:hAnsi="Times New Roman" w:eastAsia="宋体" w:cs="Times New Roman"/>
          <w:color w:val="auto"/>
          <w:szCs w:val="21"/>
          <w:highlight w:val="none"/>
        </w:rPr>
        <w:t>人的计划工期或澄清修</w:t>
      </w:r>
      <w:r>
        <w:rPr>
          <w:rFonts w:hint="default" w:ascii="Times New Roman" w:hAnsi="Times New Roman" w:eastAsia="宋体" w:cs="Times New Roman"/>
          <w:color w:val="auto"/>
          <w:szCs w:val="21"/>
          <w:highlight w:val="none"/>
          <w:lang w:val="en-US" w:eastAsia="zh-CN"/>
        </w:rPr>
        <w:t>正</w:t>
      </w:r>
      <w:r>
        <w:rPr>
          <w:rFonts w:hint="default" w:ascii="Times New Roman" w:hAnsi="Times New Roman" w:eastAsia="宋体" w:cs="Times New Roman"/>
          <w:color w:val="auto"/>
          <w:szCs w:val="21"/>
          <w:highlight w:val="none"/>
        </w:rPr>
        <w:t>的计划工期。</w:t>
      </w:r>
    </w:p>
    <w:p w14:paraId="10520D5F">
      <w:pPr>
        <w:spacing w:line="360" w:lineRule="auto"/>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3.4</w:t>
      </w:r>
      <w:r>
        <w:rPr>
          <w:rFonts w:hint="default" w:ascii="Times New Roman" w:hAnsi="Times New Roman" w:eastAsia="宋体" w:cs="Times New Roman"/>
          <w:color w:val="auto"/>
          <w:szCs w:val="21"/>
          <w:highlight w:val="none"/>
        </w:rPr>
        <w:t xml:space="preserve"> </w:t>
      </w:r>
      <w:r>
        <w:rPr>
          <w:rFonts w:hint="default" w:ascii="Times New Roman" w:hAnsi="Times New Roman" w:eastAsia="宋体" w:cs="Times New Roman"/>
          <w:color w:val="auto"/>
          <w:szCs w:val="21"/>
          <w:highlight w:val="none"/>
          <w:lang w:val="en-US" w:eastAsia="zh-CN"/>
        </w:rPr>
        <w:t xml:space="preserve"> 供应商</w:t>
      </w:r>
      <w:r>
        <w:rPr>
          <w:rFonts w:hint="default" w:ascii="Times New Roman" w:hAnsi="Times New Roman" w:eastAsia="宋体" w:cs="Times New Roman"/>
          <w:color w:val="auto"/>
          <w:szCs w:val="21"/>
          <w:highlight w:val="none"/>
        </w:rPr>
        <w:t>应在接收</w:t>
      </w:r>
      <w:r>
        <w:rPr>
          <w:rFonts w:hint="default" w:ascii="Times New Roman" w:hAnsi="Times New Roman" w:eastAsia="宋体" w:cs="Times New Roman"/>
          <w:color w:val="auto"/>
          <w:szCs w:val="21"/>
          <w:highlight w:val="none"/>
          <w:lang w:val="en-US" w:eastAsia="zh-CN"/>
        </w:rPr>
        <w:t>采购</w:t>
      </w:r>
      <w:r>
        <w:rPr>
          <w:rFonts w:hint="default" w:ascii="Times New Roman" w:hAnsi="Times New Roman" w:eastAsia="宋体" w:cs="Times New Roman"/>
          <w:color w:val="auto"/>
          <w:szCs w:val="21"/>
          <w:highlight w:val="none"/>
        </w:rPr>
        <w:t>文件后，在规定时间内根据工程特点、合同要求及现场踏勘情况，复查措施项目清单列项的完整性和适用性。如</w:t>
      </w:r>
      <w:r>
        <w:rPr>
          <w:rFonts w:hint="default" w:ascii="Times New Roman" w:hAnsi="Times New Roman" w:eastAsia="宋体" w:cs="Times New Roman"/>
          <w:color w:val="auto"/>
          <w:szCs w:val="21"/>
          <w:highlight w:val="none"/>
          <w:lang w:val="en-US" w:eastAsia="zh-CN"/>
        </w:rPr>
        <w:t>供应商</w:t>
      </w:r>
      <w:r>
        <w:rPr>
          <w:rFonts w:hint="default" w:ascii="Times New Roman" w:hAnsi="Times New Roman" w:eastAsia="宋体" w:cs="Times New Roman"/>
          <w:color w:val="auto"/>
          <w:szCs w:val="21"/>
          <w:highlight w:val="none"/>
        </w:rPr>
        <w:t>对措施项目清单有疑问的，可按</w:t>
      </w:r>
      <w:r>
        <w:rPr>
          <w:rFonts w:hint="default" w:ascii="Times New Roman" w:hAnsi="Times New Roman" w:eastAsia="宋体" w:cs="Times New Roman"/>
          <w:color w:val="auto"/>
          <w:szCs w:val="21"/>
          <w:highlight w:val="none"/>
          <w:lang w:val="en-US" w:eastAsia="zh-CN"/>
        </w:rPr>
        <w:t>采购</w:t>
      </w:r>
      <w:r>
        <w:rPr>
          <w:rFonts w:hint="default" w:ascii="Times New Roman" w:hAnsi="Times New Roman" w:eastAsia="宋体" w:cs="Times New Roman"/>
          <w:color w:val="auto"/>
          <w:szCs w:val="21"/>
          <w:highlight w:val="none"/>
        </w:rPr>
        <w:t>文件的规定以书面形式提请</w:t>
      </w:r>
      <w:r>
        <w:rPr>
          <w:rFonts w:hint="default" w:ascii="Times New Roman" w:hAnsi="Times New Roman" w:eastAsia="宋体" w:cs="Times New Roman"/>
          <w:color w:val="auto"/>
          <w:szCs w:val="21"/>
          <w:highlight w:val="none"/>
          <w:lang w:val="en-US" w:eastAsia="zh-CN"/>
        </w:rPr>
        <w:t>采购</w:t>
      </w:r>
      <w:r>
        <w:rPr>
          <w:rFonts w:hint="default" w:ascii="Times New Roman" w:hAnsi="Times New Roman" w:eastAsia="宋体" w:cs="Times New Roman"/>
          <w:color w:val="auto"/>
          <w:szCs w:val="21"/>
          <w:highlight w:val="none"/>
        </w:rPr>
        <w:t>人澄清</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采购</w:t>
      </w:r>
      <w:r>
        <w:rPr>
          <w:rFonts w:hint="default" w:ascii="Times New Roman" w:hAnsi="Times New Roman" w:eastAsia="宋体" w:cs="Times New Roman"/>
          <w:color w:val="auto"/>
          <w:szCs w:val="21"/>
          <w:highlight w:val="none"/>
        </w:rPr>
        <w:t>人核实后作出修正的，</w:t>
      </w:r>
      <w:r>
        <w:rPr>
          <w:rFonts w:hint="default" w:ascii="Times New Roman" w:hAnsi="Times New Roman" w:eastAsia="宋体" w:cs="Times New Roman"/>
          <w:color w:val="auto"/>
          <w:szCs w:val="21"/>
          <w:highlight w:val="none"/>
          <w:lang w:val="en-US" w:eastAsia="zh-CN"/>
        </w:rPr>
        <w:t>供应商</w:t>
      </w:r>
      <w:r>
        <w:rPr>
          <w:rFonts w:hint="default" w:ascii="Times New Roman" w:hAnsi="Times New Roman" w:eastAsia="宋体" w:cs="Times New Roman"/>
          <w:color w:val="auto"/>
          <w:szCs w:val="21"/>
          <w:highlight w:val="none"/>
        </w:rPr>
        <w:t>应按修正后的</w:t>
      </w:r>
      <w:r>
        <w:rPr>
          <w:rFonts w:hint="default" w:ascii="Times New Roman" w:hAnsi="Times New Roman" w:eastAsia="宋体" w:cs="Times New Roman"/>
          <w:color w:val="auto"/>
          <w:szCs w:val="21"/>
          <w:highlight w:val="none"/>
          <w:lang w:eastAsia="zh-CN"/>
        </w:rPr>
        <w:t>措施</w:t>
      </w:r>
      <w:r>
        <w:rPr>
          <w:rFonts w:hint="default" w:ascii="Times New Roman" w:hAnsi="Times New Roman" w:eastAsia="宋体" w:cs="Times New Roman"/>
          <w:color w:val="auto"/>
          <w:szCs w:val="21"/>
          <w:highlight w:val="none"/>
        </w:rPr>
        <w:t>项目清单进行</w:t>
      </w:r>
      <w:r>
        <w:rPr>
          <w:rFonts w:hint="default" w:ascii="Times New Roman" w:hAnsi="Times New Roman" w:eastAsia="宋体" w:cs="Times New Roman"/>
          <w:color w:val="auto"/>
          <w:szCs w:val="21"/>
          <w:highlight w:val="none"/>
          <w:lang w:val="en-US" w:eastAsia="zh-CN"/>
        </w:rPr>
        <w:t>响应</w:t>
      </w:r>
      <w:r>
        <w:rPr>
          <w:rFonts w:hint="default" w:ascii="Times New Roman" w:hAnsi="Times New Roman" w:eastAsia="宋体" w:cs="Times New Roman"/>
          <w:color w:val="auto"/>
          <w:szCs w:val="21"/>
          <w:highlight w:val="none"/>
        </w:rPr>
        <w:t>报价。若</w:t>
      </w:r>
      <w:r>
        <w:rPr>
          <w:rFonts w:hint="default" w:ascii="Times New Roman" w:hAnsi="Times New Roman" w:eastAsia="宋体" w:cs="Times New Roman"/>
          <w:color w:val="auto"/>
          <w:szCs w:val="21"/>
          <w:highlight w:val="none"/>
          <w:lang w:val="en-US" w:eastAsia="zh-CN"/>
        </w:rPr>
        <w:t>供应商</w:t>
      </w:r>
      <w:r>
        <w:rPr>
          <w:rFonts w:hint="default" w:ascii="Times New Roman" w:hAnsi="Times New Roman" w:eastAsia="宋体" w:cs="Times New Roman"/>
          <w:color w:val="auto"/>
          <w:szCs w:val="21"/>
          <w:highlight w:val="none"/>
        </w:rPr>
        <w:t>认为需要增加措施项目的，可在措施项目中补充列项及报价，并对措施项目清单的准确性和完整性负责。</w:t>
      </w:r>
    </w:p>
    <w:p w14:paraId="110BAC0A">
      <w:pPr>
        <w:spacing w:line="360" w:lineRule="auto"/>
        <w:ind w:firstLine="420" w:firstLineChars="200"/>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3.5</w:t>
      </w:r>
      <w:r>
        <w:rPr>
          <w:rFonts w:hint="default" w:ascii="Times New Roman" w:hAnsi="Times New Roman" w:eastAsia="宋体" w:cs="Times New Roman"/>
          <w:color w:val="auto"/>
          <w:szCs w:val="21"/>
          <w:highlight w:val="none"/>
        </w:rPr>
        <w:t xml:space="preserve"> </w:t>
      </w:r>
      <w:r>
        <w:rPr>
          <w:rFonts w:hint="default" w:ascii="Times New Roman" w:hAnsi="Times New Roman" w:eastAsia="宋体" w:cs="Times New Roman"/>
          <w:color w:val="auto"/>
          <w:szCs w:val="21"/>
          <w:highlight w:val="none"/>
          <w:lang w:val="en-US" w:eastAsia="zh-CN"/>
        </w:rPr>
        <w:t xml:space="preserve"> </w:t>
      </w:r>
      <w:r>
        <w:rPr>
          <w:rFonts w:hint="default" w:ascii="Times New Roman" w:hAnsi="Times New Roman" w:eastAsia="宋体" w:cs="Times New Roman"/>
          <w:color w:val="auto"/>
          <w:szCs w:val="21"/>
          <w:highlight w:val="none"/>
        </w:rPr>
        <w:t>采用单价合同的工程，</w:t>
      </w:r>
      <w:r>
        <w:rPr>
          <w:rFonts w:hint="default" w:ascii="Times New Roman" w:hAnsi="Times New Roman" w:eastAsia="宋体" w:cs="Times New Roman"/>
          <w:color w:val="auto"/>
          <w:szCs w:val="21"/>
          <w:highlight w:val="none"/>
          <w:lang w:val="en-US" w:eastAsia="zh-CN"/>
        </w:rPr>
        <w:t>供应商</w:t>
      </w:r>
      <w:r>
        <w:rPr>
          <w:rFonts w:hint="default" w:ascii="Times New Roman" w:hAnsi="Times New Roman" w:eastAsia="宋体" w:cs="Times New Roman"/>
          <w:color w:val="auto"/>
          <w:szCs w:val="21"/>
          <w:highlight w:val="none"/>
        </w:rPr>
        <w:t>应在接收</w:t>
      </w:r>
      <w:r>
        <w:rPr>
          <w:rFonts w:hint="default" w:ascii="Times New Roman" w:hAnsi="Times New Roman" w:eastAsia="宋体" w:cs="Times New Roman"/>
          <w:color w:val="auto"/>
          <w:szCs w:val="21"/>
          <w:highlight w:val="none"/>
          <w:lang w:val="en-US" w:eastAsia="zh-CN"/>
        </w:rPr>
        <w:t>采购</w:t>
      </w:r>
      <w:r>
        <w:rPr>
          <w:rFonts w:hint="default" w:ascii="Times New Roman" w:hAnsi="Times New Roman" w:eastAsia="宋体" w:cs="Times New Roman"/>
          <w:color w:val="auto"/>
          <w:szCs w:val="21"/>
          <w:highlight w:val="none"/>
        </w:rPr>
        <w:t>文件后，在规定时间内对工程量清单的分部分项工程项目清单进行复核。如</w:t>
      </w:r>
      <w:r>
        <w:rPr>
          <w:rFonts w:hint="default" w:ascii="Times New Roman" w:hAnsi="Times New Roman" w:eastAsia="宋体" w:cs="Times New Roman"/>
          <w:color w:val="auto"/>
          <w:szCs w:val="21"/>
          <w:highlight w:val="none"/>
          <w:lang w:val="en-US" w:eastAsia="zh-CN"/>
        </w:rPr>
        <w:t>供应商</w:t>
      </w:r>
      <w:r>
        <w:rPr>
          <w:rFonts w:hint="default" w:ascii="Times New Roman" w:hAnsi="Times New Roman" w:eastAsia="宋体" w:cs="Times New Roman"/>
          <w:color w:val="auto"/>
          <w:szCs w:val="21"/>
          <w:highlight w:val="none"/>
        </w:rPr>
        <w:t>对分部分项</w:t>
      </w:r>
      <w:r>
        <w:rPr>
          <w:rFonts w:hint="default" w:ascii="Times New Roman" w:hAnsi="Times New Roman" w:eastAsia="宋体" w:cs="Times New Roman"/>
          <w:color w:val="auto"/>
          <w:szCs w:val="21"/>
          <w:highlight w:val="none"/>
          <w:lang w:eastAsia="zh-CN"/>
        </w:rPr>
        <w:t>工</w:t>
      </w:r>
      <w:r>
        <w:rPr>
          <w:rFonts w:hint="default" w:ascii="Times New Roman" w:hAnsi="Times New Roman" w:eastAsia="宋体" w:cs="Times New Roman"/>
          <w:color w:val="auto"/>
          <w:szCs w:val="21"/>
          <w:highlight w:val="none"/>
        </w:rPr>
        <w:t>程项目清单有疑问的，应按</w:t>
      </w:r>
      <w:r>
        <w:rPr>
          <w:rFonts w:hint="default" w:ascii="Times New Roman" w:hAnsi="Times New Roman" w:eastAsia="宋体" w:cs="Times New Roman"/>
          <w:color w:val="auto"/>
          <w:szCs w:val="21"/>
          <w:highlight w:val="none"/>
          <w:lang w:val="en-US" w:eastAsia="zh-CN"/>
        </w:rPr>
        <w:t>采购</w:t>
      </w:r>
      <w:r>
        <w:rPr>
          <w:rFonts w:hint="default" w:ascii="Times New Roman" w:hAnsi="Times New Roman" w:eastAsia="宋体" w:cs="Times New Roman"/>
          <w:color w:val="auto"/>
          <w:szCs w:val="21"/>
          <w:highlight w:val="none"/>
        </w:rPr>
        <w:t>文件的规定以书面形式提请</w:t>
      </w:r>
      <w:r>
        <w:rPr>
          <w:rFonts w:hint="default" w:ascii="Times New Roman" w:hAnsi="Times New Roman" w:eastAsia="宋体" w:cs="Times New Roman"/>
          <w:color w:val="auto"/>
          <w:szCs w:val="21"/>
          <w:highlight w:val="none"/>
          <w:lang w:val="en-US" w:eastAsia="zh-CN"/>
        </w:rPr>
        <w:t>采购</w:t>
      </w:r>
      <w:r>
        <w:rPr>
          <w:rFonts w:hint="default" w:ascii="Times New Roman" w:hAnsi="Times New Roman" w:eastAsia="宋体" w:cs="Times New Roman"/>
          <w:color w:val="auto"/>
          <w:szCs w:val="21"/>
          <w:highlight w:val="none"/>
          <w:lang w:val="en-US"/>
        </w:rPr>
        <w:t>人</w:t>
      </w:r>
      <w:r>
        <w:rPr>
          <w:rFonts w:hint="default" w:ascii="Times New Roman" w:hAnsi="Times New Roman" w:eastAsia="宋体" w:cs="Times New Roman"/>
          <w:color w:val="auto"/>
          <w:szCs w:val="21"/>
          <w:highlight w:val="none"/>
        </w:rPr>
        <w:t>澄清，</w:t>
      </w:r>
      <w:r>
        <w:rPr>
          <w:rFonts w:hint="default" w:ascii="Times New Roman" w:hAnsi="Times New Roman" w:eastAsia="宋体" w:cs="Times New Roman"/>
          <w:color w:val="auto"/>
          <w:szCs w:val="21"/>
          <w:highlight w:val="none"/>
          <w:lang w:val="en-US" w:eastAsia="zh-CN"/>
        </w:rPr>
        <w:t>采购</w:t>
      </w:r>
      <w:r>
        <w:rPr>
          <w:rFonts w:hint="default" w:ascii="Times New Roman" w:hAnsi="Times New Roman" w:eastAsia="宋体" w:cs="Times New Roman"/>
          <w:color w:val="auto"/>
          <w:szCs w:val="21"/>
          <w:highlight w:val="none"/>
        </w:rPr>
        <w:t>人核实后作出修正的，</w:t>
      </w:r>
      <w:r>
        <w:rPr>
          <w:rFonts w:hint="default" w:ascii="Times New Roman" w:hAnsi="Times New Roman" w:eastAsia="宋体" w:cs="Times New Roman"/>
          <w:color w:val="auto"/>
          <w:szCs w:val="21"/>
          <w:highlight w:val="none"/>
          <w:lang w:val="en-US" w:eastAsia="zh-CN"/>
        </w:rPr>
        <w:t>供应商</w:t>
      </w:r>
      <w:r>
        <w:rPr>
          <w:rFonts w:hint="default" w:ascii="Times New Roman" w:hAnsi="Times New Roman" w:eastAsia="宋体" w:cs="Times New Roman"/>
          <w:color w:val="auto"/>
          <w:szCs w:val="21"/>
          <w:highlight w:val="none"/>
        </w:rPr>
        <w:t>应按修正后的分部分项工程项目清单进行</w:t>
      </w:r>
      <w:r>
        <w:rPr>
          <w:rFonts w:hint="default" w:ascii="Times New Roman" w:hAnsi="Times New Roman" w:eastAsia="宋体" w:cs="Times New Roman"/>
          <w:color w:val="auto"/>
          <w:szCs w:val="21"/>
          <w:highlight w:val="none"/>
          <w:lang w:val="en-US" w:eastAsia="zh-CN"/>
        </w:rPr>
        <w:t>响应</w:t>
      </w:r>
      <w:r>
        <w:rPr>
          <w:rFonts w:hint="default" w:ascii="Times New Roman" w:hAnsi="Times New Roman" w:eastAsia="宋体" w:cs="Times New Roman"/>
          <w:color w:val="auto"/>
          <w:szCs w:val="21"/>
          <w:highlight w:val="none"/>
        </w:rPr>
        <w:t>报价。无论</w:t>
      </w:r>
      <w:r>
        <w:rPr>
          <w:rFonts w:hint="default" w:ascii="Times New Roman" w:hAnsi="Times New Roman" w:eastAsia="宋体" w:cs="Times New Roman"/>
          <w:color w:val="auto"/>
          <w:szCs w:val="21"/>
          <w:highlight w:val="none"/>
          <w:lang w:val="en-US" w:eastAsia="zh-CN"/>
        </w:rPr>
        <w:t>供应商</w:t>
      </w:r>
      <w:r>
        <w:rPr>
          <w:rFonts w:hint="default" w:ascii="Times New Roman" w:hAnsi="Times New Roman" w:eastAsia="宋体" w:cs="Times New Roman"/>
          <w:color w:val="auto"/>
          <w:szCs w:val="21"/>
          <w:highlight w:val="none"/>
        </w:rPr>
        <w:t>是否已提出疑问，分部分项工程项目清单的完整性和准</w:t>
      </w:r>
      <w:r>
        <w:rPr>
          <w:rFonts w:hint="default" w:ascii="Times New Roman" w:hAnsi="Times New Roman" w:eastAsia="宋体" w:cs="Times New Roman"/>
          <w:color w:val="auto"/>
          <w:szCs w:val="21"/>
          <w:highlight w:val="none"/>
          <w:lang w:val="en-US"/>
        </w:rPr>
        <w:t>确性由</w:t>
      </w:r>
      <w:r>
        <w:rPr>
          <w:rFonts w:hint="default" w:ascii="Times New Roman" w:hAnsi="Times New Roman" w:eastAsia="宋体" w:cs="Times New Roman"/>
          <w:color w:val="auto"/>
          <w:szCs w:val="21"/>
          <w:highlight w:val="none"/>
          <w:lang w:val="en-US" w:eastAsia="zh-CN"/>
        </w:rPr>
        <w:t>采购</w:t>
      </w:r>
      <w:r>
        <w:rPr>
          <w:rFonts w:hint="default" w:ascii="Times New Roman" w:hAnsi="Times New Roman" w:eastAsia="宋体" w:cs="Times New Roman"/>
          <w:color w:val="auto"/>
          <w:szCs w:val="21"/>
          <w:highlight w:val="none"/>
          <w:lang w:val="en-US"/>
        </w:rPr>
        <w:t>人负责</w:t>
      </w:r>
      <w:r>
        <w:rPr>
          <w:rFonts w:hint="default" w:ascii="Times New Roman" w:hAnsi="Times New Roman" w:eastAsia="宋体" w:cs="Times New Roman"/>
          <w:color w:val="auto"/>
          <w:szCs w:val="21"/>
          <w:highlight w:val="none"/>
        </w:rPr>
        <w:t>。</w:t>
      </w:r>
    </w:p>
    <w:p w14:paraId="56748C62">
      <w:pPr>
        <w:spacing w:line="360" w:lineRule="auto"/>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3.6</w:t>
      </w:r>
      <w:r>
        <w:rPr>
          <w:rFonts w:hint="default" w:ascii="Times New Roman" w:hAnsi="Times New Roman" w:eastAsia="宋体" w:cs="Times New Roman"/>
          <w:color w:val="auto"/>
          <w:szCs w:val="21"/>
          <w:highlight w:val="none"/>
        </w:rPr>
        <w:t xml:space="preserve"> </w:t>
      </w:r>
      <w:r>
        <w:rPr>
          <w:rFonts w:hint="default" w:ascii="Times New Roman" w:hAnsi="Times New Roman" w:eastAsia="宋体" w:cs="Times New Roman"/>
          <w:color w:val="auto"/>
          <w:szCs w:val="21"/>
          <w:highlight w:val="none"/>
          <w:lang w:val="en-US" w:eastAsia="zh-CN"/>
        </w:rPr>
        <w:t xml:space="preserve"> </w:t>
      </w:r>
      <w:r>
        <w:rPr>
          <w:rFonts w:hint="default" w:ascii="Times New Roman" w:hAnsi="Times New Roman" w:eastAsia="宋体" w:cs="Times New Roman"/>
          <w:color w:val="auto"/>
          <w:szCs w:val="21"/>
          <w:highlight w:val="none"/>
        </w:rPr>
        <w:t>采用总价合同的工程，</w:t>
      </w:r>
      <w:r>
        <w:rPr>
          <w:rFonts w:hint="default" w:ascii="Times New Roman" w:hAnsi="Times New Roman" w:eastAsia="宋体" w:cs="Times New Roman"/>
          <w:color w:val="auto"/>
          <w:szCs w:val="21"/>
          <w:highlight w:val="none"/>
          <w:lang w:val="en-US" w:eastAsia="zh-CN"/>
        </w:rPr>
        <w:t>供应商</w:t>
      </w:r>
      <w:r>
        <w:rPr>
          <w:rFonts w:hint="default" w:ascii="Times New Roman" w:hAnsi="Times New Roman" w:eastAsia="宋体" w:cs="Times New Roman"/>
          <w:color w:val="auto"/>
          <w:szCs w:val="21"/>
          <w:highlight w:val="none"/>
        </w:rPr>
        <w:t>应在接收</w:t>
      </w:r>
      <w:r>
        <w:rPr>
          <w:rFonts w:hint="default" w:ascii="Times New Roman" w:hAnsi="Times New Roman" w:eastAsia="宋体" w:cs="Times New Roman"/>
          <w:color w:val="auto"/>
          <w:szCs w:val="21"/>
          <w:highlight w:val="none"/>
          <w:lang w:val="en-US" w:eastAsia="zh-CN"/>
        </w:rPr>
        <w:t>采购</w:t>
      </w:r>
      <w:r>
        <w:rPr>
          <w:rFonts w:hint="default" w:ascii="Times New Roman" w:hAnsi="Times New Roman" w:eastAsia="宋体" w:cs="Times New Roman"/>
          <w:color w:val="auto"/>
          <w:szCs w:val="21"/>
          <w:highlight w:val="none"/>
        </w:rPr>
        <w:t>文件后，在规定时间内对工程量清单进行复核。如</w:t>
      </w:r>
      <w:r>
        <w:rPr>
          <w:rFonts w:hint="default" w:ascii="Times New Roman" w:hAnsi="Times New Roman" w:eastAsia="宋体" w:cs="Times New Roman"/>
          <w:color w:val="auto"/>
          <w:szCs w:val="21"/>
          <w:highlight w:val="none"/>
          <w:lang w:val="en-US" w:eastAsia="zh-CN"/>
        </w:rPr>
        <w:t>供应商</w:t>
      </w:r>
      <w:r>
        <w:rPr>
          <w:rFonts w:hint="default" w:ascii="Times New Roman" w:hAnsi="Times New Roman" w:eastAsia="宋体" w:cs="Times New Roman"/>
          <w:color w:val="auto"/>
          <w:szCs w:val="21"/>
          <w:highlight w:val="none"/>
        </w:rPr>
        <w:t>对工程项目清单有疑问的，应按</w:t>
      </w:r>
      <w:r>
        <w:rPr>
          <w:rFonts w:hint="default" w:ascii="Times New Roman" w:hAnsi="Times New Roman" w:eastAsia="宋体" w:cs="Times New Roman"/>
          <w:color w:val="auto"/>
          <w:szCs w:val="21"/>
          <w:highlight w:val="none"/>
          <w:lang w:eastAsia="zh-CN"/>
        </w:rPr>
        <w:t>采购</w:t>
      </w:r>
      <w:r>
        <w:rPr>
          <w:rFonts w:hint="default" w:ascii="Times New Roman" w:hAnsi="Times New Roman" w:eastAsia="宋体" w:cs="Times New Roman"/>
          <w:color w:val="auto"/>
          <w:szCs w:val="21"/>
          <w:highlight w:val="none"/>
        </w:rPr>
        <w:t>文件的规定以书面形式提请</w:t>
      </w:r>
      <w:r>
        <w:rPr>
          <w:rFonts w:hint="default" w:ascii="Times New Roman" w:hAnsi="Times New Roman" w:eastAsia="宋体" w:cs="Times New Roman"/>
          <w:color w:val="auto"/>
          <w:szCs w:val="21"/>
          <w:highlight w:val="none"/>
          <w:lang w:eastAsia="zh-CN"/>
        </w:rPr>
        <w:t>采购</w:t>
      </w:r>
      <w:r>
        <w:rPr>
          <w:rFonts w:hint="default" w:ascii="Times New Roman" w:hAnsi="Times New Roman" w:eastAsia="宋体" w:cs="Times New Roman"/>
          <w:color w:val="auto"/>
          <w:szCs w:val="21"/>
          <w:highlight w:val="none"/>
        </w:rPr>
        <w:t>人澄清，</w:t>
      </w:r>
      <w:r>
        <w:rPr>
          <w:rFonts w:hint="default" w:ascii="Times New Roman" w:hAnsi="Times New Roman" w:eastAsia="宋体" w:cs="Times New Roman"/>
          <w:color w:val="auto"/>
          <w:szCs w:val="21"/>
          <w:highlight w:val="none"/>
          <w:lang w:eastAsia="zh-CN"/>
        </w:rPr>
        <w:t>采购</w:t>
      </w:r>
      <w:r>
        <w:rPr>
          <w:rFonts w:hint="default" w:ascii="Times New Roman" w:hAnsi="Times New Roman" w:eastAsia="宋体" w:cs="Times New Roman"/>
          <w:color w:val="auto"/>
          <w:szCs w:val="21"/>
          <w:highlight w:val="none"/>
        </w:rPr>
        <w:t>人核实后作出修正的，</w:t>
      </w:r>
      <w:r>
        <w:rPr>
          <w:rFonts w:hint="default" w:ascii="Times New Roman" w:hAnsi="Times New Roman" w:eastAsia="宋体" w:cs="Times New Roman"/>
          <w:color w:val="auto"/>
          <w:szCs w:val="21"/>
          <w:highlight w:val="none"/>
          <w:lang w:val="en-US" w:eastAsia="zh-CN"/>
        </w:rPr>
        <w:t>供应商</w:t>
      </w:r>
      <w:r>
        <w:rPr>
          <w:rFonts w:hint="default" w:ascii="Times New Roman" w:hAnsi="Times New Roman" w:eastAsia="宋体" w:cs="Times New Roman"/>
          <w:color w:val="auto"/>
          <w:szCs w:val="21"/>
          <w:highlight w:val="none"/>
        </w:rPr>
        <w:t>应按修正后的工程量清单进行报价。如</w:t>
      </w:r>
      <w:r>
        <w:rPr>
          <w:rFonts w:hint="default" w:ascii="Times New Roman" w:hAnsi="Times New Roman" w:eastAsia="宋体" w:cs="Times New Roman"/>
          <w:color w:val="auto"/>
          <w:szCs w:val="21"/>
          <w:highlight w:val="none"/>
          <w:lang w:eastAsia="zh-CN"/>
        </w:rPr>
        <w:t>供应商</w:t>
      </w:r>
      <w:r>
        <w:rPr>
          <w:rFonts w:hint="default" w:ascii="Times New Roman" w:hAnsi="Times New Roman" w:eastAsia="宋体" w:cs="Times New Roman"/>
          <w:color w:val="auto"/>
          <w:szCs w:val="21"/>
          <w:highlight w:val="none"/>
        </w:rPr>
        <w:t>经复核认为工程量清单及其修正后</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如有</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的分部分项工程项目清单存在工程量清单缺陷的，可在已标价工程量清单的分部分项工程项目清单中进行补充完善及报价，并对已标价分部分项工程项目清单的完整性和准确性负责。无论</w:t>
      </w:r>
      <w:r>
        <w:rPr>
          <w:rFonts w:hint="default" w:ascii="Times New Roman" w:hAnsi="Times New Roman" w:eastAsia="宋体" w:cs="Times New Roman"/>
          <w:color w:val="auto"/>
          <w:szCs w:val="21"/>
          <w:highlight w:val="none"/>
          <w:lang w:eastAsia="zh-CN"/>
        </w:rPr>
        <w:t>供应商</w:t>
      </w:r>
      <w:r>
        <w:rPr>
          <w:rFonts w:hint="default" w:ascii="Times New Roman" w:hAnsi="Times New Roman" w:eastAsia="宋体" w:cs="Times New Roman"/>
          <w:color w:val="auto"/>
          <w:szCs w:val="21"/>
          <w:highlight w:val="none"/>
        </w:rPr>
        <w:t>是否已提出疑问或按已修正后的工程量清单报价</w:t>
      </w:r>
      <w:r>
        <w:rPr>
          <w:rFonts w:hint="default" w:ascii="Times New Roman" w:hAnsi="Times New Roman" w:eastAsia="宋体" w:cs="Times New Roman"/>
          <w:color w:val="auto"/>
          <w:szCs w:val="21"/>
          <w:highlight w:val="none"/>
          <w:lang w:eastAsia="zh-CN"/>
        </w:rPr>
        <w:t>或</w:t>
      </w:r>
      <w:r>
        <w:rPr>
          <w:rFonts w:hint="default" w:ascii="Times New Roman" w:hAnsi="Times New Roman" w:eastAsia="宋体" w:cs="Times New Roman"/>
          <w:color w:val="auto"/>
          <w:szCs w:val="21"/>
          <w:highlight w:val="none"/>
        </w:rPr>
        <w:t>对分部分项工程项目清单</w:t>
      </w:r>
      <w:r>
        <w:rPr>
          <w:rFonts w:hint="default" w:ascii="Times New Roman" w:hAnsi="Times New Roman" w:eastAsia="宋体" w:cs="Times New Roman"/>
          <w:color w:val="auto"/>
          <w:szCs w:val="21"/>
          <w:highlight w:val="none"/>
          <w:lang w:eastAsia="zh-CN"/>
        </w:rPr>
        <w:t>作出</w:t>
      </w:r>
      <w:r>
        <w:rPr>
          <w:rFonts w:hint="default" w:ascii="Times New Roman" w:hAnsi="Times New Roman" w:eastAsia="宋体" w:cs="Times New Roman"/>
          <w:color w:val="auto"/>
          <w:szCs w:val="21"/>
          <w:highlight w:val="none"/>
        </w:rPr>
        <w:t>补充完善及报价，除工程量清单说明为暂定数量的单价计价分部分项工程项目清单外，合同价格不应因存在工程量清单缺陷而调整。</w:t>
      </w:r>
    </w:p>
    <w:p w14:paraId="53358441">
      <w:pPr>
        <w:spacing w:line="360" w:lineRule="auto"/>
        <w:ind w:firstLine="420" w:firstLineChars="200"/>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 xml:space="preserve">3.7  </w:t>
      </w:r>
      <w:r>
        <w:rPr>
          <w:rFonts w:hint="default" w:ascii="Times New Roman" w:hAnsi="Times New Roman" w:eastAsia="宋体" w:cs="Times New Roman"/>
          <w:color w:val="auto"/>
          <w:szCs w:val="21"/>
          <w:highlight w:val="none"/>
          <w:lang w:eastAsia="zh-CN"/>
        </w:rPr>
        <w:t>供应商</w:t>
      </w:r>
      <w:r>
        <w:rPr>
          <w:rFonts w:hint="default" w:ascii="Times New Roman" w:hAnsi="Times New Roman" w:eastAsia="宋体" w:cs="Times New Roman"/>
          <w:color w:val="auto"/>
          <w:szCs w:val="21"/>
          <w:highlight w:val="none"/>
        </w:rPr>
        <w:t>的</w:t>
      </w:r>
      <w:r>
        <w:rPr>
          <w:rFonts w:hint="default" w:ascii="Times New Roman" w:hAnsi="Times New Roman" w:eastAsia="宋体" w:cs="Times New Roman"/>
          <w:color w:val="auto"/>
          <w:szCs w:val="21"/>
          <w:highlight w:val="none"/>
          <w:lang w:val="en-US" w:eastAsia="zh-CN"/>
        </w:rPr>
        <w:t>响应报</w:t>
      </w:r>
      <w:r>
        <w:rPr>
          <w:rFonts w:hint="default" w:ascii="Times New Roman" w:hAnsi="Times New Roman" w:eastAsia="宋体" w:cs="Times New Roman"/>
          <w:color w:val="auto"/>
          <w:szCs w:val="21"/>
          <w:highlight w:val="none"/>
        </w:rPr>
        <w:t>价应包括</w:t>
      </w:r>
      <w:r>
        <w:rPr>
          <w:rFonts w:hint="default" w:ascii="Times New Roman" w:hAnsi="Times New Roman" w:eastAsia="宋体" w:cs="Times New Roman"/>
          <w:color w:val="auto"/>
          <w:szCs w:val="21"/>
          <w:highlight w:val="none"/>
          <w:lang w:eastAsia="zh-CN"/>
        </w:rPr>
        <w:t>采购</w:t>
      </w:r>
      <w:r>
        <w:rPr>
          <w:rFonts w:hint="default" w:ascii="Times New Roman" w:hAnsi="Times New Roman" w:eastAsia="宋体" w:cs="Times New Roman"/>
          <w:color w:val="auto"/>
          <w:szCs w:val="21"/>
          <w:highlight w:val="none"/>
        </w:rPr>
        <w:t>文件中规定的由承包人承担范围及幅度内的风险费用。如</w:t>
      </w:r>
      <w:r>
        <w:rPr>
          <w:rFonts w:hint="default" w:ascii="Times New Roman" w:hAnsi="Times New Roman" w:eastAsia="宋体" w:cs="Times New Roman"/>
          <w:color w:val="auto"/>
          <w:szCs w:val="21"/>
          <w:highlight w:val="none"/>
          <w:lang w:eastAsia="zh-CN"/>
        </w:rPr>
        <w:t>采购</w:t>
      </w:r>
      <w:r>
        <w:rPr>
          <w:rFonts w:hint="default" w:ascii="Times New Roman" w:hAnsi="Times New Roman" w:eastAsia="宋体" w:cs="Times New Roman"/>
          <w:color w:val="auto"/>
          <w:szCs w:val="21"/>
          <w:highlight w:val="none"/>
        </w:rPr>
        <w:t>文件中未明确相关风险责任的，</w:t>
      </w:r>
      <w:r>
        <w:rPr>
          <w:rFonts w:hint="default" w:ascii="Times New Roman" w:hAnsi="Times New Roman" w:eastAsia="宋体" w:cs="Times New Roman"/>
          <w:color w:val="auto"/>
          <w:szCs w:val="21"/>
          <w:highlight w:val="none"/>
          <w:lang w:eastAsia="zh-CN"/>
        </w:rPr>
        <w:t>供应商</w:t>
      </w:r>
      <w:r>
        <w:rPr>
          <w:rFonts w:hint="default" w:ascii="Times New Roman" w:hAnsi="Times New Roman" w:eastAsia="宋体" w:cs="Times New Roman"/>
          <w:color w:val="auto"/>
          <w:szCs w:val="21"/>
          <w:highlight w:val="none"/>
        </w:rPr>
        <w:t>应在接收</w:t>
      </w:r>
      <w:r>
        <w:rPr>
          <w:rFonts w:hint="default" w:ascii="Times New Roman" w:hAnsi="Times New Roman" w:eastAsia="宋体" w:cs="Times New Roman"/>
          <w:color w:val="auto"/>
          <w:szCs w:val="21"/>
          <w:highlight w:val="none"/>
          <w:lang w:eastAsia="zh-CN"/>
        </w:rPr>
        <w:t>采购</w:t>
      </w:r>
      <w:r>
        <w:rPr>
          <w:rFonts w:hint="default" w:ascii="Times New Roman" w:hAnsi="Times New Roman" w:eastAsia="宋体" w:cs="Times New Roman"/>
          <w:color w:val="auto"/>
          <w:szCs w:val="21"/>
          <w:highlight w:val="none"/>
        </w:rPr>
        <w:t>文件后，在规定的时间内提请</w:t>
      </w:r>
      <w:r>
        <w:rPr>
          <w:rFonts w:hint="default" w:ascii="Times New Roman" w:hAnsi="Times New Roman" w:eastAsia="宋体" w:cs="Times New Roman"/>
          <w:color w:val="auto"/>
          <w:szCs w:val="21"/>
          <w:highlight w:val="none"/>
          <w:lang w:eastAsia="zh-CN"/>
        </w:rPr>
        <w:t>采购</w:t>
      </w:r>
      <w:r>
        <w:rPr>
          <w:rFonts w:hint="default" w:ascii="Times New Roman" w:hAnsi="Times New Roman" w:eastAsia="宋体" w:cs="Times New Roman"/>
          <w:color w:val="auto"/>
          <w:szCs w:val="21"/>
          <w:highlight w:val="none"/>
        </w:rPr>
        <w:t>人明确，</w:t>
      </w:r>
      <w:r>
        <w:rPr>
          <w:rFonts w:hint="default" w:ascii="Times New Roman" w:hAnsi="Times New Roman" w:eastAsia="宋体" w:cs="Times New Roman"/>
          <w:color w:val="auto"/>
          <w:szCs w:val="21"/>
          <w:highlight w:val="none"/>
          <w:lang w:eastAsia="zh-CN"/>
        </w:rPr>
        <w:t>采购</w:t>
      </w:r>
      <w:r>
        <w:rPr>
          <w:rFonts w:hint="default" w:ascii="Times New Roman" w:hAnsi="Times New Roman" w:eastAsia="宋体" w:cs="Times New Roman"/>
          <w:color w:val="auto"/>
          <w:szCs w:val="21"/>
          <w:highlight w:val="none"/>
        </w:rPr>
        <w:t>人应在规定时间内予以书面答复。</w:t>
      </w:r>
    </w:p>
    <w:p w14:paraId="2269BF35">
      <w:pPr>
        <w:spacing w:line="360" w:lineRule="auto"/>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 xml:space="preserve">3.8  </w:t>
      </w:r>
      <w:r>
        <w:rPr>
          <w:rFonts w:hint="default" w:ascii="Times New Roman" w:hAnsi="Times New Roman" w:eastAsia="宋体" w:cs="Times New Roman"/>
          <w:color w:val="auto"/>
          <w:szCs w:val="21"/>
          <w:highlight w:val="none"/>
        </w:rPr>
        <w:t>采用单价合同的工程，</w:t>
      </w:r>
      <w:r>
        <w:rPr>
          <w:rFonts w:hint="default" w:ascii="Times New Roman" w:hAnsi="Times New Roman" w:eastAsia="宋体" w:cs="Times New Roman"/>
          <w:color w:val="auto"/>
          <w:szCs w:val="21"/>
          <w:highlight w:val="none"/>
          <w:lang w:eastAsia="zh-CN"/>
        </w:rPr>
        <w:t>供应商</w:t>
      </w:r>
      <w:r>
        <w:rPr>
          <w:rFonts w:hint="default" w:ascii="Times New Roman" w:hAnsi="Times New Roman" w:eastAsia="宋体" w:cs="Times New Roman"/>
          <w:color w:val="auto"/>
          <w:szCs w:val="21"/>
          <w:highlight w:val="none"/>
        </w:rPr>
        <w:t>应按要求完整填报工程量清单中所有清单项目的综合单价及其合价和</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或</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总价计价项目的价格，且每个清单项目应只填报一个报价，未按要求填报</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漏填或未填</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综合单价及其合价和</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或</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清单项目价格的，相关清单项目报价可视为已包含在</w:t>
      </w:r>
      <w:r>
        <w:rPr>
          <w:rFonts w:hint="default" w:ascii="Times New Roman" w:hAnsi="Times New Roman" w:eastAsia="宋体" w:cs="Times New Roman"/>
          <w:color w:val="auto"/>
          <w:szCs w:val="21"/>
          <w:highlight w:val="none"/>
          <w:lang w:val="en-US"/>
        </w:rPr>
        <w:t>其他的清单项目</w:t>
      </w:r>
      <w:r>
        <w:rPr>
          <w:rFonts w:hint="default" w:ascii="Times New Roman" w:hAnsi="Times New Roman" w:eastAsia="宋体" w:cs="Times New Roman"/>
          <w:color w:val="auto"/>
          <w:szCs w:val="21"/>
          <w:highlight w:val="none"/>
        </w:rPr>
        <w:t>中。</w:t>
      </w:r>
    </w:p>
    <w:p w14:paraId="54034A6E">
      <w:pPr>
        <w:spacing w:line="360" w:lineRule="auto"/>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 xml:space="preserve">3.9  </w:t>
      </w:r>
      <w:r>
        <w:rPr>
          <w:rFonts w:hint="default" w:ascii="Times New Roman" w:hAnsi="Times New Roman" w:eastAsia="宋体" w:cs="Times New Roman"/>
          <w:color w:val="auto"/>
          <w:szCs w:val="21"/>
          <w:highlight w:val="none"/>
        </w:rPr>
        <w:t>采用总价合同的工程，</w:t>
      </w:r>
      <w:r>
        <w:rPr>
          <w:rFonts w:hint="default" w:ascii="Times New Roman" w:hAnsi="Times New Roman" w:eastAsia="宋体" w:cs="Times New Roman"/>
          <w:color w:val="auto"/>
          <w:szCs w:val="21"/>
          <w:highlight w:val="none"/>
          <w:lang w:eastAsia="zh-CN"/>
        </w:rPr>
        <w:t>供应商</w:t>
      </w:r>
      <w:r>
        <w:rPr>
          <w:rFonts w:hint="default" w:ascii="Times New Roman" w:hAnsi="Times New Roman" w:eastAsia="宋体" w:cs="Times New Roman"/>
          <w:color w:val="auto"/>
          <w:szCs w:val="21"/>
          <w:highlight w:val="none"/>
        </w:rPr>
        <w:t>应按规定补充完善工程量清单，并完整填报工程量清单中所有清单项目的综合单价及其合价和</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或</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总价计价项目的价格，且每个清单项目应只填报一个报价，未按要求填报</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漏填或未填</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综合单价及其合价和</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或</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清单项目价格的，相关清单项目报价可视为已包含在其他的清单项目中。</w:t>
      </w:r>
    </w:p>
    <w:p w14:paraId="2FDDF105">
      <w:pPr>
        <w:spacing w:line="360" w:lineRule="auto"/>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3.10</w:t>
      </w:r>
      <w:r>
        <w:rPr>
          <w:rFonts w:hint="default" w:ascii="Times New Roman" w:hAnsi="Times New Roman" w:eastAsia="宋体" w:cs="Times New Roman"/>
          <w:color w:val="auto"/>
          <w:szCs w:val="21"/>
          <w:highlight w:val="none"/>
        </w:rPr>
        <w:t xml:space="preserve">  </w:t>
      </w:r>
      <w:r>
        <w:rPr>
          <w:rFonts w:hint="default" w:ascii="Times New Roman" w:hAnsi="Times New Roman" w:eastAsia="宋体" w:cs="Times New Roman"/>
          <w:color w:val="auto"/>
          <w:szCs w:val="21"/>
          <w:highlight w:val="none"/>
          <w:lang w:eastAsia="zh-CN"/>
        </w:rPr>
        <w:t>供应商</w:t>
      </w:r>
      <w:r>
        <w:rPr>
          <w:rFonts w:hint="default" w:ascii="Times New Roman" w:hAnsi="Times New Roman" w:eastAsia="宋体" w:cs="Times New Roman"/>
          <w:color w:val="auto"/>
          <w:szCs w:val="21"/>
          <w:highlight w:val="none"/>
        </w:rPr>
        <w:t>的</w:t>
      </w:r>
      <w:r>
        <w:rPr>
          <w:rFonts w:hint="default" w:ascii="Times New Roman" w:hAnsi="Times New Roman" w:eastAsia="宋体" w:cs="Times New Roman"/>
          <w:color w:val="auto"/>
          <w:szCs w:val="21"/>
          <w:highlight w:val="none"/>
          <w:lang w:val="en-US" w:eastAsia="zh-CN"/>
        </w:rPr>
        <w:t>响应</w:t>
      </w:r>
      <w:r>
        <w:rPr>
          <w:rFonts w:hint="default" w:ascii="Times New Roman" w:hAnsi="Times New Roman" w:eastAsia="宋体" w:cs="Times New Roman"/>
          <w:color w:val="auto"/>
          <w:szCs w:val="21"/>
          <w:highlight w:val="none"/>
        </w:rPr>
        <w:t>总价应</w:t>
      </w:r>
      <w:r>
        <w:rPr>
          <w:rFonts w:hint="default" w:ascii="Times New Roman" w:hAnsi="Times New Roman" w:eastAsia="宋体" w:cs="Times New Roman"/>
          <w:color w:val="auto"/>
          <w:szCs w:val="21"/>
          <w:highlight w:val="none"/>
          <w:lang w:val="en-US" w:eastAsia="zh-CN"/>
        </w:rPr>
        <w:t>当与已标价工程量清单所含各项清单</w:t>
      </w:r>
      <w:r>
        <w:rPr>
          <w:rFonts w:hint="default" w:ascii="Times New Roman" w:hAnsi="Times New Roman" w:eastAsia="宋体" w:cs="Times New Roman"/>
          <w:color w:val="auto"/>
          <w:szCs w:val="21"/>
          <w:highlight w:val="none"/>
        </w:rPr>
        <w:t>合价总额一致。</w:t>
      </w:r>
    </w:p>
    <w:p w14:paraId="2BCEB392">
      <w:pPr>
        <w:pageBreakBefore w:val="0"/>
        <w:widowControl/>
        <w:tabs>
          <w:tab w:val="left" w:pos="8647"/>
        </w:tabs>
        <w:kinsoku/>
        <w:wordWrap/>
        <w:overflowPunct/>
        <w:topLinePunct w:val="0"/>
        <w:autoSpaceDE/>
        <w:autoSpaceDN/>
        <w:bidi w:val="0"/>
        <w:adjustRightInd/>
        <w:snapToGrid/>
        <w:spacing w:line="360" w:lineRule="auto"/>
        <w:ind w:left="0" w:leftChars="0"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Cs w:val="21"/>
          <w:highlight w:val="none"/>
          <w:lang w:val="en-US" w:eastAsia="zh-CN"/>
        </w:rPr>
        <w:t>3</w:t>
      </w:r>
      <w:r>
        <w:rPr>
          <w:rFonts w:hint="default" w:ascii="Times New Roman" w:hAnsi="Times New Roman" w:eastAsia="宋体" w:cs="Times New Roman"/>
          <w:b w:val="0"/>
          <w:bCs w:val="0"/>
          <w:color w:val="auto"/>
          <w:sz w:val="21"/>
          <w:szCs w:val="21"/>
          <w:highlight w:val="none"/>
          <w:lang w:val="en-US" w:eastAsia="zh-CN"/>
        </w:rPr>
        <w:t xml:space="preserve">.11  </w:t>
      </w:r>
      <w:r>
        <w:rPr>
          <w:rFonts w:hint="default" w:ascii="Times New Roman" w:hAnsi="Times New Roman" w:eastAsia="宋体" w:cs="Times New Roman"/>
          <w:color w:val="auto"/>
          <w:szCs w:val="21"/>
          <w:highlight w:val="none"/>
          <w:lang w:val="en-US" w:eastAsia="zh-CN"/>
        </w:rPr>
        <w:t>响应</w:t>
      </w:r>
      <w:r>
        <w:rPr>
          <w:rFonts w:hint="default" w:ascii="Times New Roman" w:hAnsi="Times New Roman" w:eastAsia="宋体" w:cs="Times New Roman"/>
          <w:b w:val="0"/>
          <w:bCs w:val="0"/>
          <w:color w:val="auto"/>
          <w:sz w:val="21"/>
          <w:szCs w:val="21"/>
          <w:highlight w:val="none"/>
          <w:lang w:val="en-US" w:eastAsia="zh-CN"/>
        </w:rPr>
        <w:t>报价编制应</w:t>
      </w:r>
      <w:r>
        <w:rPr>
          <w:rFonts w:hint="default" w:ascii="Times New Roman" w:hAnsi="Times New Roman" w:eastAsia="宋体" w:cs="Times New Roman"/>
          <w:b w:val="0"/>
          <w:bCs/>
          <w:color w:val="auto"/>
          <w:sz w:val="21"/>
          <w:szCs w:val="21"/>
          <w:highlight w:val="none"/>
          <w:lang w:val="zh-TW" w:eastAsia="zh-CN"/>
        </w:rPr>
        <w:t>符合下列规定：</w:t>
      </w:r>
    </w:p>
    <w:p w14:paraId="192381F0">
      <w:pPr>
        <w:pageBreakBefore w:val="0"/>
        <w:kinsoku/>
        <w:wordWrap/>
        <w:overflowPunct/>
        <w:topLinePunct w:val="0"/>
        <w:autoSpaceDE/>
        <w:autoSpaceDN/>
        <w:bidi w:val="0"/>
        <w:adjustRightInd/>
        <w:snapToGrid/>
        <w:spacing w:line="360" w:lineRule="auto"/>
        <w:ind w:left="0" w:leftChars="0"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1</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《计价规范》</w:t>
      </w:r>
      <w:r>
        <w:rPr>
          <w:rFonts w:hint="default" w:ascii="Times New Roman" w:hAnsi="Times New Roman" w:eastAsia="宋体" w:cs="Times New Roman"/>
          <w:color w:val="auto"/>
          <w:sz w:val="21"/>
          <w:szCs w:val="21"/>
          <w:highlight w:val="none"/>
          <w:lang w:val="zh-TW" w:eastAsia="zh-CN"/>
        </w:rPr>
        <w:t>；</w:t>
      </w:r>
    </w:p>
    <w:p w14:paraId="02F69E6E">
      <w:pPr>
        <w:pageBreakBefore w:val="0"/>
        <w:kinsoku/>
        <w:wordWrap/>
        <w:overflowPunct/>
        <w:topLinePunct w:val="0"/>
        <w:autoSpaceDE/>
        <w:autoSpaceDN/>
        <w:bidi w:val="0"/>
        <w:adjustRightInd/>
        <w:snapToGrid/>
        <w:spacing w:line="360" w:lineRule="auto"/>
        <w:ind w:left="0" w:leftChars="0" w:firstLine="420" w:firstLineChars="200"/>
        <w:textAlignment w:val="auto"/>
        <w:rPr>
          <w:rFonts w:hint="default" w:ascii="Times New Roman" w:hAnsi="Times New Roman" w:eastAsia="宋体" w:cs="Times New Roman"/>
          <w:color w:val="auto"/>
          <w:sz w:val="21"/>
          <w:szCs w:val="21"/>
          <w:highlight w:val="none"/>
          <w:lang w:val="zh-TW"/>
        </w:rPr>
      </w:pP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2</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b w:val="0"/>
          <w:bCs/>
          <w:color w:val="auto"/>
          <w:sz w:val="21"/>
          <w:szCs w:val="21"/>
          <w:highlight w:val="none"/>
          <w:lang w:val="zh-TW" w:eastAsia="zh-CN"/>
        </w:rPr>
        <w:t>自治区建设行政主管部门颁发的建设工程计算规范及根据工程需要补充的工程量计算规则；</w:t>
      </w:r>
    </w:p>
    <w:p w14:paraId="6C0E33AE">
      <w:pPr>
        <w:pageBreakBefore w:val="0"/>
        <w:kinsoku/>
        <w:wordWrap/>
        <w:overflowPunct/>
        <w:topLinePunct w:val="0"/>
        <w:autoSpaceDE/>
        <w:autoSpaceDN/>
        <w:bidi w:val="0"/>
        <w:adjustRightInd/>
        <w:snapToGrid/>
        <w:spacing w:line="360" w:lineRule="auto"/>
        <w:ind w:left="0" w:leftChars="0" w:firstLine="420" w:firstLineChars="200"/>
        <w:textAlignment w:val="auto"/>
        <w:rPr>
          <w:rFonts w:hint="default" w:ascii="Times New Roman" w:hAnsi="Times New Roman" w:eastAsia="宋体" w:cs="Times New Roman"/>
          <w:b w:val="0"/>
          <w:bCs/>
          <w:color w:val="auto"/>
          <w:sz w:val="21"/>
          <w:szCs w:val="21"/>
          <w:highlight w:val="none"/>
          <w:lang w:val="zh-TW" w:eastAsia="zh-CN"/>
        </w:rPr>
      </w:pP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3</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b w:val="0"/>
          <w:bCs/>
          <w:color w:val="auto"/>
          <w:sz w:val="21"/>
          <w:szCs w:val="21"/>
          <w:highlight w:val="none"/>
          <w:lang w:val="zh-TW" w:eastAsia="zh-CN"/>
        </w:rPr>
        <w:t>采购文件（包括工程量清单、合同条款、</w:t>
      </w:r>
      <w:r>
        <w:rPr>
          <w:rFonts w:hint="default" w:ascii="Times New Roman" w:hAnsi="Times New Roman" w:eastAsia="宋体" w:cs="Times New Roman"/>
          <w:b w:val="0"/>
          <w:bCs/>
          <w:color w:val="auto"/>
          <w:sz w:val="21"/>
          <w:szCs w:val="21"/>
          <w:highlight w:val="none"/>
          <w:lang w:val="zh-TW" w:eastAsia="zh-TW"/>
        </w:rPr>
        <w:t>图纸等</w:t>
      </w:r>
      <w:r>
        <w:rPr>
          <w:rFonts w:hint="default" w:ascii="Times New Roman" w:hAnsi="Times New Roman" w:eastAsia="宋体" w:cs="Times New Roman"/>
          <w:b w:val="0"/>
          <w:bCs/>
          <w:color w:val="auto"/>
          <w:sz w:val="21"/>
          <w:szCs w:val="21"/>
          <w:highlight w:val="none"/>
          <w:lang w:val="zh-TW" w:eastAsia="zh-CN"/>
        </w:rPr>
        <w:t>）及其补</w:t>
      </w:r>
      <w:r>
        <w:rPr>
          <w:rFonts w:hint="default" w:ascii="Times New Roman" w:hAnsi="Times New Roman" w:eastAsia="宋体" w:cs="Times New Roman"/>
          <w:b w:val="0"/>
          <w:bCs/>
          <w:color w:val="auto"/>
          <w:sz w:val="21"/>
          <w:szCs w:val="21"/>
          <w:highlight w:val="none"/>
          <w:lang w:val="zh-TW" w:eastAsia="zh-TW"/>
        </w:rPr>
        <w:t>遗</w:t>
      </w:r>
      <w:r>
        <w:rPr>
          <w:rFonts w:hint="default" w:ascii="Times New Roman" w:hAnsi="Times New Roman" w:eastAsia="宋体" w:cs="Times New Roman"/>
          <w:b w:val="0"/>
          <w:bCs/>
          <w:color w:val="auto"/>
          <w:sz w:val="21"/>
          <w:szCs w:val="21"/>
          <w:highlight w:val="none"/>
          <w:lang w:val="zh-TW" w:eastAsia="zh-CN"/>
        </w:rPr>
        <w:t>、答疑、澄清或修正；</w:t>
      </w:r>
    </w:p>
    <w:p w14:paraId="7ABA038E">
      <w:pPr>
        <w:pageBreakBefore w:val="0"/>
        <w:kinsoku/>
        <w:wordWrap/>
        <w:overflowPunct/>
        <w:topLinePunct w:val="0"/>
        <w:autoSpaceDE/>
        <w:autoSpaceDN/>
        <w:bidi w:val="0"/>
        <w:adjustRightInd/>
        <w:snapToGrid/>
        <w:spacing w:line="360" w:lineRule="auto"/>
        <w:ind w:left="0" w:leftChars="0" w:firstLine="420" w:firstLineChars="200"/>
        <w:textAlignment w:val="auto"/>
        <w:rPr>
          <w:rFonts w:hint="default" w:ascii="Times New Roman" w:hAnsi="Times New Roman" w:eastAsia="宋体" w:cs="Times New Roman"/>
          <w:b w:val="0"/>
          <w:bCs/>
          <w:color w:val="auto"/>
          <w:sz w:val="21"/>
          <w:szCs w:val="21"/>
          <w:highlight w:val="none"/>
          <w:lang w:val="zh-TW" w:eastAsia="zh-CN"/>
        </w:rPr>
      </w:pP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4</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b w:val="0"/>
          <w:bCs/>
          <w:color w:val="auto"/>
          <w:sz w:val="21"/>
          <w:szCs w:val="21"/>
          <w:highlight w:val="none"/>
          <w:lang w:val="zh-TW" w:eastAsia="zh-CN"/>
        </w:rPr>
        <w:t>与</w:t>
      </w:r>
      <w:r>
        <w:rPr>
          <w:rFonts w:hint="default" w:ascii="Times New Roman" w:hAnsi="Times New Roman" w:eastAsia="宋体" w:cs="Times New Roman"/>
          <w:b w:val="0"/>
          <w:bCs/>
          <w:color w:val="auto"/>
          <w:sz w:val="21"/>
          <w:szCs w:val="21"/>
          <w:highlight w:val="none"/>
          <w:lang w:val="en-US" w:eastAsia="zh-CN"/>
        </w:rPr>
        <w:t>本</w:t>
      </w:r>
      <w:r>
        <w:rPr>
          <w:rFonts w:hint="default" w:ascii="Times New Roman" w:hAnsi="Times New Roman" w:eastAsia="宋体" w:cs="Times New Roman"/>
          <w:b w:val="0"/>
          <w:bCs/>
          <w:color w:val="auto"/>
          <w:sz w:val="21"/>
          <w:szCs w:val="21"/>
          <w:highlight w:val="none"/>
          <w:lang w:val="zh-TW" w:eastAsia="zh-CN"/>
        </w:rPr>
        <w:t>工程相关的技术、标准、规范等技术资料；</w:t>
      </w:r>
    </w:p>
    <w:p w14:paraId="5E44896F">
      <w:pPr>
        <w:pageBreakBefore w:val="0"/>
        <w:kinsoku/>
        <w:wordWrap/>
        <w:overflowPunct/>
        <w:topLinePunct w:val="0"/>
        <w:autoSpaceDE/>
        <w:autoSpaceDN/>
        <w:bidi w:val="0"/>
        <w:adjustRightInd/>
        <w:snapToGrid/>
        <w:spacing w:line="360" w:lineRule="auto"/>
        <w:ind w:left="0" w:leftChars="0" w:firstLine="420" w:firstLineChars="200"/>
        <w:textAlignment w:val="auto"/>
        <w:rPr>
          <w:rFonts w:hint="default" w:ascii="Times New Roman" w:hAnsi="Times New Roman" w:eastAsia="宋体" w:cs="Times New Roman"/>
          <w:b w:val="0"/>
          <w:bCs/>
          <w:color w:val="auto"/>
          <w:sz w:val="21"/>
          <w:szCs w:val="21"/>
          <w:highlight w:val="none"/>
          <w:lang w:val="zh-TW" w:eastAsia="zh-CN"/>
        </w:rPr>
      </w:pP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5</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b w:val="0"/>
          <w:bCs/>
          <w:color w:val="auto"/>
          <w:sz w:val="21"/>
          <w:szCs w:val="21"/>
          <w:highlight w:val="none"/>
          <w:lang w:val="zh-TW" w:eastAsia="zh-CN"/>
        </w:rPr>
        <w:t>工程特点、地勘水文资料、现场踏勘情况；</w:t>
      </w:r>
    </w:p>
    <w:p w14:paraId="3D967143">
      <w:pPr>
        <w:pageBreakBefore w:val="0"/>
        <w:kinsoku/>
        <w:wordWrap/>
        <w:overflowPunct/>
        <w:topLinePunct w:val="0"/>
        <w:autoSpaceDE/>
        <w:autoSpaceDN/>
        <w:bidi w:val="0"/>
        <w:adjustRightInd/>
        <w:snapToGrid/>
        <w:spacing w:line="360" w:lineRule="auto"/>
        <w:ind w:left="0" w:leftChars="0" w:firstLine="420" w:firstLineChars="200"/>
        <w:textAlignment w:val="auto"/>
        <w:rPr>
          <w:rFonts w:hint="default" w:ascii="Times New Roman" w:hAnsi="Times New Roman" w:eastAsia="宋体" w:cs="Times New Roman"/>
          <w:b w:val="0"/>
          <w:bCs/>
          <w:color w:val="auto"/>
          <w:sz w:val="21"/>
          <w:szCs w:val="21"/>
          <w:highlight w:val="none"/>
          <w:lang w:val="zh-TW" w:eastAsia="zh-CN"/>
        </w:rPr>
      </w:pP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6</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b w:val="0"/>
          <w:bCs/>
          <w:color w:val="auto"/>
          <w:sz w:val="21"/>
          <w:szCs w:val="21"/>
          <w:highlight w:val="none"/>
          <w:lang w:val="zh-TW" w:eastAsia="zh-CN"/>
        </w:rPr>
        <w:t>供应商的工程实施方案及投标工期；</w:t>
      </w:r>
    </w:p>
    <w:p w14:paraId="3F44F094">
      <w:pPr>
        <w:pageBreakBefore w:val="0"/>
        <w:kinsoku/>
        <w:wordWrap/>
        <w:overflowPunct/>
        <w:topLinePunct w:val="0"/>
        <w:autoSpaceDE/>
        <w:autoSpaceDN/>
        <w:bidi w:val="0"/>
        <w:adjustRightInd/>
        <w:snapToGrid/>
        <w:spacing w:line="360" w:lineRule="auto"/>
        <w:ind w:left="0" w:leftChars="0" w:firstLine="420" w:firstLineChars="200"/>
        <w:jc w:val="left"/>
        <w:textAlignment w:val="auto"/>
        <w:rPr>
          <w:rFonts w:hint="default" w:ascii="Times New Roman" w:hAnsi="Times New Roman" w:eastAsia="宋体" w:cs="Times New Roman"/>
          <w:color w:val="auto"/>
          <w:sz w:val="21"/>
          <w:szCs w:val="21"/>
          <w:highlight w:val="none"/>
          <w:lang w:val="zh-TW"/>
        </w:rPr>
      </w:pP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7</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b w:val="0"/>
          <w:bCs/>
          <w:color w:val="auto"/>
          <w:sz w:val="21"/>
          <w:szCs w:val="21"/>
          <w:highlight w:val="none"/>
          <w:lang w:val="zh-TW" w:eastAsia="zh-CN"/>
        </w:rPr>
        <w:t>供应商的企业定额、工程造价数据、价格指数、市场价格信息及价格变动预期、装备及管理水平、造价资讯等；</w:t>
      </w:r>
    </w:p>
    <w:p w14:paraId="1D358175">
      <w:pPr>
        <w:pageBreakBefore w:val="0"/>
        <w:kinsoku/>
        <w:wordWrap/>
        <w:overflowPunct/>
        <w:topLinePunct w:val="0"/>
        <w:autoSpaceDE/>
        <w:autoSpaceDN/>
        <w:bidi w:val="0"/>
        <w:adjustRightInd/>
        <w:snapToGrid/>
        <w:spacing w:line="360" w:lineRule="auto"/>
        <w:ind w:left="0" w:leftChars="0" w:firstLine="420" w:firstLineChars="200"/>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8</w:t>
      </w:r>
      <w:r>
        <w:rPr>
          <w:rFonts w:hint="default" w:ascii="Times New Roman" w:hAnsi="Times New Roman" w:eastAsia="宋体" w:cs="Times New Roman"/>
          <w:color w:val="auto"/>
          <w:szCs w:val="21"/>
          <w:highlight w:val="none"/>
          <w:lang w:eastAsia="zh-CN"/>
        </w:rPr>
        <w:t>）其他</w:t>
      </w:r>
      <w:r>
        <w:rPr>
          <w:rFonts w:hint="default" w:ascii="Times New Roman" w:hAnsi="Times New Roman" w:eastAsia="宋体" w:cs="Times New Roman"/>
          <w:b w:val="0"/>
          <w:bCs/>
          <w:color w:val="auto"/>
          <w:sz w:val="21"/>
          <w:szCs w:val="21"/>
          <w:highlight w:val="none"/>
        </w:rPr>
        <w:t>相关资料。</w:t>
      </w:r>
    </w:p>
    <w:p w14:paraId="69F89D3D">
      <w:pPr>
        <w:pStyle w:val="19"/>
        <w:spacing w:before="63" w:line="360" w:lineRule="auto"/>
        <w:ind w:right="30" w:firstLine="2"/>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15"/>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b/>
          <w:bCs/>
          <w:color w:val="auto"/>
          <w:spacing w:val="15"/>
          <w:sz w:val="21"/>
          <w:szCs w:val="21"/>
          <w:highlight w:val="none"/>
          <w:lang w:val="en-US" w:eastAsia="zh-CN"/>
        </w:rPr>
        <w:t>.</w:t>
      </w:r>
      <w:r>
        <w:rPr>
          <w:rFonts w:hint="default" w:ascii="Times New Roman" w:hAnsi="Times New Roman" w:eastAsia="宋体" w:cs="Times New Roman"/>
          <w:b w:val="0"/>
          <w:bCs w:val="0"/>
          <w:color w:val="auto"/>
          <w:spacing w:val="15"/>
          <w:sz w:val="21"/>
          <w:szCs w:val="21"/>
          <w:highlight w:val="none"/>
          <w:lang w:val="en-US" w:eastAsia="zh-CN"/>
        </w:rPr>
        <w:t>12</w:t>
      </w:r>
      <w:r>
        <w:rPr>
          <w:rFonts w:hint="default" w:ascii="Times New Roman" w:hAnsi="Times New Roman" w:eastAsia="宋体" w:cs="Times New Roman"/>
          <w:color w:val="auto"/>
          <w:spacing w:val="15"/>
          <w:sz w:val="21"/>
          <w:szCs w:val="21"/>
          <w:highlight w:val="none"/>
        </w:rPr>
        <w:t xml:space="preserve">  </w:t>
      </w:r>
      <w:r>
        <w:rPr>
          <w:rFonts w:hint="default" w:ascii="Times New Roman" w:hAnsi="Times New Roman" w:eastAsia="宋体" w:cs="Times New Roman"/>
          <w:color w:val="auto"/>
          <w:spacing w:val="0"/>
          <w:sz w:val="21"/>
          <w:szCs w:val="21"/>
          <w:highlight w:val="none"/>
        </w:rPr>
        <w:t>下列事项引起的计量与计价风险应由承包人承担，承包人在响应报价中应予考虑，因其引起的合同价格和</w:t>
      </w:r>
      <w:r>
        <w:rPr>
          <w:rFonts w:hint="default" w:ascii="Times New Roman" w:hAnsi="Times New Roman" w:eastAsia="宋体"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或</w:t>
      </w:r>
      <w:r>
        <w:rPr>
          <w:rFonts w:hint="default" w:ascii="Times New Roman" w:hAnsi="Times New Roman" w:eastAsia="宋体"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工期变化应视为已包含在合同总价及合同工期内，除合同另有约定外，合同价格和工期不应予调整。</w:t>
      </w:r>
    </w:p>
    <w:p w14:paraId="0769A10F">
      <w:pPr>
        <w:pStyle w:val="19"/>
        <w:spacing w:before="96" w:line="360" w:lineRule="auto"/>
        <w:ind w:lef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pacing w:val="0"/>
          <w:sz w:val="21"/>
          <w:szCs w:val="21"/>
          <w:highlight w:val="none"/>
        </w:rPr>
        <w:t>措施项目清单的准确性及完整性；</w:t>
      </w:r>
    </w:p>
    <w:p w14:paraId="21290057">
      <w:pPr>
        <w:pStyle w:val="19"/>
        <w:spacing w:before="82" w:line="360" w:lineRule="auto"/>
        <w:ind w:left="0" w:right="19"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pacing w:val="0"/>
          <w:sz w:val="21"/>
          <w:szCs w:val="21"/>
          <w:highlight w:val="none"/>
        </w:rPr>
        <w:t>采用总价合同的工程，已标价工程量清单存在的缺陷</w:t>
      </w:r>
      <w:r>
        <w:rPr>
          <w:rFonts w:hint="default" w:ascii="Times New Roman" w:hAnsi="Times New Roman" w:eastAsia="宋体"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单价计价的暂定数量清单项目除外</w:t>
      </w:r>
      <w:r>
        <w:rPr>
          <w:rFonts w:hint="default" w:ascii="Times New Roman" w:hAnsi="Times New Roman" w:eastAsia="宋体"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以及承包人为完成总价合同中合同图纸及合同规范所要求的工程、</w:t>
      </w:r>
      <w:r>
        <w:rPr>
          <w:rFonts w:hint="default" w:ascii="Times New Roman" w:hAnsi="Times New Roman" w:eastAsia="宋体" w:cs="Times New Roman"/>
          <w:color w:val="auto"/>
          <w:spacing w:val="0"/>
          <w:sz w:val="21"/>
          <w:szCs w:val="21"/>
          <w:highlight w:val="none"/>
          <w:lang w:eastAsia="zh-CN"/>
        </w:rPr>
        <w:t>自治区建设行政主管部门颁发的</w:t>
      </w:r>
      <w:r>
        <w:rPr>
          <w:rFonts w:hint="default" w:ascii="Times New Roman" w:hAnsi="Times New Roman" w:eastAsia="宋体" w:cs="Times New Roman"/>
          <w:color w:val="auto"/>
          <w:spacing w:val="0"/>
          <w:sz w:val="21"/>
          <w:szCs w:val="21"/>
          <w:highlight w:val="none"/>
        </w:rPr>
        <w:t>工程量计算</w:t>
      </w:r>
      <w:r>
        <w:rPr>
          <w:rFonts w:hint="default" w:ascii="Times New Roman" w:hAnsi="Times New Roman" w:eastAsia="宋体" w:cs="Times New Roman"/>
          <w:color w:val="auto"/>
          <w:spacing w:val="0"/>
          <w:sz w:val="21"/>
          <w:szCs w:val="21"/>
          <w:highlight w:val="none"/>
          <w:lang w:eastAsia="zh-CN"/>
        </w:rPr>
        <w:t>规范</w:t>
      </w:r>
      <w:r>
        <w:rPr>
          <w:rFonts w:hint="default" w:ascii="Times New Roman" w:hAnsi="Times New Roman" w:eastAsia="宋体" w:cs="Times New Roman"/>
          <w:color w:val="auto"/>
          <w:spacing w:val="0"/>
          <w:sz w:val="21"/>
          <w:szCs w:val="21"/>
          <w:highlight w:val="none"/>
        </w:rPr>
        <w:t>中工作内容说明的所有工作所需费用；</w:t>
      </w:r>
    </w:p>
    <w:p w14:paraId="20002899">
      <w:pPr>
        <w:pStyle w:val="19"/>
        <w:spacing w:before="73" w:line="360" w:lineRule="auto"/>
        <w:ind w:left="0" w:right="8"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pacing w:val="0"/>
          <w:sz w:val="21"/>
          <w:szCs w:val="21"/>
          <w:highlight w:val="none"/>
        </w:rPr>
        <w:t>采用单价合同的工程，承包人为完成工程量清单及其项目特征所说明的工程、</w:t>
      </w:r>
      <w:r>
        <w:rPr>
          <w:rFonts w:hint="default" w:ascii="Times New Roman" w:hAnsi="Times New Roman" w:eastAsia="宋体" w:cs="Times New Roman"/>
          <w:b w:val="0"/>
          <w:bCs w:val="0"/>
          <w:color w:val="auto"/>
          <w:sz w:val="21"/>
          <w:szCs w:val="21"/>
          <w:highlight w:val="none"/>
          <w:lang w:val="en-US" w:eastAsia="zh-CN"/>
        </w:rPr>
        <w:t>自治区建设行政主管部门颁发的</w:t>
      </w:r>
      <w:r>
        <w:rPr>
          <w:rFonts w:hint="default" w:ascii="Times New Roman" w:hAnsi="Times New Roman" w:eastAsia="宋体" w:cs="Times New Roman"/>
          <w:color w:val="auto"/>
          <w:spacing w:val="0"/>
          <w:sz w:val="21"/>
          <w:szCs w:val="21"/>
          <w:highlight w:val="none"/>
        </w:rPr>
        <w:t>工程量计算</w:t>
      </w:r>
      <w:r>
        <w:rPr>
          <w:rFonts w:hint="default" w:ascii="Times New Roman" w:hAnsi="Times New Roman" w:eastAsia="宋体" w:cs="Times New Roman"/>
          <w:color w:val="auto"/>
          <w:spacing w:val="0"/>
          <w:sz w:val="21"/>
          <w:szCs w:val="21"/>
          <w:highlight w:val="none"/>
          <w:lang w:eastAsia="zh-CN"/>
        </w:rPr>
        <w:t>规范</w:t>
      </w:r>
      <w:r>
        <w:rPr>
          <w:rFonts w:hint="default" w:ascii="Times New Roman" w:hAnsi="Times New Roman" w:eastAsia="宋体" w:cs="Times New Roman"/>
          <w:color w:val="auto"/>
          <w:spacing w:val="0"/>
          <w:sz w:val="21"/>
          <w:szCs w:val="21"/>
          <w:highlight w:val="none"/>
        </w:rPr>
        <w:t>中工作内容说明的所有工作所需费用；</w:t>
      </w:r>
    </w:p>
    <w:p w14:paraId="19895969">
      <w:pPr>
        <w:pStyle w:val="19"/>
        <w:spacing w:before="94" w:line="360" w:lineRule="auto"/>
        <w:ind w:lef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pacing w:val="0"/>
          <w:sz w:val="21"/>
          <w:szCs w:val="21"/>
          <w:highlight w:val="none"/>
        </w:rPr>
        <w:t>承包人因自身原因引起实施方案变化引起的费用调整；</w:t>
      </w:r>
    </w:p>
    <w:p w14:paraId="011F5602">
      <w:pPr>
        <w:pStyle w:val="19"/>
        <w:spacing w:before="73" w:line="360" w:lineRule="auto"/>
        <w:ind w:lef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pacing w:val="0"/>
          <w:sz w:val="21"/>
          <w:szCs w:val="21"/>
          <w:highlight w:val="none"/>
        </w:rPr>
        <w:t>承包人因施工机具使用、施工技术应用以及组织管理水平等自身原因造成的施工费用增加；</w:t>
      </w:r>
    </w:p>
    <w:p w14:paraId="69A380A2">
      <w:pPr>
        <w:pStyle w:val="19"/>
        <w:spacing w:before="97" w:line="360" w:lineRule="auto"/>
        <w:ind w:lef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pacing w:val="0"/>
          <w:sz w:val="21"/>
          <w:szCs w:val="21"/>
          <w:highlight w:val="none"/>
        </w:rPr>
        <w:t>承包人因自身原因引起的赶工、停工或暂缓施</w:t>
      </w:r>
      <w:r>
        <w:rPr>
          <w:rFonts w:hint="default" w:ascii="Times New Roman" w:hAnsi="Times New Roman" w:eastAsia="宋体" w:cs="Times New Roman"/>
          <w:color w:val="auto"/>
          <w:spacing w:val="0"/>
          <w:sz w:val="21"/>
          <w:szCs w:val="21"/>
          <w:highlight w:val="none"/>
          <w:lang w:val="en-US"/>
        </w:rPr>
        <w:t>工</w:t>
      </w:r>
      <w:r>
        <w:rPr>
          <w:rFonts w:hint="default" w:ascii="Times New Roman" w:hAnsi="Times New Roman" w:eastAsia="宋体" w:cs="Times New Roman"/>
          <w:color w:val="auto"/>
          <w:spacing w:val="0"/>
          <w:sz w:val="21"/>
          <w:szCs w:val="21"/>
          <w:highlight w:val="none"/>
        </w:rPr>
        <w:t>；</w:t>
      </w:r>
    </w:p>
    <w:p w14:paraId="3A1C3E52">
      <w:pPr>
        <w:pStyle w:val="19"/>
        <w:spacing w:before="72" w:line="360" w:lineRule="auto"/>
        <w:ind w:lef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pacing w:val="0"/>
          <w:sz w:val="21"/>
          <w:szCs w:val="21"/>
          <w:highlight w:val="none"/>
        </w:rPr>
        <w:t>未超出</w:t>
      </w:r>
      <w:r>
        <w:rPr>
          <w:rFonts w:hint="default" w:ascii="Times New Roman" w:hAnsi="Times New Roman" w:eastAsia="宋体" w:cs="Times New Roman"/>
          <w:color w:val="auto"/>
          <w:spacing w:val="0"/>
          <w:sz w:val="21"/>
          <w:szCs w:val="21"/>
          <w:highlight w:val="none"/>
          <w:lang w:eastAsia="zh-CN"/>
        </w:rPr>
        <w:t>采购</w:t>
      </w:r>
      <w:r>
        <w:rPr>
          <w:rFonts w:hint="default" w:ascii="Times New Roman" w:hAnsi="Times New Roman" w:eastAsia="宋体" w:cs="Times New Roman"/>
          <w:color w:val="auto"/>
          <w:spacing w:val="0"/>
          <w:sz w:val="21"/>
          <w:szCs w:val="21"/>
          <w:highlight w:val="none"/>
        </w:rPr>
        <w:t>文件、合同约定物价变化范围和波动幅度的市场物价变动；</w:t>
      </w:r>
    </w:p>
    <w:p w14:paraId="359B519F">
      <w:pPr>
        <w:pStyle w:val="19"/>
        <w:spacing w:before="72" w:line="360" w:lineRule="auto"/>
        <w:ind w:left="0" w:firstLine="420" w:firstLineChars="200"/>
        <w:jc w:val="left"/>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其他应当由承包人承担责任的事项。</w:t>
      </w:r>
    </w:p>
    <w:p w14:paraId="4A686F40">
      <w:pPr>
        <w:pageBreakBefore w:val="0"/>
        <w:widowControl/>
        <w:tabs>
          <w:tab w:val="left" w:pos="8647"/>
        </w:tabs>
        <w:kinsoku/>
        <w:wordWrap/>
        <w:overflowPunct/>
        <w:topLinePunct w:val="0"/>
        <w:autoSpaceDE/>
        <w:autoSpaceDN/>
        <w:bidi w:val="0"/>
        <w:adjustRightInd/>
        <w:snapToGrid/>
        <w:spacing w:line="360" w:lineRule="auto"/>
        <w:ind w:left="0" w:leftChars="0" w:firstLine="420" w:firstLineChars="200"/>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Cs w:val="21"/>
          <w:highlight w:val="none"/>
          <w:lang w:val="en-US" w:eastAsia="zh-CN"/>
        </w:rPr>
        <w:t>3.</w:t>
      </w:r>
      <w:r>
        <w:rPr>
          <w:rFonts w:hint="default" w:ascii="Times New Roman" w:hAnsi="Times New Roman" w:eastAsia="宋体" w:cs="Times New Roman"/>
          <w:b w:val="0"/>
          <w:bCs w:val="0"/>
          <w:color w:val="auto"/>
          <w:sz w:val="21"/>
          <w:szCs w:val="21"/>
          <w:highlight w:val="none"/>
          <w:lang w:val="en-US" w:eastAsia="zh-CN"/>
        </w:rPr>
        <w:t>13</w:t>
      </w:r>
      <w:r>
        <w:rPr>
          <w:rFonts w:hint="default" w:ascii="Times New Roman" w:hAnsi="Times New Roman" w:eastAsia="宋体" w:cs="Times New Roman"/>
          <w:b/>
          <w:bCs/>
          <w:color w:val="auto"/>
          <w:sz w:val="21"/>
          <w:szCs w:val="21"/>
          <w:highlight w:val="none"/>
        </w:rPr>
        <w:t xml:space="preserve">  </w:t>
      </w:r>
      <w:r>
        <w:rPr>
          <w:rFonts w:hint="default" w:ascii="Times New Roman" w:hAnsi="Times New Roman" w:eastAsia="宋体" w:cs="Times New Roman"/>
          <w:b w:val="0"/>
          <w:bCs w:val="0"/>
          <w:color w:val="auto"/>
          <w:sz w:val="21"/>
          <w:szCs w:val="21"/>
          <w:highlight w:val="none"/>
          <w:lang w:eastAsia="zh-CN"/>
        </w:rPr>
        <w:t>供应商</w:t>
      </w:r>
      <w:r>
        <w:rPr>
          <w:rFonts w:hint="default" w:ascii="Times New Roman" w:hAnsi="Times New Roman" w:eastAsia="宋体" w:cs="Times New Roman"/>
          <w:b w:val="0"/>
          <w:bCs w:val="0"/>
          <w:color w:val="auto"/>
          <w:sz w:val="21"/>
          <w:szCs w:val="21"/>
          <w:highlight w:val="none"/>
        </w:rPr>
        <w:t>按</w:t>
      </w:r>
      <w:r>
        <w:rPr>
          <w:rFonts w:hint="default" w:ascii="Times New Roman" w:hAnsi="Times New Roman" w:eastAsia="宋体" w:cs="Times New Roman"/>
          <w:b w:val="0"/>
          <w:bCs w:val="0"/>
          <w:color w:val="auto"/>
          <w:sz w:val="21"/>
          <w:szCs w:val="21"/>
          <w:highlight w:val="none"/>
          <w:lang w:val="zh-TW" w:eastAsia="zh-CN"/>
        </w:rPr>
        <w:t>自治区建设行政主管部门颁发的计算规范</w:t>
      </w:r>
      <w:r>
        <w:rPr>
          <w:rFonts w:hint="default" w:ascii="Times New Roman" w:hAnsi="Times New Roman" w:eastAsia="宋体" w:cs="Times New Roman"/>
          <w:b w:val="0"/>
          <w:bCs w:val="0"/>
          <w:color w:val="auto"/>
          <w:sz w:val="21"/>
          <w:szCs w:val="21"/>
          <w:highlight w:val="none"/>
        </w:rPr>
        <w:t>规定和</w:t>
      </w:r>
      <w:r>
        <w:rPr>
          <w:rFonts w:hint="default" w:ascii="Times New Roman" w:hAnsi="Times New Roman" w:eastAsia="宋体" w:cs="Times New Roman"/>
          <w:b w:val="0"/>
          <w:bCs w:val="0"/>
          <w:color w:val="auto"/>
          <w:sz w:val="21"/>
          <w:szCs w:val="21"/>
          <w:highlight w:val="none"/>
          <w:lang w:eastAsia="zh-CN"/>
        </w:rPr>
        <w:t>采购人</w:t>
      </w:r>
      <w:r>
        <w:rPr>
          <w:rFonts w:hint="default" w:ascii="Times New Roman" w:hAnsi="Times New Roman" w:eastAsia="宋体" w:cs="Times New Roman"/>
          <w:b w:val="0"/>
          <w:bCs w:val="0"/>
          <w:color w:val="auto"/>
          <w:sz w:val="21"/>
          <w:szCs w:val="21"/>
          <w:highlight w:val="none"/>
        </w:rPr>
        <w:t>补充的工程量计算规则，对分部分项工程项目清单的所有清单项目进行报价，其报价应满足下列因素对价格的要求</w:t>
      </w:r>
      <w:r>
        <w:rPr>
          <w:rFonts w:hint="default" w:ascii="Times New Roman" w:hAnsi="Times New Roman" w:eastAsia="宋体" w:cs="Times New Roman"/>
          <w:bCs/>
          <w:color w:val="auto"/>
          <w:sz w:val="21"/>
          <w:szCs w:val="21"/>
          <w:highlight w:val="none"/>
        </w:rPr>
        <w:t>：</w:t>
      </w:r>
    </w:p>
    <w:p w14:paraId="04DFE03E">
      <w:pPr>
        <w:pageBreakBefore w:val="0"/>
        <w:kinsoku/>
        <w:wordWrap/>
        <w:overflowPunct/>
        <w:topLinePunct w:val="0"/>
        <w:autoSpaceDE/>
        <w:autoSpaceDN/>
        <w:bidi w:val="0"/>
        <w:adjustRightInd/>
        <w:snapToGrid/>
        <w:spacing w:line="360" w:lineRule="auto"/>
        <w:ind w:left="0" w:leftChars="0" w:firstLine="420" w:firstLineChars="200"/>
        <w:jc w:val="left"/>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1</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bCs/>
          <w:color w:val="auto"/>
          <w:sz w:val="21"/>
          <w:szCs w:val="21"/>
          <w:highlight w:val="none"/>
        </w:rPr>
        <w:t>工程数量对材料采购及人工价格的影响；</w:t>
      </w:r>
    </w:p>
    <w:p w14:paraId="40F45653">
      <w:pPr>
        <w:pageBreakBefore w:val="0"/>
        <w:kinsoku/>
        <w:wordWrap/>
        <w:overflowPunct/>
        <w:topLinePunct w:val="0"/>
        <w:autoSpaceDE/>
        <w:autoSpaceDN/>
        <w:bidi w:val="0"/>
        <w:adjustRightInd/>
        <w:snapToGrid/>
        <w:spacing w:line="360" w:lineRule="auto"/>
        <w:ind w:left="0" w:leftChars="0" w:firstLine="420" w:firstLineChars="200"/>
        <w:jc w:val="left"/>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2</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bCs/>
          <w:color w:val="auto"/>
          <w:sz w:val="21"/>
          <w:szCs w:val="21"/>
          <w:highlight w:val="none"/>
          <w:lang w:eastAsia="zh-CN"/>
        </w:rPr>
        <w:t>采购</w:t>
      </w:r>
      <w:r>
        <w:rPr>
          <w:rFonts w:hint="default" w:ascii="Times New Roman" w:hAnsi="Times New Roman" w:eastAsia="宋体" w:cs="Times New Roman"/>
          <w:bCs/>
          <w:color w:val="auto"/>
          <w:sz w:val="21"/>
          <w:szCs w:val="21"/>
          <w:highlight w:val="none"/>
        </w:rPr>
        <w:t>文件规定物价变化进行价格调整的清单项目，在调整的范围和波动幅度内市场物价变动及调整时段带来的承包风险的影响；</w:t>
      </w:r>
    </w:p>
    <w:p w14:paraId="2DA15B8F">
      <w:pPr>
        <w:pageBreakBefore w:val="0"/>
        <w:kinsoku/>
        <w:wordWrap/>
        <w:overflowPunct/>
        <w:topLinePunct w:val="0"/>
        <w:autoSpaceDE/>
        <w:autoSpaceDN/>
        <w:bidi w:val="0"/>
        <w:adjustRightInd/>
        <w:snapToGrid/>
        <w:spacing w:line="360" w:lineRule="auto"/>
        <w:ind w:left="0" w:leftChars="0" w:firstLine="424" w:firstLineChars="202"/>
        <w:jc w:val="left"/>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3</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bCs/>
          <w:color w:val="auto"/>
          <w:sz w:val="21"/>
          <w:szCs w:val="21"/>
          <w:highlight w:val="none"/>
          <w:lang w:eastAsia="zh-CN"/>
        </w:rPr>
        <w:t>采购</w:t>
      </w:r>
      <w:r>
        <w:rPr>
          <w:rFonts w:hint="default" w:ascii="Times New Roman" w:hAnsi="Times New Roman" w:eastAsia="宋体" w:cs="Times New Roman"/>
          <w:bCs/>
          <w:color w:val="auto"/>
          <w:sz w:val="21"/>
          <w:szCs w:val="21"/>
          <w:highlight w:val="none"/>
        </w:rPr>
        <w:t>文件未规定物价变化进行价格调整的清单项目的材料费、人工费、施工机具使用费等市场价格波动的影响；</w:t>
      </w:r>
    </w:p>
    <w:p w14:paraId="4DAFC307">
      <w:pPr>
        <w:pageBreakBefore w:val="0"/>
        <w:kinsoku/>
        <w:wordWrap/>
        <w:overflowPunct/>
        <w:topLinePunct w:val="0"/>
        <w:autoSpaceDE/>
        <w:autoSpaceDN/>
        <w:bidi w:val="0"/>
        <w:adjustRightInd/>
        <w:snapToGrid/>
        <w:spacing w:line="360" w:lineRule="auto"/>
        <w:ind w:left="0" w:leftChars="0" w:firstLine="424" w:firstLineChars="202"/>
        <w:jc w:val="left"/>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4</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bCs/>
          <w:strike w:val="0"/>
          <w:color w:val="auto"/>
          <w:sz w:val="21"/>
          <w:szCs w:val="21"/>
          <w:highlight w:val="none"/>
        </w:rPr>
        <w:t>单价合同</w:t>
      </w:r>
      <w:r>
        <w:rPr>
          <w:rFonts w:hint="default" w:ascii="Times New Roman" w:hAnsi="Times New Roman" w:eastAsia="宋体" w:cs="Times New Roman"/>
          <w:bCs/>
          <w:color w:val="auto"/>
          <w:sz w:val="21"/>
          <w:szCs w:val="21"/>
          <w:highlight w:val="none"/>
        </w:rPr>
        <w:t>工程量清单缺陷价格调整和工程变更计价规定的工程数量变化带来的承包风险的影响；</w:t>
      </w:r>
    </w:p>
    <w:p w14:paraId="1AC2257E">
      <w:pPr>
        <w:pageBreakBefore w:val="0"/>
        <w:kinsoku/>
        <w:wordWrap/>
        <w:overflowPunct/>
        <w:topLinePunct w:val="0"/>
        <w:autoSpaceDE/>
        <w:autoSpaceDN/>
        <w:bidi w:val="0"/>
        <w:adjustRightInd/>
        <w:snapToGrid/>
        <w:spacing w:line="360" w:lineRule="auto"/>
        <w:ind w:left="0" w:leftChars="0" w:firstLine="424" w:firstLineChars="202"/>
        <w:jc w:val="left"/>
        <w:textAlignment w:val="auto"/>
        <w:rPr>
          <w:rFonts w:hint="default" w:ascii="Times New Roman" w:hAnsi="Times New Roman" w:eastAsia="宋体" w:cs="Times New Roman"/>
          <w:bCs/>
          <w:strike w:val="0"/>
          <w:color w:val="auto"/>
          <w:sz w:val="21"/>
          <w:szCs w:val="21"/>
          <w:highlight w:val="none"/>
          <w:lang w:val="en-US" w:eastAsia="zh-CN"/>
        </w:rPr>
      </w:pP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5</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bCs/>
          <w:strike w:val="0"/>
          <w:color w:val="auto"/>
          <w:sz w:val="21"/>
          <w:szCs w:val="21"/>
          <w:highlight w:val="none"/>
        </w:rPr>
        <w:t>总价合同工程量清单缺陷责任及价格包干规定，以及工程变更计价规则带来的承包风险的影响；</w:t>
      </w:r>
    </w:p>
    <w:p w14:paraId="15B45777">
      <w:pPr>
        <w:pageBreakBefore w:val="0"/>
        <w:kinsoku/>
        <w:wordWrap/>
        <w:overflowPunct/>
        <w:topLinePunct w:val="0"/>
        <w:autoSpaceDE/>
        <w:autoSpaceDN/>
        <w:bidi w:val="0"/>
        <w:adjustRightInd/>
        <w:snapToGrid/>
        <w:spacing w:line="360" w:lineRule="auto"/>
        <w:ind w:left="0" w:leftChars="0" w:firstLine="424" w:firstLineChars="202"/>
        <w:jc w:val="left"/>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6</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bCs/>
          <w:strike w:val="0"/>
          <w:color w:val="auto"/>
          <w:sz w:val="21"/>
          <w:szCs w:val="21"/>
          <w:highlight w:val="none"/>
        </w:rPr>
        <w:t>除</w:t>
      </w:r>
      <w:r>
        <w:rPr>
          <w:rFonts w:hint="default" w:ascii="Times New Roman" w:hAnsi="Times New Roman" w:eastAsia="宋体" w:cs="Times New Roman"/>
          <w:bCs/>
          <w:strike w:val="0"/>
          <w:color w:val="auto"/>
          <w:sz w:val="21"/>
          <w:szCs w:val="21"/>
          <w:highlight w:val="none"/>
          <w:lang w:val="en-US" w:eastAsia="zh-CN"/>
        </w:rPr>
        <w:t>采购文件中</w:t>
      </w:r>
      <w:r>
        <w:rPr>
          <w:rFonts w:hint="default" w:ascii="Times New Roman" w:hAnsi="Times New Roman" w:eastAsia="宋体" w:cs="Times New Roman"/>
          <w:bCs/>
          <w:strike w:val="0"/>
          <w:color w:val="auto"/>
          <w:sz w:val="21"/>
          <w:szCs w:val="21"/>
          <w:highlight w:val="none"/>
        </w:rPr>
        <w:t>合同价款调整外，总价合同及单价合同中</w:t>
      </w:r>
      <w:r>
        <w:rPr>
          <w:rFonts w:hint="default" w:ascii="Times New Roman" w:hAnsi="Times New Roman" w:eastAsia="宋体" w:cs="Times New Roman"/>
          <w:bCs/>
          <w:color w:val="auto"/>
          <w:sz w:val="21"/>
          <w:szCs w:val="21"/>
          <w:highlight w:val="none"/>
        </w:rPr>
        <w:t>综合单价不作调整</w:t>
      </w:r>
      <w:r>
        <w:rPr>
          <w:rFonts w:hint="default" w:ascii="Times New Roman" w:hAnsi="Times New Roman" w:eastAsia="宋体" w:cs="Times New Roman"/>
          <w:bCs/>
          <w:color w:val="auto"/>
          <w:sz w:val="21"/>
          <w:szCs w:val="21"/>
          <w:highlight w:val="none"/>
          <w:lang w:val="en-US" w:eastAsia="zh-CN"/>
        </w:rPr>
        <w:t>的</w:t>
      </w:r>
      <w:r>
        <w:rPr>
          <w:rFonts w:hint="default" w:ascii="Times New Roman" w:hAnsi="Times New Roman" w:eastAsia="宋体" w:cs="Times New Roman"/>
          <w:bCs/>
          <w:color w:val="auto"/>
          <w:sz w:val="21"/>
          <w:szCs w:val="21"/>
          <w:highlight w:val="none"/>
        </w:rPr>
        <w:t>规定所引</w:t>
      </w:r>
      <w:r>
        <w:rPr>
          <w:rFonts w:hint="default" w:ascii="Times New Roman" w:hAnsi="Times New Roman" w:eastAsia="宋体" w:cs="Times New Roman"/>
          <w:bCs/>
          <w:color w:val="auto"/>
          <w:sz w:val="21"/>
          <w:szCs w:val="21"/>
          <w:highlight w:val="none"/>
          <w:lang w:val="en-US" w:eastAsia="zh-CN"/>
        </w:rPr>
        <w:t>起</w:t>
      </w:r>
      <w:r>
        <w:rPr>
          <w:rFonts w:hint="default" w:ascii="Times New Roman" w:hAnsi="Times New Roman" w:eastAsia="宋体" w:cs="Times New Roman"/>
          <w:bCs/>
          <w:color w:val="auto"/>
          <w:sz w:val="21"/>
          <w:szCs w:val="21"/>
          <w:highlight w:val="none"/>
        </w:rPr>
        <w:t>的承包风险</w:t>
      </w:r>
      <w:r>
        <w:rPr>
          <w:rFonts w:hint="default" w:ascii="Times New Roman" w:hAnsi="Times New Roman" w:eastAsia="宋体" w:cs="Times New Roman"/>
          <w:bCs/>
          <w:strike w:val="0"/>
          <w:color w:val="auto"/>
          <w:sz w:val="21"/>
          <w:szCs w:val="21"/>
          <w:highlight w:val="none"/>
        </w:rPr>
        <w:t>的影响</w:t>
      </w:r>
      <w:r>
        <w:rPr>
          <w:rFonts w:hint="default" w:ascii="Times New Roman" w:hAnsi="Times New Roman" w:eastAsia="宋体" w:cs="Times New Roman"/>
          <w:bCs/>
          <w:strike w:val="0"/>
          <w:color w:val="auto"/>
          <w:sz w:val="21"/>
          <w:szCs w:val="21"/>
          <w:highlight w:val="none"/>
          <w:lang w:eastAsia="zh-CN"/>
        </w:rPr>
        <w:t>；</w:t>
      </w:r>
    </w:p>
    <w:p w14:paraId="486A807F">
      <w:pPr>
        <w:pageBreakBefore w:val="0"/>
        <w:widowControl/>
        <w:tabs>
          <w:tab w:val="left" w:pos="8647"/>
        </w:tabs>
        <w:kinsoku/>
        <w:wordWrap/>
        <w:overflowPunct/>
        <w:topLinePunct w:val="0"/>
        <w:autoSpaceDE/>
        <w:autoSpaceDN/>
        <w:bidi w:val="0"/>
        <w:adjustRightInd/>
        <w:snapToGrid/>
        <w:spacing w:line="360" w:lineRule="auto"/>
        <w:ind w:left="0" w:leftChars="0" w:firstLine="424" w:firstLineChars="202"/>
        <w:jc w:val="left"/>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7</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供应商可根据实际情况对</w:t>
      </w:r>
      <w:r>
        <w:rPr>
          <w:rFonts w:hint="default" w:ascii="Times New Roman" w:hAnsi="Times New Roman" w:eastAsia="宋体" w:cs="Times New Roman"/>
          <w:b w:val="0"/>
          <w:bCs/>
          <w:color w:val="auto"/>
          <w:sz w:val="21"/>
          <w:szCs w:val="21"/>
          <w:highlight w:val="none"/>
          <w:lang w:val="en-US" w:eastAsia="zh-CN"/>
        </w:rPr>
        <w:t>采购人提供的分部分项工程预算清单项目中的主要材料消耗量进行调整。</w:t>
      </w:r>
    </w:p>
    <w:p w14:paraId="008FB812">
      <w:pPr>
        <w:pageBreakBefore w:val="0"/>
        <w:widowControl/>
        <w:tabs>
          <w:tab w:val="left" w:pos="8647"/>
        </w:tabs>
        <w:kinsoku/>
        <w:wordWrap/>
        <w:overflowPunct/>
        <w:topLinePunct w:val="0"/>
        <w:autoSpaceDE/>
        <w:autoSpaceDN/>
        <w:bidi w:val="0"/>
        <w:adjustRightInd/>
        <w:snapToGrid/>
        <w:spacing w:line="360" w:lineRule="auto"/>
        <w:ind w:left="0" w:leftChars="0" w:firstLine="420" w:firstLineChars="200"/>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Cs w:val="21"/>
          <w:highlight w:val="none"/>
          <w:lang w:val="en-US" w:eastAsia="zh-CN"/>
        </w:rPr>
        <w:t>3.</w:t>
      </w:r>
      <w:r>
        <w:rPr>
          <w:rFonts w:hint="default" w:ascii="Times New Roman" w:hAnsi="Times New Roman" w:eastAsia="宋体" w:cs="Times New Roman"/>
          <w:b w:val="0"/>
          <w:bCs w:val="0"/>
          <w:color w:val="auto"/>
          <w:sz w:val="21"/>
          <w:szCs w:val="21"/>
          <w:highlight w:val="none"/>
          <w:lang w:val="en-US" w:eastAsia="zh-CN"/>
        </w:rPr>
        <w:t>14</w:t>
      </w:r>
      <w:r>
        <w:rPr>
          <w:rFonts w:hint="default" w:ascii="Times New Roman" w:hAnsi="Times New Roman" w:eastAsia="宋体" w:cs="Times New Roman"/>
          <w:bCs/>
          <w:color w:val="auto"/>
          <w:sz w:val="21"/>
          <w:szCs w:val="21"/>
          <w:highlight w:val="none"/>
        </w:rPr>
        <w:t xml:space="preserve">  </w:t>
      </w:r>
      <w:r>
        <w:rPr>
          <w:rFonts w:hint="default" w:ascii="Times New Roman" w:hAnsi="Times New Roman" w:eastAsia="宋体" w:cs="Times New Roman"/>
          <w:b w:val="0"/>
          <w:bCs w:val="0"/>
          <w:color w:val="auto"/>
          <w:sz w:val="21"/>
          <w:szCs w:val="21"/>
          <w:highlight w:val="none"/>
        </w:rPr>
        <w:t>对分部分项工程项目清单中按项计价的项目，</w:t>
      </w:r>
      <w:r>
        <w:rPr>
          <w:rFonts w:hint="default" w:ascii="Times New Roman" w:hAnsi="Times New Roman" w:eastAsia="宋体" w:cs="Times New Roman"/>
          <w:b w:val="0"/>
          <w:bCs w:val="0"/>
          <w:color w:val="auto"/>
          <w:sz w:val="21"/>
          <w:szCs w:val="21"/>
          <w:highlight w:val="none"/>
          <w:lang w:eastAsia="zh-CN"/>
        </w:rPr>
        <w:t>供应商</w:t>
      </w:r>
      <w:r>
        <w:rPr>
          <w:rFonts w:hint="default" w:ascii="Times New Roman" w:hAnsi="Times New Roman" w:eastAsia="宋体" w:cs="Times New Roman"/>
          <w:b w:val="0"/>
          <w:bCs w:val="0"/>
          <w:color w:val="auto"/>
          <w:sz w:val="21"/>
          <w:szCs w:val="21"/>
          <w:highlight w:val="none"/>
        </w:rPr>
        <w:t>应按其项目特征的工作内容、自身的实施方案、市场合理价格，以及履行</w:t>
      </w:r>
      <w:r>
        <w:rPr>
          <w:rFonts w:hint="default" w:ascii="Times New Roman" w:hAnsi="Times New Roman" w:eastAsia="宋体" w:cs="Times New Roman"/>
          <w:b w:val="0"/>
          <w:bCs w:val="0"/>
          <w:color w:val="auto"/>
          <w:sz w:val="21"/>
          <w:szCs w:val="21"/>
          <w:highlight w:val="none"/>
          <w:lang w:eastAsia="zh-CN"/>
        </w:rPr>
        <w:t>采购</w:t>
      </w:r>
      <w:r>
        <w:rPr>
          <w:rFonts w:hint="default" w:ascii="Times New Roman" w:hAnsi="Times New Roman" w:eastAsia="宋体" w:cs="Times New Roman"/>
          <w:b w:val="0"/>
          <w:bCs w:val="0"/>
          <w:color w:val="auto"/>
          <w:sz w:val="21"/>
          <w:szCs w:val="21"/>
          <w:highlight w:val="none"/>
        </w:rPr>
        <w:t>图纸和技术标准规范要求、工程变更价格调整引起的承包风险，对按项计价项目进行</w:t>
      </w:r>
      <w:r>
        <w:rPr>
          <w:rFonts w:hint="default" w:ascii="Times New Roman" w:hAnsi="Times New Roman" w:eastAsia="宋体" w:cs="Times New Roman"/>
          <w:color w:val="auto"/>
          <w:szCs w:val="21"/>
          <w:highlight w:val="none"/>
          <w:lang w:val="en-US" w:eastAsia="zh-CN"/>
        </w:rPr>
        <w:t>响应</w:t>
      </w:r>
      <w:r>
        <w:rPr>
          <w:rFonts w:hint="default" w:ascii="Times New Roman" w:hAnsi="Times New Roman" w:eastAsia="宋体" w:cs="Times New Roman"/>
          <w:b w:val="0"/>
          <w:bCs w:val="0"/>
          <w:color w:val="auto"/>
          <w:sz w:val="21"/>
          <w:szCs w:val="21"/>
          <w:highlight w:val="none"/>
        </w:rPr>
        <w:t>报价。除合同另有约定外，按项计价项目报价为包干价，工程结算时不应做调整。</w:t>
      </w:r>
    </w:p>
    <w:p w14:paraId="2A099A68">
      <w:pPr>
        <w:pageBreakBefore w:val="0"/>
        <w:kinsoku/>
        <w:wordWrap/>
        <w:overflowPunct/>
        <w:topLinePunct w:val="0"/>
        <w:autoSpaceDE/>
        <w:autoSpaceDN/>
        <w:bidi w:val="0"/>
        <w:adjustRightInd/>
        <w:snapToGrid/>
        <w:spacing w:line="360" w:lineRule="auto"/>
        <w:ind w:left="0" w:leftChars="0" w:firstLine="420" w:firstLineChars="200"/>
        <w:jc w:val="left"/>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Cs w:val="21"/>
          <w:highlight w:val="none"/>
          <w:lang w:val="en-US" w:eastAsia="zh-CN"/>
        </w:rPr>
        <w:t>3.</w:t>
      </w:r>
      <w:r>
        <w:rPr>
          <w:rFonts w:hint="default" w:ascii="Times New Roman" w:hAnsi="Times New Roman" w:eastAsia="宋体" w:cs="Times New Roman"/>
          <w:b w:val="0"/>
          <w:bCs w:val="0"/>
          <w:color w:val="auto"/>
          <w:sz w:val="21"/>
          <w:szCs w:val="21"/>
          <w:highlight w:val="none"/>
          <w:lang w:val="en-US" w:eastAsia="zh-CN"/>
        </w:rPr>
        <w:t>15</w:t>
      </w:r>
      <w:r>
        <w:rPr>
          <w:rFonts w:hint="default" w:ascii="Times New Roman" w:hAnsi="Times New Roman" w:eastAsia="宋体" w:cs="Times New Roman"/>
          <w:b/>
          <w:bCs/>
          <w:color w:val="auto"/>
          <w:sz w:val="21"/>
          <w:szCs w:val="21"/>
          <w:highlight w:val="none"/>
        </w:rPr>
        <w:t xml:space="preserve">  </w:t>
      </w:r>
      <w:r>
        <w:rPr>
          <w:rFonts w:hint="default" w:ascii="Times New Roman" w:hAnsi="Times New Roman" w:eastAsia="宋体" w:cs="Times New Roman"/>
          <w:b w:val="0"/>
          <w:bCs w:val="0"/>
          <w:color w:val="auto"/>
          <w:sz w:val="21"/>
          <w:szCs w:val="21"/>
          <w:highlight w:val="none"/>
        </w:rPr>
        <w:t>对分部分项工程项目清单中发包人提供材料的清单项目，</w:t>
      </w:r>
      <w:r>
        <w:rPr>
          <w:rFonts w:hint="default" w:ascii="Times New Roman" w:hAnsi="Times New Roman" w:eastAsia="宋体" w:cs="Times New Roman"/>
          <w:b w:val="0"/>
          <w:bCs w:val="0"/>
          <w:color w:val="auto"/>
          <w:sz w:val="21"/>
          <w:szCs w:val="21"/>
          <w:highlight w:val="none"/>
          <w:lang w:eastAsia="zh-CN"/>
        </w:rPr>
        <w:t>供应商</w:t>
      </w:r>
      <w:r>
        <w:rPr>
          <w:rFonts w:hint="default" w:ascii="Times New Roman" w:hAnsi="Times New Roman" w:eastAsia="宋体" w:cs="Times New Roman"/>
          <w:b w:val="0"/>
          <w:bCs w:val="0"/>
          <w:color w:val="auto"/>
          <w:sz w:val="21"/>
          <w:szCs w:val="21"/>
          <w:highlight w:val="none"/>
        </w:rPr>
        <w:t>应按</w:t>
      </w:r>
      <w:r>
        <w:rPr>
          <w:rFonts w:hint="default" w:ascii="Times New Roman" w:hAnsi="Times New Roman" w:eastAsia="宋体" w:cs="Times New Roman"/>
          <w:b w:val="0"/>
          <w:bCs w:val="0"/>
          <w:color w:val="auto"/>
          <w:sz w:val="21"/>
          <w:szCs w:val="21"/>
          <w:highlight w:val="none"/>
          <w:lang w:eastAsia="zh-CN"/>
        </w:rPr>
        <w:t>采购</w:t>
      </w:r>
      <w:r>
        <w:rPr>
          <w:rFonts w:hint="default" w:ascii="Times New Roman" w:hAnsi="Times New Roman" w:eastAsia="宋体" w:cs="Times New Roman"/>
          <w:b w:val="0"/>
          <w:bCs w:val="0"/>
          <w:color w:val="auto"/>
          <w:sz w:val="21"/>
          <w:szCs w:val="21"/>
          <w:highlight w:val="none"/>
        </w:rPr>
        <w:t>文件说明的发包人提供材料的规格型号，对发包人提供材料的清单项目进行安装报价</w:t>
      </w:r>
      <w:r>
        <w:rPr>
          <w:rFonts w:hint="default" w:ascii="Times New Roman" w:hAnsi="Times New Roman" w:eastAsia="宋体" w:cs="Times New Roman"/>
          <w:b w:val="0"/>
          <w:bCs w:val="0"/>
          <w:color w:val="auto"/>
          <w:sz w:val="21"/>
          <w:szCs w:val="21"/>
          <w:highlight w:val="none"/>
          <w:lang w:eastAsia="zh-CN"/>
        </w:rPr>
        <w:t>，</w:t>
      </w:r>
      <w:r>
        <w:rPr>
          <w:rFonts w:hint="default" w:ascii="Times New Roman" w:hAnsi="Times New Roman" w:eastAsia="宋体" w:cs="Times New Roman"/>
          <w:b w:val="0"/>
          <w:bCs w:val="0"/>
          <w:color w:val="auto"/>
          <w:sz w:val="21"/>
          <w:szCs w:val="21"/>
          <w:highlight w:val="none"/>
        </w:rPr>
        <w:t>并应满足工程数量对人工价格变化、</w:t>
      </w:r>
      <w:r>
        <w:rPr>
          <w:rFonts w:hint="default" w:ascii="Times New Roman" w:hAnsi="Times New Roman" w:eastAsia="宋体" w:cs="Times New Roman"/>
          <w:b w:val="0"/>
          <w:bCs w:val="0"/>
          <w:color w:val="auto"/>
          <w:sz w:val="21"/>
          <w:szCs w:val="21"/>
          <w:highlight w:val="none"/>
          <w:lang w:eastAsia="zh-CN"/>
        </w:rPr>
        <w:t>采购</w:t>
      </w:r>
      <w:r>
        <w:rPr>
          <w:rFonts w:hint="default" w:ascii="Times New Roman" w:hAnsi="Times New Roman" w:eastAsia="宋体" w:cs="Times New Roman"/>
          <w:b w:val="0"/>
          <w:bCs w:val="0"/>
          <w:color w:val="auto"/>
          <w:sz w:val="21"/>
          <w:szCs w:val="21"/>
          <w:highlight w:val="none"/>
        </w:rPr>
        <w:t>文件规定的有效损耗率、自身原因超耗使用材料产生的承包风险等要求。</w:t>
      </w:r>
      <w:r>
        <w:rPr>
          <w:rFonts w:hint="default" w:ascii="Times New Roman" w:hAnsi="Times New Roman" w:eastAsia="宋体" w:cs="Times New Roman"/>
          <w:color w:val="auto"/>
          <w:szCs w:val="21"/>
          <w:highlight w:val="none"/>
          <w:lang w:val="en-US" w:eastAsia="zh-CN"/>
        </w:rPr>
        <w:t>响应</w:t>
      </w:r>
      <w:r>
        <w:rPr>
          <w:rFonts w:hint="default" w:ascii="Times New Roman" w:hAnsi="Times New Roman" w:eastAsia="宋体" w:cs="Times New Roman"/>
          <w:b w:val="0"/>
          <w:bCs w:val="0"/>
          <w:color w:val="auto"/>
          <w:sz w:val="21"/>
          <w:szCs w:val="21"/>
          <w:highlight w:val="none"/>
        </w:rPr>
        <w:t>报价的综合单价及总价不应包含发包人提供材料的供货人将相关的材料运抵交货地点、完成卸货的费用。</w:t>
      </w:r>
    </w:p>
    <w:p w14:paraId="2471E447">
      <w:pPr>
        <w:pageBreakBefore w:val="0"/>
        <w:kinsoku/>
        <w:wordWrap/>
        <w:overflowPunct/>
        <w:topLinePunct w:val="0"/>
        <w:autoSpaceDE/>
        <w:autoSpaceDN/>
        <w:bidi w:val="0"/>
        <w:adjustRightInd/>
        <w:snapToGrid/>
        <w:spacing w:line="360" w:lineRule="auto"/>
        <w:ind w:left="0" w:leftChars="0" w:firstLine="420" w:firstLineChars="200"/>
        <w:jc w:val="left"/>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Cs w:val="21"/>
          <w:highlight w:val="none"/>
          <w:lang w:val="en-US" w:eastAsia="zh-CN"/>
        </w:rPr>
        <w:t>3.16</w:t>
      </w:r>
      <w:r>
        <w:rPr>
          <w:rFonts w:hint="default" w:ascii="Times New Roman" w:hAnsi="Times New Roman" w:eastAsia="宋体" w:cs="Times New Roman"/>
          <w:b/>
          <w:bCs/>
          <w:color w:val="auto"/>
          <w:sz w:val="21"/>
          <w:szCs w:val="21"/>
          <w:highlight w:val="none"/>
        </w:rPr>
        <w:t xml:space="preserve">  </w:t>
      </w:r>
      <w:r>
        <w:rPr>
          <w:rFonts w:hint="default" w:ascii="Times New Roman" w:hAnsi="Times New Roman" w:eastAsia="宋体" w:cs="Times New Roman"/>
          <w:b w:val="0"/>
          <w:bCs w:val="0"/>
          <w:color w:val="auto"/>
          <w:sz w:val="21"/>
          <w:szCs w:val="21"/>
          <w:highlight w:val="none"/>
        </w:rPr>
        <w:t>对分部分项工程项目清单中载明材料暂估价的清单项目，应按</w:t>
      </w:r>
      <w:r>
        <w:rPr>
          <w:rFonts w:hint="default" w:ascii="Times New Roman" w:hAnsi="Times New Roman" w:eastAsia="宋体" w:cs="Times New Roman"/>
          <w:b w:val="0"/>
          <w:bCs w:val="0"/>
          <w:color w:val="auto"/>
          <w:sz w:val="21"/>
          <w:szCs w:val="21"/>
          <w:highlight w:val="none"/>
          <w:lang w:val="en-US" w:eastAsia="zh-CN"/>
        </w:rPr>
        <w:t>采购</w:t>
      </w:r>
      <w:r>
        <w:rPr>
          <w:rFonts w:hint="default" w:ascii="Times New Roman" w:hAnsi="Times New Roman" w:eastAsia="宋体" w:cs="Times New Roman"/>
          <w:b w:val="0"/>
          <w:bCs w:val="0"/>
          <w:color w:val="auto"/>
          <w:sz w:val="21"/>
          <w:szCs w:val="21"/>
          <w:highlight w:val="none"/>
          <w:lang w:val="en-US"/>
        </w:rPr>
        <w:t>人提供的</w:t>
      </w:r>
      <w:r>
        <w:rPr>
          <w:rFonts w:hint="default" w:ascii="Times New Roman" w:hAnsi="Times New Roman" w:eastAsia="宋体" w:cs="Times New Roman"/>
          <w:b w:val="0"/>
          <w:bCs w:val="0"/>
          <w:color w:val="auto"/>
          <w:sz w:val="21"/>
          <w:szCs w:val="21"/>
          <w:highlight w:val="none"/>
        </w:rPr>
        <w:t>工程量清单</w:t>
      </w:r>
      <w:r>
        <w:rPr>
          <w:rFonts w:hint="default" w:ascii="Times New Roman" w:hAnsi="Times New Roman" w:eastAsia="宋体" w:cs="Times New Roman"/>
          <w:b w:val="0"/>
          <w:bCs w:val="0"/>
          <w:color w:val="auto"/>
          <w:sz w:val="21"/>
          <w:szCs w:val="21"/>
          <w:highlight w:val="none"/>
          <w:lang w:val="en-US"/>
        </w:rPr>
        <w:t>中的《</w:t>
      </w:r>
      <w:r>
        <w:rPr>
          <w:rFonts w:hint="default" w:ascii="Times New Roman" w:hAnsi="Times New Roman" w:eastAsia="宋体" w:cs="Times New Roman"/>
          <w:b w:val="0"/>
          <w:bCs w:val="0"/>
          <w:color w:val="auto"/>
          <w:sz w:val="21"/>
          <w:szCs w:val="21"/>
          <w:highlight w:val="none"/>
          <w:lang w:val="en"/>
        </w:rPr>
        <w:t>材料暂估价</w:t>
      </w:r>
      <w:r>
        <w:rPr>
          <w:rFonts w:hint="default" w:ascii="Times New Roman" w:hAnsi="Times New Roman" w:eastAsia="宋体" w:cs="Times New Roman"/>
          <w:b w:val="0"/>
          <w:bCs w:val="0"/>
          <w:color w:val="auto"/>
          <w:sz w:val="21"/>
          <w:szCs w:val="21"/>
          <w:highlight w:val="none"/>
          <w:lang w:val="en-US" w:eastAsia="zh-CN"/>
        </w:rPr>
        <w:t>明细</w:t>
      </w:r>
      <w:r>
        <w:rPr>
          <w:rFonts w:hint="default" w:ascii="Times New Roman" w:hAnsi="Times New Roman" w:eastAsia="宋体" w:cs="Times New Roman"/>
          <w:b w:val="0"/>
          <w:bCs w:val="0"/>
          <w:color w:val="auto"/>
          <w:sz w:val="21"/>
          <w:szCs w:val="21"/>
          <w:highlight w:val="none"/>
          <w:lang w:val="en-US"/>
        </w:rPr>
        <w:t>表》</w:t>
      </w:r>
      <w:r>
        <w:rPr>
          <w:rFonts w:hint="default" w:ascii="Times New Roman" w:hAnsi="Times New Roman" w:eastAsia="宋体" w:cs="Times New Roman"/>
          <w:b w:val="0"/>
          <w:bCs w:val="0"/>
          <w:color w:val="auto"/>
          <w:sz w:val="21"/>
          <w:szCs w:val="21"/>
          <w:highlight w:val="none"/>
        </w:rPr>
        <w:t>载明的</w:t>
      </w:r>
      <w:r>
        <w:rPr>
          <w:rFonts w:hint="default" w:ascii="Times New Roman" w:hAnsi="Times New Roman" w:eastAsia="宋体" w:cs="Times New Roman"/>
          <w:b w:val="0"/>
          <w:bCs w:val="0"/>
          <w:color w:val="auto"/>
          <w:sz w:val="21"/>
          <w:szCs w:val="21"/>
          <w:highlight w:val="none"/>
          <w:lang w:eastAsia="zh-CN"/>
        </w:rPr>
        <w:t>材料</w:t>
      </w:r>
      <w:r>
        <w:rPr>
          <w:rFonts w:hint="default" w:ascii="Times New Roman" w:hAnsi="Times New Roman" w:eastAsia="宋体" w:cs="Times New Roman"/>
          <w:b w:val="0"/>
          <w:bCs w:val="0"/>
          <w:color w:val="auto"/>
          <w:sz w:val="21"/>
          <w:szCs w:val="21"/>
          <w:highlight w:val="none"/>
        </w:rPr>
        <w:t>暂估</w:t>
      </w:r>
      <w:r>
        <w:rPr>
          <w:rFonts w:hint="default" w:ascii="Times New Roman" w:hAnsi="Times New Roman" w:eastAsia="宋体" w:cs="Times New Roman"/>
          <w:b w:val="0"/>
          <w:bCs w:val="0"/>
          <w:color w:val="auto"/>
          <w:sz w:val="21"/>
          <w:szCs w:val="21"/>
          <w:highlight w:val="none"/>
          <w:lang w:eastAsia="zh-CN"/>
        </w:rPr>
        <w:t>单</w:t>
      </w:r>
      <w:r>
        <w:rPr>
          <w:rFonts w:hint="default" w:ascii="Times New Roman" w:hAnsi="Times New Roman" w:eastAsia="宋体" w:cs="Times New Roman"/>
          <w:b w:val="0"/>
          <w:bCs w:val="0"/>
          <w:color w:val="auto"/>
          <w:sz w:val="21"/>
          <w:szCs w:val="21"/>
          <w:highlight w:val="none"/>
        </w:rPr>
        <w:t>价计入</w:t>
      </w:r>
      <w:r>
        <w:rPr>
          <w:rFonts w:hint="default" w:ascii="Times New Roman" w:hAnsi="Times New Roman" w:eastAsia="宋体" w:cs="Times New Roman"/>
          <w:b w:val="0"/>
          <w:bCs w:val="0"/>
          <w:color w:val="auto"/>
          <w:sz w:val="21"/>
          <w:szCs w:val="21"/>
          <w:highlight w:val="none"/>
          <w:lang w:val="en-US" w:eastAsia="zh-CN"/>
        </w:rPr>
        <w:t>其他项目清单</w:t>
      </w:r>
      <w:r>
        <w:rPr>
          <w:rFonts w:hint="default" w:ascii="Times New Roman" w:hAnsi="Times New Roman" w:eastAsia="宋体" w:cs="Times New Roman"/>
          <w:b w:val="0"/>
          <w:bCs w:val="0"/>
          <w:color w:val="auto"/>
          <w:sz w:val="21"/>
          <w:szCs w:val="21"/>
          <w:highlight w:val="none"/>
          <w:lang w:val="en-US"/>
        </w:rPr>
        <w:t>费用，</w:t>
      </w:r>
      <w:r>
        <w:rPr>
          <w:rFonts w:hint="default" w:ascii="Times New Roman" w:hAnsi="Times New Roman" w:eastAsia="宋体" w:cs="Times New Roman"/>
          <w:b w:val="0"/>
          <w:bCs w:val="0"/>
          <w:color w:val="auto"/>
          <w:sz w:val="21"/>
          <w:szCs w:val="21"/>
          <w:highlight w:val="none"/>
          <w:lang w:eastAsia="zh-CN"/>
        </w:rPr>
        <w:t>不计入</w:t>
      </w:r>
      <w:r>
        <w:rPr>
          <w:rFonts w:hint="default" w:ascii="Times New Roman" w:hAnsi="Times New Roman" w:eastAsia="宋体" w:cs="Times New Roman"/>
          <w:b w:val="0"/>
          <w:bCs w:val="0"/>
          <w:color w:val="auto"/>
          <w:sz w:val="21"/>
          <w:szCs w:val="21"/>
          <w:highlight w:val="none"/>
          <w:lang w:val="en-US" w:eastAsia="zh-CN"/>
        </w:rPr>
        <w:t>清单项目</w:t>
      </w:r>
      <w:r>
        <w:rPr>
          <w:rFonts w:hint="default" w:ascii="Times New Roman" w:hAnsi="Times New Roman" w:eastAsia="宋体" w:cs="Times New Roman"/>
          <w:b w:val="0"/>
          <w:bCs w:val="0"/>
          <w:color w:val="auto"/>
          <w:sz w:val="21"/>
          <w:szCs w:val="21"/>
          <w:highlight w:val="none"/>
          <w:lang w:eastAsia="zh-CN"/>
        </w:rPr>
        <w:t>综合单价中，</w:t>
      </w:r>
      <w:r>
        <w:rPr>
          <w:rFonts w:hint="default" w:ascii="Times New Roman" w:hAnsi="Times New Roman" w:eastAsia="宋体" w:cs="Times New Roman"/>
          <w:b w:val="0"/>
          <w:bCs w:val="0"/>
          <w:color w:val="auto"/>
          <w:sz w:val="21"/>
          <w:szCs w:val="21"/>
          <w:highlight w:val="none"/>
          <w:lang w:val="en-US" w:eastAsia="zh-CN"/>
        </w:rPr>
        <w:t>清单项目</w:t>
      </w:r>
      <w:r>
        <w:rPr>
          <w:rFonts w:hint="default" w:ascii="Times New Roman" w:hAnsi="Times New Roman" w:eastAsia="宋体" w:cs="Times New Roman"/>
          <w:b w:val="0"/>
          <w:bCs w:val="0"/>
          <w:color w:val="auto"/>
          <w:sz w:val="21"/>
          <w:szCs w:val="21"/>
          <w:highlight w:val="none"/>
          <w:lang w:val="en-US"/>
        </w:rPr>
        <w:t>仅包含</w:t>
      </w:r>
      <w:r>
        <w:rPr>
          <w:rFonts w:hint="default" w:ascii="Times New Roman" w:hAnsi="Times New Roman" w:eastAsia="宋体" w:cs="Times New Roman"/>
          <w:b w:val="0"/>
          <w:bCs w:val="0"/>
          <w:color w:val="auto"/>
          <w:sz w:val="21"/>
          <w:szCs w:val="21"/>
          <w:highlight w:val="none"/>
          <w:lang w:val="en-US" w:eastAsia="zh-CN"/>
        </w:rPr>
        <w:t>安装费用</w:t>
      </w:r>
      <w:r>
        <w:rPr>
          <w:rFonts w:hint="default" w:ascii="Times New Roman" w:hAnsi="Times New Roman" w:eastAsia="宋体" w:cs="Times New Roman"/>
          <w:b w:val="0"/>
          <w:bCs w:val="0"/>
          <w:color w:val="auto"/>
          <w:sz w:val="21"/>
          <w:szCs w:val="21"/>
          <w:highlight w:val="none"/>
        </w:rPr>
        <w:t>。</w:t>
      </w:r>
    </w:p>
    <w:p w14:paraId="1C40A1E5">
      <w:pPr>
        <w:pageBreakBefore w:val="0"/>
        <w:kinsoku/>
        <w:wordWrap/>
        <w:overflowPunct/>
        <w:topLinePunct w:val="0"/>
        <w:autoSpaceDE/>
        <w:autoSpaceDN/>
        <w:bidi w:val="0"/>
        <w:adjustRightInd/>
        <w:snapToGrid/>
        <w:spacing w:line="360" w:lineRule="auto"/>
        <w:ind w:left="0" w:leftChars="0" w:firstLine="420" w:firstLineChars="200"/>
        <w:jc w:val="left"/>
        <w:textAlignment w:val="auto"/>
        <w:rPr>
          <w:rFonts w:hint="default" w:ascii="Times New Roman" w:hAnsi="Times New Roman" w:eastAsia="宋体" w:cs="Times New Roman"/>
          <w:b/>
          <w:bCs/>
          <w:color w:val="auto"/>
          <w:sz w:val="21"/>
          <w:szCs w:val="21"/>
          <w:highlight w:val="none"/>
          <w:lang w:val="zh-TW" w:eastAsia="zh-CN"/>
        </w:rPr>
      </w:pPr>
      <w:r>
        <w:rPr>
          <w:rFonts w:hint="default" w:ascii="Times New Roman" w:hAnsi="Times New Roman" w:eastAsia="宋体" w:cs="Times New Roman"/>
          <w:color w:val="auto"/>
          <w:szCs w:val="21"/>
          <w:highlight w:val="none"/>
          <w:lang w:val="en-US" w:eastAsia="zh-CN"/>
        </w:rPr>
        <w:t>3</w:t>
      </w:r>
      <w:r>
        <w:rPr>
          <w:rFonts w:hint="default" w:ascii="Times New Roman" w:hAnsi="Times New Roman" w:eastAsia="宋体" w:cs="Times New Roman"/>
          <w:b w:val="0"/>
          <w:bCs w:val="0"/>
          <w:color w:val="auto"/>
          <w:sz w:val="21"/>
          <w:szCs w:val="21"/>
          <w:highlight w:val="none"/>
          <w:lang w:val="en-US" w:eastAsia="zh-CN"/>
        </w:rPr>
        <w:t>.17</w:t>
      </w:r>
      <w:r>
        <w:rPr>
          <w:rFonts w:hint="default" w:ascii="Times New Roman" w:hAnsi="Times New Roman" w:eastAsia="宋体" w:cs="Times New Roman"/>
          <w:b/>
          <w:bCs/>
          <w:color w:val="auto"/>
          <w:sz w:val="21"/>
          <w:szCs w:val="21"/>
          <w:highlight w:val="none"/>
        </w:rPr>
        <w:t xml:space="preserve">  </w:t>
      </w:r>
      <w:r>
        <w:rPr>
          <w:rFonts w:hint="default" w:ascii="Times New Roman" w:hAnsi="Times New Roman" w:eastAsia="宋体" w:cs="Times New Roman"/>
          <w:b w:val="0"/>
          <w:bCs w:val="0"/>
          <w:color w:val="auto"/>
          <w:sz w:val="21"/>
          <w:szCs w:val="21"/>
          <w:highlight w:val="none"/>
          <w:lang w:eastAsia="zh-CN"/>
        </w:rPr>
        <w:t>供应商</w:t>
      </w:r>
      <w:r>
        <w:rPr>
          <w:rFonts w:hint="default" w:ascii="Times New Roman" w:hAnsi="Times New Roman" w:eastAsia="宋体" w:cs="Times New Roman"/>
          <w:b w:val="0"/>
          <w:bCs w:val="0"/>
          <w:color w:val="auto"/>
          <w:sz w:val="21"/>
          <w:szCs w:val="21"/>
          <w:highlight w:val="none"/>
        </w:rPr>
        <w:t>应按自身的工程实施方案及</w:t>
      </w:r>
      <w:r>
        <w:rPr>
          <w:rFonts w:hint="default" w:ascii="Times New Roman" w:hAnsi="Times New Roman" w:eastAsia="宋体" w:cs="Times New Roman"/>
          <w:color w:val="auto"/>
          <w:szCs w:val="21"/>
          <w:highlight w:val="none"/>
          <w:lang w:val="en-US" w:eastAsia="zh-CN"/>
        </w:rPr>
        <w:t>响应</w:t>
      </w:r>
      <w:r>
        <w:rPr>
          <w:rFonts w:hint="default" w:ascii="Times New Roman" w:hAnsi="Times New Roman" w:eastAsia="宋体" w:cs="Times New Roman"/>
          <w:b w:val="0"/>
          <w:bCs w:val="0"/>
          <w:color w:val="auto"/>
          <w:sz w:val="21"/>
          <w:szCs w:val="21"/>
          <w:highlight w:val="none"/>
        </w:rPr>
        <w:t>工期、</w:t>
      </w:r>
      <w:r>
        <w:rPr>
          <w:rFonts w:hint="default" w:ascii="Times New Roman" w:hAnsi="Times New Roman" w:eastAsia="宋体" w:cs="Times New Roman"/>
          <w:b w:val="0"/>
          <w:bCs w:val="0"/>
          <w:color w:val="auto"/>
          <w:sz w:val="21"/>
          <w:szCs w:val="21"/>
          <w:highlight w:val="none"/>
          <w:u w:val="none"/>
        </w:rPr>
        <w:t>拟定的措施项目</w:t>
      </w:r>
      <w:r>
        <w:rPr>
          <w:rFonts w:hint="default" w:ascii="Times New Roman" w:hAnsi="Times New Roman" w:eastAsia="宋体" w:cs="Times New Roman"/>
          <w:b w:val="0"/>
          <w:bCs w:val="0"/>
          <w:color w:val="auto"/>
          <w:sz w:val="21"/>
          <w:szCs w:val="21"/>
          <w:highlight w:val="none"/>
        </w:rPr>
        <w:t>，对措施项目清单进行自主报价。措施项目清单的报价应满足下列因素对价格影响的要求：</w:t>
      </w:r>
    </w:p>
    <w:p w14:paraId="69E01EBB">
      <w:pPr>
        <w:pStyle w:val="19"/>
        <w:keepNext w:val="0"/>
        <w:pageBreakBefore w:val="0"/>
        <w:kinsoku/>
        <w:wordWrap/>
        <w:overflowPunct/>
        <w:topLinePunct w:val="0"/>
        <w:autoSpaceDN/>
        <w:bidi w:val="0"/>
        <w:adjustRightInd/>
        <w:snapToGrid/>
        <w:spacing w:before="0" w:line="360" w:lineRule="auto"/>
        <w:ind w:left="0" w:right="0" w:firstLine="420" w:firstLineChars="200"/>
        <w:jc w:val="left"/>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b w:val="0"/>
          <w:bCs w:val="0"/>
          <w:color w:val="auto"/>
          <w:kern w:val="2"/>
          <w:sz w:val="21"/>
          <w:szCs w:val="21"/>
          <w:highlight w:val="none"/>
          <w:lang w:val="en-US" w:eastAsia="zh-CN" w:bidi="ar-SA"/>
        </w:rPr>
        <w:t>本</w:t>
      </w:r>
      <w:r>
        <w:rPr>
          <w:rFonts w:hint="default" w:ascii="Times New Roman" w:hAnsi="Times New Roman" w:eastAsia="宋体" w:cs="Times New Roman"/>
          <w:b w:val="0"/>
          <w:bCs w:val="0"/>
          <w:color w:val="auto"/>
          <w:kern w:val="2"/>
          <w:sz w:val="21"/>
          <w:szCs w:val="21"/>
          <w:highlight w:val="none"/>
          <w:lang w:val="en-US" w:eastAsia="zh-CN" w:bidi="ar-SA"/>
        </w:rPr>
        <w:t>工程的特点及其标段划分和完工交付标准；</w:t>
      </w:r>
    </w:p>
    <w:p w14:paraId="4891AFFB">
      <w:pPr>
        <w:pStyle w:val="19"/>
        <w:keepNext w:val="0"/>
        <w:pageBreakBefore w:val="0"/>
        <w:kinsoku/>
        <w:wordWrap/>
        <w:overflowPunct/>
        <w:topLinePunct w:val="0"/>
        <w:autoSpaceDN/>
        <w:bidi w:val="0"/>
        <w:adjustRightInd/>
        <w:snapToGrid/>
        <w:spacing w:before="0" w:line="360" w:lineRule="auto"/>
        <w:ind w:left="0" w:right="0" w:firstLine="420" w:firstLineChars="200"/>
        <w:jc w:val="left"/>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b w:val="0"/>
          <w:bCs w:val="0"/>
          <w:color w:val="auto"/>
          <w:kern w:val="2"/>
          <w:sz w:val="21"/>
          <w:szCs w:val="21"/>
          <w:highlight w:val="none"/>
          <w:lang w:val="en-US" w:eastAsia="zh-CN" w:bidi="ar-SA"/>
        </w:rPr>
        <w:t>工程地质条件、邻近建筑物、现场设施情况、周边道路、交通、水文、环境；</w:t>
      </w:r>
    </w:p>
    <w:p w14:paraId="2ACCBE98">
      <w:pPr>
        <w:pStyle w:val="19"/>
        <w:keepNext w:val="0"/>
        <w:pageBreakBefore w:val="0"/>
        <w:kinsoku/>
        <w:wordWrap/>
        <w:overflowPunct/>
        <w:topLinePunct w:val="0"/>
        <w:autoSpaceDN/>
        <w:bidi w:val="0"/>
        <w:adjustRightInd/>
        <w:snapToGrid/>
        <w:spacing w:before="0" w:line="360" w:lineRule="auto"/>
        <w:ind w:left="0" w:right="0" w:firstLine="420" w:firstLineChars="200"/>
        <w:jc w:val="left"/>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b w:val="0"/>
          <w:bCs w:val="0"/>
          <w:color w:val="auto"/>
          <w:kern w:val="2"/>
          <w:sz w:val="21"/>
          <w:szCs w:val="21"/>
          <w:highlight w:val="none"/>
          <w:lang w:val="en-US" w:eastAsia="zh-CN" w:bidi="ar-SA"/>
        </w:rPr>
        <w:t>采购文件说明的相关合同责任；</w:t>
      </w:r>
    </w:p>
    <w:p w14:paraId="2883DD15">
      <w:pPr>
        <w:pStyle w:val="19"/>
        <w:keepNext w:val="0"/>
        <w:pageBreakBefore w:val="0"/>
        <w:kinsoku/>
        <w:wordWrap/>
        <w:overflowPunct/>
        <w:topLinePunct w:val="0"/>
        <w:autoSpaceDN/>
        <w:bidi w:val="0"/>
        <w:adjustRightInd/>
        <w:snapToGrid/>
        <w:spacing w:before="0" w:line="360" w:lineRule="auto"/>
        <w:ind w:left="0" w:right="0" w:firstLine="420" w:firstLineChars="200"/>
        <w:jc w:val="left"/>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b w:val="0"/>
          <w:bCs w:val="0"/>
          <w:color w:val="auto"/>
          <w:kern w:val="2"/>
          <w:sz w:val="21"/>
          <w:szCs w:val="21"/>
          <w:highlight w:val="none"/>
          <w:lang w:val="en-US" w:eastAsia="zh-CN" w:bidi="ar-SA"/>
        </w:rPr>
        <w:t>采购文件规定的承包风险；</w:t>
      </w:r>
    </w:p>
    <w:p w14:paraId="0000A304">
      <w:pPr>
        <w:keepNext w:val="0"/>
        <w:keepLines w:val="0"/>
        <w:pageBreakBefore w:val="0"/>
        <w:widowControl w:val="0"/>
        <w:kinsoku/>
        <w:wordWrap/>
        <w:overflowPunct/>
        <w:topLinePunct w:val="0"/>
        <w:autoSpaceDE w:val="0"/>
        <w:autoSpaceDN/>
        <w:bidi w:val="0"/>
        <w:adjustRightInd/>
        <w:snapToGrid/>
        <w:spacing w:line="360" w:lineRule="auto"/>
        <w:ind w:left="0" w:right="0" w:firstLine="420" w:firstLineChars="20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strike w:val="0"/>
          <w:color w:val="auto"/>
          <w:sz w:val="21"/>
          <w:szCs w:val="21"/>
          <w:highlight w:val="none"/>
        </w:rPr>
        <w:t>除</w:t>
      </w:r>
      <w:r>
        <w:rPr>
          <w:rFonts w:hint="default" w:ascii="Times New Roman" w:hAnsi="Times New Roman" w:eastAsia="宋体" w:cs="Times New Roman"/>
          <w:color w:val="auto"/>
          <w:sz w:val="21"/>
          <w:szCs w:val="21"/>
          <w:highlight w:val="none"/>
        </w:rPr>
        <w:t>工程变</w:t>
      </w:r>
      <w:r>
        <w:rPr>
          <w:rFonts w:hint="default" w:ascii="Times New Roman" w:hAnsi="Times New Roman" w:eastAsia="宋体" w:cs="Times New Roman"/>
          <w:b w:val="0"/>
          <w:bCs w:val="0"/>
          <w:color w:val="auto"/>
          <w:kern w:val="2"/>
          <w:sz w:val="21"/>
          <w:szCs w:val="21"/>
          <w:highlight w:val="none"/>
          <w:lang w:val="en-US" w:eastAsia="zh-CN" w:bidi="ar-SA"/>
        </w:rPr>
        <w:t>更、新增工程、工程索赔等引起的措施项目费用调整外，执行措施项目费用包干引起的承包风险</w:t>
      </w:r>
      <w:r>
        <w:rPr>
          <w:rFonts w:hint="default" w:ascii="Times New Roman" w:hAnsi="Times New Roman" w:eastAsia="宋体" w:cs="Times New Roman"/>
          <w:color w:val="auto"/>
          <w:sz w:val="21"/>
          <w:szCs w:val="21"/>
          <w:highlight w:val="none"/>
        </w:rPr>
        <w:t>。</w:t>
      </w:r>
    </w:p>
    <w:p w14:paraId="24DEBCEC">
      <w:pPr>
        <w:pageBreakBefore w:val="0"/>
        <w:kinsoku/>
        <w:wordWrap/>
        <w:overflowPunct/>
        <w:topLinePunct w:val="0"/>
        <w:autoSpaceDE/>
        <w:autoSpaceDN/>
        <w:bidi w:val="0"/>
        <w:adjustRightInd/>
        <w:snapToGrid/>
        <w:spacing w:line="360" w:lineRule="auto"/>
        <w:ind w:left="0" w:leftChars="0" w:firstLine="420" w:firstLineChars="20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Cs w:val="21"/>
          <w:highlight w:val="none"/>
          <w:lang w:val="en-US" w:eastAsia="zh-CN"/>
        </w:rPr>
        <w:t>3</w:t>
      </w:r>
      <w:r>
        <w:rPr>
          <w:rFonts w:hint="default" w:ascii="Times New Roman" w:hAnsi="Times New Roman" w:eastAsia="宋体" w:cs="Times New Roman"/>
          <w:b w:val="0"/>
          <w:bCs w:val="0"/>
          <w:color w:val="auto"/>
          <w:sz w:val="21"/>
          <w:szCs w:val="21"/>
          <w:highlight w:val="none"/>
          <w:lang w:val="en-US" w:eastAsia="zh-CN"/>
        </w:rPr>
        <w:t>.18</w:t>
      </w:r>
      <w:r>
        <w:rPr>
          <w:rFonts w:hint="default" w:ascii="Times New Roman" w:hAnsi="Times New Roman" w:eastAsia="宋体" w:cs="Times New Roman"/>
          <w:b/>
          <w:bCs/>
          <w:color w:val="auto"/>
          <w:sz w:val="21"/>
          <w:szCs w:val="21"/>
          <w:highlight w:val="none"/>
        </w:rPr>
        <w:t xml:space="preserve">  </w:t>
      </w:r>
      <w:r>
        <w:rPr>
          <w:rFonts w:hint="default" w:ascii="Times New Roman" w:hAnsi="Times New Roman" w:eastAsia="宋体" w:cs="Times New Roman"/>
          <w:bCs/>
          <w:color w:val="auto"/>
          <w:sz w:val="21"/>
          <w:szCs w:val="21"/>
          <w:highlight w:val="none"/>
          <w:lang w:eastAsia="zh-CN"/>
        </w:rPr>
        <w:t>供应商</w:t>
      </w:r>
      <w:r>
        <w:rPr>
          <w:rFonts w:hint="default" w:ascii="Times New Roman" w:hAnsi="Times New Roman" w:eastAsia="宋体" w:cs="Times New Roman"/>
          <w:bCs/>
          <w:color w:val="auto"/>
          <w:sz w:val="21"/>
          <w:szCs w:val="21"/>
          <w:highlight w:val="none"/>
        </w:rPr>
        <w:t>应按工程量清单</w:t>
      </w:r>
      <w:r>
        <w:rPr>
          <w:rFonts w:hint="default" w:ascii="Times New Roman" w:hAnsi="Times New Roman" w:eastAsia="宋体" w:cs="Times New Roman"/>
          <w:color w:val="auto"/>
          <w:sz w:val="21"/>
          <w:szCs w:val="21"/>
          <w:highlight w:val="none"/>
        </w:rPr>
        <w:t>中提供的暂列金额、</w:t>
      </w:r>
      <w:r>
        <w:rPr>
          <w:rFonts w:hint="default" w:ascii="Times New Roman" w:hAnsi="Times New Roman" w:eastAsia="宋体" w:cs="Times New Roman"/>
          <w:color w:val="auto"/>
          <w:sz w:val="21"/>
          <w:szCs w:val="21"/>
          <w:highlight w:val="none"/>
          <w:lang w:eastAsia="zh-CN"/>
        </w:rPr>
        <w:t>材料暂估价、</w:t>
      </w:r>
      <w:r>
        <w:rPr>
          <w:rFonts w:hint="default" w:ascii="Times New Roman" w:hAnsi="Times New Roman" w:eastAsia="宋体" w:cs="Times New Roman"/>
          <w:color w:val="auto"/>
          <w:sz w:val="21"/>
          <w:szCs w:val="21"/>
          <w:highlight w:val="none"/>
        </w:rPr>
        <w:t>专业工程暂估价，准确填报在</w:t>
      </w:r>
      <w:r>
        <w:rPr>
          <w:rFonts w:hint="default" w:ascii="Times New Roman" w:hAnsi="Times New Roman" w:eastAsia="宋体" w:cs="Times New Roman"/>
          <w:color w:val="auto"/>
          <w:sz w:val="21"/>
          <w:szCs w:val="21"/>
          <w:highlight w:val="none"/>
          <w:lang w:val="en-US"/>
        </w:rPr>
        <w:t>其他项目清单</w:t>
      </w:r>
      <w:r>
        <w:rPr>
          <w:rFonts w:hint="default" w:ascii="Times New Roman" w:hAnsi="Times New Roman" w:eastAsia="宋体" w:cs="Times New Roman"/>
          <w:color w:val="auto"/>
          <w:sz w:val="21"/>
          <w:szCs w:val="21"/>
          <w:highlight w:val="none"/>
        </w:rPr>
        <w:t>内。</w:t>
      </w:r>
    </w:p>
    <w:p w14:paraId="2E71F779">
      <w:pPr>
        <w:pageBreakBefore w:val="0"/>
        <w:kinsoku/>
        <w:wordWrap/>
        <w:overflowPunct/>
        <w:topLinePunct w:val="0"/>
        <w:autoSpaceDE/>
        <w:autoSpaceDN/>
        <w:bidi w:val="0"/>
        <w:adjustRightInd/>
        <w:snapToGrid/>
        <w:spacing w:line="360" w:lineRule="auto"/>
        <w:ind w:left="0" w:leftChars="0" w:firstLine="420" w:firstLineChars="200"/>
        <w:jc w:val="left"/>
        <w:textAlignment w:val="auto"/>
        <w:rPr>
          <w:rFonts w:hint="default" w:ascii="Times New Roman" w:hAnsi="Times New Roman" w:eastAsia="宋体" w:cs="Times New Roman"/>
          <w:color w:val="auto"/>
          <w:sz w:val="21"/>
          <w:szCs w:val="21"/>
          <w:highlight w:val="none"/>
          <w:lang w:val="zh-TW"/>
        </w:rPr>
      </w:pPr>
      <w:r>
        <w:rPr>
          <w:rFonts w:hint="default" w:ascii="Times New Roman" w:hAnsi="Times New Roman" w:eastAsia="宋体" w:cs="Times New Roman"/>
          <w:color w:val="auto"/>
          <w:szCs w:val="21"/>
          <w:highlight w:val="none"/>
          <w:lang w:val="en-US" w:eastAsia="zh-CN"/>
        </w:rPr>
        <w:t>3</w:t>
      </w:r>
      <w:r>
        <w:rPr>
          <w:rFonts w:hint="default" w:ascii="Times New Roman" w:hAnsi="Times New Roman" w:eastAsia="宋体" w:cs="Times New Roman"/>
          <w:b w:val="0"/>
          <w:bCs w:val="0"/>
          <w:color w:val="auto"/>
          <w:sz w:val="21"/>
          <w:szCs w:val="21"/>
          <w:highlight w:val="none"/>
          <w:lang w:val="en-US" w:eastAsia="zh-CN"/>
        </w:rPr>
        <w:t>.19</w:t>
      </w:r>
      <w:r>
        <w:rPr>
          <w:rFonts w:hint="default" w:ascii="Times New Roman" w:hAnsi="Times New Roman" w:eastAsia="宋体" w:cs="Times New Roman"/>
          <w:b/>
          <w:bCs/>
          <w:color w:val="auto"/>
          <w:sz w:val="21"/>
          <w:szCs w:val="21"/>
          <w:highlight w:val="none"/>
        </w:rPr>
        <w:t xml:space="preserve">  </w:t>
      </w:r>
      <w:r>
        <w:rPr>
          <w:rFonts w:hint="default" w:ascii="Times New Roman" w:hAnsi="Times New Roman" w:eastAsia="宋体" w:cs="Times New Roman"/>
          <w:b w:val="0"/>
          <w:bCs w:val="0"/>
          <w:color w:val="auto"/>
          <w:sz w:val="21"/>
          <w:szCs w:val="21"/>
          <w:highlight w:val="none"/>
          <w:lang w:eastAsia="zh-CN"/>
        </w:rPr>
        <w:t>供应商</w:t>
      </w:r>
      <w:r>
        <w:rPr>
          <w:rFonts w:hint="default" w:ascii="Times New Roman" w:hAnsi="Times New Roman" w:eastAsia="宋体" w:cs="Times New Roman"/>
          <w:b w:val="0"/>
          <w:bCs w:val="0"/>
          <w:color w:val="auto"/>
          <w:sz w:val="21"/>
          <w:szCs w:val="21"/>
          <w:highlight w:val="none"/>
        </w:rPr>
        <w:t>应按工程实施方案和对</w:t>
      </w:r>
      <w:r>
        <w:rPr>
          <w:rFonts w:hint="default" w:ascii="Times New Roman" w:hAnsi="Times New Roman" w:eastAsia="宋体" w:cs="Times New Roman"/>
          <w:b w:val="0"/>
          <w:bCs w:val="0"/>
          <w:color w:val="auto"/>
          <w:sz w:val="21"/>
          <w:szCs w:val="21"/>
          <w:highlight w:val="none"/>
          <w:lang w:val="en-US"/>
        </w:rPr>
        <w:t>暂估</w:t>
      </w:r>
      <w:r>
        <w:rPr>
          <w:rFonts w:hint="default" w:ascii="Times New Roman" w:hAnsi="Times New Roman" w:eastAsia="宋体" w:cs="Times New Roman"/>
          <w:b w:val="0"/>
          <w:bCs w:val="0"/>
          <w:color w:val="auto"/>
          <w:sz w:val="21"/>
          <w:szCs w:val="21"/>
          <w:highlight w:val="none"/>
        </w:rPr>
        <w:t>专业工程的工期安排，以及对发包人提供材料的供应履行管理及协调责任、对各</w:t>
      </w:r>
      <w:r>
        <w:rPr>
          <w:rFonts w:hint="default" w:ascii="Times New Roman" w:hAnsi="Times New Roman" w:eastAsia="宋体" w:cs="Times New Roman"/>
          <w:b w:val="0"/>
          <w:bCs w:val="0"/>
          <w:color w:val="auto"/>
          <w:sz w:val="21"/>
          <w:szCs w:val="21"/>
          <w:highlight w:val="none"/>
          <w:lang w:val="en-US"/>
        </w:rPr>
        <w:t>暂估</w:t>
      </w:r>
      <w:r>
        <w:rPr>
          <w:rFonts w:hint="default" w:ascii="Times New Roman" w:hAnsi="Times New Roman" w:eastAsia="宋体" w:cs="Times New Roman"/>
          <w:b w:val="0"/>
          <w:bCs w:val="0"/>
          <w:color w:val="auto"/>
          <w:sz w:val="21"/>
          <w:szCs w:val="21"/>
          <w:highlight w:val="none"/>
        </w:rPr>
        <w:t>专业工程履行协调及配合责任等</w:t>
      </w:r>
      <w:r>
        <w:rPr>
          <w:rFonts w:hint="default" w:ascii="Times New Roman" w:hAnsi="Times New Roman" w:eastAsia="宋体" w:cs="Times New Roman"/>
          <w:b w:val="0"/>
          <w:bCs w:val="0"/>
          <w:color w:val="auto"/>
          <w:sz w:val="21"/>
          <w:szCs w:val="21"/>
          <w:highlight w:val="none"/>
          <w:lang w:eastAsia="zh-CN"/>
        </w:rPr>
        <w:t>采购</w:t>
      </w:r>
      <w:r>
        <w:rPr>
          <w:rFonts w:hint="default" w:ascii="Times New Roman" w:hAnsi="Times New Roman" w:eastAsia="宋体" w:cs="Times New Roman"/>
          <w:b w:val="0"/>
          <w:bCs w:val="0"/>
          <w:color w:val="auto"/>
          <w:sz w:val="21"/>
          <w:szCs w:val="21"/>
          <w:highlight w:val="none"/>
        </w:rPr>
        <w:t>文件规定的总承包服务内容及要求进行投标报价，并应满足总承包服务费计价风险的要求。</w:t>
      </w:r>
    </w:p>
    <w:p w14:paraId="00AB5340">
      <w:pPr>
        <w:pageBreakBefore w:val="0"/>
        <w:kinsoku/>
        <w:wordWrap/>
        <w:overflowPunct/>
        <w:topLinePunct w:val="0"/>
        <w:autoSpaceDE/>
        <w:autoSpaceDN/>
        <w:bidi w:val="0"/>
        <w:adjustRightInd/>
        <w:snapToGrid/>
        <w:spacing w:line="360" w:lineRule="auto"/>
        <w:ind w:left="0" w:leftChars="0" w:firstLine="420" w:firstLineChars="200"/>
        <w:jc w:val="left"/>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Cs w:val="21"/>
          <w:highlight w:val="none"/>
          <w:lang w:val="en-US" w:eastAsia="zh-CN"/>
        </w:rPr>
        <w:t>3</w:t>
      </w:r>
      <w:r>
        <w:rPr>
          <w:rFonts w:hint="default" w:ascii="Times New Roman" w:hAnsi="Times New Roman" w:eastAsia="宋体" w:cs="Times New Roman"/>
          <w:b w:val="0"/>
          <w:bCs w:val="0"/>
          <w:color w:val="auto"/>
          <w:sz w:val="21"/>
          <w:szCs w:val="21"/>
          <w:highlight w:val="none"/>
          <w:lang w:val="en-US" w:eastAsia="zh-CN"/>
        </w:rPr>
        <w:t>.20</w:t>
      </w:r>
      <w:r>
        <w:rPr>
          <w:rFonts w:hint="default" w:ascii="Times New Roman" w:hAnsi="Times New Roman" w:eastAsia="宋体" w:cs="Times New Roman"/>
          <w:bCs/>
          <w:color w:val="auto"/>
          <w:sz w:val="21"/>
          <w:szCs w:val="21"/>
          <w:highlight w:val="none"/>
        </w:rPr>
        <w:t xml:space="preserve">  </w:t>
      </w:r>
      <w:r>
        <w:rPr>
          <w:rFonts w:hint="default" w:ascii="Times New Roman" w:hAnsi="Times New Roman" w:eastAsia="宋体" w:cs="Times New Roman"/>
          <w:b w:val="0"/>
          <w:bCs w:val="0"/>
          <w:color w:val="auto"/>
          <w:sz w:val="21"/>
          <w:szCs w:val="21"/>
          <w:highlight w:val="none"/>
          <w:lang w:eastAsia="zh-CN"/>
        </w:rPr>
        <w:t>供应商</w:t>
      </w:r>
      <w:r>
        <w:rPr>
          <w:rFonts w:hint="default" w:ascii="Times New Roman" w:hAnsi="Times New Roman" w:eastAsia="宋体" w:cs="Times New Roman"/>
          <w:b w:val="0"/>
          <w:bCs w:val="0"/>
          <w:color w:val="auto"/>
          <w:sz w:val="21"/>
          <w:szCs w:val="21"/>
          <w:highlight w:val="none"/>
        </w:rPr>
        <w:t>应在</w:t>
      </w:r>
      <w:r>
        <w:rPr>
          <w:rFonts w:hint="default" w:ascii="Times New Roman" w:hAnsi="Times New Roman" w:eastAsia="宋体" w:cs="Times New Roman"/>
          <w:color w:val="auto"/>
          <w:szCs w:val="21"/>
          <w:highlight w:val="none"/>
          <w:lang w:val="en-US" w:eastAsia="zh-CN"/>
        </w:rPr>
        <w:t>响应</w:t>
      </w:r>
      <w:r>
        <w:rPr>
          <w:rFonts w:hint="default" w:ascii="Times New Roman" w:hAnsi="Times New Roman" w:eastAsia="宋体" w:cs="Times New Roman"/>
          <w:b w:val="0"/>
          <w:bCs w:val="0"/>
          <w:color w:val="auto"/>
          <w:sz w:val="21"/>
          <w:szCs w:val="21"/>
          <w:highlight w:val="none"/>
        </w:rPr>
        <w:t>文件递交时完整递交与已标价工程量清单中综合单价及合价一致的费用构成明细表，相关表格应符合《分部分项工程项目清单综合单价分析表</w:t>
      </w:r>
      <w:r>
        <w:rPr>
          <w:rFonts w:hint="default" w:ascii="Times New Roman" w:hAnsi="Times New Roman" w:eastAsia="宋体" w:cs="Times New Roman"/>
          <w:b w:val="0"/>
          <w:bCs w:val="0"/>
          <w:color w:val="auto"/>
          <w:sz w:val="21"/>
          <w:szCs w:val="21"/>
          <w:highlight w:val="none"/>
          <w:lang w:eastAsia="zh-CN"/>
        </w:rPr>
        <w:t>》《</w:t>
      </w:r>
      <w:r>
        <w:rPr>
          <w:rFonts w:hint="default" w:ascii="Times New Roman" w:hAnsi="Times New Roman" w:eastAsia="宋体" w:cs="Times New Roman"/>
          <w:b w:val="0"/>
          <w:bCs w:val="0"/>
          <w:color w:val="auto"/>
          <w:sz w:val="21"/>
          <w:szCs w:val="21"/>
          <w:highlight w:val="none"/>
          <w:lang w:val="en-US" w:eastAsia="zh-CN"/>
        </w:rPr>
        <w:t>技术措施</w:t>
      </w:r>
      <w:r>
        <w:rPr>
          <w:rFonts w:hint="default" w:ascii="Times New Roman" w:hAnsi="Times New Roman" w:eastAsia="宋体" w:cs="Times New Roman"/>
          <w:b w:val="0"/>
          <w:bCs w:val="0"/>
          <w:color w:val="auto"/>
          <w:sz w:val="21"/>
          <w:szCs w:val="21"/>
          <w:highlight w:val="none"/>
        </w:rPr>
        <w:t>综合单价分析表》</w:t>
      </w:r>
      <w:r>
        <w:rPr>
          <w:rFonts w:hint="default" w:ascii="Times New Roman" w:hAnsi="Times New Roman" w:eastAsia="宋体" w:cs="Times New Roman"/>
          <w:b w:val="0"/>
          <w:bCs w:val="0"/>
          <w:color w:val="auto"/>
          <w:sz w:val="21"/>
          <w:szCs w:val="21"/>
          <w:highlight w:val="none"/>
          <w:lang w:val="en-US" w:eastAsia="zh-CN"/>
        </w:rPr>
        <w:t>要求</w:t>
      </w:r>
      <w:r>
        <w:rPr>
          <w:rFonts w:hint="default" w:ascii="Times New Roman" w:hAnsi="Times New Roman" w:eastAsia="宋体" w:cs="Times New Roman"/>
          <w:b w:val="0"/>
          <w:bCs w:val="0"/>
          <w:color w:val="auto"/>
          <w:sz w:val="21"/>
          <w:szCs w:val="21"/>
          <w:highlight w:val="none"/>
        </w:rPr>
        <w:t>。</w:t>
      </w:r>
    </w:p>
    <w:p w14:paraId="062E3141">
      <w:pPr>
        <w:pageBreakBefore w:val="0"/>
        <w:kinsoku/>
        <w:wordWrap/>
        <w:overflowPunct/>
        <w:topLinePunct w:val="0"/>
        <w:autoSpaceDE/>
        <w:autoSpaceDN/>
        <w:bidi w:val="0"/>
        <w:adjustRightInd/>
        <w:snapToGrid/>
        <w:spacing w:line="360" w:lineRule="auto"/>
        <w:ind w:left="0" w:leftChars="0" w:firstLine="420" w:firstLineChars="200"/>
        <w:jc w:val="left"/>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szCs w:val="21"/>
          <w:highlight w:val="none"/>
          <w:lang w:val="en-US" w:eastAsia="zh-CN"/>
        </w:rPr>
        <w:t>3</w:t>
      </w:r>
      <w:r>
        <w:rPr>
          <w:rFonts w:hint="default" w:ascii="Times New Roman" w:hAnsi="Times New Roman" w:eastAsia="宋体" w:cs="Times New Roman"/>
          <w:b w:val="0"/>
          <w:bCs/>
          <w:color w:val="auto"/>
          <w:sz w:val="21"/>
          <w:szCs w:val="21"/>
          <w:highlight w:val="none"/>
          <w:lang w:val="en-US" w:eastAsia="zh-CN"/>
        </w:rPr>
        <w:t>.21</w:t>
      </w:r>
      <w:r>
        <w:rPr>
          <w:rFonts w:hint="default" w:ascii="Times New Roman" w:hAnsi="Times New Roman" w:eastAsia="宋体" w:cs="Times New Roman"/>
          <w:color w:val="auto"/>
          <w:sz w:val="21"/>
          <w:szCs w:val="21"/>
          <w:highlight w:val="none"/>
        </w:rPr>
        <w:t xml:space="preserve">  </w:t>
      </w:r>
      <w:r>
        <w:rPr>
          <w:rFonts w:hint="default" w:ascii="Times New Roman" w:hAnsi="Times New Roman" w:eastAsia="宋体" w:cs="Times New Roman"/>
          <w:b w:val="0"/>
          <w:bCs w:val="0"/>
          <w:color w:val="auto"/>
          <w:sz w:val="21"/>
          <w:szCs w:val="21"/>
          <w:highlight w:val="none"/>
          <w:lang w:val="en-US" w:eastAsia="zh-CN"/>
        </w:rPr>
        <w:t>供应商应根据政府有关主管部门的规定计算增值税。</w:t>
      </w:r>
    </w:p>
    <w:p w14:paraId="712EAA4A">
      <w:pPr>
        <w:spacing w:line="360" w:lineRule="auto"/>
        <w:ind w:firstLine="420" w:firstLineChars="200"/>
        <w:jc w:val="left"/>
        <w:rPr>
          <w:rFonts w:hint="default" w:ascii="Times New Roman" w:hAnsi="Times New Roman" w:eastAsia="宋体" w:cs="Times New Roman"/>
          <w:color w:val="auto"/>
          <w:sz w:val="21"/>
          <w:szCs w:val="21"/>
          <w:highlight w:val="none"/>
          <w:lang w:val="en"/>
        </w:rPr>
      </w:pPr>
      <w:r>
        <w:rPr>
          <w:rFonts w:hint="default" w:ascii="Times New Roman" w:hAnsi="Times New Roman" w:eastAsia="宋体" w:cs="Times New Roman"/>
          <w:color w:val="auto"/>
          <w:szCs w:val="21"/>
          <w:highlight w:val="none"/>
          <w:lang w:val="en-US" w:eastAsia="zh-CN"/>
        </w:rPr>
        <w:t>3</w:t>
      </w:r>
      <w:r>
        <w:rPr>
          <w:rFonts w:hint="default" w:ascii="Times New Roman" w:hAnsi="Times New Roman" w:eastAsia="宋体" w:cs="Times New Roman"/>
          <w:b w:val="0"/>
          <w:bCs w:val="0"/>
          <w:color w:val="auto"/>
          <w:sz w:val="21"/>
          <w:szCs w:val="21"/>
          <w:highlight w:val="none"/>
          <w:lang w:val="en-US" w:eastAsia="zh-CN"/>
        </w:rPr>
        <w:t>.22</w:t>
      </w:r>
      <w:r>
        <w:rPr>
          <w:rFonts w:hint="default" w:ascii="Times New Roman" w:hAnsi="Times New Roman" w:eastAsia="宋体" w:cs="Times New Roman"/>
          <w:color w:val="auto"/>
          <w:sz w:val="21"/>
          <w:szCs w:val="21"/>
          <w:highlight w:val="none"/>
          <w:lang w:val="en"/>
        </w:rPr>
        <w:t xml:space="preserve"> </w:t>
      </w:r>
      <w:r>
        <w:rPr>
          <w:rFonts w:hint="default" w:ascii="Times New Roman" w:hAnsi="Times New Roman" w:eastAsia="宋体" w:cs="Times New Roman"/>
          <w:color w:val="auto"/>
          <w:sz w:val="21"/>
          <w:szCs w:val="21"/>
          <w:highlight w:val="none"/>
          <w:lang w:val="en" w:eastAsia="zh-CN"/>
        </w:rPr>
        <w:t>供应商</w:t>
      </w:r>
      <w:r>
        <w:rPr>
          <w:rFonts w:hint="default" w:ascii="Times New Roman" w:hAnsi="Times New Roman" w:eastAsia="宋体" w:cs="Times New Roman"/>
          <w:color w:val="auto"/>
          <w:sz w:val="21"/>
          <w:szCs w:val="21"/>
          <w:highlight w:val="none"/>
          <w:lang w:val="en"/>
        </w:rPr>
        <w:t>响应</w:t>
      </w:r>
      <w:r>
        <w:rPr>
          <w:rFonts w:hint="default" w:ascii="Times New Roman" w:hAnsi="Times New Roman" w:eastAsia="宋体" w:cs="Times New Roman"/>
          <w:color w:val="auto"/>
          <w:sz w:val="21"/>
          <w:szCs w:val="21"/>
          <w:highlight w:val="none"/>
          <w:lang w:val="en" w:eastAsia="zh-CN"/>
        </w:rPr>
        <w:t>采购</w:t>
      </w:r>
      <w:r>
        <w:rPr>
          <w:rFonts w:hint="default" w:ascii="Times New Roman" w:hAnsi="Times New Roman" w:eastAsia="宋体" w:cs="Times New Roman"/>
          <w:color w:val="auto"/>
          <w:sz w:val="21"/>
          <w:szCs w:val="21"/>
          <w:highlight w:val="none"/>
          <w:lang w:val="en"/>
        </w:rPr>
        <w:t>文件的要求填写</w:t>
      </w:r>
      <w:r>
        <w:rPr>
          <w:rFonts w:hint="default" w:ascii="Times New Roman" w:hAnsi="Times New Roman" w:eastAsia="宋体" w:cs="Times New Roman"/>
          <w:color w:val="auto"/>
          <w:sz w:val="21"/>
          <w:szCs w:val="21"/>
          <w:highlight w:val="none"/>
          <w:lang w:val="en-US"/>
        </w:rPr>
        <w:t>《</w:t>
      </w:r>
      <w:r>
        <w:rPr>
          <w:rFonts w:hint="default" w:ascii="Times New Roman" w:hAnsi="Times New Roman" w:eastAsia="宋体" w:cs="Times New Roman"/>
          <w:color w:val="auto"/>
          <w:sz w:val="21"/>
          <w:szCs w:val="21"/>
          <w:highlight w:val="none"/>
          <w:lang w:val="en" w:eastAsia="zh-CN"/>
        </w:rPr>
        <w:t>允许调整价格的主要材料</w:t>
      </w:r>
      <w:r>
        <w:rPr>
          <w:rFonts w:hint="default" w:ascii="Times New Roman" w:hAnsi="Times New Roman" w:eastAsia="宋体" w:cs="Times New Roman"/>
          <w:color w:val="auto"/>
          <w:sz w:val="21"/>
          <w:szCs w:val="21"/>
          <w:highlight w:val="none"/>
          <w:lang w:val="en"/>
        </w:rPr>
        <w:t>一览表</w:t>
      </w:r>
      <w:r>
        <w:rPr>
          <w:rFonts w:hint="default" w:ascii="Times New Roman" w:hAnsi="Times New Roman" w:eastAsia="宋体" w:cs="Times New Roman"/>
          <w:color w:val="auto"/>
          <w:sz w:val="21"/>
          <w:szCs w:val="21"/>
          <w:highlight w:val="none"/>
          <w:lang w:val="en-US"/>
        </w:rPr>
        <w:t>》</w:t>
      </w:r>
      <w:r>
        <w:rPr>
          <w:rFonts w:hint="default" w:ascii="Times New Roman" w:hAnsi="Times New Roman" w:eastAsia="宋体" w:cs="Times New Roman"/>
          <w:color w:val="auto"/>
          <w:sz w:val="21"/>
          <w:szCs w:val="21"/>
          <w:highlight w:val="none"/>
          <w:lang w:val="en"/>
        </w:rPr>
        <w:t>相应材料的投标报价</w:t>
      </w:r>
      <w:r>
        <w:rPr>
          <w:rFonts w:hint="default" w:ascii="Times New Roman" w:hAnsi="Times New Roman" w:eastAsia="宋体" w:cs="Times New Roman"/>
          <w:color w:val="auto"/>
          <w:sz w:val="21"/>
          <w:szCs w:val="21"/>
          <w:highlight w:val="none"/>
          <w:lang w:val="en-US" w:eastAsia="zh-CN"/>
        </w:rPr>
        <w:t>或</w:t>
      </w:r>
      <w:r>
        <w:rPr>
          <w:rFonts w:hint="default" w:ascii="Times New Roman" w:hAnsi="Times New Roman" w:eastAsia="宋体" w:cs="Times New Roman"/>
          <w:color w:val="auto"/>
          <w:sz w:val="21"/>
          <w:szCs w:val="21"/>
          <w:highlight w:val="none"/>
          <w:lang w:val="en" w:eastAsia="zh-CN"/>
        </w:rPr>
        <w:t>《</w:t>
      </w:r>
      <w:r>
        <w:rPr>
          <w:rFonts w:hint="default" w:ascii="Times New Roman" w:hAnsi="Times New Roman" w:eastAsia="宋体" w:cs="Times New Roman"/>
          <w:b w:val="0"/>
          <w:bCs w:val="0"/>
          <w:color w:val="auto"/>
          <w:sz w:val="21"/>
          <w:szCs w:val="21"/>
          <w:highlight w:val="none"/>
          <w:lang w:val="en" w:eastAsia="zh-CN"/>
        </w:rPr>
        <w:t>人工及主要材料可调因子价格指数及</w:t>
      </w:r>
      <w:r>
        <w:rPr>
          <w:rFonts w:hint="default" w:ascii="Times New Roman" w:hAnsi="Times New Roman" w:eastAsia="宋体" w:cs="Times New Roman"/>
          <w:b w:val="0"/>
          <w:bCs w:val="0"/>
          <w:color w:val="auto"/>
          <w:sz w:val="21"/>
          <w:szCs w:val="21"/>
          <w:highlight w:val="none"/>
          <w:lang w:val="en"/>
        </w:rPr>
        <w:t>权重表</w:t>
      </w:r>
      <w:r>
        <w:rPr>
          <w:rFonts w:hint="default" w:ascii="Times New Roman" w:hAnsi="Times New Roman" w:eastAsia="宋体" w:cs="Times New Roman"/>
          <w:b w:val="0"/>
          <w:bCs w:val="0"/>
          <w:color w:val="auto"/>
          <w:sz w:val="21"/>
          <w:szCs w:val="21"/>
          <w:highlight w:val="none"/>
          <w:lang w:val="en" w:eastAsia="zh-CN"/>
        </w:rPr>
        <w:t>》</w:t>
      </w:r>
      <w:r>
        <w:rPr>
          <w:rFonts w:hint="default" w:ascii="Times New Roman" w:hAnsi="Times New Roman" w:eastAsia="宋体" w:cs="Times New Roman"/>
          <w:b w:val="0"/>
          <w:bCs w:val="0"/>
          <w:color w:val="auto"/>
          <w:sz w:val="21"/>
          <w:szCs w:val="21"/>
          <w:highlight w:val="none"/>
          <w:lang w:val="en-US" w:eastAsia="zh-CN"/>
        </w:rPr>
        <w:t>表中可调因子权重</w:t>
      </w:r>
      <w:r>
        <w:rPr>
          <w:rFonts w:hint="default" w:ascii="Times New Roman" w:hAnsi="Times New Roman" w:eastAsia="宋体" w:cs="Times New Roman"/>
          <w:color w:val="auto"/>
          <w:sz w:val="21"/>
          <w:szCs w:val="21"/>
          <w:highlight w:val="none"/>
          <w:lang w:val="en"/>
        </w:rPr>
        <w:t>。</w:t>
      </w:r>
      <w:r>
        <w:rPr>
          <w:rFonts w:hint="default" w:ascii="Times New Roman" w:hAnsi="Times New Roman" w:eastAsia="宋体" w:cs="Times New Roman"/>
          <w:color w:val="auto"/>
          <w:sz w:val="21"/>
          <w:szCs w:val="21"/>
          <w:highlight w:val="none"/>
          <w:lang w:val="en" w:eastAsia="zh-CN"/>
        </w:rPr>
        <w:t>供应商</w:t>
      </w:r>
      <w:r>
        <w:rPr>
          <w:rFonts w:hint="default" w:ascii="Times New Roman" w:hAnsi="Times New Roman" w:eastAsia="宋体" w:cs="Times New Roman"/>
          <w:color w:val="auto"/>
          <w:sz w:val="21"/>
          <w:szCs w:val="21"/>
          <w:highlight w:val="none"/>
          <w:lang w:val="en"/>
        </w:rPr>
        <w:t>若发现</w:t>
      </w:r>
      <w:r>
        <w:rPr>
          <w:rFonts w:hint="default" w:ascii="Times New Roman" w:hAnsi="Times New Roman" w:eastAsia="宋体" w:cs="Times New Roman"/>
          <w:color w:val="auto"/>
          <w:sz w:val="21"/>
          <w:szCs w:val="21"/>
          <w:highlight w:val="none"/>
          <w:lang w:val="en" w:eastAsia="zh-CN"/>
        </w:rPr>
        <w:t>采购</w:t>
      </w:r>
      <w:r>
        <w:rPr>
          <w:rFonts w:hint="default" w:ascii="Times New Roman" w:hAnsi="Times New Roman" w:eastAsia="宋体" w:cs="Times New Roman"/>
          <w:color w:val="auto"/>
          <w:sz w:val="21"/>
          <w:szCs w:val="21"/>
          <w:highlight w:val="none"/>
          <w:lang w:val="en"/>
        </w:rPr>
        <w:t>人提供的工程量清单或发包人要求中无</w:t>
      </w:r>
      <w:r>
        <w:rPr>
          <w:rFonts w:hint="default" w:ascii="Times New Roman" w:hAnsi="Times New Roman" w:eastAsia="宋体" w:cs="Times New Roman"/>
          <w:color w:val="auto"/>
          <w:sz w:val="21"/>
          <w:szCs w:val="21"/>
          <w:highlight w:val="none"/>
          <w:lang w:val="en-US"/>
        </w:rPr>
        <w:t>《</w:t>
      </w:r>
      <w:r>
        <w:rPr>
          <w:rFonts w:hint="default" w:ascii="Times New Roman" w:hAnsi="Times New Roman" w:eastAsia="宋体" w:cs="Times New Roman"/>
          <w:color w:val="auto"/>
          <w:sz w:val="21"/>
          <w:szCs w:val="21"/>
          <w:highlight w:val="none"/>
          <w:lang w:val="en" w:eastAsia="zh-CN"/>
        </w:rPr>
        <w:t>允许调整价格</w:t>
      </w:r>
      <w:r>
        <w:rPr>
          <w:rFonts w:hint="default" w:ascii="Times New Roman" w:hAnsi="Times New Roman" w:eastAsia="宋体" w:cs="Times New Roman"/>
          <w:color w:val="auto"/>
          <w:sz w:val="21"/>
          <w:szCs w:val="21"/>
          <w:highlight w:val="none"/>
          <w:lang w:val="en"/>
        </w:rPr>
        <w:t>主要材料一览表</w:t>
      </w:r>
      <w:r>
        <w:rPr>
          <w:rFonts w:hint="default" w:ascii="Times New Roman" w:hAnsi="Times New Roman" w:eastAsia="宋体" w:cs="Times New Roman"/>
          <w:color w:val="auto"/>
          <w:sz w:val="21"/>
          <w:szCs w:val="21"/>
          <w:highlight w:val="none"/>
          <w:lang w:val="en-US"/>
        </w:rPr>
        <w:t>》</w:t>
      </w:r>
      <w:r>
        <w:rPr>
          <w:rFonts w:hint="default" w:ascii="Times New Roman" w:hAnsi="Times New Roman" w:eastAsia="宋体" w:cs="Times New Roman"/>
          <w:color w:val="auto"/>
          <w:sz w:val="21"/>
          <w:szCs w:val="21"/>
          <w:highlight w:val="none"/>
          <w:lang w:val="en" w:eastAsia="zh-CN"/>
        </w:rPr>
        <w:t>《</w:t>
      </w:r>
      <w:r>
        <w:rPr>
          <w:rFonts w:hint="default" w:ascii="Times New Roman" w:hAnsi="Times New Roman" w:eastAsia="宋体" w:cs="Times New Roman"/>
          <w:b w:val="0"/>
          <w:bCs w:val="0"/>
          <w:color w:val="auto"/>
          <w:sz w:val="21"/>
          <w:szCs w:val="21"/>
          <w:highlight w:val="none"/>
          <w:lang w:val="en" w:eastAsia="zh-CN"/>
        </w:rPr>
        <w:t>人工及主要材料可调因子价格指数及</w:t>
      </w:r>
      <w:r>
        <w:rPr>
          <w:rFonts w:hint="default" w:ascii="Times New Roman" w:hAnsi="Times New Roman" w:eastAsia="宋体" w:cs="Times New Roman"/>
          <w:b w:val="0"/>
          <w:bCs w:val="0"/>
          <w:color w:val="auto"/>
          <w:sz w:val="21"/>
          <w:szCs w:val="21"/>
          <w:highlight w:val="none"/>
          <w:lang w:val="en"/>
        </w:rPr>
        <w:t>权重表</w:t>
      </w:r>
      <w:r>
        <w:rPr>
          <w:rFonts w:hint="default" w:ascii="Times New Roman" w:hAnsi="Times New Roman" w:eastAsia="宋体" w:cs="Times New Roman"/>
          <w:b w:val="0"/>
          <w:bCs w:val="0"/>
          <w:color w:val="auto"/>
          <w:sz w:val="21"/>
          <w:szCs w:val="21"/>
          <w:highlight w:val="none"/>
          <w:lang w:val="en" w:eastAsia="zh-CN"/>
        </w:rPr>
        <w:t>》</w:t>
      </w:r>
      <w:r>
        <w:rPr>
          <w:rFonts w:hint="default" w:ascii="Times New Roman" w:hAnsi="Times New Roman" w:eastAsia="宋体" w:cs="Times New Roman"/>
          <w:color w:val="auto"/>
          <w:sz w:val="21"/>
          <w:szCs w:val="21"/>
          <w:highlight w:val="none"/>
          <w:lang w:val="en"/>
        </w:rPr>
        <w:t>或表格内容未明确的，在规定时间内提出质疑，</w:t>
      </w:r>
      <w:r>
        <w:rPr>
          <w:rFonts w:hint="default" w:ascii="Times New Roman" w:hAnsi="Times New Roman" w:eastAsia="宋体" w:cs="Times New Roman"/>
          <w:color w:val="auto"/>
          <w:sz w:val="21"/>
          <w:szCs w:val="21"/>
          <w:highlight w:val="none"/>
          <w:lang w:val="en" w:eastAsia="zh-CN"/>
        </w:rPr>
        <w:t>采购</w:t>
      </w:r>
      <w:r>
        <w:rPr>
          <w:rFonts w:hint="default" w:ascii="Times New Roman" w:hAnsi="Times New Roman" w:eastAsia="宋体" w:cs="Times New Roman"/>
          <w:color w:val="auto"/>
          <w:sz w:val="21"/>
          <w:szCs w:val="21"/>
          <w:highlight w:val="none"/>
          <w:lang w:val="en"/>
        </w:rPr>
        <w:t>人在规定时间内进行修改。</w:t>
      </w:r>
      <w:r>
        <w:rPr>
          <w:rFonts w:hint="default" w:ascii="Times New Roman" w:hAnsi="Times New Roman" w:eastAsia="宋体" w:cs="Times New Roman"/>
          <w:b w:val="0"/>
          <w:bCs w:val="0"/>
          <w:color w:val="auto"/>
          <w:sz w:val="21"/>
          <w:szCs w:val="21"/>
          <w:highlight w:val="none"/>
          <w:lang w:val="en-US" w:eastAsia="zh-CN"/>
        </w:rPr>
        <w:t>如供应商未填写可调因子权重，材料价格上涨时则按采购人提供的权重范围低值计算，材料下跌时按采购人提供的权重范围高值计算。</w:t>
      </w:r>
    </w:p>
    <w:p w14:paraId="53B33471">
      <w:pPr>
        <w:spacing w:line="360" w:lineRule="auto"/>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3.23</w:t>
      </w:r>
      <w:r>
        <w:rPr>
          <w:rFonts w:hint="default" w:ascii="Times New Roman" w:hAnsi="Times New Roman" w:eastAsia="宋体" w:cs="Times New Roman"/>
          <w:color w:val="auto"/>
          <w:szCs w:val="21"/>
          <w:highlight w:val="none"/>
        </w:rPr>
        <w:t xml:space="preserve"> </w:t>
      </w:r>
      <w:r>
        <w:rPr>
          <w:rFonts w:hint="default" w:ascii="Times New Roman" w:hAnsi="Times New Roman" w:eastAsia="宋体" w:cs="Times New Roman"/>
          <w:color w:val="auto"/>
          <w:sz w:val="21"/>
          <w:szCs w:val="21"/>
          <w:highlight w:val="none"/>
          <w:lang w:val="en-US" w:eastAsia="zh-CN"/>
        </w:rPr>
        <w:t>安全生产费应</w:t>
      </w:r>
      <w:r>
        <w:rPr>
          <w:rFonts w:hint="default" w:ascii="Times New Roman" w:hAnsi="Times New Roman" w:eastAsia="宋体" w:cs="Times New Roman"/>
          <w:b w:val="0"/>
          <w:bCs w:val="0"/>
          <w:color w:val="auto"/>
          <w:szCs w:val="21"/>
          <w:highlight w:val="none"/>
        </w:rPr>
        <w:t>按</w:t>
      </w:r>
      <w:r>
        <w:rPr>
          <w:rFonts w:hint="default" w:ascii="Times New Roman" w:hAnsi="Times New Roman" w:eastAsia="宋体" w:cs="Times New Roman"/>
          <w:b w:val="0"/>
          <w:bCs w:val="0"/>
          <w:color w:val="auto"/>
          <w:szCs w:val="21"/>
          <w:highlight w:val="none"/>
          <w:lang w:eastAsia="zh-CN"/>
        </w:rPr>
        <w:t>自治区建设行政主管部门</w:t>
      </w:r>
      <w:r>
        <w:rPr>
          <w:rFonts w:hint="default" w:ascii="Times New Roman" w:hAnsi="Times New Roman" w:eastAsia="宋体" w:cs="Times New Roman"/>
          <w:b w:val="0"/>
          <w:bCs w:val="0"/>
          <w:color w:val="auto"/>
          <w:szCs w:val="21"/>
          <w:highlight w:val="none"/>
        </w:rPr>
        <w:t>规定</w:t>
      </w:r>
      <w:r>
        <w:rPr>
          <w:rFonts w:hint="default" w:ascii="Times New Roman" w:hAnsi="Times New Roman" w:eastAsia="宋体" w:cs="Times New Roman"/>
          <w:b w:val="0"/>
          <w:bCs w:val="0"/>
          <w:color w:val="auto"/>
          <w:szCs w:val="21"/>
          <w:highlight w:val="none"/>
          <w:lang w:eastAsia="zh-CN"/>
        </w:rPr>
        <w:t>的计算</w:t>
      </w:r>
      <w:r>
        <w:rPr>
          <w:rFonts w:hint="default" w:ascii="Times New Roman" w:hAnsi="Times New Roman" w:eastAsia="宋体" w:cs="Times New Roman"/>
          <w:b w:val="0"/>
          <w:bCs w:val="0"/>
          <w:color w:val="auto"/>
          <w:szCs w:val="21"/>
          <w:highlight w:val="none"/>
          <w:lang w:val="en-US" w:eastAsia="zh-CN"/>
        </w:rPr>
        <w:t>基础</w:t>
      </w:r>
      <w:r>
        <w:rPr>
          <w:rFonts w:hint="default" w:ascii="Times New Roman" w:hAnsi="Times New Roman" w:eastAsia="宋体" w:cs="Times New Roman"/>
          <w:b w:val="0"/>
          <w:bCs w:val="0"/>
          <w:color w:val="auto"/>
          <w:szCs w:val="21"/>
          <w:highlight w:val="none"/>
          <w:lang w:eastAsia="zh-CN"/>
        </w:rPr>
        <w:t>和费率</w:t>
      </w:r>
      <w:r>
        <w:rPr>
          <w:rFonts w:hint="default" w:ascii="Times New Roman" w:hAnsi="Times New Roman" w:eastAsia="宋体" w:cs="Times New Roman"/>
          <w:b w:val="0"/>
          <w:bCs w:val="0"/>
          <w:color w:val="auto"/>
          <w:szCs w:val="21"/>
          <w:highlight w:val="none"/>
        </w:rPr>
        <w:t>计算</w:t>
      </w:r>
      <w:r>
        <w:rPr>
          <w:rFonts w:hint="default" w:ascii="Times New Roman" w:hAnsi="Times New Roman" w:eastAsia="宋体" w:cs="Times New Roman"/>
          <w:color w:val="auto"/>
          <w:szCs w:val="21"/>
          <w:highlight w:val="none"/>
        </w:rPr>
        <w:t>，作为不可竞争费用。</w:t>
      </w:r>
    </w:p>
    <w:p w14:paraId="1A3CD2AB">
      <w:pPr>
        <w:spacing w:line="360" w:lineRule="auto"/>
        <w:ind w:firstLine="420" w:firstLineChars="200"/>
        <w:rPr>
          <w:color w:val="auto"/>
          <w:highlight w:val="none"/>
        </w:rPr>
      </w:pPr>
      <w:r>
        <w:rPr>
          <w:rFonts w:hint="default" w:ascii="Times New Roman" w:hAnsi="Times New Roman" w:eastAsia="宋体" w:cs="Times New Roman"/>
          <w:color w:val="auto"/>
          <w:szCs w:val="21"/>
          <w:highlight w:val="none"/>
          <w:lang w:val="en-US" w:eastAsia="zh-CN"/>
        </w:rPr>
        <w:t>3.24</w:t>
      </w:r>
      <w:r>
        <w:rPr>
          <w:rFonts w:hint="default" w:ascii="Times New Roman" w:hAnsi="Times New Roman" w:eastAsia="宋体" w:cs="Times New Roman"/>
          <w:color w:val="auto"/>
          <w:szCs w:val="21"/>
          <w:highlight w:val="none"/>
        </w:rPr>
        <w:t xml:space="preserve"> </w:t>
      </w:r>
      <w:r>
        <w:rPr>
          <w:rFonts w:hint="default" w:ascii="Times New Roman" w:hAnsi="Times New Roman" w:eastAsia="宋体" w:cs="Times New Roman"/>
          <w:color w:val="auto"/>
          <w:szCs w:val="21"/>
          <w:highlight w:val="none"/>
          <w:lang w:val="en-US" w:eastAsia="zh-CN"/>
        </w:rPr>
        <w:t>响应</w:t>
      </w:r>
      <w:r>
        <w:rPr>
          <w:rFonts w:hint="default" w:ascii="Times New Roman" w:hAnsi="Times New Roman" w:eastAsia="宋体" w:cs="Times New Roman"/>
          <w:color w:val="auto"/>
          <w:szCs w:val="21"/>
          <w:highlight w:val="none"/>
        </w:rPr>
        <w:t>总价应当与分部分项工程费、</w:t>
      </w:r>
      <w:r>
        <w:rPr>
          <w:rFonts w:hint="default" w:ascii="Times New Roman" w:hAnsi="Times New Roman" w:eastAsia="宋体" w:cs="Times New Roman"/>
          <w:color w:val="auto"/>
          <w:szCs w:val="21"/>
          <w:highlight w:val="none"/>
          <w:lang w:val="en-US" w:eastAsia="zh-CN"/>
        </w:rPr>
        <w:t>技术措施项目费、综合</w:t>
      </w:r>
      <w:r>
        <w:rPr>
          <w:rFonts w:hint="default" w:ascii="Times New Roman" w:hAnsi="Times New Roman" w:eastAsia="宋体" w:cs="Times New Roman"/>
          <w:color w:val="auto"/>
          <w:szCs w:val="21"/>
          <w:highlight w:val="none"/>
        </w:rPr>
        <w:t>措施项目费、其他项目费的合计金额一致。</w:t>
      </w:r>
    </w:p>
    <w:p w14:paraId="5EA25B74">
      <w:pPr>
        <w:spacing w:line="360" w:lineRule="auto"/>
        <w:ind w:firstLine="420" w:firstLineChars="200"/>
        <w:jc w:val="left"/>
        <w:rPr>
          <w:bCs/>
          <w:color w:val="auto"/>
          <w:kern w:val="0"/>
          <w:szCs w:val="21"/>
          <w:highlight w:val="none"/>
        </w:rPr>
      </w:pPr>
      <w:r>
        <w:rPr>
          <w:rFonts w:hint="eastAsia" w:cs="宋体"/>
          <w:color w:val="auto"/>
          <w:highlight w:val="none"/>
        </w:rPr>
        <w:t>未尽事宜详见本工程量清单以及现行《计价规范》等有关规定执行。</w:t>
      </w:r>
    </w:p>
    <w:p w14:paraId="602BAE70">
      <w:pPr>
        <w:spacing w:line="312" w:lineRule="auto"/>
        <w:ind w:firstLine="562" w:firstLineChars="200"/>
        <w:jc w:val="left"/>
        <w:outlineLvl w:val="1"/>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二、危险性较大的分部分项工程清单（如有）</w:t>
      </w:r>
    </w:p>
    <w:p w14:paraId="536F7DC8">
      <w:pPr>
        <w:spacing w:line="312" w:lineRule="auto"/>
        <w:ind w:firstLine="420" w:firstLineChars="200"/>
        <w:jc w:val="left"/>
        <w:rPr>
          <w:bCs/>
          <w:color w:val="auto"/>
          <w:kern w:val="0"/>
          <w:szCs w:val="21"/>
          <w:highlight w:val="none"/>
        </w:rPr>
      </w:pPr>
      <w:r>
        <w:rPr>
          <w:bCs/>
          <w:color w:val="auto"/>
          <w:kern w:val="0"/>
          <w:szCs w:val="21"/>
          <w:highlight w:val="none"/>
        </w:rPr>
        <w:t>本</w:t>
      </w:r>
      <w:r>
        <w:rPr>
          <w:rFonts w:hint="eastAsia"/>
          <w:bCs/>
          <w:color w:val="auto"/>
          <w:kern w:val="0"/>
          <w:szCs w:val="21"/>
          <w:highlight w:val="none"/>
        </w:rPr>
        <w:t>部分</w:t>
      </w:r>
      <w:r>
        <w:rPr>
          <w:bCs/>
          <w:color w:val="auto"/>
          <w:kern w:val="0"/>
          <w:szCs w:val="21"/>
          <w:highlight w:val="none"/>
        </w:rPr>
        <w:t>由</w:t>
      </w:r>
      <w:r>
        <w:rPr>
          <w:rFonts w:hint="eastAsia"/>
          <w:bCs/>
          <w:color w:val="auto"/>
          <w:kern w:val="0"/>
          <w:szCs w:val="21"/>
          <w:highlight w:val="none"/>
        </w:rPr>
        <w:t>采购</w:t>
      </w:r>
      <w:r>
        <w:rPr>
          <w:bCs/>
          <w:color w:val="auto"/>
          <w:kern w:val="0"/>
          <w:szCs w:val="21"/>
          <w:highlight w:val="none"/>
        </w:rPr>
        <w:t>人根据国家行业和地方现行标准、规范和规程等</w:t>
      </w:r>
      <w:r>
        <w:rPr>
          <w:rFonts w:hint="eastAsia"/>
          <w:bCs/>
          <w:color w:val="auto"/>
          <w:kern w:val="0"/>
          <w:szCs w:val="21"/>
          <w:highlight w:val="none"/>
        </w:rPr>
        <w:t>，以及项目具体情况</w:t>
      </w:r>
      <w:r>
        <w:rPr>
          <w:bCs/>
          <w:color w:val="auto"/>
          <w:kern w:val="0"/>
          <w:szCs w:val="21"/>
          <w:highlight w:val="none"/>
        </w:rPr>
        <w:t>摘录</w:t>
      </w:r>
      <w:r>
        <w:rPr>
          <w:rFonts w:hint="eastAsia"/>
          <w:bCs/>
          <w:color w:val="auto"/>
          <w:kern w:val="0"/>
          <w:szCs w:val="21"/>
          <w:highlight w:val="none"/>
        </w:rPr>
        <w:t>。</w:t>
      </w:r>
    </w:p>
    <w:p w14:paraId="7091A3F3">
      <w:pPr>
        <w:spacing w:line="360" w:lineRule="auto"/>
        <w:ind w:firstLine="420" w:firstLineChars="200"/>
        <w:rPr>
          <w:rFonts w:hint="eastAsia" w:hAnsi="宋体" w:cs="宋体"/>
          <w:color w:val="auto"/>
          <w:highlight w:val="none"/>
        </w:rPr>
      </w:pPr>
      <w:r>
        <w:rPr>
          <w:rFonts w:hint="eastAsia" w:ascii="宋体" w:hAnsi="宋体" w:cs="宋体"/>
          <w:color w:val="auto"/>
          <w:highlight w:val="none"/>
        </w:rPr>
        <w:t>《危险性较大的分部分项工程安全管理规定》（建设部令第37号）</w:t>
      </w:r>
      <w:r>
        <w:rPr>
          <w:rFonts w:hint="eastAsia" w:ascii="宋体" w:hAnsi="宋体" w:cs="宋体"/>
          <w:color w:val="auto"/>
          <w:szCs w:val="22"/>
          <w:highlight w:val="none"/>
        </w:rPr>
        <w:t>2019年修订版</w:t>
      </w:r>
      <w:r>
        <w:rPr>
          <w:rFonts w:hint="eastAsia" w:ascii="宋体" w:hAnsi="宋体" w:cs="宋体"/>
          <w:color w:val="auto"/>
          <w:highlight w:val="none"/>
        </w:rPr>
        <w:t>以及《住房城乡建设部办公厅关于实施&lt;危险性较大的分部分项工程安全管理规定&gt;有关问题的通知》（建办质〔</w:t>
      </w:r>
      <w:r>
        <w:rPr>
          <w:rFonts w:ascii="宋体" w:hAnsi="宋体" w:cs="宋体"/>
          <w:color w:val="auto"/>
          <w:highlight w:val="none"/>
        </w:rPr>
        <w:t>2018〕31号</w:t>
      </w:r>
      <w:r>
        <w:rPr>
          <w:rFonts w:hint="eastAsia" w:ascii="宋体" w:hAnsi="宋体" w:cs="宋体"/>
          <w:color w:val="auto"/>
          <w:highlight w:val="none"/>
        </w:rPr>
        <w:t>）。</w:t>
      </w:r>
    </w:p>
    <w:p w14:paraId="61D764E5">
      <w:pPr>
        <w:spacing w:line="312" w:lineRule="auto"/>
        <w:ind w:firstLine="562" w:firstLineChars="200"/>
        <w:jc w:val="left"/>
        <w:outlineLvl w:val="1"/>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三、</w:t>
      </w:r>
      <w:r>
        <w:rPr>
          <w:rFonts w:ascii="黑体" w:hAnsi="黑体" w:eastAsia="黑体" w:cs="Arial"/>
          <w:b/>
          <w:color w:val="auto"/>
          <w:kern w:val="0"/>
          <w:sz w:val="28"/>
          <w:szCs w:val="28"/>
          <w:highlight w:val="none"/>
        </w:rPr>
        <w:t>图纸</w:t>
      </w:r>
    </w:p>
    <w:p w14:paraId="2434BEB8">
      <w:pPr>
        <w:spacing w:line="312" w:lineRule="auto"/>
        <w:ind w:firstLine="420" w:firstLineChars="200"/>
        <w:jc w:val="left"/>
        <w:rPr>
          <w:bCs/>
          <w:color w:val="auto"/>
          <w:kern w:val="0"/>
          <w:szCs w:val="21"/>
          <w:highlight w:val="none"/>
        </w:rPr>
      </w:pPr>
      <w:r>
        <w:rPr>
          <w:rFonts w:hint="eastAsia"/>
          <w:bCs/>
          <w:color w:val="auto"/>
          <w:kern w:val="0"/>
          <w:szCs w:val="21"/>
          <w:highlight w:val="none"/>
        </w:rPr>
        <w:t>图纸详见本采购文件附件。</w:t>
      </w:r>
    </w:p>
    <w:p w14:paraId="64A169FE">
      <w:pPr>
        <w:spacing w:line="312" w:lineRule="auto"/>
        <w:ind w:firstLine="562" w:firstLineChars="200"/>
        <w:jc w:val="left"/>
        <w:outlineLvl w:val="1"/>
        <w:rPr>
          <w:rFonts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四、技术</w:t>
      </w:r>
      <w:r>
        <w:rPr>
          <w:rFonts w:ascii="黑体" w:hAnsi="黑体" w:eastAsia="黑体" w:cs="Arial"/>
          <w:b/>
          <w:color w:val="auto"/>
          <w:kern w:val="0"/>
          <w:sz w:val="28"/>
          <w:szCs w:val="28"/>
          <w:highlight w:val="none"/>
        </w:rPr>
        <w:t>标准和要求</w:t>
      </w:r>
    </w:p>
    <w:p w14:paraId="79232504">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（一）适用标准规范</w:t>
      </w:r>
    </w:p>
    <w:p w14:paraId="3CFED1B5">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本工程施工及验收应遵循以下国家、行业及地方现行标准规范（如有更新以最新版本为准）：</w:t>
      </w:r>
    </w:p>
    <w:p w14:paraId="60511115">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1.《建筑设计防火规范》GB 50016</w:t>
      </w:r>
    </w:p>
    <w:p w14:paraId="54183E7B">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2.《消防设施通用规范》GB 55036-2022</w:t>
      </w:r>
    </w:p>
    <w:p w14:paraId="22E61790">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3.《火灾自动报警系统施工及验收标准》GB 50166-2019</w:t>
      </w:r>
    </w:p>
    <w:p w14:paraId="6B2183C9">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4.《自动喷水灭火系统施工及验收规范》GB 50261-2017</w:t>
      </w:r>
    </w:p>
    <w:p w14:paraId="219A31A5">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5.《消防给水及消火栓系统技术规范》GB 50974-2014</w:t>
      </w:r>
    </w:p>
    <w:p w14:paraId="35DE81C3">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6.《建筑防烟排烟系统技术标准》GB 51251-2017</w:t>
      </w:r>
    </w:p>
    <w:p w14:paraId="00FB8337">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7.《消防应急照明和疏散指示系统技术标准》GB 51309-2018</w:t>
      </w:r>
    </w:p>
    <w:p w14:paraId="1512DEFB">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8.《防火卷帘、防火门、防火窗施工及验收规范》GB 50877-2014</w:t>
      </w:r>
    </w:p>
    <w:p w14:paraId="6DD0E3CC">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9.《建筑工程施工质量验收统一标准》GB 50300</w:t>
      </w:r>
    </w:p>
    <w:p w14:paraId="65EBBFB2">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10.《建设工程施工现场消防安全技术规范》GB 50720</w:t>
      </w:r>
    </w:p>
    <w:p w14:paraId="213B1493">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（二）保修期限</w:t>
      </w:r>
    </w:p>
    <w:p w14:paraId="2D36407D">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1.本工程消防电气管线、给排水管道、设备安装工程法定最低保修期限为2年，自工程竣工验收合格之日起计算。</w:t>
      </w:r>
    </w:p>
    <w:p w14:paraId="631F4156">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2.成交供应商应对本工程整体提供2年免费保修服务。保修期内因施工质量或材料设备质量问题导致的故障，成交供应商应在接到通知后24小时内响应、48小时内派员到场维修，紧急情况4小时内到场。</w:t>
      </w:r>
    </w:p>
    <w:p w14:paraId="0FB064FD">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3.保修期内每年至少提供1次免费消防系统全面巡检及维护保养服务，并出具书面报告。</w:t>
      </w:r>
    </w:p>
    <w:p w14:paraId="27EB1425">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本工程施工及验收应遵循以下国家、行业及地方现行标准规范（如有更新版本，执行最新现行有效版本）。</w:t>
      </w:r>
    </w:p>
    <w:p w14:paraId="550D4333">
      <w:pPr>
        <w:spacing w:line="312" w:lineRule="auto"/>
        <w:ind w:firstLine="562" w:firstLineChars="200"/>
        <w:jc w:val="left"/>
        <w:outlineLvl w:val="1"/>
        <w:rPr>
          <w:rFonts w:hint="eastAsia" w:ascii="黑体" w:hAnsi="黑体" w:eastAsia="黑体" w:cs="Arial"/>
          <w:b/>
          <w:color w:val="auto"/>
          <w:kern w:val="0"/>
          <w:sz w:val="28"/>
          <w:szCs w:val="28"/>
          <w:highlight w:val="none"/>
        </w:rPr>
      </w:pPr>
      <w:r>
        <w:rPr>
          <w:rFonts w:hint="eastAsia" w:ascii="黑体" w:hAnsi="黑体" w:eastAsia="黑体" w:cs="Arial"/>
          <w:b/>
          <w:color w:val="auto"/>
          <w:kern w:val="0"/>
          <w:sz w:val="28"/>
          <w:szCs w:val="28"/>
          <w:highlight w:val="none"/>
        </w:rPr>
        <w:t>五、本项目标的所属行业</w:t>
      </w:r>
    </w:p>
    <w:p w14:paraId="399B46A8">
      <w:pPr>
        <w:spacing w:line="312" w:lineRule="auto"/>
        <w:ind w:firstLine="420" w:firstLineChars="200"/>
        <w:jc w:val="left"/>
        <w:rPr>
          <w:rFonts w:hint="eastAsia"/>
          <w:bCs/>
          <w:color w:val="auto"/>
          <w:kern w:val="0"/>
          <w:szCs w:val="21"/>
          <w:highlight w:val="none"/>
        </w:rPr>
      </w:pPr>
      <w:bookmarkStart w:id="23" w:name="_Hlk74905748"/>
      <w:r>
        <w:rPr>
          <w:rFonts w:hint="eastAsia"/>
          <w:bCs/>
          <w:color w:val="auto"/>
          <w:kern w:val="0"/>
          <w:szCs w:val="21"/>
          <w:highlight w:val="none"/>
        </w:rPr>
        <w:t>本项目所属行业</w:t>
      </w:r>
      <w:r>
        <w:rPr>
          <w:rFonts w:hint="eastAsia"/>
          <w:bCs/>
          <w:color w:val="auto"/>
          <w:kern w:val="0"/>
          <w:szCs w:val="21"/>
          <w:highlight w:val="none"/>
          <w:lang w:eastAsia="zh-CN"/>
        </w:rPr>
        <w:t>：</w:t>
      </w:r>
      <w:r>
        <w:rPr>
          <w:rFonts w:hint="eastAsia"/>
          <w:bCs/>
          <w:color w:val="auto"/>
          <w:kern w:val="0"/>
          <w:szCs w:val="21"/>
          <w:highlight w:val="none"/>
        </w:rPr>
        <w:t>建筑业</w:t>
      </w:r>
      <w:bookmarkEnd w:id="23"/>
      <w:r>
        <w:rPr>
          <w:rFonts w:hint="eastAsia"/>
          <w:bCs/>
          <w:color w:val="auto"/>
          <w:kern w:val="0"/>
          <w:szCs w:val="21"/>
          <w:highlight w:val="none"/>
        </w:rPr>
        <w:t>。</w:t>
      </w:r>
    </w:p>
    <w:p w14:paraId="656A0E3F">
      <w:pPr>
        <w:spacing w:line="312" w:lineRule="auto"/>
        <w:ind w:firstLine="560" w:firstLineChars="200"/>
        <w:jc w:val="left"/>
        <w:rPr>
          <w:rFonts w:hint="eastAsia" w:ascii="国标黑体" w:hAnsi="国标黑体" w:eastAsia="国标黑体" w:cs="国标黑体"/>
          <w:bCs/>
          <w:color w:val="auto"/>
          <w:kern w:val="0"/>
          <w:sz w:val="28"/>
          <w:szCs w:val="28"/>
          <w:highlight w:val="none"/>
        </w:rPr>
      </w:pPr>
      <w:r>
        <w:rPr>
          <w:rFonts w:hint="eastAsia" w:ascii="国标黑体" w:hAnsi="国标黑体" w:eastAsia="国标黑体" w:cs="国标黑体"/>
          <w:bCs/>
          <w:color w:val="auto"/>
          <w:kern w:val="0"/>
          <w:sz w:val="28"/>
          <w:szCs w:val="28"/>
          <w:highlight w:val="none"/>
        </w:rPr>
        <w:t>六、履约验收方案</w:t>
      </w:r>
    </w:p>
    <w:p w14:paraId="24B59A9D">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1.验收组织：由采购人组织开展履约验收，可根据需要邀请相关技术专家参与验收。</w:t>
      </w:r>
    </w:p>
    <w:p w14:paraId="40F32E22">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2.验收依据：本采购文件、成交供应商响应文件、施工合同、施工图纸、工程量清单、国家及广西现行消防、建筑施工验收规范标准。</w:t>
      </w:r>
    </w:p>
    <w:p w14:paraId="3EC6F230">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3.验收核心内容：</w:t>
      </w:r>
    </w:p>
    <w:p w14:paraId="3BA6ABA9">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（1）全部工程量清单、图纸范围内工程已全部完工；</w:t>
      </w:r>
    </w:p>
    <w:p w14:paraId="77BE7AD6">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（2）工程质量达到合格标准；</w:t>
      </w:r>
    </w:p>
    <w:p w14:paraId="4E6391BF">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（3）完成消防整改，配合通过政府相关部门消防检验，并取得消防检验合格证明文件；</w:t>
      </w:r>
    </w:p>
    <w:p w14:paraId="538011DD">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（4）工程资料、竣工资料完整齐全，符合档案归档要求；</w:t>
      </w:r>
    </w:p>
    <w:p w14:paraId="2B5588F3">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（5）落实保修期2年义务</w:t>
      </w:r>
      <w:r>
        <w:rPr>
          <w:rFonts w:hint="eastAsia"/>
          <w:bCs/>
          <w:color w:val="auto"/>
          <w:kern w:val="0"/>
          <w:szCs w:val="21"/>
          <w:highlight w:val="none"/>
          <w:lang w:eastAsia="zh-CN"/>
        </w:rPr>
        <w:t>；</w:t>
      </w:r>
      <w:r>
        <w:rPr>
          <w:rFonts w:hint="eastAsia"/>
          <w:bCs/>
          <w:color w:val="auto"/>
          <w:kern w:val="0"/>
          <w:szCs w:val="21"/>
          <w:highlight w:val="none"/>
        </w:rPr>
        <w:t>故障接通知后24小时响应、48小时派员到场维修，紧急情况4小时内到场。</w:t>
      </w:r>
    </w:p>
    <w:p w14:paraId="3B42CAFF">
      <w:pPr>
        <w:spacing w:line="312" w:lineRule="auto"/>
        <w:ind w:firstLine="420" w:firstLineChars="200"/>
        <w:jc w:val="left"/>
        <w:rPr>
          <w:rFonts w:hint="eastAsia"/>
          <w:bCs/>
          <w:color w:val="auto"/>
          <w:kern w:val="0"/>
          <w:szCs w:val="21"/>
          <w:highlight w:val="none"/>
        </w:rPr>
      </w:pPr>
      <w:r>
        <w:rPr>
          <w:rFonts w:hint="eastAsia"/>
          <w:bCs/>
          <w:color w:val="auto"/>
          <w:kern w:val="0"/>
          <w:szCs w:val="21"/>
          <w:highlight w:val="none"/>
        </w:rPr>
        <w:t>4.验收程序：工程完工后承包人提交竣工报告及全套竣工资料→采购人组织现场核查、资料审查→开展消防相关检验检测→出具履约验收意见书。</w:t>
      </w:r>
    </w:p>
    <w:p w14:paraId="4C53D298">
      <w:pPr>
        <w:spacing w:line="312" w:lineRule="auto"/>
        <w:ind w:firstLine="420" w:firstLineChars="200"/>
        <w:jc w:val="left"/>
        <w:rPr>
          <w:color w:val="auto"/>
          <w:sz w:val="24"/>
          <w:szCs w:val="24"/>
          <w:highlight w:val="none"/>
        </w:rPr>
      </w:pPr>
      <w:r>
        <w:rPr>
          <w:rFonts w:hint="eastAsia"/>
          <w:bCs/>
          <w:color w:val="auto"/>
          <w:kern w:val="0"/>
          <w:szCs w:val="21"/>
          <w:highlight w:val="none"/>
        </w:rPr>
        <w:t>5.验收不合格处置：验收不合格的，承包人应当在采购人规定期限内完成全部整改直至验收合格；整改产生全部费用由成交承包人自行承担，工期不予顺延。拒不整改或整改后仍不合格，按合同违约条款执行</w:t>
      </w:r>
      <w:r>
        <w:rPr>
          <w:rFonts w:hint="eastAsia"/>
          <w:bCs/>
          <w:color w:val="auto"/>
          <w:kern w:val="0"/>
          <w:szCs w:val="21"/>
          <w:highlight w:val="none"/>
          <w:lang w:eastAsia="zh-CN"/>
        </w:rPr>
        <w:t>。</w:t>
      </w:r>
      <w:r>
        <w:rPr>
          <w:bCs/>
          <w:color w:val="auto"/>
          <w:kern w:val="0"/>
          <w:sz w:val="24"/>
          <w:szCs w:val="24"/>
          <w:highlight w:val="none"/>
        </w:rPr>
        <w:br w:type="page"/>
      </w:r>
      <w:bookmarkStart w:id="24" w:name="_Hlk133572867"/>
      <w:r>
        <w:rPr>
          <w:rFonts w:hint="eastAsia"/>
          <w:color w:val="auto"/>
          <w:sz w:val="24"/>
          <w:szCs w:val="24"/>
          <w:highlight w:val="none"/>
        </w:rPr>
        <w:t xml:space="preserve">附件： </w:t>
      </w:r>
      <w:r>
        <w:rPr>
          <w:color w:val="auto"/>
          <w:sz w:val="24"/>
          <w:szCs w:val="24"/>
          <w:highlight w:val="none"/>
        </w:rPr>
        <w:t xml:space="preserve">                             </w:t>
      </w:r>
    </w:p>
    <w:p w14:paraId="46C2DDB8">
      <w:pPr>
        <w:spacing w:line="528" w:lineRule="exact"/>
        <w:ind w:firstLine="240" w:firstLineChars="100"/>
        <w:jc w:val="center"/>
        <w:rPr>
          <w:color w:val="auto"/>
          <w:sz w:val="24"/>
          <w:szCs w:val="24"/>
          <w:highlight w:val="none"/>
        </w:rPr>
      </w:pPr>
      <w:r>
        <w:rPr>
          <w:rFonts w:hint="eastAsia"/>
          <w:color w:val="auto"/>
          <w:sz w:val="24"/>
          <w:szCs w:val="24"/>
          <w:highlight w:val="none"/>
        </w:rPr>
        <w:t>中小微企业划型标准</w:t>
      </w:r>
    </w:p>
    <w:tbl>
      <w:tblPr>
        <w:tblStyle w:val="54"/>
        <w:tblW w:w="8706" w:type="dxa"/>
        <w:tblInd w:w="250" w:type="dxa"/>
        <w:tblLayout w:type="fixed"/>
        <w:tblCellMar>
          <w:top w:w="0" w:type="dxa"/>
          <w:left w:w="108" w:type="dxa"/>
          <w:bottom w:w="0" w:type="dxa"/>
          <w:right w:w="108" w:type="dxa"/>
        </w:tblCellMar>
      </w:tblPr>
      <w:tblGrid>
        <w:gridCol w:w="1446"/>
        <w:gridCol w:w="1701"/>
        <w:gridCol w:w="1134"/>
        <w:gridCol w:w="1846"/>
        <w:gridCol w:w="1570"/>
        <w:gridCol w:w="1009"/>
      </w:tblGrid>
      <w:tr w14:paraId="0C10DA54">
        <w:tblPrEx>
          <w:tblCellMar>
            <w:top w:w="0" w:type="dxa"/>
            <w:left w:w="108" w:type="dxa"/>
            <w:bottom w:w="0" w:type="dxa"/>
            <w:right w:w="108" w:type="dxa"/>
          </w:tblCellMar>
        </w:tblPrEx>
        <w:trPr>
          <w:trHeight w:val="279" w:hRule="atLeast"/>
        </w:trPr>
        <w:tc>
          <w:tcPr>
            <w:tcW w:w="1446" w:type="dxa"/>
            <w:tcBorders>
              <w:top w:val="single" w:color="auto" w:sz="4" w:space="0"/>
              <w:left w:val="single" w:color="auto" w:sz="4" w:space="0"/>
              <w:bottom w:val="single" w:color="auto" w:sz="4" w:space="0"/>
              <w:right w:val="single" w:color="auto" w:sz="4" w:space="0"/>
            </w:tcBorders>
            <w:vAlign w:val="center"/>
          </w:tcPr>
          <w:p w14:paraId="3CC0C724">
            <w:pPr>
              <w:widowControl/>
              <w:jc w:val="left"/>
              <w:rPr>
                <w:color w:val="auto"/>
                <w:sz w:val="18"/>
                <w:szCs w:val="18"/>
                <w:highlight w:val="none"/>
              </w:rPr>
            </w:pPr>
            <w:r>
              <w:rPr>
                <w:rFonts w:hint="eastAsia"/>
                <w:color w:val="auto"/>
                <w:sz w:val="18"/>
                <w:szCs w:val="18"/>
                <w:highlight w:val="none"/>
              </w:rPr>
              <w:t>行业名称</w:t>
            </w:r>
          </w:p>
        </w:tc>
        <w:tc>
          <w:tcPr>
            <w:tcW w:w="1701" w:type="dxa"/>
            <w:tcBorders>
              <w:top w:val="single" w:color="auto" w:sz="4" w:space="0"/>
              <w:left w:val="nil"/>
              <w:bottom w:val="single" w:color="auto" w:sz="4" w:space="0"/>
              <w:right w:val="single" w:color="auto" w:sz="4" w:space="0"/>
            </w:tcBorders>
            <w:vAlign w:val="center"/>
          </w:tcPr>
          <w:p w14:paraId="4AA48E1D">
            <w:pPr>
              <w:widowControl/>
              <w:jc w:val="left"/>
              <w:rPr>
                <w:color w:val="auto"/>
                <w:sz w:val="18"/>
                <w:szCs w:val="18"/>
                <w:highlight w:val="none"/>
              </w:rPr>
            </w:pPr>
            <w:r>
              <w:rPr>
                <w:rFonts w:hint="eastAsia"/>
                <w:color w:val="auto"/>
                <w:sz w:val="18"/>
                <w:szCs w:val="18"/>
                <w:highlight w:val="none"/>
              </w:rPr>
              <w:t>指标名称</w:t>
            </w:r>
          </w:p>
        </w:tc>
        <w:tc>
          <w:tcPr>
            <w:tcW w:w="1134" w:type="dxa"/>
            <w:tcBorders>
              <w:top w:val="single" w:color="auto" w:sz="4" w:space="0"/>
              <w:left w:val="nil"/>
              <w:bottom w:val="single" w:color="auto" w:sz="4" w:space="0"/>
              <w:right w:val="single" w:color="auto" w:sz="4" w:space="0"/>
            </w:tcBorders>
            <w:vAlign w:val="center"/>
          </w:tcPr>
          <w:p w14:paraId="25ECC6CD">
            <w:pPr>
              <w:widowControl/>
              <w:jc w:val="left"/>
              <w:rPr>
                <w:color w:val="auto"/>
                <w:sz w:val="18"/>
                <w:szCs w:val="18"/>
                <w:highlight w:val="none"/>
              </w:rPr>
            </w:pPr>
            <w:r>
              <w:rPr>
                <w:rFonts w:hint="eastAsia"/>
                <w:color w:val="auto"/>
                <w:sz w:val="18"/>
                <w:szCs w:val="18"/>
                <w:highlight w:val="none"/>
              </w:rPr>
              <w:t>计量单位</w:t>
            </w:r>
          </w:p>
        </w:tc>
        <w:tc>
          <w:tcPr>
            <w:tcW w:w="1846" w:type="dxa"/>
            <w:tcBorders>
              <w:top w:val="single" w:color="auto" w:sz="4" w:space="0"/>
              <w:left w:val="nil"/>
              <w:bottom w:val="single" w:color="auto" w:sz="4" w:space="0"/>
              <w:right w:val="single" w:color="auto" w:sz="4" w:space="0"/>
            </w:tcBorders>
            <w:vAlign w:val="center"/>
          </w:tcPr>
          <w:p w14:paraId="07937F44">
            <w:pPr>
              <w:widowControl/>
              <w:jc w:val="left"/>
              <w:rPr>
                <w:color w:val="auto"/>
                <w:sz w:val="18"/>
                <w:szCs w:val="18"/>
                <w:highlight w:val="none"/>
              </w:rPr>
            </w:pPr>
            <w:r>
              <w:rPr>
                <w:rFonts w:hint="eastAsia"/>
                <w:color w:val="auto"/>
                <w:sz w:val="18"/>
                <w:szCs w:val="18"/>
                <w:highlight w:val="none"/>
              </w:rPr>
              <w:t>中型</w:t>
            </w:r>
          </w:p>
        </w:tc>
        <w:tc>
          <w:tcPr>
            <w:tcW w:w="1570" w:type="dxa"/>
            <w:tcBorders>
              <w:top w:val="single" w:color="auto" w:sz="4" w:space="0"/>
              <w:left w:val="nil"/>
              <w:bottom w:val="single" w:color="auto" w:sz="4" w:space="0"/>
              <w:right w:val="single" w:color="auto" w:sz="4" w:space="0"/>
            </w:tcBorders>
            <w:vAlign w:val="center"/>
          </w:tcPr>
          <w:p w14:paraId="4086108C">
            <w:pPr>
              <w:widowControl/>
              <w:jc w:val="left"/>
              <w:rPr>
                <w:color w:val="auto"/>
                <w:sz w:val="18"/>
                <w:szCs w:val="18"/>
                <w:highlight w:val="none"/>
              </w:rPr>
            </w:pPr>
            <w:r>
              <w:rPr>
                <w:rFonts w:hint="eastAsia"/>
                <w:color w:val="auto"/>
                <w:sz w:val="18"/>
                <w:szCs w:val="18"/>
                <w:highlight w:val="none"/>
              </w:rPr>
              <w:t>小型</w:t>
            </w:r>
          </w:p>
        </w:tc>
        <w:tc>
          <w:tcPr>
            <w:tcW w:w="1009" w:type="dxa"/>
            <w:tcBorders>
              <w:top w:val="single" w:color="auto" w:sz="4" w:space="0"/>
              <w:left w:val="nil"/>
              <w:bottom w:val="single" w:color="auto" w:sz="4" w:space="0"/>
              <w:right w:val="single" w:color="auto" w:sz="4" w:space="0"/>
            </w:tcBorders>
            <w:vAlign w:val="center"/>
          </w:tcPr>
          <w:p w14:paraId="72359137">
            <w:pPr>
              <w:widowControl/>
              <w:jc w:val="left"/>
              <w:rPr>
                <w:color w:val="auto"/>
                <w:sz w:val="18"/>
                <w:szCs w:val="18"/>
                <w:highlight w:val="none"/>
              </w:rPr>
            </w:pPr>
            <w:r>
              <w:rPr>
                <w:rFonts w:hint="eastAsia"/>
                <w:color w:val="auto"/>
                <w:sz w:val="18"/>
                <w:szCs w:val="18"/>
                <w:highlight w:val="none"/>
              </w:rPr>
              <w:t>微型</w:t>
            </w:r>
          </w:p>
        </w:tc>
      </w:tr>
      <w:tr w14:paraId="390B2C9C">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vAlign w:val="bottom"/>
          </w:tcPr>
          <w:p w14:paraId="7D9478FE">
            <w:pPr>
              <w:widowControl/>
              <w:jc w:val="center"/>
              <w:rPr>
                <w:color w:val="auto"/>
                <w:sz w:val="18"/>
                <w:szCs w:val="18"/>
                <w:highlight w:val="none"/>
              </w:rPr>
            </w:pPr>
            <w:r>
              <w:rPr>
                <w:rFonts w:hint="eastAsia"/>
                <w:color w:val="auto"/>
                <w:sz w:val="18"/>
                <w:szCs w:val="18"/>
                <w:highlight w:val="none"/>
              </w:rPr>
              <w:t>农、林、牧、渔</w:t>
            </w:r>
          </w:p>
        </w:tc>
        <w:tc>
          <w:tcPr>
            <w:tcW w:w="1701" w:type="dxa"/>
            <w:tcBorders>
              <w:top w:val="nil"/>
              <w:left w:val="nil"/>
              <w:bottom w:val="single" w:color="auto" w:sz="4" w:space="0"/>
              <w:right w:val="single" w:color="auto" w:sz="4" w:space="0"/>
            </w:tcBorders>
            <w:vAlign w:val="center"/>
          </w:tcPr>
          <w:p w14:paraId="43F2961E">
            <w:pPr>
              <w:widowControl/>
              <w:jc w:val="left"/>
              <w:rPr>
                <w:color w:val="auto"/>
                <w:sz w:val="18"/>
                <w:szCs w:val="18"/>
                <w:highlight w:val="none"/>
              </w:rPr>
            </w:pPr>
            <w:r>
              <w:rPr>
                <w:rFonts w:hint="eastAsia"/>
                <w:color w:val="auto"/>
                <w:sz w:val="18"/>
                <w:szCs w:val="18"/>
                <w:highlight w:val="none"/>
              </w:rPr>
              <w:t>营业收入（Y）</w:t>
            </w:r>
          </w:p>
        </w:tc>
        <w:tc>
          <w:tcPr>
            <w:tcW w:w="1134" w:type="dxa"/>
            <w:tcBorders>
              <w:top w:val="nil"/>
              <w:left w:val="nil"/>
              <w:bottom w:val="single" w:color="auto" w:sz="4" w:space="0"/>
              <w:right w:val="single" w:color="auto" w:sz="4" w:space="0"/>
            </w:tcBorders>
            <w:vAlign w:val="center"/>
          </w:tcPr>
          <w:p w14:paraId="4C75E1D4">
            <w:pPr>
              <w:widowControl/>
              <w:jc w:val="left"/>
              <w:rPr>
                <w:color w:val="auto"/>
                <w:sz w:val="18"/>
                <w:szCs w:val="18"/>
                <w:highlight w:val="none"/>
              </w:rPr>
            </w:pPr>
            <w:r>
              <w:rPr>
                <w:rFonts w:hint="eastAsia"/>
                <w:color w:val="auto"/>
                <w:sz w:val="18"/>
                <w:szCs w:val="18"/>
                <w:highlight w:val="none"/>
              </w:rPr>
              <w:t>万元</w:t>
            </w:r>
          </w:p>
        </w:tc>
        <w:tc>
          <w:tcPr>
            <w:tcW w:w="1846" w:type="dxa"/>
            <w:tcBorders>
              <w:top w:val="nil"/>
              <w:left w:val="nil"/>
              <w:bottom w:val="single" w:color="auto" w:sz="4" w:space="0"/>
              <w:right w:val="single" w:color="auto" w:sz="4" w:space="0"/>
            </w:tcBorders>
            <w:vAlign w:val="center"/>
          </w:tcPr>
          <w:p w14:paraId="61654F31">
            <w:pPr>
              <w:widowControl/>
              <w:jc w:val="left"/>
              <w:rPr>
                <w:color w:val="auto"/>
                <w:sz w:val="18"/>
                <w:szCs w:val="18"/>
                <w:highlight w:val="none"/>
              </w:rPr>
            </w:pPr>
            <w:r>
              <w:rPr>
                <w:rFonts w:hint="eastAsia"/>
                <w:color w:val="auto"/>
                <w:sz w:val="18"/>
                <w:szCs w:val="18"/>
                <w:highlight w:val="none"/>
              </w:rPr>
              <w:t>500≤Y＜20000</w:t>
            </w:r>
          </w:p>
        </w:tc>
        <w:tc>
          <w:tcPr>
            <w:tcW w:w="1570" w:type="dxa"/>
            <w:tcBorders>
              <w:top w:val="nil"/>
              <w:left w:val="nil"/>
              <w:bottom w:val="single" w:color="auto" w:sz="4" w:space="0"/>
              <w:right w:val="single" w:color="auto" w:sz="4" w:space="0"/>
            </w:tcBorders>
            <w:vAlign w:val="center"/>
          </w:tcPr>
          <w:p w14:paraId="069BE817">
            <w:pPr>
              <w:widowControl/>
              <w:jc w:val="left"/>
              <w:rPr>
                <w:color w:val="auto"/>
                <w:sz w:val="18"/>
                <w:szCs w:val="18"/>
                <w:highlight w:val="none"/>
              </w:rPr>
            </w:pPr>
            <w:r>
              <w:rPr>
                <w:rFonts w:hint="eastAsia"/>
                <w:color w:val="auto"/>
                <w:sz w:val="18"/>
                <w:szCs w:val="18"/>
                <w:highlight w:val="none"/>
              </w:rPr>
              <w:t>50≤Y＜500</w:t>
            </w:r>
          </w:p>
        </w:tc>
        <w:tc>
          <w:tcPr>
            <w:tcW w:w="1009" w:type="dxa"/>
            <w:tcBorders>
              <w:top w:val="nil"/>
              <w:left w:val="nil"/>
              <w:bottom w:val="single" w:color="auto" w:sz="4" w:space="0"/>
              <w:right w:val="single" w:color="auto" w:sz="4" w:space="0"/>
            </w:tcBorders>
            <w:vAlign w:val="center"/>
          </w:tcPr>
          <w:p w14:paraId="2623734E">
            <w:pPr>
              <w:widowControl/>
              <w:jc w:val="left"/>
              <w:rPr>
                <w:color w:val="auto"/>
                <w:sz w:val="18"/>
                <w:szCs w:val="18"/>
                <w:highlight w:val="none"/>
              </w:rPr>
            </w:pPr>
            <w:r>
              <w:rPr>
                <w:rFonts w:hint="eastAsia"/>
                <w:color w:val="auto"/>
                <w:sz w:val="18"/>
                <w:szCs w:val="18"/>
                <w:highlight w:val="none"/>
              </w:rPr>
              <w:t>Y＜50</w:t>
            </w:r>
          </w:p>
        </w:tc>
      </w:tr>
      <w:tr w14:paraId="4229EDF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7CBB3C21">
            <w:pPr>
              <w:widowControl/>
              <w:jc w:val="center"/>
              <w:rPr>
                <w:color w:val="auto"/>
                <w:sz w:val="18"/>
                <w:szCs w:val="18"/>
                <w:highlight w:val="none"/>
              </w:rPr>
            </w:pPr>
            <w:r>
              <w:rPr>
                <w:rFonts w:hint="eastAsia"/>
                <w:color w:val="auto"/>
                <w:sz w:val="18"/>
                <w:szCs w:val="18"/>
                <w:highlight w:val="none"/>
              </w:rPr>
              <w:t>工业</w:t>
            </w:r>
          </w:p>
        </w:tc>
        <w:tc>
          <w:tcPr>
            <w:tcW w:w="1701" w:type="dxa"/>
            <w:tcBorders>
              <w:top w:val="nil"/>
              <w:left w:val="nil"/>
              <w:bottom w:val="single" w:color="auto" w:sz="4" w:space="0"/>
              <w:right w:val="single" w:color="auto" w:sz="4" w:space="0"/>
            </w:tcBorders>
            <w:vAlign w:val="center"/>
          </w:tcPr>
          <w:p w14:paraId="35FEA790">
            <w:pPr>
              <w:widowControl/>
              <w:jc w:val="left"/>
              <w:rPr>
                <w:color w:val="auto"/>
                <w:sz w:val="18"/>
                <w:szCs w:val="18"/>
                <w:highlight w:val="none"/>
              </w:rPr>
            </w:pPr>
            <w:r>
              <w:rPr>
                <w:rFonts w:hint="eastAsia"/>
                <w:color w:val="auto"/>
                <w:sz w:val="18"/>
                <w:szCs w:val="18"/>
                <w:highlight w:val="none"/>
              </w:rPr>
              <w:t>从业人员（X）</w:t>
            </w:r>
          </w:p>
        </w:tc>
        <w:tc>
          <w:tcPr>
            <w:tcW w:w="1134" w:type="dxa"/>
            <w:tcBorders>
              <w:top w:val="nil"/>
              <w:left w:val="nil"/>
              <w:bottom w:val="single" w:color="auto" w:sz="4" w:space="0"/>
              <w:right w:val="single" w:color="auto" w:sz="4" w:space="0"/>
            </w:tcBorders>
            <w:vAlign w:val="center"/>
          </w:tcPr>
          <w:p w14:paraId="056F169C">
            <w:pPr>
              <w:widowControl/>
              <w:jc w:val="left"/>
              <w:rPr>
                <w:color w:val="auto"/>
                <w:sz w:val="18"/>
                <w:szCs w:val="18"/>
                <w:highlight w:val="none"/>
              </w:rPr>
            </w:pPr>
            <w:r>
              <w:rPr>
                <w:rFonts w:hint="eastAsia"/>
                <w:color w:val="auto"/>
                <w:sz w:val="18"/>
                <w:szCs w:val="18"/>
                <w:highlight w:val="none"/>
              </w:rPr>
              <w:t>人</w:t>
            </w:r>
          </w:p>
        </w:tc>
        <w:tc>
          <w:tcPr>
            <w:tcW w:w="1846" w:type="dxa"/>
            <w:tcBorders>
              <w:top w:val="nil"/>
              <w:left w:val="nil"/>
              <w:bottom w:val="single" w:color="auto" w:sz="4" w:space="0"/>
              <w:right w:val="single" w:color="auto" w:sz="4" w:space="0"/>
            </w:tcBorders>
            <w:vAlign w:val="center"/>
          </w:tcPr>
          <w:p w14:paraId="11C3033D">
            <w:pPr>
              <w:widowControl/>
              <w:jc w:val="left"/>
              <w:rPr>
                <w:color w:val="auto"/>
                <w:sz w:val="18"/>
                <w:szCs w:val="18"/>
                <w:highlight w:val="none"/>
              </w:rPr>
            </w:pPr>
            <w:r>
              <w:rPr>
                <w:rFonts w:hint="eastAsia"/>
                <w:color w:val="auto"/>
                <w:sz w:val="18"/>
                <w:szCs w:val="18"/>
                <w:highlight w:val="none"/>
              </w:rPr>
              <w:t>300≤X＜1000</w:t>
            </w:r>
          </w:p>
        </w:tc>
        <w:tc>
          <w:tcPr>
            <w:tcW w:w="1570" w:type="dxa"/>
            <w:tcBorders>
              <w:top w:val="nil"/>
              <w:left w:val="nil"/>
              <w:bottom w:val="single" w:color="auto" w:sz="4" w:space="0"/>
              <w:right w:val="single" w:color="auto" w:sz="4" w:space="0"/>
            </w:tcBorders>
            <w:vAlign w:val="center"/>
          </w:tcPr>
          <w:p w14:paraId="01600737">
            <w:pPr>
              <w:widowControl/>
              <w:jc w:val="left"/>
              <w:rPr>
                <w:color w:val="auto"/>
                <w:sz w:val="18"/>
                <w:szCs w:val="18"/>
                <w:highlight w:val="none"/>
              </w:rPr>
            </w:pPr>
            <w:r>
              <w:rPr>
                <w:rFonts w:hint="eastAsia"/>
                <w:color w:val="auto"/>
                <w:sz w:val="18"/>
                <w:szCs w:val="18"/>
                <w:highlight w:val="none"/>
              </w:rPr>
              <w:t>20≤X＜300</w:t>
            </w:r>
          </w:p>
        </w:tc>
        <w:tc>
          <w:tcPr>
            <w:tcW w:w="1009" w:type="dxa"/>
            <w:tcBorders>
              <w:top w:val="nil"/>
              <w:left w:val="nil"/>
              <w:bottom w:val="single" w:color="auto" w:sz="4" w:space="0"/>
              <w:right w:val="single" w:color="auto" w:sz="4" w:space="0"/>
            </w:tcBorders>
            <w:vAlign w:val="center"/>
          </w:tcPr>
          <w:p w14:paraId="5C018A77">
            <w:pPr>
              <w:widowControl/>
              <w:jc w:val="left"/>
              <w:rPr>
                <w:color w:val="auto"/>
                <w:sz w:val="18"/>
                <w:szCs w:val="18"/>
                <w:highlight w:val="none"/>
              </w:rPr>
            </w:pPr>
            <w:r>
              <w:rPr>
                <w:rFonts w:hint="eastAsia"/>
                <w:color w:val="auto"/>
                <w:sz w:val="18"/>
                <w:szCs w:val="18"/>
                <w:highlight w:val="none"/>
              </w:rPr>
              <w:t>X＜20</w:t>
            </w:r>
          </w:p>
        </w:tc>
      </w:tr>
      <w:tr w14:paraId="56EC75D5">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5D9C0AC1">
            <w:pPr>
              <w:widowControl/>
              <w:jc w:val="left"/>
              <w:rPr>
                <w:color w:val="auto"/>
                <w:sz w:val="18"/>
                <w:szCs w:val="18"/>
                <w:highlight w:val="none"/>
              </w:rPr>
            </w:pPr>
          </w:p>
        </w:tc>
        <w:tc>
          <w:tcPr>
            <w:tcW w:w="1701" w:type="dxa"/>
            <w:tcBorders>
              <w:top w:val="nil"/>
              <w:left w:val="nil"/>
              <w:bottom w:val="single" w:color="auto" w:sz="4" w:space="0"/>
              <w:right w:val="single" w:color="auto" w:sz="4" w:space="0"/>
            </w:tcBorders>
            <w:vAlign w:val="center"/>
          </w:tcPr>
          <w:p w14:paraId="46557404">
            <w:pPr>
              <w:widowControl/>
              <w:jc w:val="left"/>
              <w:rPr>
                <w:color w:val="auto"/>
                <w:sz w:val="18"/>
                <w:szCs w:val="18"/>
                <w:highlight w:val="none"/>
              </w:rPr>
            </w:pPr>
            <w:r>
              <w:rPr>
                <w:rFonts w:hint="eastAsia"/>
                <w:color w:val="auto"/>
                <w:sz w:val="18"/>
                <w:szCs w:val="18"/>
                <w:highlight w:val="none"/>
              </w:rPr>
              <w:t>营业收入（Y）</w:t>
            </w:r>
          </w:p>
        </w:tc>
        <w:tc>
          <w:tcPr>
            <w:tcW w:w="1134" w:type="dxa"/>
            <w:tcBorders>
              <w:top w:val="nil"/>
              <w:left w:val="nil"/>
              <w:bottom w:val="single" w:color="auto" w:sz="4" w:space="0"/>
              <w:right w:val="single" w:color="auto" w:sz="4" w:space="0"/>
            </w:tcBorders>
            <w:vAlign w:val="center"/>
          </w:tcPr>
          <w:p w14:paraId="5750987D">
            <w:pPr>
              <w:widowControl/>
              <w:jc w:val="left"/>
              <w:rPr>
                <w:color w:val="auto"/>
                <w:sz w:val="18"/>
                <w:szCs w:val="18"/>
                <w:highlight w:val="none"/>
              </w:rPr>
            </w:pPr>
            <w:r>
              <w:rPr>
                <w:rFonts w:hint="eastAsia"/>
                <w:color w:val="auto"/>
                <w:sz w:val="18"/>
                <w:szCs w:val="18"/>
                <w:highlight w:val="none"/>
              </w:rPr>
              <w:t>万元</w:t>
            </w:r>
          </w:p>
        </w:tc>
        <w:tc>
          <w:tcPr>
            <w:tcW w:w="1846" w:type="dxa"/>
            <w:tcBorders>
              <w:top w:val="nil"/>
              <w:left w:val="nil"/>
              <w:bottom w:val="single" w:color="auto" w:sz="4" w:space="0"/>
              <w:right w:val="single" w:color="auto" w:sz="4" w:space="0"/>
            </w:tcBorders>
            <w:vAlign w:val="center"/>
          </w:tcPr>
          <w:p w14:paraId="49F6E7D9">
            <w:pPr>
              <w:widowControl/>
              <w:jc w:val="left"/>
              <w:rPr>
                <w:color w:val="auto"/>
                <w:sz w:val="18"/>
                <w:szCs w:val="18"/>
                <w:highlight w:val="none"/>
              </w:rPr>
            </w:pPr>
            <w:r>
              <w:rPr>
                <w:rFonts w:hint="eastAsia"/>
                <w:color w:val="auto"/>
                <w:sz w:val="18"/>
                <w:szCs w:val="18"/>
                <w:highlight w:val="none"/>
              </w:rPr>
              <w:t>2000≤Y＜40000</w:t>
            </w:r>
          </w:p>
        </w:tc>
        <w:tc>
          <w:tcPr>
            <w:tcW w:w="1570" w:type="dxa"/>
            <w:tcBorders>
              <w:top w:val="nil"/>
              <w:left w:val="nil"/>
              <w:bottom w:val="single" w:color="auto" w:sz="4" w:space="0"/>
              <w:right w:val="single" w:color="auto" w:sz="4" w:space="0"/>
            </w:tcBorders>
            <w:vAlign w:val="center"/>
          </w:tcPr>
          <w:p w14:paraId="20295403">
            <w:pPr>
              <w:widowControl/>
              <w:jc w:val="left"/>
              <w:rPr>
                <w:color w:val="auto"/>
                <w:sz w:val="18"/>
                <w:szCs w:val="18"/>
                <w:highlight w:val="none"/>
              </w:rPr>
            </w:pPr>
            <w:r>
              <w:rPr>
                <w:rFonts w:hint="eastAsia"/>
                <w:color w:val="auto"/>
                <w:sz w:val="18"/>
                <w:szCs w:val="18"/>
                <w:highlight w:val="none"/>
              </w:rPr>
              <w:t>300≤Y＜2000</w:t>
            </w:r>
          </w:p>
        </w:tc>
        <w:tc>
          <w:tcPr>
            <w:tcW w:w="1009" w:type="dxa"/>
            <w:tcBorders>
              <w:top w:val="nil"/>
              <w:left w:val="nil"/>
              <w:bottom w:val="single" w:color="auto" w:sz="4" w:space="0"/>
              <w:right w:val="single" w:color="auto" w:sz="4" w:space="0"/>
            </w:tcBorders>
            <w:vAlign w:val="center"/>
          </w:tcPr>
          <w:p w14:paraId="6C88CB4F">
            <w:pPr>
              <w:widowControl/>
              <w:jc w:val="left"/>
              <w:rPr>
                <w:color w:val="auto"/>
                <w:sz w:val="18"/>
                <w:szCs w:val="18"/>
                <w:highlight w:val="none"/>
              </w:rPr>
            </w:pPr>
            <w:r>
              <w:rPr>
                <w:rFonts w:hint="eastAsia"/>
                <w:color w:val="auto"/>
                <w:sz w:val="18"/>
                <w:szCs w:val="18"/>
                <w:highlight w:val="none"/>
              </w:rPr>
              <w:t>Y＜300</w:t>
            </w:r>
          </w:p>
        </w:tc>
      </w:tr>
      <w:tr w14:paraId="6CFA676B">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48714804">
            <w:pPr>
              <w:widowControl/>
              <w:jc w:val="center"/>
              <w:rPr>
                <w:color w:val="auto"/>
                <w:sz w:val="18"/>
                <w:szCs w:val="18"/>
                <w:highlight w:val="none"/>
              </w:rPr>
            </w:pPr>
            <w:r>
              <w:rPr>
                <w:rFonts w:hint="eastAsia"/>
                <w:color w:val="auto"/>
                <w:sz w:val="18"/>
                <w:szCs w:val="18"/>
                <w:highlight w:val="none"/>
              </w:rPr>
              <w:t>建筑业</w:t>
            </w:r>
          </w:p>
        </w:tc>
        <w:tc>
          <w:tcPr>
            <w:tcW w:w="1701" w:type="dxa"/>
            <w:tcBorders>
              <w:top w:val="nil"/>
              <w:left w:val="nil"/>
              <w:bottom w:val="single" w:color="auto" w:sz="4" w:space="0"/>
              <w:right w:val="single" w:color="auto" w:sz="4" w:space="0"/>
            </w:tcBorders>
            <w:vAlign w:val="center"/>
          </w:tcPr>
          <w:p w14:paraId="3CE4A0EA">
            <w:pPr>
              <w:widowControl/>
              <w:jc w:val="left"/>
              <w:rPr>
                <w:color w:val="auto"/>
                <w:sz w:val="18"/>
                <w:szCs w:val="18"/>
                <w:highlight w:val="none"/>
              </w:rPr>
            </w:pPr>
            <w:r>
              <w:rPr>
                <w:rFonts w:hint="eastAsia"/>
                <w:color w:val="auto"/>
                <w:sz w:val="18"/>
                <w:szCs w:val="18"/>
                <w:highlight w:val="none"/>
              </w:rPr>
              <w:t>营业收入（Y）</w:t>
            </w:r>
          </w:p>
        </w:tc>
        <w:tc>
          <w:tcPr>
            <w:tcW w:w="1134" w:type="dxa"/>
            <w:tcBorders>
              <w:top w:val="nil"/>
              <w:left w:val="nil"/>
              <w:bottom w:val="single" w:color="auto" w:sz="4" w:space="0"/>
              <w:right w:val="single" w:color="auto" w:sz="4" w:space="0"/>
            </w:tcBorders>
            <w:vAlign w:val="center"/>
          </w:tcPr>
          <w:p w14:paraId="29FDF438">
            <w:pPr>
              <w:widowControl/>
              <w:jc w:val="left"/>
              <w:rPr>
                <w:color w:val="auto"/>
                <w:sz w:val="18"/>
                <w:szCs w:val="18"/>
                <w:highlight w:val="none"/>
              </w:rPr>
            </w:pPr>
            <w:r>
              <w:rPr>
                <w:rFonts w:hint="eastAsia"/>
                <w:color w:val="auto"/>
                <w:sz w:val="18"/>
                <w:szCs w:val="18"/>
                <w:highlight w:val="none"/>
              </w:rPr>
              <w:t>万元</w:t>
            </w:r>
          </w:p>
        </w:tc>
        <w:tc>
          <w:tcPr>
            <w:tcW w:w="1846" w:type="dxa"/>
            <w:tcBorders>
              <w:top w:val="nil"/>
              <w:left w:val="nil"/>
              <w:bottom w:val="single" w:color="auto" w:sz="4" w:space="0"/>
              <w:right w:val="single" w:color="auto" w:sz="4" w:space="0"/>
            </w:tcBorders>
            <w:vAlign w:val="center"/>
          </w:tcPr>
          <w:p w14:paraId="0E8EDF90">
            <w:pPr>
              <w:widowControl/>
              <w:jc w:val="left"/>
              <w:rPr>
                <w:color w:val="auto"/>
                <w:sz w:val="18"/>
                <w:szCs w:val="18"/>
                <w:highlight w:val="none"/>
              </w:rPr>
            </w:pPr>
            <w:r>
              <w:rPr>
                <w:rFonts w:hint="eastAsia"/>
                <w:color w:val="auto"/>
                <w:sz w:val="18"/>
                <w:szCs w:val="18"/>
                <w:highlight w:val="none"/>
              </w:rPr>
              <w:t>6000≤Y＜80000</w:t>
            </w:r>
          </w:p>
        </w:tc>
        <w:tc>
          <w:tcPr>
            <w:tcW w:w="1570" w:type="dxa"/>
            <w:tcBorders>
              <w:top w:val="nil"/>
              <w:left w:val="nil"/>
              <w:bottom w:val="single" w:color="auto" w:sz="4" w:space="0"/>
              <w:right w:val="single" w:color="auto" w:sz="4" w:space="0"/>
            </w:tcBorders>
            <w:vAlign w:val="center"/>
          </w:tcPr>
          <w:p w14:paraId="1A235B46">
            <w:pPr>
              <w:widowControl/>
              <w:jc w:val="left"/>
              <w:rPr>
                <w:color w:val="auto"/>
                <w:sz w:val="18"/>
                <w:szCs w:val="18"/>
                <w:highlight w:val="none"/>
              </w:rPr>
            </w:pPr>
            <w:r>
              <w:rPr>
                <w:rFonts w:hint="eastAsia"/>
                <w:color w:val="auto"/>
                <w:sz w:val="18"/>
                <w:szCs w:val="18"/>
                <w:highlight w:val="none"/>
              </w:rPr>
              <w:t>300≤Y＜6000</w:t>
            </w:r>
          </w:p>
        </w:tc>
        <w:tc>
          <w:tcPr>
            <w:tcW w:w="1009" w:type="dxa"/>
            <w:tcBorders>
              <w:top w:val="nil"/>
              <w:left w:val="nil"/>
              <w:bottom w:val="single" w:color="auto" w:sz="4" w:space="0"/>
              <w:right w:val="single" w:color="auto" w:sz="4" w:space="0"/>
            </w:tcBorders>
            <w:vAlign w:val="center"/>
          </w:tcPr>
          <w:p w14:paraId="59715C9A">
            <w:pPr>
              <w:widowControl/>
              <w:jc w:val="left"/>
              <w:rPr>
                <w:color w:val="auto"/>
                <w:sz w:val="18"/>
                <w:szCs w:val="18"/>
                <w:highlight w:val="none"/>
              </w:rPr>
            </w:pPr>
            <w:r>
              <w:rPr>
                <w:rFonts w:hint="eastAsia"/>
                <w:color w:val="auto"/>
                <w:sz w:val="18"/>
                <w:szCs w:val="18"/>
                <w:highlight w:val="none"/>
              </w:rPr>
              <w:t>Y＜300</w:t>
            </w:r>
          </w:p>
        </w:tc>
      </w:tr>
      <w:tr w14:paraId="7ED381E5">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5D5E6E27">
            <w:pPr>
              <w:widowControl/>
              <w:jc w:val="left"/>
              <w:rPr>
                <w:color w:val="auto"/>
                <w:sz w:val="18"/>
                <w:szCs w:val="18"/>
                <w:highlight w:val="none"/>
              </w:rPr>
            </w:pPr>
          </w:p>
        </w:tc>
        <w:tc>
          <w:tcPr>
            <w:tcW w:w="1701" w:type="dxa"/>
            <w:tcBorders>
              <w:top w:val="nil"/>
              <w:left w:val="nil"/>
              <w:bottom w:val="single" w:color="auto" w:sz="4" w:space="0"/>
              <w:right w:val="single" w:color="auto" w:sz="4" w:space="0"/>
            </w:tcBorders>
            <w:vAlign w:val="center"/>
          </w:tcPr>
          <w:p w14:paraId="0AB4B8CB">
            <w:pPr>
              <w:widowControl/>
              <w:jc w:val="left"/>
              <w:rPr>
                <w:color w:val="auto"/>
                <w:sz w:val="18"/>
                <w:szCs w:val="18"/>
                <w:highlight w:val="none"/>
              </w:rPr>
            </w:pPr>
            <w:r>
              <w:rPr>
                <w:rFonts w:hint="eastAsia"/>
                <w:color w:val="auto"/>
                <w:sz w:val="18"/>
                <w:szCs w:val="18"/>
                <w:highlight w:val="none"/>
              </w:rPr>
              <w:t>资产总额（Z）</w:t>
            </w:r>
          </w:p>
        </w:tc>
        <w:tc>
          <w:tcPr>
            <w:tcW w:w="1134" w:type="dxa"/>
            <w:tcBorders>
              <w:top w:val="nil"/>
              <w:left w:val="nil"/>
              <w:bottom w:val="single" w:color="auto" w:sz="4" w:space="0"/>
              <w:right w:val="single" w:color="auto" w:sz="4" w:space="0"/>
            </w:tcBorders>
            <w:vAlign w:val="center"/>
          </w:tcPr>
          <w:p w14:paraId="5222096E">
            <w:pPr>
              <w:widowControl/>
              <w:jc w:val="left"/>
              <w:rPr>
                <w:color w:val="auto"/>
                <w:sz w:val="18"/>
                <w:szCs w:val="18"/>
                <w:highlight w:val="none"/>
              </w:rPr>
            </w:pPr>
            <w:r>
              <w:rPr>
                <w:rFonts w:hint="eastAsia"/>
                <w:color w:val="auto"/>
                <w:sz w:val="18"/>
                <w:szCs w:val="18"/>
                <w:highlight w:val="none"/>
              </w:rPr>
              <w:t>万元</w:t>
            </w:r>
          </w:p>
        </w:tc>
        <w:tc>
          <w:tcPr>
            <w:tcW w:w="1846" w:type="dxa"/>
            <w:tcBorders>
              <w:top w:val="nil"/>
              <w:left w:val="nil"/>
              <w:bottom w:val="single" w:color="auto" w:sz="4" w:space="0"/>
              <w:right w:val="single" w:color="auto" w:sz="4" w:space="0"/>
            </w:tcBorders>
            <w:vAlign w:val="center"/>
          </w:tcPr>
          <w:p w14:paraId="7ED097F3">
            <w:pPr>
              <w:widowControl/>
              <w:jc w:val="left"/>
              <w:rPr>
                <w:color w:val="auto"/>
                <w:sz w:val="18"/>
                <w:szCs w:val="18"/>
                <w:highlight w:val="none"/>
              </w:rPr>
            </w:pPr>
            <w:r>
              <w:rPr>
                <w:rFonts w:hint="eastAsia"/>
                <w:color w:val="auto"/>
                <w:sz w:val="18"/>
                <w:szCs w:val="18"/>
                <w:highlight w:val="none"/>
              </w:rPr>
              <w:t>5000≤Z＜80000</w:t>
            </w:r>
          </w:p>
        </w:tc>
        <w:tc>
          <w:tcPr>
            <w:tcW w:w="1570" w:type="dxa"/>
            <w:tcBorders>
              <w:top w:val="nil"/>
              <w:left w:val="nil"/>
              <w:bottom w:val="single" w:color="auto" w:sz="4" w:space="0"/>
              <w:right w:val="single" w:color="auto" w:sz="4" w:space="0"/>
            </w:tcBorders>
            <w:vAlign w:val="center"/>
          </w:tcPr>
          <w:p w14:paraId="23624110">
            <w:pPr>
              <w:widowControl/>
              <w:jc w:val="left"/>
              <w:rPr>
                <w:color w:val="auto"/>
                <w:sz w:val="18"/>
                <w:szCs w:val="18"/>
                <w:highlight w:val="none"/>
              </w:rPr>
            </w:pPr>
            <w:r>
              <w:rPr>
                <w:rFonts w:hint="eastAsia"/>
                <w:color w:val="auto"/>
                <w:sz w:val="18"/>
                <w:szCs w:val="18"/>
                <w:highlight w:val="none"/>
              </w:rPr>
              <w:t>300≤Z＜5000</w:t>
            </w:r>
          </w:p>
        </w:tc>
        <w:tc>
          <w:tcPr>
            <w:tcW w:w="1009" w:type="dxa"/>
            <w:tcBorders>
              <w:top w:val="nil"/>
              <w:left w:val="nil"/>
              <w:bottom w:val="single" w:color="auto" w:sz="4" w:space="0"/>
              <w:right w:val="single" w:color="auto" w:sz="4" w:space="0"/>
            </w:tcBorders>
            <w:vAlign w:val="center"/>
          </w:tcPr>
          <w:p w14:paraId="0B66B8FD">
            <w:pPr>
              <w:widowControl/>
              <w:jc w:val="left"/>
              <w:rPr>
                <w:color w:val="auto"/>
                <w:sz w:val="18"/>
                <w:szCs w:val="18"/>
                <w:highlight w:val="none"/>
              </w:rPr>
            </w:pPr>
            <w:r>
              <w:rPr>
                <w:rFonts w:hint="eastAsia"/>
                <w:color w:val="auto"/>
                <w:sz w:val="18"/>
                <w:szCs w:val="18"/>
                <w:highlight w:val="none"/>
              </w:rPr>
              <w:t>Z＜300</w:t>
            </w:r>
          </w:p>
        </w:tc>
      </w:tr>
      <w:tr w14:paraId="4EA26C97">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132B330B">
            <w:pPr>
              <w:widowControl/>
              <w:ind w:firstLine="270" w:firstLineChars="150"/>
              <w:rPr>
                <w:color w:val="auto"/>
                <w:sz w:val="18"/>
                <w:szCs w:val="18"/>
                <w:highlight w:val="none"/>
              </w:rPr>
            </w:pPr>
            <w:r>
              <w:rPr>
                <w:rFonts w:hint="eastAsia"/>
                <w:color w:val="auto"/>
                <w:sz w:val="18"/>
                <w:szCs w:val="18"/>
                <w:highlight w:val="none"/>
              </w:rPr>
              <w:t>批发业</w:t>
            </w:r>
          </w:p>
        </w:tc>
        <w:tc>
          <w:tcPr>
            <w:tcW w:w="1701" w:type="dxa"/>
            <w:tcBorders>
              <w:top w:val="nil"/>
              <w:left w:val="nil"/>
              <w:bottom w:val="single" w:color="auto" w:sz="4" w:space="0"/>
              <w:right w:val="single" w:color="auto" w:sz="4" w:space="0"/>
            </w:tcBorders>
            <w:vAlign w:val="center"/>
          </w:tcPr>
          <w:p w14:paraId="7B51E26B">
            <w:pPr>
              <w:widowControl/>
              <w:jc w:val="left"/>
              <w:rPr>
                <w:color w:val="auto"/>
                <w:sz w:val="18"/>
                <w:szCs w:val="18"/>
                <w:highlight w:val="none"/>
              </w:rPr>
            </w:pPr>
            <w:r>
              <w:rPr>
                <w:rFonts w:hint="eastAsia"/>
                <w:color w:val="auto"/>
                <w:sz w:val="18"/>
                <w:szCs w:val="18"/>
                <w:highlight w:val="none"/>
              </w:rPr>
              <w:t>从业人员（X）</w:t>
            </w:r>
          </w:p>
        </w:tc>
        <w:tc>
          <w:tcPr>
            <w:tcW w:w="1134" w:type="dxa"/>
            <w:tcBorders>
              <w:top w:val="nil"/>
              <w:left w:val="nil"/>
              <w:bottom w:val="single" w:color="auto" w:sz="4" w:space="0"/>
              <w:right w:val="single" w:color="auto" w:sz="4" w:space="0"/>
            </w:tcBorders>
            <w:vAlign w:val="center"/>
          </w:tcPr>
          <w:p w14:paraId="0F681045">
            <w:pPr>
              <w:widowControl/>
              <w:jc w:val="left"/>
              <w:rPr>
                <w:color w:val="auto"/>
                <w:sz w:val="18"/>
                <w:szCs w:val="18"/>
                <w:highlight w:val="none"/>
              </w:rPr>
            </w:pPr>
            <w:r>
              <w:rPr>
                <w:rFonts w:hint="eastAsia"/>
                <w:color w:val="auto"/>
                <w:sz w:val="18"/>
                <w:szCs w:val="18"/>
                <w:highlight w:val="none"/>
              </w:rPr>
              <w:t>人</w:t>
            </w:r>
          </w:p>
        </w:tc>
        <w:tc>
          <w:tcPr>
            <w:tcW w:w="1846" w:type="dxa"/>
            <w:tcBorders>
              <w:top w:val="nil"/>
              <w:left w:val="nil"/>
              <w:bottom w:val="single" w:color="auto" w:sz="4" w:space="0"/>
              <w:right w:val="single" w:color="auto" w:sz="4" w:space="0"/>
            </w:tcBorders>
            <w:vAlign w:val="center"/>
          </w:tcPr>
          <w:p w14:paraId="2644E209">
            <w:pPr>
              <w:widowControl/>
              <w:jc w:val="left"/>
              <w:rPr>
                <w:color w:val="auto"/>
                <w:sz w:val="18"/>
                <w:szCs w:val="18"/>
                <w:highlight w:val="none"/>
              </w:rPr>
            </w:pPr>
            <w:r>
              <w:rPr>
                <w:rFonts w:hint="eastAsia"/>
                <w:color w:val="auto"/>
                <w:sz w:val="18"/>
                <w:szCs w:val="18"/>
                <w:highlight w:val="none"/>
              </w:rPr>
              <w:t>20≤X＜200</w:t>
            </w:r>
          </w:p>
        </w:tc>
        <w:tc>
          <w:tcPr>
            <w:tcW w:w="1570" w:type="dxa"/>
            <w:tcBorders>
              <w:top w:val="nil"/>
              <w:left w:val="nil"/>
              <w:bottom w:val="single" w:color="auto" w:sz="4" w:space="0"/>
              <w:right w:val="single" w:color="auto" w:sz="4" w:space="0"/>
            </w:tcBorders>
            <w:vAlign w:val="center"/>
          </w:tcPr>
          <w:p w14:paraId="3BA04B3C">
            <w:pPr>
              <w:widowControl/>
              <w:jc w:val="left"/>
              <w:rPr>
                <w:color w:val="auto"/>
                <w:sz w:val="18"/>
                <w:szCs w:val="18"/>
                <w:highlight w:val="none"/>
              </w:rPr>
            </w:pPr>
            <w:r>
              <w:rPr>
                <w:rFonts w:hint="eastAsia"/>
                <w:color w:val="auto"/>
                <w:sz w:val="18"/>
                <w:szCs w:val="18"/>
                <w:highlight w:val="none"/>
              </w:rPr>
              <w:t>5≤X＜20</w:t>
            </w:r>
          </w:p>
        </w:tc>
        <w:tc>
          <w:tcPr>
            <w:tcW w:w="1009" w:type="dxa"/>
            <w:tcBorders>
              <w:top w:val="nil"/>
              <w:left w:val="nil"/>
              <w:bottom w:val="single" w:color="auto" w:sz="4" w:space="0"/>
              <w:right w:val="single" w:color="auto" w:sz="4" w:space="0"/>
            </w:tcBorders>
            <w:vAlign w:val="center"/>
          </w:tcPr>
          <w:p w14:paraId="0F732015">
            <w:pPr>
              <w:widowControl/>
              <w:jc w:val="left"/>
              <w:rPr>
                <w:color w:val="auto"/>
                <w:sz w:val="18"/>
                <w:szCs w:val="18"/>
                <w:highlight w:val="none"/>
              </w:rPr>
            </w:pPr>
            <w:r>
              <w:rPr>
                <w:rFonts w:hint="eastAsia"/>
                <w:color w:val="auto"/>
                <w:sz w:val="18"/>
                <w:szCs w:val="18"/>
                <w:highlight w:val="none"/>
              </w:rPr>
              <w:t>X＜5</w:t>
            </w:r>
          </w:p>
        </w:tc>
      </w:tr>
      <w:tr w14:paraId="5D35F3BD">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482CC814">
            <w:pPr>
              <w:widowControl/>
              <w:jc w:val="left"/>
              <w:rPr>
                <w:color w:val="auto"/>
                <w:sz w:val="18"/>
                <w:szCs w:val="18"/>
                <w:highlight w:val="none"/>
              </w:rPr>
            </w:pPr>
          </w:p>
        </w:tc>
        <w:tc>
          <w:tcPr>
            <w:tcW w:w="1701" w:type="dxa"/>
            <w:tcBorders>
              <w:top w:val="nil"/>
              <w:left w:val="nil"/>
              <w:bottom w:val="single" w:color="auto" w:sz="4" w:space="0"/>
              <w:right w:val="single" w:color="auto" w:sz="4" w:space="0"/>
            </w:tcBorders>
            <w:vAlign w:val="center"/>
          </w:tcPr>
          <w:p w14:paraId="79047E54">
            <w:pPr>
              <w:widowControl/>
              <w:jc w:val="left"/>
              <w:rPr>
                <w:color w:val="auto"/>
                <w:sz w:val="18"/>
                <w:szCs w:val="18"/>
                <w:highlight w:val="none"/>
              </w:rPr>
            </w:pPr>
            <w:r>
              <w:rPr>
                <w:rFonts w:hint="eastAsia"/>
                <w:color w:val="auto"/>
                <w:sz w:val="18"/>
                <w:szCs w:val="18"/>
                <w:highlight w:val="none"/>
              </w:rPr>
              <w:t>营业收入（Y）</w:t>
            </w:r>
          </w:p>
        </w:tc>
        <w:tc>
          <w:tcPr>
            <w:tcW w:w="1134" w:type="dxa"/>
            <w:tcBorders>
              <w:top w:val="nil"/>
              <w:left w:val="nil"/>
              <w:bottom w:val="single" w:color="auto" w:sz="4" w:space="0"/>
              <w:right w:val="single" w:color="auto" w:sz="4" w:space="0"/>
            </w:tcBorders>
            <w:vAlign w:val="center"/>
          </w:tcPr>
          <w:p w14:paraId="3C6F5F44">
            <w:pPr>
              <w:widowControl/>
              <w:jc w:val="left"/>
              <w:rPr>
                <w:color w:val="auto"/>
                <w:sz w:val="18"/>
                <w:szCs w:val="18"/>
                <w:highlight w:val="none"/>
              </w:rPr>
            </w:pPr>
            <w:r>
              <w:rPr>
                <w:rFonts w:hint="eastAsia"/>
                <w:color w:val="auto"/>
                <w:sz w:val="18"/>
                <w:szCs w:val="18"/>
                <w:highlight w:val="none"/>
              </w:rPr>
              <w:t>万元</w:t>
            </w:r>
          </w:p>
        </w:tc>
        <w:tc>
          <w:tcPr>
            <w:tcW w:w="1846" w:type="dxa"/>
            <w:tcBorders>
              <w:top w:val="nil"/>
              <w:left w:val="nil"/>
              <w:bottom w:val="single" w:color="auto" w:sz="4" w:space="0"/>
              <w:right w:val="single" w:color="auto" w:sz="4" w:space="0"/>
            </w:tcBorders>
            <w:vAlign w:val="center"/>
          </w:tcPr>
          <w:p w14:paraId="17A68C32">
            <w:pPr>
              <w:widowControl/>
              <w:jc w:val="left"/>
              <w:rPr>
                <w:color w:val="auto"/>
                <w:sz w:val="18"/>
                <w:szCs w:val="18"/>
                <w:highlight w:val="none"/>
              </w:rPr>
            </w:pPr>
            <w:r>
              <w:rPr>
                <w:rFonts w:hint="eastAsia"/>
                <w:color w:val="auto"/>
                <w:sz w:val="18"/>
                <w:szCs w:val="18"/>
                <w:highlight w:val="none"/>
              </w:rPr>
              <w:t>5000≤Y＜40000</w:t>
            </w:r>
          </w:p>
        </w:tc>
        <w:tc>
          <w:tcPr>
            <w:tcW w:w="1570" w:type="dxa"/>
            <w:tcBorders>
              <w:top w:val="nil"/>
              <w:left w:val="nil"/>
              <w:bottom w:val="single" w:color="auto" w:sz="4" w:space="0"/>
              <w:right w:val="single" w:color="auto" w:sz="4" w:space="0"/>
            </w:tcBorders>
            <w:vAlign w:val="center"/>
          </w:tcPr>
          <w:p w14:paraId="6B5D217E">
            <w:pPr>
              <w:widowControl/>
              <w:jc w:val="left"/>
              <w:rPr>
                <w:color w:val="auto"/>
                <w:sz w:val="18"/>
                <w:szCs w:val="18"/>
                <w:highlight w:val="none"/>
              </w:rPr>
            </w:pPr>
            <w:r>
              <w:rPr>
                <w:rFonts w:hint="eastAsia"/>
                <w:color w:val="auto"/>
                <w:sz w:val="18"/>
                <w:szCs w:val="18"/>
                <w:highlight w:val="none"/>
              </w:rPr>
              <w:t>1000≤Y＜5000</w:t>
            </w:r>
          </w:p>
        </w:tc>
        <w:tc>
          <w:tcPr>
            <w:tcW w:w="1009" w:type="dxa"/>
            <w:tcBorders>
              <w:top w:val="nil"/>
              <w:left w:val="nil"/>
              <w:bottom w:val="single" w:color="auto" w:sz="4" w:space="0"/>
              <w:right w:val="single" w:color="auto" w:sz="4" w:space="0"/>
            </w:tcBorders>
            <w:vAlign w:val="center"/>
          </w:tcPr>
          <w:p w14:paraId="6EDADBFA">
            <w:pPr>
              <w:widowControl/>
              <w:jc w:val="left"/>
              <w:rPr>
                <w:color w:val="auto"/>
                <w:sz w:val="18"/>
                <w:szCs w:val="18"/>
                <w:highlight w:val="none"/>
              </w:rPr>
            </w:pPr>
            <w:r>
              <w:rPr>
                <w:rFonts w:hint="eastAsia"/>
                <w:color w:val="auto"/>
                <w:sz w:val="18"/>
                <w:szCs w:val="18"/>
                <w:highlight w:val="none"/>
              </w:rPr>
              <w:t>Y＜1000</w:t>
            </w:r>
          </w:p>
        </w:tc>
      </w:tr>
      <w:tr w14:paraId="21A3036D">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79D4857B">
            <w:pPr>
              <w:widowControl/>
              <w:jc w:val="center"/>
              <w:rPr>
                <w:color w:val="auto"/>
                <w:sz w:val="18"/>
                <w:szCs w:val="18"/>
                <w:highlight w:val="none"/>
              </w:rPr>
            </w:pPr>
            <w:r>
              <w:rPr>
                <w:rFonts w:hint="eastAsia"/>
                <w:color w:val="auto"/>
                <w:sz w:val="18"/>
                <w:szCs w:val="18"/>
                <w:highlight w:val="none"/>
              </w:rPr>
              <w:t>零售业</w:t>
            </w:r>
          </w:p>
        </w:tc>
        <w:tc>
          <w:tcPr>
            <w:tcW w:w="1701" w:type="dxa"/>
            <w:tcBorders>
              <w:top w:val="nil"/>
              <w:left w:val="nil"/>
              <w:bottom w:val="single" w:color="auto" w:sz="4" w:space="0"/>
              <w:right w:val="single" w:color="auto" w:sz="4" w:space="0"/>
            </w:tcBorders>
            <w:vAlign w:val="center"/>
          </w:tcPr>
          <w:p w14:paraId="6911A822">
            <w:pPr>
              <w:widowControl/>
              <w:jc w:val="left"/>
              <w:rPr>
                <w:color w:val="auto"/>
                <w:sz w:val="18"/>
                <w:szCs w:val="18"/>
                <w:highlight w:val="none"/>
              </w:rPr>
            </w:pPr>
            <w:r>
              <w:rPr>
                <w:rFonts w:hint="eastAsia"/>
                <w:color w:val="auto"/>
                <w:sz w:val="18"/>
                <w:szCs w:val="18"/>
                <w:highlight w:val="none"/>
              </w:rPr>
              <w:t>从业人员（X）</w:t>
            </w:r>
          </w:p>
        </w:tc>
        <w:tc>
          <w:tcPr>
            <w:tcW w:w="1134" w:type="dxa"/>
            <w:tcBorders>
              <w:top w:val="nil"/>
              <w:left w:val="nil"/>
              <w:bottom w:val="single" w:color="auto" w:sz="4" w:space="0"/>
              <w:right w:val="single" w:color="auto" w:sz="4" w:space="0"/>
            </w:tcBorders>
            <w:vAlign w:val="center"/>
          </w:tcPr>
          <w:p w14:paraId="656C0248">
            <w:pPr>
              <w:widowControl/>
              <w:jc w:val="left"/>
              <w:rPr>
                <w:color w:val="auto"/>
                <w:sz w:val="18"/>
                <w:szCs w:val="18"/>
                <w:highlight w:val="none"/>
              </w:rPr>
            </w:pPr>
            <w:r>
              <w:rPr>
                <w:rFonts w:hint="eastAsia"/>
                <w:color w:val="auto"/>
                <w:sz w:val="18"/>
                <w:szCs w:val="18"/>
                <w:highlight w:val="none"/>
              </w:rPr>
              <w:t>人</w:t>
            </w:r>
          </w:p>
        </w:tc>
        <w:tc>
          <w:tcPr>
            <w:tcW w:w="1846" w:type="dxa"/>
            <w:tcBorders>
              <w:top w:val="nil"/>
              <w:left w:val="nil"/>
              <w:bottom w:val="single" w:color="auto" w:sz="4" w:space="0"/>
              <w:right w:val="single" w:color="auto" w:sz="4" w:space="0"/>
            </w:tcBorders>
            <w:vAlign w:val="center"/>
          </w:tcPr>
          <w:p w14:paraId="7BA06D81">
            <w:pPr>
              <w:widowControl/>
              <w:jc w:val="left"/>
              <w:rPr>
                <w:color w:val="auto"/>
                <w:sz w:val="18"/>
                <w:szCs w:val="18"/>
                <w:highlight w:val="none"/>
              </w:rPr>
            </w:pPr>
            <w:r>
              <w:rPr>
                <w:rFonts w:hint="eastAsia"/>
                <w:color w:val="auto"/>
                <w:sz w:val="18"/>
                <w:szCs w:val="18"/>
                <w:highlight w:val="none"/>
              </w:rPr>
              <w:t>50≤X＜300</w:t>
            </w:r>
          </w:p>
        </w:tc>
        <w:tc>
          <w:tcPr>
            <w:tcW w:w="1570" w:type="dxa"/>
            <w:tcBorders>
              <w:top w:val="nil"/>
              <w:left w:val="nil"/>
              <w:bottom w:val="single" w:color="auto" w:sz="4" w:space="0"/>
              <w:right w:val="single" w:color="auto" w:sz="4" w:space="0"/>
            </w:tcBorders>
            <w:vAlign w:val="center"/>
          </w:tcPr>
          <w:p w14:paraId="5495D68A">
            <w:pPr>
              <w:widowControl/>
              <w:jc w:val="left"/>
              <w:rPr>
                <w:color w:val="auto"/>
                <w:sz w:val="18"/>
                <w:szCs w:val="18"/>
                <w:highlight w:val="none"/>
              </w:rPr>
            </w:pPr>
            <w:r>
              <w:rPr>
                <w:rFonts w:hint="eastAsia"/>
                <w:color w:val="auto"/>
                <w:sz w:val="18"/>
                <w:szCs w:val="18"/>
                <w:highlight w:val="none"/>
              </w:rPr>
              <w:t>10≤X＜50</w:t>
            </w:r>
          </w:p>
        </w:tc>
        <w:tc>
          <w:tcPr>
            <w:tcW w:w="1009" w:type="dxa"/>
            <w:tcBorders>
              <w:top w:val="nil"/>
              <w:left w:val="nil"/>
              <w:bottom w:val="single" w:color="auto" w:sz="4" w:space="0"/>
              <w:right w:val="single" w:color="auto" w:sz="4" w:space="0"/>
            </w:tcBorders>
            <w:vAlign w:val="center"/>
          </w:tcPr>
          <w:p w14:paraId="13543C89">
            <w:pPr>
              <w:widowControl/>
              <w:jc w:val="left"/>
              <w:rPr>
                <w:color w:val="auto"/>
                <w:sz w:val="18"/>
                <w:szCs w:val="18"/>
                <w:highlight w:val="none"/>
              </w:rPr>
            </w:pPr>
            <w:r>
              <w:rPr>
                <w:rFonts w:hint="eastAsia"/>
                <w:color w:val="auto"/>
                <w:sz w:val="18"/>
                <w:szCs w:val="18"/>
                <w:highlight w:val="none"/>
              </w:rPr>
              <w:t>X＜10</w:t>
            </w:r>
          </w:p>
        </w:tc>
      </w:tr>
      <w:tr w14:paraId="2DECC37F">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05C73428">
            <w:pPr>
              <w:widowControl/>
              <w:jc w:val="left"/>
              <w:rPr>
                <w:color w:val="auto"/>
                <w:sz w:val="18"/>
                <w:szCs w:val="18"/>
                <w:highlight w:val="none"/>
              </w:rPr>
            </w:pPr>
          </w:p>
        </w:tc>
        <w:tc>
          <w:tcPr>
            <w:tcW w:w="1701" w:type="dxa"/>
            <w:tcBorders>
              <w:top w:val="nil"/>
              <w:left w:val="nil"/>
              <w:bottom w:val="single" w:color="auto" w:sz="4" w:space="0"/>
              <w:right w:val="single" w:color="auto" w:sz="4" w:space="0"/>
            </w:tcBorders>
            <w:vAlign w:val="center"/>
          </w:tcPr>
          <w:p w14:paraId="4628A7EA">
            <w:pPr>
              <w:widowControl/>
              <w:jc w:val="left"/>
              <w:rPr>
                <w:color w:val="auto"/>
                <w:sz w:val="18"/>
                <w:szCs w:val="18"/>
                <w:highlight w:val="none"/>
              </w:rPr>
            </w:pPr>
            <w:r>
              <w:rPr>
                <w:rFonts w:hint="eastAsia"/>
                <w:color w:val="auto"/>
                <w:sz w:val="18"/>
                <w:szCs w:val="18"/>
                <w:highlight w:val="none"/>
              </w:rPr>
              <w:t>营业收入（Y）</w:t>
            </w:r>
          </w:p>
        </w:tc>
        <w:tc>
          <w:tcPr>
            <w:tcW w:w="1134" w:type="dxa"/>
            <w:tcBorders>
              <w:top w:val="nil"/>
              <w:left w:val="nil"/>
              <w:bottom w:val="single" w:color="auto" w:sz="4" w:space="0"/>
              <w:right w:val="single" w:color="auto" w:sz="4" w:space="0"/>
            </w:tcBorders>
            <w:vAlign w:val="center"/>
          </w:tcPr>
          <w:p w14:paraId="20BE9D7E">
            <w:pPr>
              <w:widowControl/>
              <w:jc w:val="left"/>
              <w:rPr>
                <w:color w:val="auto"/>
                <w:sz w:val="18"/>
                <w:szCs w:val="18"/>
                <w:highlight w:val="none"/>
              </w:rPr>
            </w:pPr>
            <w:r>
              <w:rPr>
                <w:rFonts w:hint="eastAsia"/>
                <w:color w:val="auto"/>
                <w:sz w:val="18"/>
                <w:szCs w:val="18"/>
                <w:highlight w:val="none"/>
              </w:rPr>
              <w:t>万元</w:t>
            </w:r>
          </w:p>
        </w:tc>
        <w:tc>
          <w:tcPr>
            <w:tcW w:w="1846" w:type="dxa"/>
            <w:tcBorders>
              <w:top w:val="nil"/>
              <w:left w:val="nil"/>
              <w:bottom w:val="single" w:color="auto" w:sz="4" w:space="0"/>
              <w:right w:val="single" w:color="auto" w:sz="4" w:space="0"/>
            </w:tcBorders>
            <w:vAlign w:val="center"/>
          </w:tcPr>
          <w:p w14:paraId="4BACAA50">
            <w:pPr>
              <w:widowControl/>
              <w:jc w:val="left"/>
              <w:rPr>
                <w:color w:val="auto"/>
                <w:sz w:val="18"/>
                <w:szCs w:val="18"/>
                <w:highlight w:val="none"/>
              </w:rPr>
            </w:pPr>
            <w:r>
              <w:rPr>
                <w:rFonts w:hint="eastAsia"/>
                <w:color w:val="auto"/>
                <w:sz w:val="18"/>
                <w:szCs w:val="18"/>
                <w:highlight w:val="none"/>
              </w:rPr>
              <w:t>500≤Y＜20000</w:t>
            </w:r>
          </w:p>
        </w:tc>
        <w:tc>
          <w:tcPr>
            <w:tcW w:w="1570" w:type="dxa"/>
            <w:tcBorders>
              <w:top w:val="nil"/>
              <w:left w:val="nil"/>
              <w:bottom w:val="single" w:color="auto" w:sz="4" w:space="0"/>
              <w:right w:val="single" w:color="auto" w:sz="4" w:space="0"/>
            </w:tcBorders>
            <w:vAlign w:val="center"/>
          </w:tcPr>
          <w:p w14:paraId="3A0E9A1A">
            <w:pPr>
              <w:widowControl/>
              <w:jc w:val="left"/>
              <w:rPr>
                <w:color w:val="auto"/>
                <w:sz w:val="18"/>
                <w:szCs w:val="18"/>
                <w:highlight w:val="none"/>
              </w:rPr>
            </w:pPr>
            <w:r>
              <w:rPr>
                <w:rFonts w:hint="eastAsia"/>
                <w:color w:val="auto"/>
                <w:sz w:val="18"/>
                <w:szCs w:val="18"/>
                <w:highlight w:val="none"/>
              </w:rPr>
              <w:t>100≤Y＜500</w:t>
            </w:r>
          </w:p>
        </w:tc>
        <w:tc>
          <w:tcPr>
            <w:tcW w:w="1009" w:type="dxa"/>
            <w:tcBorders>
              <w:top w:val="nil"/>
              <w:left w:val="nil"/>
              <w:bottom w:val="single" w:color="auto" w:sz="4" w:space="0"/>
              <w:right w:val="single" w:color="auto" w:sz="4" w:space="0"/>
            </w:tcBorders>
            <w:vAlign w:val="center"/>
          </w:tcPr>
          <w:p w14:paraId="5D3AA585">
            <w:pPr>
              <w:widowControl/>
              <w:jc w:val="left"/>
              <w:rPr>
                <w:color w:val="auto"/>
                <w:sz w:val="18"/>
                <w:szCs w:val="18"/>
                <w:highlight w:val="none"/>
              </w:rPr>
            </w:pPr>
            <w:r>
              <w:rPr>
                <w:rFonts w:hint="eastAsia"/>
                <w:color w:val="auto"/>
                <w:sz w:val="18"/>
                <w:szCs w:val="18"/>
                <w:highlight w:val="none"/>
              </w:rPr>
              <w:t>Y＜100</w:t>
            </w:r>
          </w:p>
        </w:tc>
      </w:tr>
      <w:tr w14:paraId="011F983B">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6F14B35B">
            <w:pPr>
              <w:widowControl/>
              <w:jc w:val="center"/>
              <w:rPr>
                <w:color w:val="auto"/>
                <w:sz w:val="18"/>
                <w:szCs w:val="18"/>
                <w:highlight w:val="none"/>
              </w:rPr>
            </w:pPr>
            <w:r>
              <w:rPr>
                <w:rFonts w:hint="eastAsia"/>
                <w:color w:val="auto"/>
                <w:sz w:val="18"/>
                <w:szCs w:val="18"/>
                <w:highlight w:val="none"/>
              </w:rPr>
              <w:t>交通运输业</w:t>
            </w:r>
          </w:p>
        </w:tc>
        <w:tc>
          <w:tcPr>
            <w:tcW w:w="1701" w:type="dxa"/>
            <w:tcBorders>
              <w:top w:val="nil"/>
              <w:left w:val="nil"/>
              <w:bottom w:val="single" w:color="auto" w:sz="4" w:space="0"/>
              <w:right w:val="single" w:color="auto" w:sz="4" w:space="0"/>
            </w:tcBorders>
            <w:vAlign w:val="center"/>
          </w:tcPr>
          <w:p w14:paraId="08318A32">
            <w:pPr>
              <w:widowControl/>
              <w:jc w:val="left"/>
              <w:rPr>
                <w:color w:val="auto"/>
                <w:sz w:val="18"/>
                <w:szCs w:val="18"/>
                <w:highlight w:val="none"/>
              </w:rPr>
            </w:pPr>
            <w:r>
              <w:rPr>
                <w:rFonts w:hint="eastAsia"/>
                <w:color w:val="auto"/>
                <w:sz w:val="18"/>
                <w:szCs w:val="18"/>
                <w:highlight w:val="none"/>
              </w:rPr>
              <w:t>从业人员（X）</w:t>
            </w:r>
          </w:p>
        </w:tc>
        <w:tc>
          <w:tcPr>
            <w:tcW w:w="1134" w:type="dxa"/>
            <w:tcBorders>
              <w:top w:val="nil"/>
              <w:left w:val="nil"/>
              <w:bottom w:val="single" w:color="auto" w:sz="4" w:space="0"/>
              <w:right w:val="single" w:color="auto" w:sz="4" w:space="0"/>
            </w:tcBorders>
            <w:vAlign w:val="center"/>
          </w:tcPr>
          <w:p w14:paraId="6F8F556F">
            <w:pPr>
              <w:widowControl/>
              <w:jc w:val="left"/>
              <w:rPr>
                <w:color w:val="auto"/>
                <w:sz w:val="18"/>
                <w:szCs w:val="18"/>
                <w:highlight w:val="none"/>
              </w:rPr>
            </w:pPr>
            <w:r>
              <w:rPr>
                <w:rFonts w:hint="eastAsia"/>
                <w:color w:val="auto"/>
                <w:sz w:val="18"/>
                <w:szCs w:val="18"/>
                <w:highlight w:val="none"/>
              </w:rPr>
              <w:t>人</w:t>
            </w:r>
          </w:p>
        </w:tc>
        <w:tc>
          <w:tcPr>
            <w:tcW w:w="1846" w:type="dxa"/>
            <w:tcBorders>
              <w:top w:val="nil"/>
              <w:left w:val="nil"/>
              <w:bottom w:val="single" w:color="auto" w:sz="4" w:space="0"/>
              <w:right w:val="single" w:color="auto" w:sz="4" w:space="0"/>
            </w:tcBorders>
            <w:vAlign w:val="center"/>
          </w:tcPr>
          <w:p w14:paraId="68CD8925">
            <w:pPr>
              <w:widowControl/>
              <w:jc w:val="left"/>
              <w:rPr>
                <w:color w:val="auto"/>
                <w:sz w:val="18"/>
                <w:szCs w:val="18"/>
                <w:highlight w:val="none"/>
              </w:rPr>
            </w:pPr>
            <w:r>
              <w:rPr>
                <w:rFonts w:hint="eastAsia"/>
                <w:color w:val="auto"/>
                <w:sz w:val="18"/>
                <w:szCs w:val="18"/>
                <w:highlight w:val="none"/>
              </w:rPr>
              <w:t>300≤X＜1000</w:t>
            </w:r>
          </w:p>
        </w:tc>
        <w:tc>
          <w:tcPr>
            <w:tcW w:w="1570" w:type="dxa"/>
            <w:tcBorders>
              <w:top w:val="nil"/>
              <w:left w:val="nil"/>
              <w:bottom w:val="single" w:color="auto" w:sz="4" w:space="0"/>
              <w:right w:val="single" w:color="auto" w:sz="4" w:space="0"/>
            </w:tcBorders>
            <w:vAlign w:val="center"/>
          </w:tcPr>
          <w:p w14:paraId="30133A2B">
            <w:pPr>
              <w:widowControl/>
              <w:jc w:val="left"/>
              <w:rPr>
                <w:color w:val="auto"/>
                <w:sz w:val="18"/>
                <w:szCs w:val="18"/>
                <w:highlight w:val="none"/>
              </w:rPr>
            </w:pPr>
            <w:r>
              <w:rPr>
                <w:rFonts w:hint="eastAsia"/>
                <w:color w:val="auto"/>
                <w:sz w:val="18"/>
                <w:szCs w:val="18"/>
                <w:highlight w:val="none"/>
              </w:rPr>
              <w:t>20≤X＜300</w:t>
            </w:r>
          </w:p>
        </w:tc>
        <w:tc>
          <w:tcPr>
            <w:tcW w:w="1009" w:type="dxa"/>
            <w:tcBorders>
              <w:top w:val="nil"/>
              <w:left w:val="nil"/>
              <w:bottom w:val="single" w:color="auto" w:sz="4" w:space="0"/>
              <w:right w:val="single" w:color="auto" w:sz="4" w:space="0"/>
            </w:tcBorders>
            <w:vAlign w:val="center"/>
          </w:tcPr>
          <w:p w14:paraId="6CAB4269">
            <w:pPr>
              <w:widowControl/>
              <w:jc w:val="left"/>
              <w:rPr>
                <w:color w:val="auto"/>
                <w:sz w:val="18"/>
                <w:szCs w:val="18"/>
                <w:highlight w:val="none"/>
              </w:rPr>
            </w:pPr>
            <w:r>
              <w:rPr>
                <w:rFonts w:hint="eastAsia"/>
                <w:color w:val="auto"/>
                <w:sz w:val="18"/>
                <w:szCs w:val="18"/>
                <w:highlight w:val="none"/>
              </w:rPr>
              <w:t>X＜20</w:t>
            </w:r>
          </w:p>
        </w:tc>
      </w:tr>
      <w:tr w14:paraId="7FDE1A03">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341FBA12">
            <w:pPr>
              <w:widowControl/>
              <w:jc w:val="left"/>
              <w:rPr>
                <w:color w:val="auto"/>
                <w:sz w:val="18"/>
                <w:szCs w:val="18"/>
                <w:highlight w:val="none"/>
              </w:rPr>
            </w:pPr>
          </w:p>
        </w:tc>
        <w:tc>
          <w:tcPr>
            <w:tcW w:w="1701" w:type="dxa"/>
            <w:tcBorders>
              <w:top w:val="nil"/>
              <w:left w:val="nil"/>
              <w:bottom w:val="single" w:color="auto" w:sz="4" w:space="0"/>
              <w:right w:val="single" w:color="auto" w:sz="4" w:space="0"/>
            </w:tcBorders>
            <w:vAlign w:val="center"/>
          </w:tcPr>
          <w:p w14:paraId="40320594">
            <w:pPr>
              <w:widowControl/>
              <w:jc w:val="left"/>
              <w:rPr>
                <w:color w:val="auto"/>
                <w:sz w:val="18"/>
                <w:szCs w:val="18"/>
                <w:highlight w:val="none"/>
              </w:rPr>
            </w:pPr>
            <w:r>
              <w:rPr>
                <w:rFonts w:hint="eastAsia"/>
                <w:color w:val="auto"/>
                <w:sz w:val="18"/>
                <w:szCs w:val="18"/>
                <w:highlight w:val="none"/>
              </w:rPr>
              <w:t>营业收入（Y）</w:t>
            </w:r>
          </w:p>
        </w:tc>
        <w:tc>
          <w:tcPr>
            <w:tcW w:w="1134" w:type="dxa"/>
            <w:tcBorders>
              <w:top w:val="nil"/>
              <w:left w:val="nil"/>
              <w:bottom w:val="single" w:color="auto" w:sz="4" w:space="0"/>
              <w:right w:val="single" w:color="auto" w:sz="4" w:space="0"/>
            </w:tcBorders>
            <w:vAlign w:val="center"/>
          </w:tcPr>
          <w:p w14:paraId="5A0CD738">
            <w:pPr>
              <w:widowControl/>
              <w:jc w:val="left"/>
              <w:rPr>
                <w:color w:val="auto"/>
                <w:sz w:val="18"/>
                <w:szCs w:val="18"/>
                <w:highlight w:val="none"/>
              </w:rPr>
            </w:pPr>
            <w:r>
              <w:rPr>
                <w:rFonts w:hint="eastAsia"/>
                <w:color w:val="auto"/>
                <w:sz w:val="18"/>
                <w:szCs w:val="18"/>
                <w:highlight w:val="none"/>
              </w:rPr>
              <w:t>万元</w:t>
            </w:r>
          </w:p>
        </w:tc>
        <w:tc>
          <w:tcPr>
            <w:tcW w:w="1846" w:type="dxa"/>
            <w:tcBorders>
              <w:top w:val="nil"/>
              <w:left w:val="nil"/>
              <w:bottom w:val="single" w:color="auto" w:sz="4" w:space="0"/>
              <w:right w:val="single" w:color="auto" w:sz="4" w:space="0"/>
            </w:tcBorders>
            <w:vAlign w:val="center"/>
          </w:tcPr>
          <w:p w14:paraId="39A95669">
            <w:pPr>
              <w:widowControl/>
              <w:jc w:val="left"/>
              <w:rPr>
                <w:color w:val="auto"/>
                <w:sz w:val="18"/>
                <w:szCs w:val="18"/>
                <w:highlight w:val="none"/>
              </w:rPr>
            </w:pPr>
            <w:r>
              <w:rPr>
                <w:rFonts w:hint="eastAsia"/>
                <w:color w:val="auto"/>
                <w:sz w:val="18"/>
                <w:szCs w:val="18"/>
                <w:highlight w:val="none"/>
              </w:rPr>
              <w:t>3000≤Y＜30000</w:t>
            </w:r>
          </w:p>
        </w:tc>
        <w:tc>
          <w:tcPr>
            <w:tcW w:w="1570" w:type="dxa"/>
            <w:tcBorders>
              <w:top w:val="nil"/>
              <w:left w:val="nil"/>
              <w:bottom w:val="single" w:color="auto" w:sz="4" w:space="0"/>
              <w:right w:val="single" w:color="auto" w:sz="4" w:space="0"/>
            </w:tcBorders>
            <w:vAlign w:val="center"/>
          </w:tcPr>
          <w:p w14:paraId="3064D688">
            <w:pPr>
              <w:widowControl/>
              <w:jc w:val="left"/>
              <w:rPr>
                <w:color w:val="auto"/>
                <w:sz w:val="18"/>
                <w:szCs w:val="18"/>
                <w:highlight w:val="none"/>
              </w:rPr>
            </w:pPr>
            <w:r>
              <w:rPr>
                <w:rFonts w:hint="eastAsia"/>
                <w:color w:val="auto"/>
                <w:sz w:val="18"/>
                <w:szCs w:val="18"/>
                <w:highlight w:val="none"/>
              </w:rPr>
              <w:t>200≤Y＜3000</w:t>
            </w:r>
          </w:p>
        </w:tc>
        <w:tc>
          <w:tcPr>
            <w:tcW w:w="1009" w:type="dxa"/>
            <w:tcBorders>
              <w:top w:val="nil"/>
              <w:left w:val="nil"/>
              <w:bottom w:val="single" w:color="auto" w:sz="4" w:space="0"/>
              <w:right w:val="single" w:color="auto" w:sz="4" w:space="0"/>
            </w:tcBorders>
            <w:vAlign w:val="center"/>
          </w:tcPr>
          <w:p w14:paraId="2786F7D3">
            <w:pPr>
              <w:widowControl/>
              <w:jc w:val="left"/>
              <w:rPr>
                <w:color w:val="auto"/>
                <w:sz w:val="18"/>
                <w:szCs w:val="18"/>
                <w:highlight w:val="none"/>
              </w:rPr>
            </w:pPr>
            <w:r>
              <w:rPr>
                <w:rFonts w:hint="eastAsia"/>
                <w:color w:val="auto"/>
                <w:sz w:val="18"/>
                <w:szCs w:val="18"/>
                <w:highlight w:val="none"/>
              </w:rPr>
              <w:t>Y＜200</w:t>
            </w:r>
          </w:p>
        </w:tc>
      </w:tr>
      <w:tr w14:paraId="360924B3">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0698E66B">
            <w:pPr>
              <w:widowControl/>
              <w:jc w:val="center"/>
              <w:rPr>
                <w:color w:val="auto"/>
                <w:sz w:val="18"/>
                <w:szCs w:val="18"/>
                <w:highlight w:val="none"/>
              </w:rPr>
            </w:pPr>
            <w:r>
              <w:rPr>
                <w:rFonts w:hint="eastAsia"/>
                <w:color w:val="auto"/>
                <w:sz w:val="18"/>
                <w:szCs w:val="18"/>
                <w:highlight w:val="none"/>
              </w:rPr>
              <w:t>仓储业</w:t>
            </w:r>
          </w:p>
        </w:tc>
        <w:tc>
          <w:tcPr>
            <w:tcW w:w="1701" w:type="dxa"/>
            <w:tcBorders>
              <w:top w:val="nil"/>
              <w:left w:val="nil"/>
              <w:bottom w:val="single" w:color="auto" w:sz="4" w:space="0"/>
              <w:right w:val="single" w:color="auto" w:sz="4" w:space="0"/>
            </w:tcBorders>
            <w:vAlign w:val="center"/>
          </w:tcPr>
          <w:p w14:paraId="32CC5E21">
            <w:pPr>
              <w:widowControl/>
              <w:jc w:val="left"/>
              <w:rPr>
                <w:color w:val="auto"/>
                <w:sz w:val="18"/>
                <w:szCs w:val="18"/>
                <w:highlight w:val="none"/>
              </w:rPr>
            </w:pPr>
            <w:r>
              <w:rPr>
                <w:rFonts w:hint="eastAsia"/>
                <w:color w:val="auto"/>
                <w:sz w:val="18"/>
                <w:szCs w:val="18"/>
                <w:highlight w:val="none"/>
              </w:rPr>
              <w:t>从业人员（X）</w:t>
            </w:r>
          </w:p>
        </w:tc>
        <w:tc>
          <w:tcPr>
            <w:tcW w:w="1134" w:type="dxa"/>
            <w:tcBorders>
              <w:top w:val="nil"/>
              <w:left w:val="nil"/>
              <w:bottom w:val="single" w:color="auto" w:sz="4" w:space="0"/>
              <w:right w:val="single" w:color="auto" w:sz="4" w:space="0"/>
            </w:tcBorders>
            <w:vAlign w:val="center"/>
          </w:tcPr>
          <w:p w14:paraId="6543E7DC">
            <w:pPr>
              <w:widowControl/>
              <w:jc w:val="left"/>
              <w:rPr>
                <w:color w:val="auto"/>
                <w:sz w:val="18"/>
                <w:szCs w:val="18"/>
                <w:highlight w:val="none"/>
              </w:rPr>
            </w:pPr>
            <w:r>
              <w:rPr>
                <w:rFonts w:hint="eastAsia"/>
                <w:color w:val="auto"/>
                <w:sz w:val="18"/>
                <w:szCs w:val="18"/>
                <w:highlight w:val="none"/>
              </w:rPr>
              <w:t>人</w:t>
            </w:r>
          </w:p>
        </w:tc>
        <w:tc>
          <w:tcPr>
            <w:tcW w:w="1846" w:type="dxa"/>
            <w:tcBorders>
              <w:top w:val="nil"/>
              <w:left w:val="nil"/>
              <w:bottom w:val="single" w:color="auto" w:sz="4" w:space="0"/>
              <w:right w:val="single" w:color="auto" w:sz="4" w:space="0"/>
            </w:tcBorders>
            <w:vAlign w:val="center"/>
          </w:tcPr>
          <w:p w14:paraId="7922D4E2">
            <w:pPr>
              <w:widowControl/>
              <w:jc w:val="left"/>
              <w:rPr>
                <w:color w:val="auto"/>
                <w:sz w:val="18"/>
                <w:szCs w:val="18"/>
                <w:highlight w:val="none"/>
              </w:rPr>
            </w:pPr>
            <w:r>
              <w:rPr>
                <w:rFonts w:hint="eastAsia"/>
                <w:color w:val="auto"/>
                <w:sz w:val="18"/>
                <w:szCs w:val="18"/>
                <w:highlight w:val="none"/>
              </w:rPr>
              <w:t>100≤X＜200</w:t>
            </w:r>
          </w:p>
        </w:tc>
        <w:tc>
          <w:tcPr>
            <w:tcW w:w="1570" w:type="dxa"/>
            <w:tcBorders>
              <w:top w:val="nil"/>
              <w:left w:val="nil"/>
              <w:bottom w:val="single" w:color="auto" w:sz="4" w:space="0"/>
              <w:right w:val="single" w:color="auto" w:sz="4" w:space="0"/>
            </w:tcBorders>
            <w:vAlign w:val="center"/>
          </w:tcPr>
          <w:p w14:paraId="484DECDE">
            <w:pPr>
              <w:widowControl/>
              <w:jc w:val="left"/>
              <w:rPr>
                <w:color w:val="auto"/>
                <w:sz w:val="18"/>
                <w:szCs w:val="18"/>
                <w:highlight w:val="none"/>
              </w:rPr>
            </w:pPr>
            <w:r>
              <w:rPr>
                <w:rFonts w:hint="eastAsia"/>
                <w:color w:val="auto"/>
                <w:sz w:val="18"/>
                <w:szCs w:val="18"/>
                <w:highlight w:val="none"/>
              </w:rPr>
              <w:t>20≤X＜100</w:t>
            </w:r>
          </w:p>
        </w:tc>
        <w:tc>
          <w:tcPr>
            <w:tcW w:w="1009" w:type="dxa"/>
            <w:tcBorders>
              <w:top w:val="nil"/>
              <w:left w:val="nil"/>
              <w:bottom w:val="single" w:color="auto" w:sz="4" w:space="0"/>
              <w:right w:val="single" w:color="auto" w:sz="4" w:space="0"/>
            </w:tcBorders>
            <w:vAlign w:val="center"/>
          </w:tcPr>
          <w:p w14:paraId="7084E9C5">
            <w:pPr>
              <w:widowControl/>
              <w:jc w:val="left"/>
              <w:rPr>
                <w:color w:val="auto"/>
                <w:sz w:val="18"/>
                <w:szCs w:val="18"/>
                <w:highlight w:val="none"/>
              </w:rPr>
            </w:pPr>
            <w:r>
              <w:rPr>
                <w:rFonts w:hint="eastAsia"/>
                <w:color w:val="auto"/>
                <w:sz w:val="18"/>
                <w:szCs w:val="18"/>
                <w:highlight w:val="none"/>
              </w:rPr>
              <w:t>X＜20</w:t>
            </w:r>
          </w:p>
        </w:tc>
      </w:tr>
      <w:tr w14:paraId="4297441B">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17D1C3DE">
            <w:pPr>
              <w:widowControl/>
              <w:jc w:val="left"/>
              <w:rPr>
                <w:color w:val="auto"/>
                <w:sz w:val="18"/>
                <w:szCs w:val="18"/>
                <w:highlight w:val="none"/>
              </w:rPr>
            </w:pPr>
          </w:p>
        </w:tc>
        <w:tc>
          <w:tcPr>
            <w:tcW w:w="1701" w:type="dxa"/>
            <w:tcBorders>
              <w:top w:val="nil"/>
              <w:left w:val="nil"/>
              <w:bottom w:val="single" w:color="auto" w:sz="4" w:space="0"/>
              <w:right w:val="single" w:color="auto" w:sz="4" w:space="0"/>
            </w:tcBorders>
            <w:vAlign w:val="center"/>
          </w:tcPr>
          <w:p w14:paraId="6553D125">
            <w:pPr>
              <w:widowControl/>
              <w:jc w:val="left"/>
              <w:rPr>
                <w:color w:val="auto"/>
                <w:sz w:val="18"/>
                <w:szCs w:val="18"/>
                <w:highlight w:val="none"/>
              </w:rPr>
            </w:pPr>
            <w:r>
              <w:rPr>
                <w:rFonts w:hint="eastAsia"/>
                <w:color w:val="auto"/>
                <w:sz w:val="18"/>
                <w:szCs w:val="18"/>
                <w:highlight w:val="none"/>
              </w:rPr>
              <w:t>营业收入（Y）</w:t>
            </w:r>
          </w:p>
        </w:tc>
        <w:tc>
          <w:tcPr>
            <w:tcW w:w="1134" w:type="dxa"/>
            <w:tcBorders>
              <w:top w:val="nil"/>
              <w:left w:val="nil"/>
              <w:bottom w:val="single" w:color="auto" w:sz="4" w:space="0"/>
              <w:right w:val="single" w:color="auto" w:sz="4" w:space="0"/>
            </w:tcBorders>
            <w:vAlign w:val="center"/>
          </w:tcPr>
          <w:p w14:paraId="5B8B6CCE">
            <w:pPr>
              <w:widowControl/>
              <w:jc w:val="left"/>
              <w:rPr>
                <w:color w:val="auto"/>
                <w:sz w:val="18"/>
                <w:szCs w:val="18"/>
                <w:highlight w:val="none"/>
              </w:rPr>
            </w:pPr>
            <w:r>
              <w:rPr>
                <w:rFonts w:hint="eastAsia"/>
                <w:color w:val="auto"/>
                <w:sz w:val="18"/>
                <w:szCs w:val="18"/>
                <w:highlight w:val="none"/>
              </w:rPr>
              <w:t>万元</w:t>
            </w:r>
          </w:p>
        </w:tc>
        <w:tc>
          <w:tcPr>
            <w:tcW w:w="1846" w:type="dxa"/>
            <w:tcBorders>
              <w:top w:val="nil"/>
              <w:left w:val="nil"/>
              <w:bottom w:val="single" w:color="auto" w:sz="4" w:space="0"/>
              <w:right w:val="single" w:color="auto" w:sz="4" w:space="0"/>
            </w:tcBorders>
            <w:vAlign w:val="center"/>
          </w:tcPr>
          <w:p w14:paraId="0ED9F80D">
            <w:pPr>
              <w:widowControl/>
              <w:jc w:val="left"/>
              <w:rPr>
                <w:color w:val="auto"/>
                <w:sz w:val="18"/>
                <w:szCs w:val="18"/>
                <w:highlight w:val="none"/>
              </w:rPr>
            </w:pPr>
            <w:r>
              <w:rPr>
                <w:rFonts w:hint="eastAsia"/>
                <w:color w:val="auto"/>
                <w:sz w:val="18"/>
                <w:szCs w:val="18"/>
                <w:highlight w:val="none"/>
              </w:rPr>
              <w:t>1000≤Y＜30000</w:t>
            </w:r>
          </w:p>
        </w:tc>
        <w:tc>
          <w:tcPr>
            <w:tcW w:w="1570" w:type="dxa"/>
            <w:tcBorders>
              <w:top w:val="nil"/>
              <w:left w:val="nil"/>
              <w:bottom w:val="single" w:color="auto" w:sz="4" w:space="0"/>
              <w:right w:val="single" w:color="auto" w:sz="4" w:space="0"/>
            </w:tcBorders>
            <w:vAlign w:val="center"/>
          </w:tcPr>
          <w:p w14:paraId="5B0DBCB3">
            <w:pPr>
              <w:widowControl/>
              <w:jc w:val="left"/>
              <w:rPr>
                <w:color w:val="auto"/>
                <w:sz w:val="18"/>
                <w:szCs w:val="18"/>
                <w:highlight w:val="none"/>
              </w:rPr>
            </w:pPr>
            <w:r>
              <w:rPr>
                <w:rFonts w:hint="eastAsia"/>
                <w:color w:val="auto"/>
                <w:sz w:val="18"/>
                <w:szCs w:val="18"/>
                <w:highlight w:val="none"/>
              </w:rPr>
              <w:t>100≤Y＜1000</w:t>
            </w:r>
          </w:p>
        </w:tc>
        <w:tc>
          <w:tcPr>
            <w:tcW w:w="1009" w:type="dxa"/>
            <w:tcBorders>
              <w:top w:val="nil"/>
              <w:left w:val="nil"/>
              <w:bottom w:val="single" w:color="auto" w:sz="4" w:space="0"/>
              <w:right w:val="single" w:color="auto" w:sz="4" w:space="0"/>
            </w:tcBorders>
            <w:vAlign w:val="center"/>
          </w:tcPr>
          <w:p w14:paraId="390CFEC9">
            <w:pPr>
              <w:widowControl/>
              <w:jc w:val="left"/>
              <w:rPr>
                <w:color w:val="auto"/>
                <w:sz w:val="18"/>
                <w:szCs w:val="18"/>
                <w:highlight w:val="none"/>
              </w:rPr>
            </w:pPr>
            <w:r>
              <w:rPr>
                <w:rFonts w:hint="eastAsia"/>
                <w:color w:val="auto"/>
                <w:sz w:val="18"/>
                <w:szCs w:val="18"/>
                <w:highlight w:val="none"/>
              </w:rPr>
              <w:t>Y＜100</w:t>
            </w:r>
          </w:p>
        </w:tc>
      </w:tr>
      <w:tr w14:paraId="2D078225">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401C868B">
            <w:pPr>
              <w:widowControl/>
              <w:jc w:val="center"/>
              <w:rPr>
                <w:color w:val="auto"/>
                <w:sz w:val="18"/>
                <w:szCs w:val="18"/>
                <w:highlight w:val="none"/>
              </w:rPr>
            </w:pPr>
            <w:r>
              <w:rPr>
                <w:rFonts w:hint="eastAsia"/>
                <w:color w:val="auto"/>
                <w:sz w:val="18"/>
                <w:szCs w:val="18"/>
                <w:highlight w:val="none"/>
              </w:rPr>
              <w:t>邮政业</w:t>
            </w:r>
          </w:p>
        </w:tc>
        <w:tc>
          <w:tcPr>
            <w:tcW w:w="1701" w:type="dxa"/>
            <w:tcBorders>
              <w:top w:val="nil"/>
              <w:left w:val="nil"/>
              <w:bottom w:val="single" w:color="auto" w:sz="4" w:space="0"/>
              <w:right w:val="single" w:color="auto" w:sz="4" w:space="0"/>
            </w:tcBorders>
            <w:vAlign w:val="center"/>
          </w:tcPr>
          <w:p w14:paraId="216247F5">
            <w:pPr>
              <w:widowControl/>
              <w:jc w:val="left"/>
              <w:rPr>
                <w:color w:val="auto"/>
                <w:sz w:val="18"/>
                <w:szCs w:val="18"/>
                <w:highlight w:val="none"/>
              </w:rPr>
            </w:pPr>
            <w:r>
              <w:rPr>
                <w:rFonts w:hint="eastAsia"/>
                <w:color w:val="auto"/>
                <w:sz w:val="18"/>
                <w:szCs w:val="18"/>
                <w:highlight w:val="none"/>
              </w:rPr>
              <w:t>从业人员（X）</w:t>
            </w:r>
          </w:p>
        </w:tc>
        <w:tc>
          <w:tcPr>
            <w:tcW w:w="1134" w:type="dxa"/>
            <w:tcBorders>
              <w:top w:val="nil"/>
              <w:left w:val="nil"/>
              <w:bottom w:val="single" w:color="auto" w:sz="4" w:space="0"/>
              <w:right w:val="single" w:color="auto" w:sz="4" w:space="0"/>
            </w:tcBorders>
            <w:vAlign w:val="center"/>
          </w:tcPr>
          <w:p w14:paraId="526F4417">
            <w:pPr>
              <w:widowControl/>
              <w:jc w:val="left"/>
              <w:rPr>
                <w:color w:val="auto"/>
                <w:sz w:val="18"/>
                <w:szCs w:val="18"/>
                <w:highlight w:val="none"/>
              </w:rPr>
            </w:pPr>
            <w:r>
              <w:rPr>
                <w:rFonts w:hint="eastAsia"/>
                <w:color w:val="auto"/>
                <w:sz w:val="18"/>
                <w:szCs w:val="18"/>
                <w:highlight w:val="none"/>
              </w:rPr>
              <w:t>人</w:t>
            </w:r>
          </w:p>
        </w:tc>
        <w:tc>
          <w:tcPr>
            <w:tcW w:w="1846" w:type="dxa"/>
            <w:tcBorders>
              <w:top w:val="nil"/>
              <w:left w:val="nil"/>
              <w:bottom w:val="single" w:color="auto" w:sz="4" w:space="0"/>
              <w:right w:val="single" w:color="auto" w:sz="4" w:space="0"/>
            </w:tcBorders>
            <w:vAlign w:val="center"/>
          </w:tcPr>
          <w:p w14:paraId="11940824">
            <w:pPr>
              <w:widowControl/>
              <w:jc w:val="left"/>
              <w:rPr>
                <w:color w:val="auto"/>
                <w:sz w:val="18"/>
                <w:szCs w:val="18"/>
                <w:highlight w:val="none"/>
              </w:rPr>
            </w:pPr>
            <w:r>
              <w:rPr>
                <w:rFonts w:hint="eastAsia"/>
                <w:color w:val="auto"/>
                <w:sz w:val="18"/>
                <w:szCs w:val="18"/>
                <w:highlight w:val="none"/>
              </w:rPr>
              <w:t>300≤X＜1000</w:t>
            </w:r>
          </w:p>
        </w:tc>
        <w:tc>
          <w:tcPr>
            <w:tcW w:w="1570" w:type="dxa"/>
            <w:tcBorders>
              <w:top w:val="nil"/>
              <w:left w:val="nil"/>
              <w:bottom w:val="single" w:color="auto" w:sz="4" w:space="0"/>
              <w:right w:val="single" w:color="auto" w:sz="4" w:space="0"/>
            </w:tcBorders>
            <w:vAlign w:val="center"/>
          </w:tcPr>
          <w:p w14:paraId="77090220">
            <w:pPr>
              <w:widowControl/>
              <w:jc w:val="left"/>
              <w:rPr>
                <w:color w:val="auto"/>
                <w:sz w:val="18"/>
                <w:szCs w:val="18"/>
                <w:highlight w:val="none"/>
              </w:rPr>
            </w:pPr>
            <w:r>
              <w:rPr>
                <w:rFonts w:hint="eastAsia"/>
                <w:color w:val="auto"/>
                <w:sz w:val="18"/>
                <w:szCs w:val="18"/>
                <w:highlight w:val="none"/>
              </w:rPr>
              <w:t>20≤X＜300</w:t>
            </w:r>
          </w:p>
        </w:tc>
        <w:tc>
          <w:tcPr>
            <w:tcW w:w="1009" w:type="dxa"/>
            <w:tcBorders>
              <w:top w:val="nil"/>
              <w:left w:val="nil"/>
              <w:bottom w:val="single" w:color="auto" w:sz="4" w:space="0"/>
              <w:right w:val="single" w:color="auto" w:sz="4" w:space="0"/>
            </w:tcBorders>
            <w:vAlign w:val="center"/>
          </w:tcPr>
          <w:p w14:paraId="2FA3768B">
            <w:pPr>
              <w:widowControl/>
              <w:jc w:val="left"/>
              <w:rPr>
                <w:color w:val="auto"/>
                <w:sz w:val="18"/>
                <w:szCs w:val="18"/>
                <w:highlight w:val="none"/>
              </w:rPr>
            </w:pPr>
            <w:r>
              <w:rPr>
                <w:rFonts w:hint="eastAsia"/>
                <w:color w:val="auto"/>
                <w:sz w:val="18"/>
                <w:szCs w:val="18"/>
                <w:highlight w:val="none"/>
              </w:rPr>
              <w:t>X＜20</w:t>
            </w:r>
          </w:p>
        </w:tc>
      </w:tr>
      <w:tr w14:paraId="70895CEA">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1418A281">
            <w:pPr>
              <w:widowControl/>
              <w:jc w:val="left"/>
              <w:rPr>
                <w:color w:val="auto"/>
                <w:sz w:val="18"/>
                <w:szCs w:val="18"/>
                <w:highlight w:val="none"/>
              </w:rPr>
            </w:pPr>
          </w:p>
        </w:tc>
        <w:tc>
          <w:tcPr>
            <w:tcW w:w="1701" w:type="dxa"/>
            <w:tcBorders>
              <w:top w:val="nil"/>
              <w:left w:val="nil"/>
              <w:bottom w:val="single" w:color="auto" w:sz="4" w:space="0"/>
              <w:right w:val="single" w:color="auto" w:sz="4" w:space="0"/>
            </w:tcBorders>
            <w:vAlign w:val="center"/>
          </w:tcPr>
          <w:p w14:paraId="101EF945">
            <w:pPr>
              <w:widowControl/>
              <w:jc w:val="left"/>
              <w:rPr>
                <w:color w:val="auto"/>
                <w:sz w:val="18"/>
                <w:szCs w:val="18"/>
                <w:highlight w:val="none"/>
              </w:rPr>
            </w:pPr>
            <w:r>
              <w:rPr>
                <w:rFonts w:hint="eastAsia"/>
                <w:color w:val="auto"/>
                <w:sz w:val="18"/>
                <w:szCs w:val="18"/>
                <w:highlight w:val="none"/>
              </w:rPr>
              <w:t>营业收入（Y）</w:t>
            </w:r>
          </w:p>
        </w:tc>
        <w:tc>
          <w:tcPr>
            <w:tcW w:w="1134" w:type="dxa"/>
            <w:tcBorders>
              <w:top w:val="nil"/>
              <w:left w:val="nil"/>
              <w:bottom w:val="single" w:color="auto" w:sz="4" w:space="0"/>
              <w:right w:val="single" w:color="auto" w:sz="4" w:space="0"/>
            </w:tcBorders>
            <w:vAlign w:val="center"/>
          </w:tcPr>
          <w:p w14:paraId="0F4D8DB5">
            <w:pPr>
              <w:widowControl/>
              <w:jc w:val="left"/>
              <w:rPr>
                <w:color w:val="auto"/>
                <w:sz w:val="18"/>
                <w:szCs w:val="18"/>
                <w:highlight w:val="none"/>
              </w:rPr>
            </w:pPr>
            <w:r>
              <w:rPr>
                <w:rFonts w:hint="eastAsia"/>
                <w:color w:val="auto"/>
                <w:sz w:val="18"/>
                <w:szCs w:val="18"/>
                <w:highlight w:val="none"/>
              </w:rPr>
              <w:t>万元</w:t>
            </w:r>
          </w:p>
        </w:tc>
        <w:tc>
          <w:tcPr>
            <w:tcW w:w="1846" w:type="dxa"/>
            <w:tcBorders>
              <w:top w:val="nil"/>
              <w:left w:val="nil"/>
              <w:bottom w:val="single" w:color="auto" w:sz="4" w:space="0"/>
              <w:right w:val="single" w:color="auto" w:sz="4" w:space="0"/>
            </w:tcBorders>
            <w:vAlign w:val="center"/>
          </w:tcPr>
          <w:p w14:paraId="2D4210BA">
            <w:pPr>
              <w:widowControl/>
              <w:jc w:val="left"/>
              <w:rPr>
                <w:color w:val="auto"/>
                <w:sz w:val="18"/>
                <w:szCs w:val="18"/>
                <w:highlight w:val="none"/>
              </w:rPr>
            </w:pPr>
            <w:r>
              <w:rPr>
                <w:rFonts w:hint="eastAsia"/>
                <w:color w:val="auto"/>
                <w:sz w:val="18"/>
                <w:szCs w:val="18"/>
                <w:highlight w:val="none"/>
              </w:rPr>
              <w:t>2000≤Y＜30000</w:t>
            </w:r>
          </w:p>
        </w:tc>
        <w:tc>
          <w:tcPr>
            <w:tcW w:w="1570" w:type="dxa"/>
            <w:tcBorders>
              <w:top w:val="nil"/>
              <w:left w:val="nil"/>
              <w:bottom w:val="single" w:color="auto" w:sz="4" w:space="0"/>
              <w:right w:val="single" w:color="auto" w:sz="4" w:space="0"/>
            </w:tcBorders>
            <w:vAlign w:val="center"/>
          </w:tcPr>
          <w:p w14:paraId="5A887D58">
            <w:pPr>
              <w:widowControl/>
              <w:jc w:val="left"/>
              <w:rPr>
                <w:color w:val="auto"/>
                <w:sz w:val="18"/>
                <w:szCs w:val="18"/>
                <w:highlight w:val="none"/>
              </w:rPr>
            </w:pPr>
            <w:r>
              <w:rPr>
                <w:rFonts w:hint="eastAsia"/>
                <w:color w:val="auto"/>
                <w:sz w:val="18"/>
                <w:szCs w:val="18"/>
                <w:highlight w:val="none"/>
              </w:rPr>
              <w:t>100≤Y＜2000</w:t>
            </w:r>
          </w:p>
        </w:tc>
        <w:tc>
          <w:tcPr>
            <w:tcW w:w="1009" w:type="dxa"/>
            <w:tcBorders>
              <w:top w:val="nil"/>
              <w:left w:val="nil"/>
              <w:bottom w:val="single" w:color="auto" w:sz="4" w:space="0"/>
              <w:right w:val="single" w:color="auto" w:sz="4" w:space="0"/>
            </w:tcBorders>
            <w:vAlign w:val="center"/>
          </w:tcPr>
          <w:p w14:paraId="413D87A3">
            <w:pPr>
              <w:widowControl/>
              <w:jc w:val="left"/>
              <w:rPr>
                <w:color w:val="auto"/>
                <w:sz w:val="18"/>
                <w:szCs w:val="18"/>
                <w:highlight w:val="none"/>
              </w:rPr>
            </w:pPr>
            <w:r>
              <w:rPr>
                <w:rFonts w:hint="eastAsia"/>
                <w:color w:val="auto"/>
                <w:sz w:val="18"/>
                <w:szCs w:val="18"/>
                <w:highlight w:val="none"/>
              </w:rPr>
              <w:t>Y＜100</w:t>
            </w:r>
          </w:p>
        </w:tc>
      </w:tr>
      <w:tr w14:paraId="7513D933">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60BE8201">
            <w:pPr>
              <w:widowControl/>
              <w:jc w:val="center"/>
              <w:rPr>
                <w:color w:val="auto"/>
                <w:sz w:val="18"/>
                <w:szCs w:val="18"/>
                <w:highlight w:val="none"/>
              </w:rPr>
            </w:pPr>
            <w:r>
              <w:rPr>
                <w:rFonts w:hint="eastAsia"/>
                <w:color w:val="auto"/>
                <w:sz w:val="18"/>
                <w:szCs w:val="18"/>
                <w:highlight w:val="none"/>
              </w:rPr>
              <w:t>住宿业</w:t>
            </w:r>
          </w:p>
        </w:tc>
        <w:tc>
          <w:tcPr>
            <w:tcW w:w="1701" w:type="dxa"/>
            <w:tcBorders>
              <w:top w:val="nil"/>
              <w:left w:val="nil"/>
              <w:bottom w:val="single" w:color="auto" w:sz="4" w:space="0"/>
              <w:right w:val="single" w:color="auto" w:sz="4" w:space="0"/>
            </w:tcBorders>
            <w:vAlign w:val="center"/>
          </w:tcPr>
          <w:p w14:paraId="078E4A17">
            <w:pPr>
              <w:widowControl/>
              <w:jc w:val="left"/>
              <w:rPr>
                <w:color w:val="auto"/>
                <w:sz w:val="18"/>
                <w:szCs w:val="18"/>
                <w:highlight w:val="none"/>
              </w:rPr>
            </w:pPr>
            <w:r>
              <w:rPr>
                <w:rFonts w:hint="eastAsia"/>
                <w:color w:val="auto"/>
                <w:sz w:val="18"/>
                <w:szCs w:val="18"/>
                <w:highlight w:val="none"/>
              </w:rPr>
              <w:t>从业人员（X）</w:t>
            </w:r>
          </w:p>
        </w:tc>
        <w:tc>
          <w:tcPr>
            <w:tcW w:w="1134" w:type="dxa"/>
            <w:tcBorders>
              <w:top w:val="nil"/>
              <w:left w:val="nil"/>
              <w:bottom w:val="single" w:color="auto" w:sz="4" w:space="0"/>
              <w:right w:val="single" w:color="auto" w:sz="4" w:space="0"/>
            </w:tcBorders>
            <w:vAlign w:val="center"/>
          </w:tcPr>
          <w:p w14:paraId="78BD1324">
            <w:pPr>
              <w:widowControl/>
              <w:jc w:val="left"/>
              <w:rPr>
                <w:color w:val="auto"/>
                <w:sz w:val="18"/>
                <w:szCs w:val="18"/>
                <w:highlight w:val="none"/>
              </w:rPr>
            </w:pPr>
            <w:r>
              <w:rPr>
                <w:rFonts w:hint="eastAsia"/>
                <w:color w:val="auto"/>
                <w:sz w:val="18"/>
                <w:szCs w:val="18"/>
                <w:highlight w:val="none"/>
              </w:rPr>
              <w:t>人</w:t>
            </w:r>
          </w:p>
        </w:tc>
        <w:tc>
          <w:tcPr>
            <w:tcW w:w="1846" w:type="dxa"/>
            <w:tcBorders>
              <w:top w:val="nil"/>
              <w:left w:val="nil"/>
              <w:bottom w:val="single" w:color="auto" w:sz="4" w:space="0"/>
              <w:right w:val="single" w:color="auto" w:sz="4" w:space="0"/>
            </w:tcBorders>
            <w:vAlign w:val="center"/>
          </w:tcPr>
          <w:p w14:paraId="08945487">
            <w:pPr>
              <w:widowControl/>
              <w:jc w:val="left"/>
              <w:rPr>
                <w:color w:val="auto"/>
                <w:sz w:val="18"/>
                <w:szCs w:val="18"/>
                <w:highlight w:val="none"/>
              </w:rPr>
            </w:pPr>
            <w:r>
              <w:rPr>
                <w:rFonts w:hint="eastAsia"/>
                <w:color w:val="auto"/>
                <w:sz w:val="18"/>
                <w:szCs w:val="18"/>
                <w:highlight w:val="none"/>
              </w:rPr>
              <w:t>100≤X＜300</w:t>
            </w:r>
          </w:p>
        </w:tc>
        <w:tc>
          <w:tcPr>
            <w:tcW w:w="1570" w:type="dxa"/>
            <w:tcBorders>
              <w:top w:val="nil"/>
              <w:left w:val="nil"/>
              <w:bottom w:val="single" w:color="auto" w:sz="4" w:space="0"/>
              <w:right w:val="single" w:color="auto" w:sz="4" w:space="0"/>
            </w:tcBorders>
            <w:vAlign w:val="center"/>
          </w:tcPr>
          <w:p w14:paraId="3D7B69AD">
            <w:pPr>
              <w:widowControl/>
              <w:jc w:val="left"/>
              <w:rPr>
                <w:color w:val="auto"/>
                <w:sz w:val="18"/>
                <w:szCs w:val="18"/>
                <w:highlight w:val="none"/>
              </w:rPr>
            </w:pPr>
            <w:r>
              <w:rPr>
                <w:rFonts w:hint="eastAsia"/>
                <w:color w:val="auto"/>
                <w:sz w:val="18"/>
                <w:szCs w:val="18"/>
                <w:highlight w:val="none"/>
              </w:rPr>
              <w:t>10≤X＜100</w:t>
            </w:r>
          </w:p>
        </w:tc>
        <w:tc>
          <w:tcPr>
            <w:tcW w:w="1009" w:type="dxa"/>
            <w:tcBorders>
              <w:top w:val="nil"/>
              <w:left w:val="nil"/>
              <w:bottom w:val="single" w:color="auto" w:sz="4" w:space="0"/>
              <w:right w:val="single" w:color="auto" w:sz="4" w:space="0"/>
            </w:tcBorders>
            <w:vAlign w:val="center"/>
          </w:tcPr>
          <w:p w14:paraId="4291F940">
            <w:pPr>
              <w:widowControl/>
              <w:jc w:val="left"/>
              <w:rPr>
                <w:color w:val="auto"/>
                <w:sz w:val="18"/>
                <w:szCs w:val="18"/>
                <w:highlight w:val="none"/>
              </w:rPr>
            </w:pPr>
            <w:r>
              <w:rPr>
                <w:rFonts w:hint="eastAsia"/>
                <w:color w:val="auto"/>
                <w:sz w:val="18"/>
                <w:szCs w:val="18"/>
                <w:highlight w:val="none"/>
              </w:rPr>
              <w:t>X＜10</w:t>
            </w:r>
          </w:p>
        </w:tc>
      </w:tr>
      <w:tr w14:paraId="7BF01DCF">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15806846">
            <w:pPr>
              <w:widowControl/>
              <w:jc w:val="left"/>
              <w:rPr>
                <w:color w:val="auto"/>
                <w:sz w:val="18"/>
                <w:szCs w:val="18"/>
                <w:highlight w:val="none"/>
              </w:rPr>
            </w:pPr>
          </w:p>
        </w:tc>
        <w:tc>
          <w:tcPr>
            <w:tcW w:w="1701" w:type="dxa"/>
            <w:tcBorders>
              <w:top w:val="nil"/>
              <w:left w:val="nil"/>
              <w:bottom w:val="single" w:color="auto" w:sz="4" w:space="0"/>
              <w:right w:val="single" w:color="auto" w:sz="4" w:space="0"/>
            </w:tcBorders>
            <w:vAlign w:val="center"/>
          </w:tcPr>
          <w:p w14:paraId="7A2D0AE3">
            <w:pPr>
              <w:widowControl/>
              <w:jc w:val="left"/>
              <w:rPr>
                <w:color w:val="auto"/>
                <w:sz w:val="18"/>
                <w:szCs w:val="18"/>
                <w:highlight w:val="none"/>
              </w:rPr>
            </w:pPr>
            <w:r>
              <w:rPr>
                <w:rFonts w:hint="eastAsia"/>
                <w:color w:val="auto"/>
                <w:sz w:val="18"/>
                <w:szCs w:val="18"/>
                <w:highlight w:val="none"/>
              </w:rPr>
              <w:t>营业收入（Y）</w:t>
            </w:r>
          </w:p>
        </w:tc>
        <w:tc>
          <w:tcPr>
            <w:tcW w:w="1134" w:type="dxa"/>
            <w:tcBorders>
              <w:top w:val="nil"/>
              <w:left w:val="nil"/>
              <w:bottom w:val="single" w:color="auto" w:sz="4" w:space="0"/>
              <w:right w:val="single" w:color="auto" w:sz="4" w:space="0"/>
            </w:tcBorders>
            <w:vAlign w:val="center"/>
          </w:tcPr>
          <w:p w14:paraId="2D078EEB">
            <w:pPr>
              <w:widowControl/>
              <w:jc w:val="left"/>
              <w:rPr>
                <w:color w:val="auto"/>
                <w:sz w:val="18"/>
                <w:szCs w:val="18"/>
                <w:highlight w:val="none"/>
              </w:rPr>
            </w:pPr>
            <w:r>
              <w:rPr>
                <w:rFonts w:hint="eastAsia"/>
                <w:color w:val="auto"/>
                <w:sz w:val="18"/>
                <w:szCs w:val="18"/>
                <w:highlight w:val="none"/>
              </w:rPr>
              <w:t>万元</w:t>
            </w:r>
          </w:p>
        </w:tc>
        <w:tc>
          <w:tcPr>
            <w:tcW w:w="1846" w:type="dxa"/>
            <w:tcBorders>
              <w:top w:val="nil"/>
              <w:left w:val="nil"/>
              <w:bottom w:val="single" w:color="auto" w:sz="4" w:space="0"/>
              <w:right w:val="single" w:color="auto" w:sz="4" w:space="0"/>
            </w:tcBorders>
            <w:vAlign w:val="center"/>
          </w:tcPr>
          <w:p w14:paraId="160288F1">
            <w:pPr>
              <w:widowControl/>
              <w:jc w:val="left"/>
              <w:rPr>
                <w:color w:val="auto"/>
                <w:sz w:val="18"/>
                <w:szCs w:val="18"/>
                <w:highlight w:val="none"/>
              </w:rPr>
            </w:pPr>
            <w:r>
              <w:rPr>
                <w:rFonts w:hint="eastAsia"/>
                <w:color w:val="auto"/>
                <w:sz w:val="18"/>
                <w:szCs w:val="18"/>
                <w:highlight w:val="none"/>
              </w:rPr>
              <w:t>2000≤Y＜10000</w:t>
            </w:r>
          </w:p>
        </w:tc>
        <w:tc>
          <w:tcPr>
            <w:tcW w:w="1570" w:type="dxa"/>
            <w:tcBorders>
              <w:top w:val="nil"/>
              <w:left w:val="nil"/>
              <w:bottom w:val="single" w:color="auto" w:sz="4" w:space="0"/>
              <w:right w:val="single" w:color="auto" w:sz="4" w:space="0"/>
            </w:tcBorders>
            <w:vAlign w:val="center"/>
          </w:tcPr>
          <w:p w14:paraId="7A4C4889">
            <w:pPr>
              <w:widowControl/>
              <w:jc w:val="left"/>
              <w:rPr>
                <w:color w:val="auto"/>
                <w:sz w:val="18"/>
                <w:szCs w:val="18"/>
                <w:highlight w:val="none"/>
              </w:rPr>
            </w:pPr>
            <w:r>
              <w:rPr>
                <w:rFonts w:hint="eastAsia"/>
                <w:color w:val="auto"/>
                <w:sz w:val="18"/>
                <w:szCs w:val="18"/>
                <w:highlight w:val="none"/>
              </w:rPr>
              <w:t>100≤Y＜2000</w:t>
            </w:r>
          </w:p>
        </w:tc>
        <w:tc>
          <w:tcPr>
            <w:tcW w:w="1009" w:type="dxa"/>
            <w:tcBorders>
              <w:top w:val="nil"/>
              <w:left w:val="nil"/>
              <w:bottom w:val="single" w:color="auto" w:sz="4" w:space="0"/>
              <w:right w:val="single" w:color="auto" w:sz="4" w:space="0"/>
            </w:tcBorders>
            <w:vAlign w:val="center"/>
          </w:tcPr>
          <w:p w14:paraId="5B879871">
            <w:pPr>
              <w:widowControl/>
              <w:jc w:val="left"/>
              <w:rPr>
                <w:color w:val="auto"/>
                <w:sz w:val="18"/>
                <w:szCs w:val="18"/>
                <w:highlight w:val="none"/>
              </w:rPr>
            </w:pPr>
            <w:r>
              <w:rPr>
                <w:rFonts w:hint="eastAsia"/>
                <w:color w:val="auto"/>
                <w:sz w:val="18"/>
                <w:szCs w:val="18"/>
                <w:highlight w:val="none"/>
              </w:rPr>
              <w:t>Y＜100</w:t>
            </w:r>
          </w:p>
        </w:tc>
      </w:tr>
      <w:tr w14:paraId="3889586D">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45B48A95">
            <w:pPr>
              <w:widowControl/>
              <w:jc w:val="center"/>
              <w:rPr>
                <w:color w:val="auto"/>
                <w:sz w:val="18"/>
                <w:szCs w:val="18"/>
                <w:highlight w:val="none"/>
              </w:rPr>
            </w:pPr>
            <w:r>
              <w:rPr>
                <w:rFonts w:hint="eastAsia"/>
                <w:color w:val="auto"/>
                <w:sz w:val="18"/>
                <w:szCs w:val="18"/>
                <w:highlight w:val="none"/>
              </w:rPr>
              <w:t>餐饮业</w:t>
            </w:r>
          </w:p>
        </w:tc>
        <w:tc>
          <w:tcPr>
            <w:tcW w:w="1701" w:type="dxa"/>
            <w:tcBorders>
              <w:top w:val="nil"/>
              <w:left w:val="nil"/>
              <w:bottom w:val="single" w:color="auto" w:sz="4" w:space="0"/>
              <w:right w:val="single" w:color="auto" w:sz="4" w:space="0"/>
            </w:tcBorders>
            <w:vAlign w:val="center"/>
          </w:tcPr>
          <w:p w14:paraId="3A353DB0">
            <w:pPr>
              <w:widowControl/>
              <w:jc w:val="left"/>
              <w:rPr>
                <w:color w:val="auto"/>
                <w:sz w:val="18"/>
                <w:szCs w:val="18"/>
                <w:highlight w:val="none"/>
              </w:rPr>
            </w:pPr>
            <w:r>
              <w:rPr>
                <w:rFonts w:hint="eastAsia"/>
                <w:color w:val="auto"/>
                <w:sz w:val="18"/>
                <w:szCs w:val="18"/>
                <w:highlight w:val="none"/>
              </w:rPr>
              <w:t>从业人员（X）</w:t>
            </w:r>
          </w:p>
        </w:tc>
        <w:tc>
          <w:tcPr>
            <w:tcW w:w="1134" w:type="dxa"/>
            <w:tcBorders>
              <w:top w:val="nil"/>
              <w:left w:val="nil"/>
              <w:bottom w:val="single" w:color="auto" w:sz="4" w:space="0"/>
              <w:right w:val="single" w:color="auto" w:sz="4" w:space="0"/>
            </w:tcBorders>
            <w:vAlign w:val="center"/>
          </w:tcPr>
          <w:p w14:paraId="278C4E53">
            <w:pPr>
              <w:widowControl/>
              <w:jc w:val="left"/>
              <w:rPr>
                <w:color w:val="auto"/>
                <w:sz w:val="18"/>
                <w:szCs w:val="18"/>
                <w:highlight w:val="none"/>
              </w:rPr>
            </w:pPr>
            <w:r>
              <w:rPr>
                <w:rFonts w:hint="eastAsia"/>
                <w:color w:val="auto"/>
                <w:sz w:val="18"/>
                <w:szCs w:val="18"/>
                <w:highlight w:val="none"/>
              </w:rPr>
              <w:t>人</w:t>
            </w:r>
          </w:p>
        </w:tc>
        <w:tc>
          <w:tcPr>
            <w:tcW w:w="1846" w:type="dxa"/>
            <w:tcBorders>
              <w:top w:val="nil"/>
              <w:left w:val="nil"/>
              <w:bottom w:val="single" w:color="auto" w:sz="4" w:space="0"/>
              <w:right w:val="single" w:color="auto" w:sz="4" w:space="0"/>
            </w:tcBorders>
            <w:vAlign w:val="center"/>
          </w:tcPr>
          <w:p w14:paraId="4CA58145">
            <w:pPr>
              <w:widowControl/>
              <w:jc w:val="left"/>
              <w:rPr>
                <w:color w:val="auto"/>
                <w:sz w:val="18"/>
                <w:szCs w:val="18"/>
                <w:highlight w:val="none"/>
              </w:rPr>
            </w:pPr>
            <w:r>
              <w:rPr>
                <w:rFonts w:hint="eastAsia"/>
                <w:color w:val="auto"/>
                <w:sz w:val="18"/>
                <w:szCs w:val="18"/>
                <w:highlight w:val="none"/>
              </w:rPr>
              <w:t>100≤X＜300</w:t>
            </w:r>
          </w:p>
        </w:tc>
        <w:tc>
          <w:tcPr>
            <w:tcW w:w="1570" w:type="dxa"/>
            <w:tcBorders>
              <w:top w:val="nil"/>
              <w:left w:val="nil"/>
              <w:bottom w:val="single" w:color="auto" w:sz="4" w:space="0"/>
              <w:right w:val="single" w:color="auto" w:sz="4" w:space="0"/>
            </w:tcBorders>
            <w:vAlign w:val="center"/>
          </w:tcPr>
          <w:p w14:paraId="045D19F9">
            <w:pPr>
              <w:widowControl/>
              <w:jc w:val="left"/>
              <w:rPr>
                <w:color w:val="auto"/>
                <w:sz w:val="18"/>
                <w:szCs w:val="18"/>
                <w:highlight w:val="none"/>
              </w:rPr>
            </w:pPr>
            <w:r>
              <w:rPr>
                <w:rFonts w:hint="eastAsia"/>
                <w:color w:val="auto"/>
                <w:sz w:val="18"/>
                <w:szCs w:val="18"/>
                <w:highlight w:val="none"/>
              </w:rPr>
              <w:t>10≤X＜100</w:t>
            </w:r>
          </w:p>
        </w:tc>
        <w:tc>
          <w:tcPr>
            <w:tcW w:w="1009" w:type="dxa"/>
            <w:tcBorders>
              <w:top w:val="nil"/>
              <w:left w:val="nil"/>
              <w:bottom w:val="single" w:color="auto" w:sz="4" w:space="0"/>
              <w:right w:val="single" w:color="auto" w:sz="4" w:space="0"/>
            </w:tcBorders>
            <w:vAlign w:val="center"/>
          </w:tcPr>
          <w:p w14:paraId="02BA1A23">
            <w:pPr>
              <w:widowControl/>
              <w:jc w:val="left"/>
              <w:rPr>
                <w:color w:val="auto"/>
                <w:sz w:val="18"/>
                <w:szCs w:val="18"/>
                <w:highlight w:val="none"/>
              </w:rPr>
            </w:pPr>
            <w:r>
              <w:rPr>
                <w:rFonts w:hint="eastAsia"/>
                <w:color w:val="auto"/>
                <w:sz w:val="18"/>
                <w:szCs w:val="18"/>
                <w:highlight w:val="none"/>
              </w:rPr>
              <w:t>X＜10</w:t>
            </w:r>
          </w:p>
        </w:tc>
      </w:tr>
      <w:tr w14:paraId="1EA5B3C7">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081231C8">
            <w:pPr>
              <w:widowControl/>
              <w:jc w:val="left"/>
              <w:rPr>
                <w:color w:val="auto"/>
                <w:sz w:val="18"/>
                <w:szCs w:val="18"/>
                <w:highlight w:val="none"/>
              </w:rPr>
            </w:pPr>
          </w:p>
        </w:tc>
        <w:tc>
          <w:tcPr>
            <w:tcW w:w="1701" w:type="dxa"/>
            <w:tcBorders>
              <w:top w:val="nil"/>
              <w:left w:val="nil"/>
              <w:bottom w:val="single" w:color="auto" w:sz="4" w:space="0"/>
              <w:right w:val="single" w:color="auto" w:sz="4" w:space="0"/>
            </w:tcBorders>
            <w:vAlign w:val="center"/>
          </w:tcPr>
          <w:p w14:paraId="3D0C8A84">
            <w:pPr>
              <w:widowControl/>
              <w:jc w:val="left"/>
              <w:rPr>
                <w:color w:val="auto"/>
                <w:sz w:val="18"/>
                <w:szCs w:val="18"/>
                <w:highlight w:val="none"/>
              </w:rPr>
            </w:pPr>
            <w:r>
              <w:rPr>
                <w:rFonts w:hint="eastAsia"/>
                <w:color w:val="auto"/>
                <w:sz w:val="18"/>
                <w:szCs w:val="18"/>
                <w:highlight w:val="none"/>
              </w:rPr>
              <w:t>营业收入（Y）</w:t>
            </w:r>
          </w:p>
        </w:tc>
        <w:tc>
          <w:tcPr>
            <w:tcW w:w="1134" w:type="dxa"/>
            <w:tcBorders>
              <w:top w:val="nil"/>
              <w:left w:val="nil"/>
              <w:bottom w:val="single" w:color="auto" w:sz="4" w:space="0"/>
              <w:right w:val="single" w:color="auto" w:sz="4" w:space="0"/>
            </w:tcBorders>
            <w:vAlign w:val="center"/>
          </w:tcPr>
          <w:p w14:paraId="252AC106">
            <w:pPr>
              <w:widowControl/>
              <w:jc w:val="left"/>
              <w:rPr>
                <w:color w:val="auto"/>
                <w:sz w:val="18"/>
                <w:szCs w:val="18"/>
                <w:highlight w:val="none"/>
              </w:rPr>
            </w:pPr>
            <w:r>
              <w:rPr>
                <w:rFonts w:hint="eastAsia"/>
                <w:color w:val="auto"/>
                <w:sz w:val="18"/>
                <w:szCs w:val="18"/>
                <w:highlight w:val="none"/>
              </w:rPr>
              <w:t>万元</w:t>
            </w:r>
          </w:p>
        </w:tc>
        <w:tc>
          <w:tcPr>
            <w:tcW w:w="1846" w:type="dxa"/>
            <w:tcBorders>
              <w:top w:val="nil"/>
              <w:left w:val="nil"/>
              <w:bottom w:val="single" w:color="auto" w:sz="4" w:space="0"/>
              <w:right w:val="single" w:color="auto" w:sz="4" w:space="0"/>
            </w:tcBorders>
            <w:vAlign w:val="center"/>
          </w:tcPr>
          <w:p w14:paraId="743BB933">
            <w:pPr>
              <w:widowControl/>
              <w:jc w:val="left"/>
              <w:rPr>
                <w:color w:val="auto"/>
                <w:sz w:val="18"/>
                <w:szCs w:val="18"/>
                <w:highlight w:val="none"/>
              </w:rPr>
            </w:pPr>
            <w:r>
              <w:rPr>
                <w:rFonts w:hint="eastAsia"/>
                <w:color w:val="auto"/>
                <w:sz w:val="18"/>
                <w:szCs w:val="18"/>
                <w:highlight w:val="none"/>
              </w:rPr>
              <w:t>2000≤Y＜10000</w:t>
            </w:r>
          </w:p>
        </w:tc>
        <w:tc>
          <w:tcPr>
            <w:tcW w:w="1570" w:type="dxa"/>
            <w:tcBorders>
              <w:top w:val="nil"/>
              <w:left w:val="nil"/>
              <w:bottom w:val="single" w:color="auto" w:sz="4" w:space="0"/>
              <w:right w:val="single" w:color="auto" w:sz="4" w:space="0"/>
            </w:tcBorders>
            <w:vAlign w:val="center"/>
          </w:tcPr>
          <w:p w14:paraId="323CD84F">
            <w:pPr>
              <w:widowControl/>
              <w:jc w:val="left"/>
              <w:rPr>
                <w:color w:val="auto"/>
                <w:sz w:val="18"/>
                <w:szCs w:val="18"/>
                <w:highlight w:val="none"/>
              </w:rPr>
            </w:pPr>
            <w:r>
              <w:rPr>
                <w:rFonts w:hint="eastAsia"/>
                <w:color w:val="auto"/>
                <w:sz w:val="18"/>
                <w:szCs w:val="18"/>
                <w:highlight w:val="none"/>
              </w:rPr>
              <w:t>100≤Y＜2000</w:t>
            </w:r>
          </w:p>
        </w:tc>
        <w:tc>
          <w:tcPr>
            <w:tcW w:w="1009" w:type="dxa"/>
            <w:tcBorders>
              <w:top w:val="nil"/>
              <w:left w:val="nil"/>
              <w:bottom w:val="single" w:color="auto" w:sz="4" w:space="0"/>
              <w:right w:val="single" w:color="auto" w:sz="4" w:space="0"/>
            </w:tcBorders>
            <w:vAlign w:val="center"/>
          </w:tcPr>
          <w:p w14:paraId="63430F10">
            <w:pPr>
              <w:widowControl/>
              <w:jc w:val="left"/>
              <w:rPr>
                <w:color w:val="auto"/>
                <w:sz w:val="18"/>
                <w:szCs w:val="18"/>
                <w:highlight w:val="none"/>
              </w:rPr>
            </w:pPr>
            <w:r>
              <w:rPr>
                <w:rFonts w:hint="eastAsia"/>
                <w:color w:val="auto"/>
                <w:sz w:val="18"/>
                <w:szCs w:val="18"/>
                <w:highlight w:val="none"/>
              </w:rPr>
              <w:t>Y＜100</w:t>
            </w:r>
          </w:p>
        </w:tc>
      </w:tr>
      <w:tr w14:paraId="78147FF3">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55EEA066">
            <w:pPr>
              <w:widowControl/>
              <w:jc w:val="center"/>
              <w:rPr>
                <w:color w:val="auto"/>
                <w:sz w:val="18"/>
                <w:szCs w:val="18"/>
                <w:highlight w:val="none"/>
              </w:rPr>
            </w:pPr>
            <w:r>
              <w:rPr>
                <w:rFonts w:hint="eastAsia"/>
                <w:color w:val="auto"/>
                <w:sz w:val="18"/>
                <w:szCs w:val="18"/>
                <w:highlight w:val="none"/>
              </w:rPr>
              <w:t>信息传输业</w:t>
            </w:r>
          </w:p>
        </w:tc>
        <w:tc>
          <w:tcPr>
            <w:tcW w:w="1701" w:type="dxa"/>
            <w:tcBorders>
              <w:top w:val="nil"/>
              <w:left w:val="nil"/>
              <w:bottom w:val="single" w:color="auto" w:sz="4" w:space="0"/>
              <w:right w:val="single" w:color="auto" w:sz="4" w:space="0"/>
            </w:tcBorders>
            <w:vAlign w:val="center"/>
          </w:tcPr>
          <w:p w14:paraId="3E8C515B">
            <w:pPr>
              <w:widowControl/>
              <w:jc w:val="left"/>
              <w:rPr>
                <w:color w:val="auto"/>
                <w:sz w:val="18"/>
                <w:szCs w:val="18"/>
                <w:highlight w:val="none"/>
              </w:rPr>
            </w:pPr>
            <w:r>
              <w:rPr>
                <w:rFonts w:hint="eastAsia"/>
                <w:color w:val="auto"/>
                <w:sz w:val="18"/>
                <w:szCs w:val="18"/>
                <w:highlight w:val="none"/>
              </w:rPr>
              <w:t>从业人员（X）</w:t>
            </w:r>
          </w:p>
        </w:tc>
        <w:tc>
          <w:tcPr>
            <w:tcW w:w="1134" w:type="dxa"/>
            <w:tcBorders>
              <w:top w:val="nil"/>
              <w:left w:val="nil"/>
              <w:bottom w:val="single" w:color="auto" w:sz="4" w:space="0"/>
              <w:right w:val="single" w:color="auto" w:sz="4" w:space="0"/>
            </w:tcBorders>
            <w:vAlign w:val="center"/>
          </w:tcPr>
          <w:p w14:paraId="2819E3E8">
            <w:pPr>
              <w:widowControl/>
              <w:jc w:val="left"/>
              <w:rPr>
                <w:color w:val="auto"/>
                <w:sz w:val="18"/>
                <w:szCs w:val="18"/>
                <w:highlight w:val="none"/>
              </w:rPr>
            </w:pPr>
            <w:r>
              <w:rPr>
                <w:rFonts w:hint="eastAsia"/>
                <w:color w:val="auto"/>
                <w:sz w:val="18"/>
                <w:szCs w:val="18"/>
                <w:highlight w:val="none"/>
              </w:rPr>
              <w:t>人</w:t>
            </w:r>
          </w:p>
        </w:tc>
        <w:tc>
          <w:tcPr>
            <w:tcW w:w="1846" w:type="dxa"/>
            <w:tcBorders>
              <w:top w:val="nil"/>
              <w:left w:val="nil"/>
              <w:bottom w:val="single" w:color="auto" w:sz="4" w:space="0"/>
              <w:right w:val="single" w:color="auto" w:sz="4" w:space="0"/>
            </w:tcBorders>
            <w:vAlign w:val="center"/>
          </w:tcPr>
          <w:p w14:paraId="0448F894">
            <w:pPr>
              <w:widowControl/>
              <w:jc w:val="left"/>
              <w:rPr>
                <w:color w:val="auto"/>
                <w:sz w:val="18"/>
                <w:szCs w:val="18"/>
                <w:highlight w:val="none"/>
              </w:rPr>
            </w:pPr>
            <w:r>
              <w:rPr>
                <w:rFonts w:hint="eastAsia"/>
                <w:color w:val="auto"/>
                <w:sz w:val="18"/>
                <w:szCs w:val="18"/>
                <w:highlight w:val="none"/>
              </w:rPr>
              <w:t>100≤X＜2000</w:t>
            </w:r>
          </w:p>
        </w:tc>
        <w:tc>
          <w:tcPr>
            <w:tcW w:w="1570" w:type="dxa"/>
            <w:tcBorders>
              <w:top w:val="nil"/>
              <w:left w:val="nil"/>
              <w:bottom w:val="single" w:color="auto" w:sz="4" w:space="0"/>
              <w:right w:val="single" w:color="auto" w:sz="4" w:space="0"/>
            </w:tcBorders>
            <w:vAlign w:val="center"/>
          </w:tcPr>
          <w:p w14:paraId="7E74E934">
            <w:pPr>
              <w:widowControl/>
              <w:jc w:val="left"/>
              <w:rPr>
                <w:color w:val="auto"/>
                <w:sz w:val="18"/>
                <w:szCs w:val="18"/>
                <w:highlight w:val="none"/>
              </w:rPr>
            </w:pPr>
            <w:r>
              <w:rPr>
                <w:rFonts w:hint="eastAsia"/>
                <w:color w:val="auto"/>
                <w:sz w:val="18"/>
                <w:szCs w:val="18"/>
                <w:highlight w:val="none"/>
              </w:rPr>
              <w:t>10≤X＜100</w:t>
            </w:r>
          </w:p>
        </w:tc>
        <w:tc>
          <w:tcPr>
            <w:tcW w:w="1009" w:type="dxa"/>
            <w:tcBorders>
              <w:top w:val="nil"/>
              <w:left w:val="nil"/>
              <w:bottom w:val="single" w:color="auto" w:sz="4" w:space="0"/>
              <w:right w:val="single" w:color="auto" w:sz="4" w:space="0"/>
            </w:tcBorders>
            <w:vAlign w:val="center"/>
          </w:tcPr>
          <w:p w14:paraId="66236CDE">
            <w:pPr>
              <w:widowControl/>
              <w:jc w:val="left"/>
              <w:rPr>
                <w:color w:val="auto"/>
                <w:sz w:val="18"/>
                <w:szCs w:val="18"/>
                <w:highlight w:val="none"/>
              </w:rPr>
            </w:pPr>
            <w:r>
              <w:rPr>
                <w:rFonts w:hint="eastAsia"/>
                <w:color w:val="auto"/>
                <w:sz w:val="18"/>
                <w:szCs w:val="18"/>
                <w:highlight w:val="none"/>
              </w:rPr>
              <w:t>X＜10</w:t>
            </w:r>
          </w:p>
        </w:tc>
      </w:tr>
      <w:tr w14:paraId="5F545A31">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457D7E6B">
            <w:pPr>
              <w:widowControl/>
              <w:jc w:val="left"/>
              <w:rPr>
                <w:color w:val="auto"/>
                <w:sz w:val="18"/>
                <w:szCs w:val="18"/>
                <w:highlight w:val="none"/>
              </w:rPr>
            </w:pPr>
          </w:p>
        </w:tc>
        <w:tc>
          <w:tcPr>
            <w:tcW w:w="1701" w:type="dxa"/>
            <w:tcBorders>
              <w:top w:val="nil"/>
              <w:left w:val="nil"/>
              <w:bottom w:val="single" w:color="auto" w:sz="4" w:space="0"/>
              <w:right w:val="single" w:color="auto" w:sz="4" w:space="0"/>
            </w:tcBorders>
            <w:vAlign w:val="center"/>
          </w:tcPr>
          <w:p w14:paraId="7A67B37F">
            <w:pPr>
              <w:widowControl/>
              <w:jc w:val="left"/>
              <w:rPr>
                <w:color w:val="auto"/>
                <w:sz w:val="18"/>
                <w:szCs w:val="18"/>
                <w:highlight w:val="none"/>
              </w:rPr>
            </w:pPr>
            <w:r>
              <w:rPr>
                <w:rFonts w:hint="eastAsia"/>
                <w:color w:val="auto"/>
                <w:sz w:val="18"/>
                <w:szCs w:val="18"/>
                <w:highlight w:val="none"/>
              </w:rPr>
              <w:t>营业收入（Y）</w:t>
            </w:r>
          </w:p>
        </w:tc>
        <w:tc>
          <w:tcPr>
            <w:tcW w:w="1134" w:type="dxa"/>
            <w:tcBorders>
              <w:top w:val="nil"/>
              <w:left w:val="nil"/>
              <w:bottom w:val="single" w:color="auto" w:sz="4" w:space="0"/>
              <w:right w:val="single" w:color="auto" w:sz="4" w:space="0"/>
            </w:tcBorders>
            <w:vAlign w:val="center"/>
          </w:tcPr>
          <w:p w14:paraId="775E0D2A">
            <w:pPr>
              <w:widowControl/>
              <w:jc w:val="left"/>
              <w:rPr>
                <w:color w:val="auto"/>
                <w:sz w:val="18"/>
                <w:szCs w:val="18"/>
                <w:highlight w:val="none"/>
              </w:rPr>
            </w:pPr>
            <w:r>
              <w:rPr>
                <w:rFonts w:hint="eastAsia"/>
                <w:color w:val="auto"/>
                <w:sz w:val="18"/>
                <w:szCs w:val="18"/>
                <w:highlight w:val="none"/>
              </w:rPr>
              <w:t>万元</w:t>
            </w:r>
          </w:p>
        </w:tc>
        <w:tc>
          <w:tcPr>
            <w:tcW w:w="1846" w:type="dxa"/>
            <w:tcBorders>
              <w:top w:val="nil"/>
              <w:left w:val="nil"/>
              <w:bottom w:val="single" w:color="auto" w:sz="4" w:space="0"/>
              <w:right w:val="single" w:color="auto" w:sz="4" w:space="0"/>
            </w:tcBorders>
            <w:vAlign w:val="center"/>
          </w:tcPr>
          <w:p w14:paraId="6E2BF22D">
            <w:pPr>
              <w:widowControl/>
              <w:jc w:val="left"/>
              <w:rPr>
                <w:color w:val="auto"/>
                <w:sz w:val="18"/>
                <w:szCs w:val="18"/>
                <w:highlight w:val="none"/>
              </w:rPr>
            </w:pPr>
            <w:r>
              <w:rPr>
                <w:rFonts w:hint="eastAsia"/>
                <w:color w:val="auto"/>
                <w:sz w:val="18"/>
                <w:szCs w:val="18"/>
                <w:highlight w:val="none"/>
              </w:rPr>
              <w:t>1000≤Y＜100000</w:t>
            </w:r>
          </w:p>
        </w:tc>
        <w:tc>
          <w:tcPr>
            <w:tcW w:w="1570" w:type="dxa"/>
            <w:tcBorders>
              <w:top w:val="nil"/>
              <w:left w:val="nil"/>
              <w:bottom w:val="single" w:color="auto" w:sz="4" w:space="0"/>
              <w:right w:val="single" w:color="auto" w:sz="4" w:space="0"/>
            </w:tcBorders>
            <w:vAlign w:val="center"/>
          </w:tcPr>
          <w:p w14:paraId="26F6942C">
            <w:pPr>
              <w:widowControl/>
              <w:jc w:val="left"/>
              <w:rPr>
                <w:color w:val="auto"/>
                <w:sz w:val="18"/>
                <w:szCs w:val="18"/>
                <w:highlight w:val="none"/>
              </w:rPr>
            </w:pPr>
            <w:r>
              <w:rPr>
                <w:rFonts w:hint="eastAsia"/>
                <w:color w:val="auto"/>
                <w:sz w:val="18"/>
                <w:szCs w:val="18"/>
                <w:highlight w:val="none"/>
              </w:rPr>
              <w:t>100≤Y＜1000</w:t>
            </w:r>
          </w:p>
        </w:tc>
        <w:tc>
          <w:tcPr>
            <w:tcW w:w="1009" w:type="dxa"/>
            <w:tcBorders>
              <w:top w:val="nil"/>
              <w:left w:val="nil"/>
              <w:bottom w:val="single" w:color="auto" w:sz="4" w:space="0"/>
              <w:right w:val="single" w:color="auto" w:sz="4" w:space="0"/>
            </w:tcBorders>
            <w:vAlign w:val="center"/>
          </w:tcPr>
          <w:p w14:paraId="5C9F1E25">
            <w:pPr>
              <w:widowControl/>
              <w:jc w:val="left"/>
              <w:rPr>
                <w:color w:val="auto"/>
                <w:sz w:val="18"/>
                <w:szCs w:val="18"/>
                <w:highlight w:val="none"/>
              </w:rPr>
            </w:pPr>
            <w:r>
              <w:rPr>
                <w:rFonts w:hint="eastAsia"/>
                <w:color w:val="auto"/>
                <w:sz w:val="18"/>
                <w:szCs w:val="18"/>
                <w:highlight w:val="none"/>
              </w:rPr>
              <w:t>Y＜100</w:t>
            </w:r>
          </w:p>
        </w:tc>
      </w:tr>
      <w:tr w14:paraId="3444FE03">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4214E118">
            <w:pPr>
              <w:widowControl/>
              <w:jc w:val="center"/>
              <w:rPr>
                <w:color w:val="auto"/>
                <w:sz w:val="18"/>
                <w:szCs w:val="18"/>
                <w:highlight w:val="none"/>
              </w:rPr>
            </w:pPr>
            <w:r>
              <w:rPr>
                <w:rFonts w:hint="eastAsia"/>
                <w:color w:val="auto"/>
                <w:sz w:val="18"/>
                <w:szCs w:val="18"/>
                <w:highlight w:val="none"/>
              </w:rPr>
              <w:t>软件和信息技术服务业</w:t>
            </w:r>
          </w:p>
        </w:tc>
        <w:tc>
          <w:tcPr>
            <w:tcW w:w="1701" w:type="dxa"/>
            <w:tcBorders>
              <w:top w:val="nil"/>
              <w:left w:val="nil"/>
              <w:bottom w:val="single" w:color="auto" w:sz="4" w:space="0"/>
              <w:right w:val="single" w:color="auto" w:sz="4" w:space="0"/>
            </w:tcBorders>
            <w:vAlign w:val="center"/>
          </w:tcPr>
          <w:p w14:paraId="360C20A6">
            <w:pPr>
              <w:widowControl/>
              <w:jc w:val="left"/>
              <w:rPr>
                <w:color w:val="auto"/>
                <w:sz w:val="18"/>
                <w:szCs w:val="18"/>
                <w:highlight w:val="none"/>
              </w:rPr>
            </w:pPr>
            <w:r>
              <w:rPr>
                <w:rFonts w:hint="eastAsia"/>
                <w:color w:val="auto"/>
                <w:sz w:val="18"/>
                <w:szCs w:val="18"/>
                <w:highlight w:val="none"/>
              </w:rPr>
              <w:t>从业人员（X）</w:t>
            </w:r>
          </w:p>
        </w:tc>
        <w:tc>
          <w:tcPr>
            <w:tcW w:w="1134" w:type="dxa"/>
            <w:tcBorders>
              <w:top w:val="nil"/>
              <w:left w:val="nil"/>
              <w:bottom w:val="single" w:color="auto" w:sz="4" w:space="0"/>
              <w:right w:val="single" w:color="auto" w:sz="4" w:space="0"/>
            </w:tcBorders>
            <w:vAlign w:val="center"/>
          </w:tcPr>
          <w:p w14:paraId="0A4D4C5C">
            <w:pPr>
              <w:widowControl/>
              <w:jc w:val="left"/>
              <w:rPr>
                <w:color w:val="auto"/>
                <w:sz w:val="18"/>
                <w:szCs w:val="18"/>
                <w:highlight w:val="none"/>
              </w:rPr>
            </w:pPr>
            <w:r>
              <w:rPr>
                <w:rFonts w:hint="eastAsia"/>
                <w:color w:val="auto"/>
                <w:sz w:val="18"/>
                <w:szCs w:val="18"/>
                <w:highlight w:val="none"/>
              </w:rPr>
              <w:t>人</w:t>
            </w:r>
          </w:p>
        </w:tc>
        <w:tc>
          <w:tcPr>
            <w:tcW w:w="1846" w:type="dxa"/>
            <w:tcBorders>
              <w:top w:val="nil"/>
              <w:left w:val="nil"/>
              <w:bottom w:val="single" w:color="auto" w:sz="4" w:space="0"/>
              <w:right w:val="single" w:color="auto" w:sz="4" w:space="0"/>
            </w:tcBorders>
            <w:vAlign w:val="center"/>
          </w:tcPr>
          <w:p w14:paraId="527726E9">
            <w:pPr>
              <w:widowControl/>
              <w:jc w:val="left"/>
              <w:rPr>
                <w:color w:val="auto"/>
                <w:sz w:val="18"/>
                <w:szCs w:val="18"/>
                <w:highlight w:val="none"/>
              </w:rPr>
            </w:pPr>
            <w:r>
              <w:rPr>
                <w:rFonts w:hint="eastAsia"/>
                <w:color w:val="auto"/>
                <w:sz w:val="18"/>
                <w:szCs w:val="18"/>
                <w:highlight w:val="none"/>
              </w:rPr>
              <w:t>100≤X＜300</w:t>
            </w:r>
          </w:p>
        </w:tc>
        <w:tc>
          <w:tcPr>
            <w:tcW w:w="1570" w:type="dxa"/>
            <w:tcBorders>
              <w:top w:val="nil"/>
              <w:left w:val="nil"/>
              <w:bottom w:val="single" w:color="auto" w:sz="4" w:space="0"/>
              <w:right w:val="single" w:color="auto" w:sz="4" w:space="0"/>
            </w:tcBorders>
            <w:vAlign w:val="center"/>
          </w:tcPr>
          <w:p w14:paraId="401C890B">
            <w:pPr>
              <w:widowControl/>
              <w:jc w:val="left"/>
              <w:rPr>
                <w:color w:val="auto"/>
                <w:sz w:val="18"/>
                <w:szCs w:val="18"/>
                <w:highlight w:val="none"/>
              </w:rPr>
            </w:pPr>
            <w:r>
              <w:rPr>
                <w:rFonts w:hint="eastAsia"/>
                <w:color w:val="auto"/>
                <w:sz w:val="18"/>
                <w:szCs w:val="18"/>
                <w:highlight w:val="none"/>
              </w:rPr>
              <w:t>10≤X＜100</w:t>
            </w:r>
          </w:p>
        </w:tc>
        <w:tc>
          <w:tcPr>
            <w:tcW w:w="1009" w:type="dxa"/>
            <w:tcBorders>
              <w:top w:val="nil"/>
              <w:left w:val="nil"/>
              <w:bottom w:val="single" w:color="auto" w:sz="4" w:space="0"/>
              <w:right w:val="single" w:color="auto" w:sz="4" w:space="0"/>
            </w:tcBorders>
            <w:vAlign w:val="center"/>
          </w:tcPr>
          <w:p w14:paraId="21C24104">
            <w:pPr>
              <w:widowControl/>
              <w:jc w:val="left"/>
              <w:rPr>
                <w:color w:val="auto"/>
                <w:sz w:val="18"/>
                <w:szCs w:val="18"/>
                <w:highlight w:val="none"/>
              </w:rPr>
            </w:pPr>
            <w:r>
              <w:rPr>
                <w:rFonts w:hint="eastAsia"/>
                <w:color w:val="auto"/>
                <w:sz w:val="18"/>
                <w:szCs w:val="18"/>
                <w:highlight w:val="none"/>
              </w:rPr>
              <w:t>X＜10</w:t>
            </w:r>
          </w:p>
        </w:tc>
      </w:tr>
      <w:tr w14:paraId="11369711">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55D17E79">
            <w:pPr>
              <w:widowControl/>
              <w:jc w:val="left"/>
              <w:rPr>
                <w:color w:val="auto"/>
                <w:sz w:val="18"/>
                <w:szCs w:val="18"/>
                <w:highlight w:val="none"/>
              </w:rPr>
            </w:pPr>
          </w:p>
        </w:tc>
        <w:tc>
          <w:tcPr>
            <w:tcW w:w="1701" w:type="dxa"/>
            <w:tcBorders>
              <w:top w:val="nil"/>
              <w:left w:val="nil"/>
              <w:bottom w:val="single" w:color="auto" w:sz="4" w:space="0"/>
              <w:right w:val="single" w:color="auto" w:sz="4" w:space="0"/>
            </w:tcBorders>
            <w:vAlign w:val="center"/>
          </w:tcPr>
          <w:p w14:paraId="60EDC970">
            <w:pPr>
              <w:widowControl/>
              <w:jc w:val="left"/>
              <w:rPr>
                <w:color w:val="auto"/>
                <w:sz w:val="18"/>
                <w:szCs w:val="18"/>
                <w:highlight w:val="none"/>
              </w:rPr>
            </w:pPr>
            <w:r>
              <w:rPr>
                <w:rFonts w:hint="eastAsia"/>
                <w:color w:val="auto"/>
                <w:sz w:val="18"/>
                <w:szCs w:val="18"/>
                <w:highlight w:val="none"/>
              </w:rPr>
              <w:t>营业收入（Y）</w:t>
            </w:r>
          </w:p>
        </w:tc>
        <w:tc>
          <w:tcPr>
            <w:tcW w:w="1134" w:type="dxa"/>
            <w:tcBorders>
              <w:top w:val="nil"/>
              <w:left w:val="nil"/>
              <w:bottom w:val="single" w:color="auto" w:sz="4" w:space="0"/>
              <w:right w:val="single" w:color="auto" w:sz="4" w:space="0"/>
            </w:tcBorders>
            <w:vAlign w:val="center"/>
          </w:tcPr>
          <w:p w14:paraId="1D55B398">
            <w:pPr>
              <w:widowControl/>
              <w:jc w:val="left"/>
              <w:rPr>
                <w:color w:val="auto"/>
                <w:sz w:val="18"/>
                <w:szCs w:val="18"/>
                <w:highlight w:val="none"/>
              </w:rPr>
            </w:pPr>
            <w:r>
              <w:rPr>
                <w:rFonts w:hint="eastAsia"/>
                <w:color w:val="auto"/>
                <w:sz w:val="18"/>
                <w:szCs w:val="18"/>
                <w:highlight w:val="none"/>
              </w:rPr>
              <w:t>万元</w:t>
            </w:r>
          </w:p>
        </w:tc>
        <w:tc>
          <w:tcPr>
            <w:tcW w:w="1846" w:type="dxa"/>
            <w:tcBorders>
              <w:top w:val="nil"/>
              <w:left w:val="nil"/>
              <w:bottom w:val="single" w:color="auto" w:sz="4" w:space="0"/>
              <w:right w:val="single" w:color="auto" w:sz="4" w:space="0"/>
            </w:tcBorders>
            <w:vAlign w:val="center"/>
          </w:tcPr>
          <w:p w14:paraId="7BD782E4">
            <w:pPr>
              <w:widowControl/>
              <w:jc w:val="left"/>
              <w:rPr>
                <w:color w:val="auto"/>
                <w:sz w:val="18"/>
                <w:szCs w:val="18"/>
                <w:highlight w:val="none"/>
              </w:rPr>
            </w:pPr>
            <w:r>
              <w:rPr>
                <w:rFonts w:hint="eastAsia"/>
                <w:color w:val="auto"/>
                <w:sz w:val="18"/>
                <w:szCs w:val="18"/>
                <w:highlight w:val="none"/>
              </w:rPr>
              <w:t>1000≤Y＜10000</w:t>
            </w:r>
          </w:p>
        </w:tc>
        <w:tc>
          <w:tcPr>
            <w:tcW w:w="1570" w:type="dxa"/>
            <w:tcBorders>
              <w:top w:val="nil"/>
              <w:left w:val="nil"/>
              <w:bottom w:val="single" w:color="auto" w:sz="4" w:space="0"/>
              <w:right w:val="single" w:color="auto" w:sz="4" w:space="0"/>
            </w:tcBorders>
            <w:vAlign w:val="center"/>
          </w:tcPr>
          <w:p w14:paraId="15C55945">
            <w:pPr>
              <w:widowControl/>
              <w:jc w:val="left"/>
              <w:rPr>
                <w:color w:val="auto"/>
                <w:sz w:val="18"/>
                <w:szCs w:val="18"/>
                <w:highlight w:val="none"/>
              </w:rPr>
            </w:pPr>
            <w:r>
              <w:rPr>
                <w:rFonts w:hint="eastAsia"/>
                <w:color w:val="auto"/>
                <w:sz w:val="18"/>
                <w:szCs w:val="18"/>
                <w:highlight w:val="none"/>
              </w:rPr>
              <w:t>50≤Y＜1000</w:t>
            </w:r>
          </w:p>
        </w:tc>
        <w:tc>
          <w:tcPr>
            <w:tcW w:w="1009" w:type="dxa"/>
            <w:tcBorders>
              <w:top w:val="nil"/>
              <w:left w:val="nil"/>
              <w:bottom w:val="single" w:color="auto" w:sz="4" w:space="0"/>
              <w:right w:val="single" w:color="auto" w:sz="4" w:space="0"/>
            </w:tcBorders>
            <w:vAlign w:val="center"/>
          </w:tcPr>
          <w:p w14:paraId="4EFE6A08">
            <w:pPr>
              <w:widowControl/>
              <w:jc w:val="left"/>
              <w:rPr>
                <w:color w:val="auto"/>
                <w:sz w:val="18"/>
                <w:szCs w:val="18"/>
                <w:highlight w:val="none"/>
              </w:rPr>
            </w:pPr>
            <w:r>
              <w:rPr>
                <w:rFonts w:hint="eastAsia"/>
                <w:color w:val="auto"/>
                <w:sz w:val="18"/>
                <w:szCs w:val="18"/>
                <w:highlight w:val="none"/>
              </w:rPr>
              <w:t>Y＜50</w:t>
            </w:r>
          </w:p>
        </w:tc>
      </w:tr>
      <w:tr w14:paraId="1BC2CE8A">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764E18B3">
            <w:pPr>
              <w:widowControl/>
              <w:jc w:val="center"/>
              <w:rPr>
                <w:color w:val="auto"/>
                <w:sz w:val="18"/>
                <w:szCs w:val="18"/>
                <w:highlight w:val="none"/>
              </w:rPr>
            </w:pPr>
            <w:r>
              <w:rPr>
                <w:rFonts w:hint="eastAsia"/>
                <w:color w:val="auto"/>
                <w:sz w:val="18"/>
                <w:szCs w:val="18"/>
                <w:highlight w:val="none"/>
              </w:rPr>
              <w:t>房地产开发经营</w:t>
            </w:r>
          </w:p>
        </w:tc>
        <w:tc>
          <w:tcPr>
            <w:tcW w:w="1701" w:type="dxa"/>
            <w:tcBorders>
              <w:top w:val="nil"/>
              <w:left w:val="nil"/>
              <w:bottom w:val="single" w:color="auto" w:sz="4" w:space="0"/>
              <w:right w:val="single" w:color="auto" w:sz="4" w:space="0"/>
            </w:tcBorders>
            <w:vAlign w:val="center"/>
          </w:tcPr>
          <w:p w14:paraId="2D168DB4">
            <w:pPr>
              <w:widowControl/>
              <w:jc w:val="left"/>
              <w:rPr>
                <w:color w:val="auto"/>
                <w:sz w:val="18"/>
                <w:szCs w:val="18"/>
                <w:highlight w:val="none"/>
              </w:rPr>
            </w:pPr>
            <w:r>
              <w:rPr>
                <w:rFonts w:hint="eastAsia"/>
                <w:color w:val="auto"/>
                <w:sz w:val="18"/>
                <w:szCs w:val="18"/>
                <w:highlight w:val="none"/>
              </w:rPr>
              <w:t>营业收入（Y）</w:t>
            </w:r>
          </w:p>
        </w:tc>
        <w:tc>
          <w:tcPr>
            <w:tcW w:w="1134" w:type="dxa"/>
            <w:tcBorders>
              <w:top w:val="nil"/>
              <w:left w:val="nil"/>
              <w:bottom w:val="single" w:color="auto" w:sz="4" w:space="0"/>
              <w:right w:val="single" w:color="auto" w:sz="4" w:space="0"/>
            </w:tcBorders>
            <w:vAlign w:val="center"/>
          </w:tcPr>
          <w:p w14:paraId="554703D6">
            <w:pPr>
              <w:widowControl/>
              <w:jc w:val="left"/>
              <w:rPr>
                <w:color w:val="auto"/>
                <w:sz w:val="18"/>
                <w:szCs w:val="18"/>
                <w:highlight w:val="none"/>
              </w:rPr>
            </w:pPr>
            <w:r>
              <w:rPr>
                <w:rFonts w:hint="eastAsia"/>
                <w:color w:val="auto"/>
                <w:sz w:val="18"/>
                <w:szCs w:val="18"/>
                <w:highlight w:val="none"/>
              </w:rPr>
              <w:t>万元</w:t>
            </w:r>
          </w:p>
        </w:tc>
        <w:tc>
          <w:tcPr>
            <w:tcW w:w="1846" w:type="dxa"/>
            <w:tcBorders>
              <w:top w:val="nil"/>
              <w:left w:val="nil"/>
              <w:bottom w:val="single" w:color="auto" w:sz="4" w:space="0"/>
              <w:right w:val="single" w:color="auto" w:sz="4" w:space="0"/>
            </w:tcBorders>
            <w:vAlign w:val="center"/>
          </w:tcPr>
          <w:p w14:paraId="206B1398">
            <w:pPr>
              <w:widowControl/>
              <w:jc w:val="left"/>
              <w:rPr>
                <w:color w:val="auto"/>
                <w:sz w:val="18"/>
                <w:szCs w:val="18"/>
                <w:highlight w:val="none"/>
              </w:rPr>
            </w:pPr>
            <w:r>
              <w:rPr>
                <w:rFonts w:hint="eastAsia"/>
                <w:color w:val="auto"/>
                <w:sz w:val="18"/>
                <w:szCs w:val="18"/>
                <w:highlight w:val="none"/>
              </w:rPr>
              <w:t>1000≤Y＜200000</w:t>
            </w:r>
          </w:p>
        </w:tc>
        <w:tc>
          <w:tcPr>
            <w:tcW w:w="1570" w:type="dxa"/>
            <w:tcBorders>
              <w:top w:val="nil"/>
              <w:left w:val="nil"/>
              <w:bottom w:val="single" w:color="auto" w:sz="4" w:space="0"/>
              <w:right w:val="single" w:color="auto" w:sz="4" w:space="0"/>
            </w:tcBorders>
            <w:vAlign w:val="center"/>
          </w:tcPr>
          <w:p w14:paraId="46DB6272">
            <w:pPr>
              <w:widowControl/>
              <w:jc w:val="left"/>
              <w:rPr>
                <w:color w:val="auto"/>
                <w:sz w:val="18"/>
                <w:szCs w:val="18"/>
                <w:highlight w:val="none"/>
              </w:rPr>
            </w:pPr>
            <w:r>
              <w:rPr>
                <w:rFonts w:hint="eastAsia"/>
                <w:color w:val="auto"/>
                <w:sz w:val="18"/>
                <w:szCs w:val="18"/>
                <w:highlight w:val="none"/>
              </w:rPr>
              <w:t>100≤X＜1000</w:t>
            </w:r>
          </w:p>
        </w:tc>
        <w:tc>
          <w:tcPr>
            <w:tcW w:w="1009" w:type="dxa"/>
            <w:tcBorders>
              <w:top w:val="nil"/>
              <w:left w:val="nil"/>
              <w:bottom w:val="single" w:color="auto" w:sz="4" w:space="0"/>
              <w:right w:val="single" w:color="auto" w:sz="4" w:space="0"/>
            </w:tcBorders>
            <w:vAlign w:val="center"/>
          </w:tcPr>
          <w:p w14:paraId="695C7A0A">
            <w:pPr>
              <w:widowControl/>
              <w:jc w:val="left"/>
              <w:rPr>
                <w:color w:val="auto"/>
                <w:sz w:val="18"/>
                <w:szCs w:val="18"/>
                <w:highlight w:val="none"/>
              </w:rPr>
            </w:pPr>
            <w:r>
              <w:rPr>
                <w:rFonts w:hint="eastAsia"/>
                <w:color w:val="auto"/>
                <w:sz w:val="18"/>
                <w:szCs w:val="18"/>
                <w:highlight w:val="none"/>
              </w:rPr>
              <w:t>X＜100</w:t>
            </w:r>
          </w:p>
        </w:tc>
      </w:tr>
      <w:tr w14:paraId="78411F3B">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1B7A561B">
            <w:pPr>
              <w:widowControl/>
              <w:jc w:val="left"/>
              <w:rPr>
                <w:color w:val="auto"/>
                <w:sz w:val="18"/>
                <w:szCs w:val="18"/>
                <w:highlight w:val="none"/>
              </w:rPr>
            </w:pPr>
          </w:p>
        </w:tc>
        <w:tc>
          <w:tcPr>
            <w:tcW w:w="1701" w:type="dxa"/>
            <w:tcBorders>
              <w:top w:val="nil"/>
              <w:left w:val="nil"/>
              <w:bottom w:val="single" w:color="auto" w:sz="4" w:space="0"/>
              <w:right w:val="single" w:color="auto" w:sz="4" w:space="0"/>
            </w:tcBorders>
            <w:vAlign w:val="center"/>
          </w:tcPr>
          <w:p w14:paraId="3F4618B5">
            <w:pPr>
              <w:widowControl/>
              <w:jc w:val="left"/>
              <w:rPr>
                <w:color w:val="auto"/>
                <w:sz w:val="18"/>
                <w:szCs w:val="18"/>
                <w:highlight w:val="none"/>
              </w:rPr>
            </w:pPr>
            <w:r>
              <w:rPr>
                <w:rFonts w:hint="eastAsia"/>
                <w:color w:val="auto"/>
                <w:sz w:val="18"/>
                <w:szCs w:val="18"/>
                <w:highlight w:val="none"/>
              </w:rPr>
              <w:t>资产总额（Z）</w:t>
            </w:r>
          </w:p>
        </w:tc>
        <w:tc>
          <w:tcPr>
            <w:tcW w:w="1134" w:type="dxa"/>
            <w:tcBorders>
              <w:top w:val="nil"/>
              <w:left w:val="nil"/>
              <w:bottom w:val="single" w:color="auto" w:sz="4" w:space="0"/>
              <w:right w:val="single" w:color="auto" w:sz="4" w:space="0"/>
            </w:tcBorders>
            <w:vAlign w:val="center"/>
          </w:tcPr>
          <w:p w14:paraId="7F2EBBDB">
            <w:pPr>
              <w:widowControl/>
              <w:jc w:val="left"/>
              <w:rPr>
                <w:color w:val="auto"/>
                <w:sz w:val="18"/>
                <w:szCs w:val="18"/>
                <w:highlight w:val="none"/>
              </w:rPr>
            </w:pPr>
            <w:r>
              <w:rPr>
                <w:rFonts w:hint="eastAsia"/>
                <w:color w:val="auto"/>
                <w:sz w:val="18"/>
                <w:szCs w:val="18"/>
                <w:highlight w:val="none"/>
              </w:rPr>
              <w:t>万元</w:t>
            </w:r>
          </w:p>
        </w:tc>
        <w:tc>
          <w:tcPr>
            <w:tcW w:w="1846" w:type="dxa"/>
            <w:tcBorders>
              <w:top w:val="nil"/>
              <w:left w:val="nil"/>
              <w:bottom w:val="single" w:color="auto" w:sz="4" w:space="0"/>
              <w:right w:val="single" w:color="auto" w:sz="4" w:space="0"/>
            </w:tcBorders>
            <w:vAlign w:val="center"/>
          </w:tcPr>
          <w:p w14:paraId="3EE9B42C">
            <w:pPr>
              <w:widowControl/>
              <w:jc w:val="left"/>
              <w:rPr>
                <w:color w:val="auto"/>
                <w:sz w:val="18"/>
                <w:szCs w:val="18"/>
                <w:highlight w:val="none"/>
              </w:rPr>
            </w:pPr>
            <w:r>
              <w:rPr>
                <w:rFonts w:hint="eastAsia"/>
                <w:color w:val="auto"/>
                <w:sz w:val="18"/>
                <w:szCs w:val="18"/>
                <w:highlight w:val="none"/>
              </w:rPr>
              <w:t>5000≤Z＜10000</w:t>
            </w:r>
          </w:p>
        </w:tc>
        <w:tc>
          <w:tcPr>
            <w:tcW w:w="1570" w:type="dxa"/>
            <w:tcBorders>
              <w:top w:val="nil"/>
              <w:left w:val="nil"/>
              <w:bottom w:val="single" w:color="auto" w:sz="4" w:space="0"/>
              <w:right w:val="single" w:color="auto" w:sz="4" w:space="0"/>
            </w:tcBorders>
            <w:vAlign w:val="center"/>
          </w:tcPr>
          <w:p w14:paraId="26B1E051">
            <w:pPr>
              <w:widowControl/>
              <w:jc w:val="left"/>
              <w:rPr>
                <w:color w:val="auto"/>
                <w:sz w:val="18"/>
                <w:szCs w:val="18"/>
                <w:highlight w:val="none"/>
              </w:rPr>
            </w:pPr>
            <w:r>
              <w:rPr>
                <w:rFonts w:hint="eastAsia"/>
                <w:color w:val="auto"/>
                <w:sz w:val="18"/>
                <w:szCs w:val="18"/>
                <w:highlight w:val="none"/>
              </w:rPr>
              <w:t>2000≤Y＜5000</w:t>
            </w:r>
          </w:p>
        </w:tc>
        <w:tc>
          <w:tcPr>
            <w:tcW w:w="1009" w:type="dxa"/>
            <w:tcBorders>
              <w:top w:val="nil"/>
              <w:left w:val="nil"/>
              <w:bottom w:val="single" w:color="auto" w:sz="4" w:space="0"/>
              <w:right w:val="single" w:color="auto" w:sz="4" w:space="0"/>
            </w:tcBorders>
            <w:vAlign w:val="center"/>
          </w:tcPr>
          <w:p w14:paraId="10F73F39">
            <w:pPr>
              <w:widowControl/>
              <w:jc w:val="left"/>
              <w:rPr>
                <w:color w:val="auto"/>
                <w:sz w:val="18"/>
                <w:szCs w:val="18"/>
                <w:highlight w:val="none"/>
              </w:rPr>
            </w:pPr>
            <w:r>
              <w:rPr>
                <w:rFonts w:hint="eastAsia"/>
                <w:color w:val="auto"/>
                <w:sz w:val="18"/>
                <w:szCs w:val="18"/>
                <w:highlight w:val="none"/>
              </w:rPr>
              <w:t>Y＜2000</w:t>
            </w:r>
          </w:p>
        </w:tc>
      </w:tr>
      <w:tr w14:paraId="56118E80">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75581D1B">
            <w:pPr>
              <w:widowControl/>
              <w:jc w:val="center"/>
              <w:rPr>
                <w:color w:val="auto"/>
                <w:sz w:val="18"/>
                <w:szCs w:val="18"/>
                <w:highlight w:val="none"/>
              </w:rPr>
            </w:pPr>
            <w:r>
              <w:rPr>
                <w:rFonts w:hint="eastAsia"/>
                <w:color w:val="auto"/>
                <w:sz w:val="18"/>
                <w:szCs w:val="18"/>
                <w:highlight w:val="none"/>
              </w:rPr>
              <w:t>物业管理</w:t>
            </w:r>
          </w:p>
        </w:tc>
        <w:tc>
          <w:tcPr>
            <w:tcW w:w="1701" w:type="dxa"/>
            <w:tcBorders>
              <w:top w:val="nil"/>
              <w:left w:val="nil"/>
              <w:bottom w:val="single" w:color="auto" w:sz="4" w:space="0"/>
              <w:right w:val="single" w:color="auto" w:sz="4" w:space="0"/>
            </w:tcBorders>
            <w:vAlign w:val="center"/>
          </w:tcPr>
          <w:p w14:paraId="50618C9E">
            <w:pPr>
              <w:widowControl/>
              <w:jc w:val="left"/>
              <w:rPr>
                <w:color w:val="auto"/>
                <w:sz w:val="18"/>
                <w:szCs w:val="18"/>
                <w:highlight w:val="none"/>
              </w:rPr>
            </w:pPr>
            <w:r>
              <w:rPr>
                <w:rFonts w:hint="eastAsia"/>
                <w:color w:val="auto"/>
                <w:sz w:val="18"/>
                <w:szCs w:val="18"/>
                <w:highlight w:val="none"/>
              </w:rPr>
              <w:t>从业人员（X）</w:t>
            </w:r>
          </w:p>
        </w:tc>
        <w:tc>
          <w:tcPr>
            <w:tcW w:w="1134" w:type="dxa"/>
            <w:tcBorders>
              <w:top w:val="nil"/>
              <w:left w:val="nil"/>
              <w:bottom w:val="single" w:color="auto" w:sz="4" w:space="0"/>
              <w:right w:val="single" w:color="auto" w:sz="4" w:space="0"/>
            </w:tcBorders>
            <w:vAlign w:val="center"/>
          </w:tcPr>
          <w:p w14:paraId="495C7452">
            <w:pPr>
              <w:widowControl/>
              <w:jc w:val="left"/>
              <w:rPr>
                <w:color w:val="auto"/>
                <w:sz w:val="18"/>
                <w:szCs w:val="18"/>
                <w:highlight w:val="none"/>
              </w:rPr>
            </w:pPr>
            <w:r>
              <w:rPr>
                <w:rFonts w:hint="eastAsia"/>
                <w:color w:val="auto"/>
                <w:sz w:val="18"/>
                <w:szCs w:val="18"/>
                <w:highlight w:val="none"/>
              </w:rPr>
              <w:t>人</w:t>
            </w:r>
          </w:p>
        </w:tc>
        <w:tc>
          <w:tcPr>
            <w:tcW w:w="1846" w:type="dxa"/>
            <w:tcBorders>
              <w:top w:val="nil"/>
              <w:left w:val="nil"/>
              <w:bottom w:val="single" w:color="auto" w:sz="4" w:space="0"/>
              <w:right w:val="single" w:color="auto" w:sz="4" w:space="0"/>
            </w:tcBorders>
            <w:vAlign w:val="center"/>
          </w:tcPr>
          <w:p w14:paraId="7AE74F58">
            <w:pPr>
              <w:widowControl/>
              <w:jc w:val="left"/>
              <w:rPr>
                <w:color w:val="auto"/>
                <w:sz w:val="18"/>
                <w:szCs w:val="18"/>
                <w:highlight w:val="none"/>
              </w:rPr>
            </w:pPr>
            <w:r>
              <w:rPr>
                <w:rFonts w:hint="eastAsia"/>
                <w:color w:val="auto"/>
                <w:sz w:val="18"/>
                <w:szCs w:val="18"/>
                <w:highlight w:val="none"/>
              </w:rPr>
              <w:t>300≤X＜1000</w:t>
            </w:r>
          </w:p>
        </w:tc>
        <w:tc>
          <w:tcPr>
            <w:tcW w:w="1570" w:type="dxa"/>
            <w:tcBorders>
              <w:top w:val="nil"/>
              <w:left w:val="nil"/>
              <w:bottom w:val="single" w:color="auto" w:sz="4" w:space="0"/>
              <w:right w:val="single" w:color="auto" w:sz="4" w:space="0"/>
            </w:tcBorders>
            <w:vAlign w:val="center"/>
          </w:tcPr>
          <w:p w14:paraId="16DBCFD8">
            <w:pPr>
              <w:widowControl/>
              <w:jc w:val="left"/>
              <w:rPr>
                <w:color w:val="auto"/>
                <w:sz w:val="18"/>
                <w:szCs w:val="18"/>
                <w:highlight w:val="none"/>
              </w:rPr>
            </w:pPr>
            <w:r>
              <w:rPr>
                <w:rFonts w:hint="eastAsia"/>
                <w:color w:val="auto"/>
                <w:sz w:val="18"/>
                <w:szCs w:val="18"/>
                <w:highlight w:val="none"/>
              </w:rPr>
              <w:t>100≤X＜300</w:t>
            </w:r>
          </w:p>
        </w:tc>
        <w:tc>
          <w:tcPr>
            <w:tcW w:w="1009" w:type="dxa"/>
            <w:tcBorders>
              <w:top w:val="nil"/>
              <w:left w:val="nil"/>
              <w:bottom w:val="single" w:color="auto" w:sz="4" w:space="0"/>
              <w:right w:val="single" w:color="auto" w:sz="4" w:space="0"/>
            </w:tcBorders>
            <w:vAlign w:val="center"/>
          </w:tcPr>
          <w:p w14:paraId="09C1421A">
            <w:pPr>
              <w:widowControl/>
              <w:jc w:val="left"/>
              <w:rPr>
                <w:color w:val="auto"/>
                <w:sz w:val="18"/>
                <w:szCs w:val="18"/>
                <w:highlight w:val="none"/>
              </w:rPr>
            </w:pPr>
            <w:r>
              <w:rPr>
                <w:rFonts w:hint="eastAsia"/>
                <w:color w:val="auto"/>
                <w:sz w:val="18"/>
                <w:szCs w:val="18"/>
                <w:highlight w:val="none"/>
              </w:rPr>
              <w:t>X＜100</w:t>
            </w:r>
          </w:p>
        </w:tc>
      </w:tr>
      <w:tr w14:paraId="585CE30A">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7A94A108">
            <w:pPr>
              <w:widowControl/>
              <w:jc w:val="left"/>
              <w:rPr>
                <w:color w:val="auto"/>
                <w:sz w:val="18"/>
                <w:szCs w:val="18"/>
                <w:highlight w:val="none"/>
              </w:rPr>
            </w:pPr>
          </w:p>
        </w:tc>
        <w:tc>
          <w:tcPr>
            <w:tcW w:w="1701" w:type="dxa"/>
            <w:tcBorders>
              <w:top w:val="nil"/>
              <w:left w:val="nil"/>
              <w:bottom w:val="single" w:color="auto" w:sz="4" w:space="0"/>
              <w:right w:val="single" w:color="auto" w:sz="4" w:space="0"/>
            </w:tcBorders>
            <w:vAlign w:val="center"/>
          </w:tcPr>
          <w:p w14:paraId="32F2BC9F">
            <w:pPr>
              <w:widowControl/>
              <w:jc w:val="left"/>
              <w:rPr>
                <w:color w:val="auto"/>
                <w:sz w:val="18"/>
                <w:szCs w:val="18"/>
                <w:highlight w:val="none"/>
              </w:rPr>
            </w:pPr>
            <w:r>
              <w:rPr>
                <w:rFonts w:hint="eastAsia"/>
                <w:color w:val="auto"/>
                <w:sz w:val="18"/>
                <w:szCs w:val="18"/>
                <w:highlight w:val="none"/>
              </w:rPr>
              <w:t>营业收入（Y）</w:t>
            </w:r>
          </w:p>
        </w:tc>
        <w:tc>
          <w:tcPr>
            <w:tcW w:w="1134" w:type="dxa"/>
            <w:tcBorders>
              <w:top w:val="nil"/>
              <w:left w:val="nil"/>
              <w:bottom w:val="single" w:color="auto" w:sz="4" w:space="0"/>
              <w:right w:val="single" w:color="auto" w:sz="4" w:space="0"/>
            </w:tcBorders>
            <w:vAlign w:val="center"/>
          </w:tcPr>
          <w:p w14:paraId="253AFE66">
            <w:pPr>
              <w:widowControl/>
              <w:jc w:val="left"/>
              <w:rPr>
                <w:color w:val="auto"/>
                <w:sz w:val="18"/>
                <w:szCs w:val="18"/>
                <w:highlight w:val="none"/>
              </w:rPr>
            </w:pPr>
            <w:r>
              <w:rPr>
                <w:rFonts w:hint="eastAsia"/>
                <w:color w:val="auto"/>
                <w:sz w:val="18"/>
                <w:szCs w:val="18"/>
                <w:highlight w:val="none"/>
              </w:rPr>
              <w:t>万元</w:t>
            </w:r>
          </w:p>
        </w:tc>
        <w:tc>
          <w:tcPr>
            <w:tcW w:w="1846" w:type="dxa"/>
            <w:tcBorders>
              <w:top w:val="nil"/>
              <w:left w:val="nil"/>
              <w:bottom w:val="single" w:color="auto" w:sz="4" w:space="0"/>
              <w:right w:val="single" w:color="auto" w:sz="4" w:space="0"/>
            </w:tcBorders>
            <w:vAlign w:val="center"/>
          </w:tcPr>
          <w:p w14:paraId="633E5257">
            <w:pPr>
              <w:widowControl/>
              <w:jc w:val="left"/>
              <w:rPr>
                <w:color w:val="auto"/>
                <w:sz w:val="18"/>
                <w:szCs w:val="18"/>
                <w:highlight w:val="none"/>
              </w:rPr>
            </w:pPr>
            <w:r>
              <w:rPr>
                <w:rFonts w:hint="eastAsia"/>
                <w:color w:val="auto"/>
                <w:sz w:val="18"/>
                <w:szCs w:val="18"/>
                <w:highlight w:val="none"/>
              </w:rPr>
              <w:t>1000≤Y＜5000</w:t>
            </w:r>
          </w:p>
        </w:tc>
        <w:tc>
          <w:tcPr>
            <w:tcW w:w="1570" w:type="dxa"/>
            <w:tcBorders>
              <w:top w:val="nil"/>
              <w:left w:val="nil"/>
              <w:bottom w:val="single" w:color="auto" w:sz="4" w:space="0"/>
              <w:right w:val="single" w:color="auto" w:sz="4" w:space="0"/>
            </w:tcBorders>
            <w:vAlign w:val="center"/>
          </w:tcPr>
          <w:p w14:paraId="68E9B1CA">
            <w:pPr>
              <w:widowControl/>
              <w:jc w:val="left"/>
              <w:rPr>
                <w:color w:val="auto"/>
                <w:sz w:val="18"/>
                <w:szCs w:val="18"/>
                <w:highlight w:val="none"/>
              </w:rPr>
            </w:pPr>
            <w:r>
              <w:rPr>
                <w:rFonts w:hint="eastAsia"/>
                <w:color w:val="auto"/>
                <w:sz w:val="18"/>
                <w:szCs w:val="18"/>
                <w:highlight w:val="none"/>
              </w:rPr>
              <w:t>500≤Y＜1000</w:t>
            </w:r>
          </w:p>
        </w:tc>
        <w:tc>
          <w:tcPr>
            <w:tcW w:w="1009" w:type="dxa"/>
            <w:tcBorders>
              <w:top w:val="nil"/>
              <w:left w:val="nil"/>
              <w:bottom w:val="single" w:color="auto" w:sz="4" w:space="0"/>
              <w:right w:val="single" w:color="auto" w:sz="4" w:space="0"/>
            </w:tcBorders>
            <w:vAlign w:val="center"/>
          </w:tcPr>
          <w:p w14:paraId="68567895">
            <w:pPr>
              <w:widowControl/>
              <w:jc w:val="left"/>
              <w:rPr>
                <w:color w:val="auto"/>
                <w:sz w:val="18"/>
                <w:szCs w:val="18"/>
                <w:highlight w:val="none"/>
              </w:rPr>
            </w:pPr>
            <w:r>
              <w:rPr>
                <w:rFonts w:hint="eastAsia"/>
                <w:color w:val="auto"/>
                <w:sz w:val="18"/>
                <w:szCs w:val="18"/>
                <w:highlight w:val="none"/>
              </w:rPr>
              <w:t>Y＜500</w:t>
            </w:r>
          </w:p>
        </w:tc>
      </w:tr>
      <w:tr w14:paraId="3906E06F">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7E7EDA95">
            <w:pPr>
              <w:widowControl/>
              <w:jc w:val="center"/>
              <w:rPr>
                <w:color w:val="auto"/>
                <w:sz w:val="18"/>
                <w:szCs w:val="18"/>
                <w:highlight w:val="none"/>
              </w:rPr>
            </w:pPr>
            <w:r>
              <w:rPr>
                <w:rFonts w:hint="eastAsia"/>
                <w:color w:val="auto"/>
                <w:sz w:val="18"/>
                <w:szCs w:val="18"/>
                <w:highlight w:val="none"/>
              </w:rPr>
              <w:t>租赁和商务服务业</w:t>
            </w:r>
          </w:p>
        </w:tc>
        <w:tc>
          <w:tcPr>
            <w:tcW w:w="1701" w:type="dxa"/>
            <w:tcBorders>
              <w:top w:val="nil"/>
              <w:left w:val="nil"/>
              <w:bottom w:val="single" w:color="auto" w:sz="4" w:space="0"/>
              <w:right w:val="single" w:color="auto" w:sz="4" w:space="0"/>
            </w:tcBorders>
            <w:vAlign w:val="center"/>
          </w:tcPr>
          <w:p w14:paraId="6394922B">
            <w:pPr>
              <w:widowControl/>
              <w:jc w:val="left"/>
              <w:rPr>
                <w:color w:val="auto"/>
                <w:sz w:val="18"/>
                <w:szCs w:val="18"/>
                <w:highlight w:val="none"/>
              </w:rPr>
            </w:pPr>
            <w:r>
              <w:rPr>
                <w:rFonts w:hint="eastAsia"/>
                <w:color w:val="auto"/>
                <w:sz w:val="18"/>
                <w:szCs w:val="18"/>
                <w:highlight w:val="none"/>
              </w:rPr>
              <w:t>从业人员（X）</w:t>
            </w:r>
          </w:p>
        </w:tc>
        <w:tc>
          <w:tcPr>
            <w:tcW w:w="1134" w:type="dxa"/>
            <w:tcBorders>
              <w:top w:val="nil"/>
              <w:left w:val="nil"/>
              <w:bottom w:val="single" w:color="auto" w:sz="4" w:space="0"/>
              <w:right w:val="single" w:color="auto" w:sz="4" w:space="0"/>
            </w:tcBorders>
            <w:vAlign w:val="center"/>
          </w:tcPr>
          <w:p w14:paraId="55B86831">
            <w:pPr>
              <w:widowControl/>
              <w:jc w:val="left"/>
              <w:rPr>
                <w:color w:val="auto"/>
                <w:sz w:val="18"/>
                <w:szCs w:val="18"/>
                <w:highlight w:val="none"/>
              </w:rPr>
            </w:pPr>
            <w:r>
              <w:rPr>
                <w:rFonts w:hint="eastAsia"/>
                <w:color w:val="auto"/>
                <w:sz w:val="18"/>
                <w:szCs w:val="18"/>
                <w:highlight w:val="none"/>
              </w:rPr>
              <w:t>人</w:t>
            </w:r>
          </w:p>
        </w:tc>
        <w:tc>
          <w:tcPr>
            <w:tcW w:w="1846" w:type="dxa"/>
            <w:tcBorders>
              <w:top w:val="nil"/>
              <w:left w:val="nil"/>
              <w:bottom w:val="single" w:color="auto" w:sz="4" w:space="0"/>
              <w:right w:val="single" w:color="auto" w:sz="4" w:space="0"/>
            </w:tcBorders>
            <w:vAlign w:val="center"/>
          </w:tcPr>
          <w:p w14:paraId="1E820136">
            <w:pPr>
              <w:widowControl/>
              <w:jc w:val="left"/>
              <w:rPr>
                <w:color w:val="auto"/>
                <w:sz w:val="18"/>
                <w:szCs w:val="18"/>
                <w:highlight w:val="none"/>
              </w:rPr>
            </w:pPr>
            <w:r>
              <w:rPr>
                <w:rFonts w:hint="eastAsia"/>
                <w:color w:val="auto"/>
                <w:sz w:val="18"/>
                <w:szCs w:val="18"/>
                <w:highlight w:val="none"/>
              </w:rPr>
              <w:t>100≤X＜300</w:t>
            </w:r>
          </w:p>
        </w:tc>
        <w:tc>
          <w:tcPr>
            <w:tcW w:w="1570" w:type="dxa"/>
            <w:tcBorders>
              <w:top w:val="nil"/>
              <w:left w:val="nil"/>
              <w:bottom w:val="single" w:color="auto" w:sz="4" w:space="0"/>
              <w:right w:val="single" w:color="auto" w:sz="4" w:space="0"/>
            </w:tcBorders>
            <w:vAlign w:val="center"/>
          </w:tcPr>
          <w:p w14:paraId="7C752D2F">
            <w:pPr>
              <w:widowControl/>
              <w:jc w:val="left"/>
              <w:rPr>
                <w:color w:val="auto"/>
                <w:sz w:val="18"/>
                <w:szCs w:val="18"/>
                <w:highlight w:val="none"/>
              </w:rPr>
            </w:pPr>
            <w:r>
              <w:rPr>
                <w:rFonts w:hint="eastAsia"/>
                <w:color w:val="auto"/>
                <w:sz w:val="18"/>
                <w:szCs w:val="18"/>
                <w:highlight w:val="none"/>
              </w:rPr>
              <w:t>10≤X＜100</w:t>
            </w:r>
          </w:p>
        </w:tc>
        <w:tc>
          <w:tcPr>
            <w:tcW w:w="1009" w:type="dxa"/>
            <w:tcBorders>
              <w:top w:val="nil"/>
              <w:left w:val="nil"/>
              <w:bottom w:val="single" w:color="auto" w:sz="4" w:space="0"/>
              <w:right w:val="single" w:color="auto" w:sz="4" w:space="0"/>
            </w:tcBorders>
            <w:vAlign w:val="center"/>
          </w:tcPr>
          <w:p w14:paraId="36536999">
            <w:pPr>
              <w:widowControl/>
              <w:jc w:val="left"/>
              <w:rPr>
                <w:color w:val="auto"/>
                <w:sz w:val="18"/>
                <w:szCs w:val="18"/>
                <w:highlight w:val="none"/>
              </w:rPr>
            </w:pPr>
            <w:r>
              <w:rPr>
                <w:rFonts w:hint="eastAsia"/>
                <w:color w:val="auto"/>
                <w:sz w:val="18"/>
                <w:szCs w:val="18"/>
                <w:highlight w:val="none"/>
              </w:rPr>
              <w:t>X＜10</w:t>
            </w:r>
          </w:p>
        </w:tc>
      </w:tr>
      <w:tr w14:paraId="42AAD292">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57DCD199">
            <w:pPr>
              <w:widowControl/>
              <w:jc w:val="left"/>
              <w:rPr>
                <w:color w:val="auto"/>
                <w:sz w:val="18"/>
                <w:szCs w:val="18"/>
                <w:highlight w:val="none"/>
              </w:rPr>
            </w:pPr>
          </w:p>
        </w:tc>
        <w:tc>
          <w:tcPr>
            <w:tcW w:w="1701" w:type="dxa"/>
            <w:tcBorders>
              <w:top w:val="nil"/>
              <w:left w:val="nil"/>
              <w:bottom w:val="single" w:color="auto" w:sz="4" w:space="0"/>
              <w:right w:val="single" w:color="auto" w:sz="4" w:space="0"/>
            </w:tcBorders>
            <w:vAlign w:val="center"/>
          </w:tcPr>
          <w:p w14:paraId="4D61BB2A">
            <w:pPr>
              <w:widowControl/>
              <w:jc w:val="left"/>
              <w:rPr>
                <w:color w:val="auto"/>
                <w:sz w:val="18"/>
                <w:szCs w:val="18"/>
                <w:highlight w:val="none"/>
              </w:rPr>
            </w:pPr>
            <w:r>
              <w:rPr>
                <w:rFonts w:hint="eastAsia"/>
                <w:color w:val="auto"/>
                <w:sz w:val="18"/>
                <w:szCs w:val="18"/>
                <w:highlight w:val="none"/>
              </w:rPr>
              <w:t>资产总额（Z）</w:t>
            </w:r>
          </w:p>
        </w:tc>
        <w:tc>
          <w:tcPr>
            <w:tcW w:w="1134" w:type="dxa"/>
            <w:tcBorders>
              <w:top w:val="nil"/>
              <w:left w:val="nil"/>
              <w:bottom w:val="single" w:color="auto" w:sz="4" w:space="0"/>
              <w:right w:val="single" w:color="auto" w:sz="4" w:space="0"/>
            </w:tcBorders>
            <w:vAlign w:val="center"/>
          </w:tcPr>
          <w:p w14:paraId="39561945">
            <w:pPr>
              <w:widowControl/>
              <w:jc w:val="left"/>
              <w:rPr>
                <w:color w:val="auto"/>
                <w:sz w:val="18"/>
                <w:szCs w:val="18"/>
                <w:highlight w:val="none"/>
              </w:rPr>
            </w:pPr>
            <w:r>
              <w:rPr>
                <w:rFonts w:hint="eastAsia"/>
                <w:color w:val="auto"/>
                <w:sz w:val="18"/>
                <w:szCs w:val="18"/>
                <w:highlight w:val="none"/>
              </w:rPr>
              <w:t>万元</w:t>
            </w:r>
          </w:p>
        </w:tc>
        <w:tc>
          <w:tcPr>
            <w:tcW w:w="1846" w:type="dxa"/>
            <w:tcBorders>
              <w:top w:val="nil"/>
              <w:left w:val="nil"/>
              <w:bottom w:val="single" w:color="auto" w:sz="4" w:space="0"/>
              <w:right w:val="single" w:color="auto" w:sz="4" w:space="0"/>
            </w:tcBorders>
            <w:vAlign w:val="center"/>
          </w:tcPr>
          <w:p w14:paraId="37142BD5">
            <w:pPr>
              <w:widowControl/>
              <w:jc w:val="left"/>
              <w:rPr>
                <w:color w:val="auto"/>
                <w:sz w:val="18"/>
                <w:szCs w:val="18"/>
                <w:highlight w:val="none"/>
              </w:rPr>
            </w:pPr>
            <w:r>
              <w:rPr>
                <w:rFonts w:hint="eastAsia"/>
                <w:color w:val="auto"/>
                <w:sz w:val="18"/>
                <w:szCs w:val="18"/>
                <w:highlight w:val="none"/>
              </w:rPr>
              <w:t>8000≤Z＜120000</w:t>
            </w:r>
          </w:p>
        </w:tc>
        <w:tc>
          <w:tcPr>
            <w:tcW w:w="1570" w:type="dxa"/>
            <w:tcBorders>
              <w:top w:val="nil"/>
              <w:left w:val="nil"/>
              <w:bottom w:val="single" w:color="auto" w:sz="4" w:space="0"/>
              <w:right w:val="single" w:color="auto" w:sz="4" w:space="0"/>
            </w:tcBorders>
            <w:vAlign w:val="center"/>
          </w:tcPr>
          <w:p w14:paraId="1BE253F6">
            <w:pPr>
              <w:widowControl/>
              <w:jc w:val="left"/>
              <w:rPr>
                <w:color w:val="auto"/>
                <w:sz w:val="18"/>
                <w:szCs w:val="18"/>
                <w:highlight w:val="none"/>
              </w:rPr>
            </w:pPr>
            <w:r>
              <w:rPr>
                <w:rFonts w:hint="eastAsia"/>
                <w:color w:val="auto"/>
                <w:sz w:val="18"/>
                <w:szCs w:val="18"/>
                <w:highlight w:val="none"/>
              </w:rPr>
              <w:t>100≤Z＜8000</w:t>
            </w:r>
          </w:p>
        </w:tc>
        <w:tc>
          <w:tcPr>
            <w:tcW w:w="1009" w:type="dxa"/>
            <w:tcBorders>
              <w:top w:val="nil"/>
              <w:left w:val="nil"/>
              <w:bottom w:val="single" w:color="auto" w:sz="4" w:space="0"/>
              <w:right w:val="single" w:color="auto" w:sz="4" w:space="0"/>
            </w:tcBorders>
            <w:vAlign w:val="center"/>
          </w:tcPr>
          <w:p w14:paraId="54BBC614">
            <w:pPr>
              <w:widowControl/>
              <w:jc w:val="left"/>
              <w:rPr>
                <w:color w:val="auto"/>
                <w:sz w:val="18"/>
                <w:szCs w:val="18"/>
                <w:highlight w:val="none"/>
              </w:rPr>
            </w:pPr>
            <w:r>
              <w:rPr>
                <w:rFonts w:hint="eastAsia"/>
                <w:color w:val="auto"/>
                <w:sz w:val="18"/>
                <w:szCs w:val="18"/>
                <w:highlight w:val="none"/>
              </w:rPr>
              <w:t>Y＜100</w:t>
            </w:r>
          </w:p>
        </w:tc>
      </w:tr>
      <w:tr w14:paraId="42423101">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vAlign w:val="bottom"/>
          </w:tcPr>
          <w:p w14:paraId="2E5CF4B2">
            <w:pPr>
              <w:widowControl/>
              <w:jc w:val="center"/>
              <w:rPr>
                <w:color w:val="auto"/>
                <w:sz w:val="18"/>
                <w:szCs w:val="18"/>
                <w:highlight w:val="none"/>
              </w:rPr>
            </w:pPr>
            <w:r>
              <w:rPr>
                <w:rFonts w:hint="eastAsia"/>
                <w:color w:val="auto"/>
                <w:sz w:val="18"/>
                <w:szCs w:val="18"/>
                <w:highlight w:val="none"/>
              </w:rPr>
              <w:t>其他未列明行业</w:t>
            </w:r>
          </w:p>
        </w:tc>
        <w:tc>
          <w:tcPr>
            <w:tcW w:w="1701" w:type="dxa"/>
            <w:tcBorders>
              <w:top w:val="nil"/>
              <w:left w:val="nil"/>
              <w:bottom w:val="single" w:color="auto" w:sz="4" w:space="0"/>
              <w:right w:val="single" w:color="auto" w:sz="4" w:space="0"/>
            </w:tcBorders>
            <w:vAlign w:val="center"/>
          </w:tcPr>
          <w:p w14:paraId="3F241958">
            <w:pPr>
              <w:widowControl/>
              <w:jc w:val="left"/>
              <w:rPr>
                <w:color w:val="auto"/>
                <w:sz w:val="18"/>
                <w:szCs w:val="18"/>
                <w:highlight w:val="none"/>
              </w:rPr>
            </w:pPr>
            <w:r>
              <w:rPr>
                <w:rFonts w:hint="eastAsia"/>
                <w:color w:val="auto"/>
                <w:sz w:val="18"/>
                <w:szCs w:val="18"/>
                <w:highlight w:val="none"/>
              </w:rPr>
              <w:t>从业人员（X）</w:t>
            </w:r>
          </w:p>
        </w:tc>
        <w:tc>
          <w:tcPr>
            <w:tcW w:w="1134" w:type="dxa"/>
            <w:tcBorders>
              <w:top w:val="nil"/>
              <w:left w:val="nil"/>
              <w:bottom w:val="single" w:color="auto" w:sz="4" w:space="0"/>
              <w:right w:val="single" w:color="auto" w:sz="4" w:space="0"/>
            </w:tcBorders>
            <w:vAlign w:val="center"/>
          </w:tcPr>
          <w:p w14:paraId="66ED2626">
            <w:pPr>
              <w:widowControl/>
              <w:jc w:val="left"/>
              <w:rPr>
                <w:color w:val="auto"/>
                <w:sz w:val="18"/>
                <w:szCs w:val="18"/>
                <w:highlight w:val="none"/>
              </w:rPr>
            </w:pPr>
            <w:r>
              <w:rPr>
                <w:rFonts w:hint="eastAsia"/>
                <w:color w:val="auto"/>
                <w:sz w:val="18"/>
                <w:szCs w:val="18"/>
                <w:highlight w:val="none"/>
              </w:rPr>
              <w:t>人</w:t>
            </w:r>
          </w:p>
        </w:tc>
        <w:tc>
          <w:tcPr>
            <w:tcW w:w="1846" w:type="dxa"/>
            <w:tcBorders>
              <w:top w:val="nil"/>
              <w:left w:val="nil"/>
              <w:bottom w:val="single" w:color="auto" w:sz="4" w:space="0"/>
              <w:right w:val="single" w:color="auto" w:sz="4" w:space="0"/>
            </w:tcBorders>
            <w:vAlign w:val="center"/>
          </w:tcPr>
          <w:p w14:paraId="32DD7033">
            <w:pPr>
              <w:widowControl/>
              <w:jc w:val="left"/>
              <w:rPr>
                <w:color w:val="auto"/>
                <w:sz w:val="18"/>
                <w:szCs w:val="18"/>
                <w:highlight w:val="none"/>
              </w:rPr>
            </w:pPr>
            <w:r>
              <w:rPr>
                <w:rFonts w:hint="eastAsia"/>
                <w:color w:val="auto"/>
                <w:sz w:val="18"/>
                <w:szCs w:val="18"/>
                <w:highlight w:val="none"/>
              </w:rPr>
              <w:t>100≤X＜300</w:t>
            </w:r>
          </w:p>
        </w:tc>
        <w:tc>
          <w:tcPr>
            <w:tcW w:w="1570" w:type="dxa"/>
            <w:tcBorders>
              <w:top w:val="nil"/>
              <w:left w:val="nil"/>
              <w:bottom w:val="single" w:color="auto" w:sz="4" w:space="0"/>
              <w:right w:val="single" w:color="auto" w:sz="4" w:space="0"/>
            </w:tcBorders>
            <w:vAlign w:val="center"/>
          </w:tcPr>
          <w:p w14:paraId="742619AF">
            <w:pPr>
              <w:widowControl/>
              <w:jc w:val="left"/>
              <w:rPr>
                <w:color w:val="auto"/>
                <w:sz w:val="18"/>
                <w:szCs w:val="18"/>
                <w:highlight w:val="none"/>
              </w:rPr>
            </w:pPr>
            <w:r>
              <w:rPr>
                <w:rFonts w:hint="eastAsia"/>
                <w:color w:val="auto"/>
                <w:sz w:val="18"/>
                <w:szCs w:val="18"/>
                <w:highlight w:val="none"/>
              </w:rPr>
              <w:t>10≤X＜100</w:t>
            </w:r>
          </w:p>
        </w:tc>
        <w:tc>
          <w:tcPr>
            <w:tcW w:w="1009" w:type="dxa"/>
            <w:tcBorders>
              <w:top w:val="nil"/>
              <w:left w:val="nil"/>
              <w:bottom w:val="single" w:color="auto" w:sz="4" w:space="0"/>
              <w:right w:val="single" w:color="auto" w:sz="4" w:space="0"/>
            </w:tcBorders>
            <w:vAlign w:val="center"/>
          </w:tcPr>
          <w:p w14:paraId="74B44183">
            <w:pPr>
              <w:widowControl/>
              <w:jc w:val="left"/>
              <w:rPr>
                <w:color w:val="auto"/>
                <w:sz w:val="18"/>
                <w:szCs w:val="18"/>
                <w:highlight w:val="none"/>
              </w:rPr>
            </w:pPr>
            <w:r>
              <w:rPr>
                <w:rFonts w:hint="eastAsia"/>
                <w:color w:val="auto"/>
                <w:sz w:val="18"/>
                <w:szCs w:val="18"/>
                <w:highlight w:val="none"/>
              </w:rPr>
              <w:t>X＜10</w:t>
            </w:r>
          </w:p>
        </w:tc>
      </w:tr>
    </w:tbl>
    <w:p w14:paraId="005EDB4B">
      <w:pPr>
        <w:spacing w:line="360" w:lineRule="auto"/>
        <w:ind w:firstLine="600" w:firstLineChars="250"/>
        <w:rPr>
          <w:color w:val="auto"/>
          <w:sz w:val="24"/>
          <w:szCs w:val="24"/>
          <w:highlight w:val="none"/>
        </w:rPr>
      </w:pPr>
      <w:r>
        <w:rPr>
          <w:rFonts w:hint="eastAsia"/>
          <w:color w:val="auto"/>
          <w:sz w:val="24"/>
          <w:szCs w:val="24"/>
          <w:highlight w:val="none"/>
        </w:rPr>
        <w:t>说明：上述标准参照《关于印发中小企业划型标准规定的通知》（工信部联企业[2011]300号），大型、中型和小型企业须同时满足所列指标的下限，否则下划一档；微型企业只须满足所列指标中的一项即可。</w:t>
      </w:r>
    </w:p>
    <w:bookmarkEnd w:id="24"/>
    <w:p w14:paraId="520F7D40">
      <w:pPr>
        <w:spacing w:line="312" w:lineRule="auto"/>
        <w:ind w:firstLine="480" w:firstLineChars="200"/>
        <w:jc w:val="left"/>
        <w:rPr>
          <w:bCs/>
          <w:color w:val="auto"/>
          <w:kern w:val="0"/>
          <w:sz w:val="24"/>
          <w:szCs w:val="24"/>
          <w:highlight w:val="none"/>
        </w:rPr>
        <w:sectPr>
          <w:headerReference r:id="rId11" w:type="first"/>
          <w:headerReference r:id="rId10" w:type="default"/>
          <w:pgSz w:w="11906" w:h="16838"/>
          <w:pgMar w:top="1418" w:right="1133" w:bottom="1246" w:left="1418" w:header="851" w:footer="992" w:gutter="0"/>
          <w:cols w:space="720" w:num="1"/>
          <w:docGrid w:linePitch="312" w:charSpace="0"/>
        </w:sectPr>
      </w:pPr>
    </w:p>
    <w:bookmarkEnd w:id="21"/>
    <w:bookmarkEnd w:id="22"/>
    <w:p w14:paraId="3744D226">
      <w:pPr>
        <w:pStyle w:val="27"/>
        <w:snapToGrid w:val="0"/>
        <w:spacing w:before="120" w:after="120" w:line="320" w:lineRule="exact"/>
        <w:jc w:val="center"/>
        <w:outlineLvl w:val="0"/>
        <w:rPr>
          <w:rFonts w:ascii="Times New Roman" w:hAnsi="Times New Roman" w:cs="Times New Roman"/>
          <w:color w:val="auto"/>
          <w:sz w:val="24"/>
          <w:szCs w:val="24"/>
          <w:highlight w:val="none"/>
        </w:rPr>
      </w:pPr>
      <w:bookmarkStart w:id="25" w:name="_Toc27047"/>
      <w:r>
        <w:rPr>
          <w:rFonts w:ascii="Times New Roman" w:hAnsi="Times New Roman" w:cs="Times New Roman"/>
          <w:color w:val="auto"/>
          <w:sz w:val="24"/>
          <w:szCs w:val="24"/>
          <w:highlight w:val="none"/>
        </w:rPr>
        <w:t>第三章  供应商须知</w:t>
      </w:r>
      <w:bookmarkEnd w:id="25"/>
      <w:bookmarkStart w:id="26" w:name="_投标人须知前附表"/>
      <w:bookmarkEnd w:id="26"/>
    </w:p>
    <w:p w14:paraId="663ED21F">
      <w:pPr>
        <w:pStyle w:val="27"/>
        <w:snapToGrid w:val="0"/>
        <w:spacing w:before="120" w:after="120" w:line="320" w:lineRule="exact"/>
        <w:jc w:val="center"/>
        <w:outlineLvl w:val="1"/>
        <w:rPr>
          <w:rFonts w:ascii="Times New Roman" w:hAnsi="Times New Roman" w:cs="Times New Roman"/>
          <w:b/>
          <w:bCs/>
          <w:color w:val="auto"/>
          <w:sz w:val="24"/>
          <w:szCs w:val="24"/>
          <w:highlight w:val="none"/>
        </w:rPr>
      </w:pPr>
      <w:bookmarkStart w:id="27" w:name="_Hlk89187839"/>
      <w:r>
        <w:rPr>
          <w:rFonts w:hint="eastAsia" w:ascii="Times New Roman" w:hAnsi="Times New Roman" w:cs="Times New Roman"/>
          <w:b/>
          <w:bCs/>
          <w:color w:val="auto"/>
          <w:sz w:val="24"/>
          <w:szCs w:val="24"/>
          <w:highlight w:val="none"/>
        </w:rPr>
        <w:t>供应商须知前附表</w:t>
      </w:r>
    </w:p>
    <w:bookmarkEnd w:id="27"/>
    <w:tbl>
      <w:tblPr>
        <w:tblStyle w:val="54"/>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323"/>
        <w:gridCol w:w="1179"/>
        <w:gridCol w:w="6735"/>
      </w:tblGrid>
      <w:tr w14:paraId="292E93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1354" w:type="dxa"/>
            <w:tcBorders>
              <w:top w:val="single" w:color="auto" w:sz="4" w:space="0"/>
              <w:left w:val="single" w:color="auto" w:sz="4" w:space="0"/>
              <w:bottom w:val="single" w:color="auto" w:sz="4" w:space="0"/>
              <w:right w:val="single" w:color="auto" w:sz="4" w:space="0"/>
            </w:tcBorders>
            <w:vAlign w:val="center"/>
          </w:tcPr>
          <w:p w14:paraId="130FD2B2">
            <w:pPr>
              <w:jc w:val="center"/>
              <w:rPr>
                <w:b/>
                <w:color w:val="auto"/>
                <w:sz w:val="18"/>
                <w:szCs w:val="18"/>
                <w:highlight w:val="none"/>
              </w:rPr>
            </w:pPr>
            <w:r>
              <w:rPr>
                <w:b/>
                <w:color w:val="auto"/>
                <w:sz w:val="18"/>
                <w:szCs w:val="18"/>
                <w:highlight w:val="none"/>
              </w:rPr>
              <w:t>条款号</w:t>
            </w:r>
          </w:p>
        </w:tc>
        <w:tc>
          <w:tcPr>
            <w:tcW w:w="1204" w:type="dxa"/>
            <w:tcBorders>
              <w:top w:val="single" w:color="auto" w:sz="4" w:space="0"/>
              <w:left w:val="single" w:color="auto" w:sz="4" w:space="0"/>
              <w:bottom w:val="single" w:color="auto" w:sz="4" w:space="0"/>
              <w:right w:val="single" w:color="auto" w:sz="4" w:space="0"/>
            </w:tcBorders>
            <w:vAlign w:val="center"/>
          </w:tcPr>
          <w:p w14:paraId="6112AB90">
            <w:pPr>
              <w:jc w:val="center"/>
              <w:rPr>
                <w:b/>
                <w:color w:val="auto"/>
                <w:sz w:val="18"/>
                <w:szCs w:val="18"/>
                <w:highlight w:val="none"/>
              </w:rPr>
            </w:pPr>
            <w:r>
              <w:rPr>
                <w:b/>
                <w:color w:val="auto"/>
                <w:sz w:val="18"/>
                <w:szCs w:val="18"/>
                <w:highlight w:val="none"/>
              </w:rPr>
              <w:t>要点</w:t>
            </w:r>
          </w:p>
        </w:tc>
        <w:tc>
          <w:tcPr>
            <w:tcW w:w="6905" w:type="dxa"/>
            <w:tcBorders>
              <w:top w:val="single" w:color="auto" w:sz="4" w:space="0"/>
              <w:left w:val="single" w:color="auto" w:sz="4" w:space="0"/>
              <w:bottom w:val="single" w:color="auto" w:sz="4" w:space="0"/>
              <w:right w:val="single" w:color="auto" w:sz="4" w:space="0"/>
            </w:tcBorders>
            <w:vAlign w:val="center"/>
          </w:tcPr>
          <w:p w14:paraId="244C964B">
            <w:pPr>
              <w:jc w:val="center"/>
              <w:rPr>
                <w:b/>
                <w:color w:val="auto"/>
                <w:sz w:val="18"/>
                <w:szCs w:val="18"/>
                <w:highlight w:val="none"/>
              </w:rPr>
            </w:pPr>
            <w:r>
              <w:rPr>
                <w:b/>
                <w:color w:val="auto"/>
                <w:sz w:val="18"/>
                <w:szCs w:val="18"/>
                <w:highlight w:val="none"/>
              </w:rPr>
              <w:t>内容、要求</w:t>
            </w:r>
          </w:p>
        </w:tc>
      </w:tr>
      <w:tr w14:paraId="1257D3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54" w:type="dxa"/>
            <w:tcBorders>
              <w:top w:val="single" w:color="auto" w:sz="4" w:space="0"/>
              <w:left w:val="single" w:color="auto" w:sz="4" w:space="0"/>
              <w:bottom w:val="single" w:color="auto" w:sz="4" w:space="0"/>
              <w:right w:val="single" w:color="auto" w:sz="4" w:space="0"/>
            </w:tcBorders>
            <w:vAlign w:val="center"/>
          </w:tcPr>
          <w:p w14:paraId="7ACCA227">
            <w:pPr>
              <w:spacing w:line="300" w:lineRule="exact"/>
              <w:jc w:val="center"/>
              <w:rPr>
                <w:color w:val="auto"/>
                <w:sz w:val="18"/>
                <w:szCs w:val="18"/>
                <w:highlight w:val="none"/>
              </w:rPr>
            </w:pPr>
            <w:r>
              <w:rPr>
                <w:b/>
                <w:color w:val="auto"/>
                <w:sz w:val="18"/>
                <w:szCs w:val="18"/>
                <w:highlight w:val="none"/>
              </w:rPr>
              <w:t>1.3.1</w:t>
            </w:r>
          </w:p>
        </w:tc>
        <w:tc>
          <w:tcPr>
            <w:tcW w:w="1204" w:type="dxa"/>
            <w:tcBorders>
              <w:top w:val="single" w:color="auto" w:sz="4" w:space="0"/>
              <w:left w:val="single" w:color="auto" w:sz="4" w:space="0"/>
              <w:bottom w:val="single" w:color="auto" w:sz="4" w:space="0"/>
              <w:right w:val="single" w:color="auto" w:sz="4" w:space="0"/>
            </w:tcBorders>
            <w:vAlign w:val="center"/>
          </w:tcPr>
          <w:p w14:paraId="1775AE1A">
            <w:pPr>
              <w:spacing w:line="300" w:lineRule="exact"/>
              <w:jc w:val="center"/>
              <w:rPr>
                <w:color w:val="auto"/>
                <w:sz w:val="18"/>
                <w:szCs w:val="18"/>
                <w:highlight w:val="none"/>
              </w:rPr>
            </w:pPr>
            <w:r>
              <w:rPr>
                <w:color w:val="auto"/>
                <w:sz w:val="18"/>
                <w:szCs w:val="18"/>
                <w:highlight w:val="none"/>
              </w:rPr>
              <w:t>项目基本信息</w:t>
            </w:r>
          </w:p>
        </w:tc>
        <w:tc>
          <w:tcPr>
            <w:tcW w:w="6905" w:type="dxa"/>
            <w:tcBorders>
              <w:top w:val="single" w:color="auto" w:sz="4" w:space="0"/>
              <w:left w:val="single" w:color="auto" w:sz="4" w:space="0"/>
              <w:bottom w:val="single" w:color="auto" w:sz="4" w:space="0"/>
              <w:right w:val="single" w:color="auto" w:sz="4" w:space="0"/>
            </w:tcBorders>
            <w:vAlign w:val="center"/>
          </w:tcPr>
          <w:p w14:paraId="18A4DFB5">
            <w:pPr>
              <w:spacing w:line="300" w:lineRule="exact"/>
              <w:jc w:val="left"/>
              <w:rPr>
                <w:rFonts w:hint="eastAsia" w:eastAsia="宋体"/>
                <w:color w:val="auto"/>
                <w:sz w:val="18"/>
                <w:szCs w:val="18"/>
                <w:highlight w:val="none"/>
                <w:lang w:eastAsia="zh-CN"/>
              </w:rPr>
            </w:pPr>
            <w:r>
              <w:rPr>
                <w:color w:val="auto"/>
                <w:sz w:val="18"/>
                <w:szCs w:val="18"/>
                <w:highlight w:val="none"/>
              </w:rPr>
              <w:t>项目名称：</w:t>
            </w:r>
            <w:r>
              <w:rPr>
                <w:rFonts w:hint="eastAsia"/>
                <w:color w:val="auto"/>
                <w:sz w:val="18"/>
                <w:szCs w:val="18"/>
                <w:highlight w:val="none"/>
                <w:lang w:eastAsia="zh-CN"/>
              </w:rPr>
              <w:t>防城港市森林防火指挥中心和广西十万大山国家级自然保护区业务用房消防系统整改工程（重）</w:t>
            </w:r>
          </w:p>
          <w:p w14:paraId="0826E871">
            <w:pPr>
              <w:spacing w:line="300" w:lineRule="exact"/>
              <w:jc w:val="left"/>
              <w:rPr>
                <w:rFonts w:hint="eastAsia" w:eastAsia="宋体"/>
                <w:color w:val="auto"/>
                <w:sz w:val="18"/>
                <w:szCs w:val="18"/>
                <w:highlight w:val="none"/>
                <w:lang w:eastAsia="zh-CN"/>
              </w:rPr>
            </w:pPr>
            <w:r>
              <w:rPr>
                <w:color w:val="auto"/>
                <w:sz w:val="18"/>
                <w:szCs w:val="18"/>
                <w:highlight w:val="none"/>
              </w:rPr>
              <w:t>项目编号：</w:t>
            </w:r>
            <w:r>
              <w:rPr>
                <w:rFonts w:hint="eastAsia"/>
                <w:color w:val="auto"/>
                <w:sz w:val="18"/>
                <w:szCs w:val="18"/>
                <w:highlight w:val="none"/>
                <w:lang w:eastAsia="zh-CN"/>
              </w:rPr>
              <w:t>FCZC2026-C2-990173-JDZB</w:t>
            </w:r>
          </w:p>
          <w:p w14:paraId="57AFE7AE">
            <w:pPr>
              <w:spacing w:line="300" w:lineRule="exact"/>
              <w:jc w:val="left"/>
              <w:rPr>
                <w:rFonts w:hint="eastAsia" w:eastAsia="宋体"/>
                <w:color w:val="auto"/>
                <w:sz w:val="18"/>
                <w:szCs w:val="18"/>
                <w:highlight w:val="none"/>
                <w:lang w:eastAsia="zh-CN"/>
              </w:rPr>
            </w:pPr>
            <w:r>
              <w:rPr>
                <w:rFonts w:hint="eastAsia"/>
                <w:color w:val="auto"/>
                <w:sz w:val="18"/>
                <w:szCs w:val="18"/>
                <w:highlight w:val="none"/>
              </w:rPr>
              <w:t>采购计划号：</w:t>
            </w:r>
            <w:r>
              <w:rPr>
                <w:rFonts w:hint="eastAsia"/>
                <w:color w:val="auto"/>
                <w:sz w:val="18"/>
                <w:szCs w:val="18"/>
                <w:highlight w:val="none"/>
                <w:lang w:eastAsia="zh-CN"/>
              </w:rPr>
              <w:t>FCGCG[2026]2208号</w:t>
            </w:r>
          </w:p>
        </w:tc>
      </w:tr>
      <w:tr w14:paraId="3EF16A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54" w:type="dxa"/>
            <w:tcBorders>
              <w:top w:val="single" w:color="auto" w:sz="4" w:space="0"/>
              <w:left w:val="single" w:color="auto" w:sz="4" w:space="0"/>
              <w:bottom w:val="single" w:color="auto" w:sz="4" w:space="0"/>
              <w:right w:val="single" w:color="auto" w:sz="4" w:space="0"/>
            </w:tcBorders>
            <w:vAlign w:val="center"/>
          </w:tcPr>
          <w:p w14:paraId="4E5EA406">
            <w:pPr>
              <w:spacing w:line="300" w:lineRule="exact"/>
              <w:jc w:val="center"/>
              <w:rPr>
                <w:color w:val="auto"/>
                <w:sz w:val="18"/>
                <w:szCs w:val="18"/>
                <w:highlight w:val="none"/>
              </w:rPr>
            </w:pPr>
            <w:r>
              <w:rPr>
                <w:b/>
                <w:color w:val="auto"/>
                <w:sz w:val="18"/>
                <w:szCs w:val="18"/>
                <w:highlight w:val="none"/>
              </w:rPr>
              <w:t>1.3.1</w:t>
            </w:r>
          </w:p>
        </w:tc>
        <w:tc>
          <w:tcPr>
            <w:tcW w:w="1204" w:type="dxa"/>
            <w:tcBorders>
              <w:top w:val="single" w:color="auto" w:sz="4" w:space="0"/>
              <w:left w:val="single" w:color="auto" w:sz="4" w:space="0"/>
              <w:bottom w:val="single" w:color="auto" w:sz="4" w:space="0"/>
              <w:right w:val="single" w:color="auto" w:sz="4" w:space="0"/>
            </w:tcBorders>
            <w:vAlign w:val="center"/>
          </w:tcPr>
          <w:p w14:paraId="1FC76089">
            <w:pPr>
              <w:spacing w:line="300" w:lineRule="exact"/>
              <w:jc w:val="center"/>
              <w:rPr>
                <w:color w:val="auto"/>
                <w:sz w:val="18"/>
                <w:szCs w:val="18"/>
                <w:highlight w:val="none"/>
              </w:rPr>
            </w:pPr>
            <w:r>
              <w:rPr>
                <w:rFonts w:hint="eastAsia"/>
                <w:color w:val="auto"/>
                <w:sz w:val="18"/>
                <w:szCs w:val="18"/>
                <w:highlight w:val="none"/>
              </w:rPr>
              <w:t>建设地点、建设范围、工期及质量要求</w:t>
            </w:r>
          </w:p>
        </w:tc>
        <w:tc>
          <w:tcPr>
            <w:tcW w:w="6905" w:type="dxa"/>
            <w:tcBorders>
              <w:top w:val="single" w:color="auto" w:sz="4" w:space="0"/>
              <w:left w:val="single" w:color="auto" w:sz="4" w:space="0"/>
              <w:bottom w:val="single" w:color="auto" w:sz="4" w:space="0"/>
              <w:right w:val="single" w:color="auto" w:sz="4" w:space="0"/>
            </w:tcBorders>
            <w:vAlign w:val="center"/>
          </w:tcPr>
          <w:p w14:paraId="3ECF1FE4">
            <w:pPr>
              <w:spacing w:line="300" w:lineRule="exact"/>
              <w:jc w:val="left"/>
              <w:rPr>
                <w:color w:val="auto"/>
                <w:sz w:val="18"/>
                <w:szCs w:val="18"/>
                <w:highlight w:val="none"/>
              </w:rPr>
            </w:pPr>
            <w:r>
              <w:rPr>
                <w:color w:val="auto"/>
                <w:sz w:val="18"/>
                <w:szCs w:val="18"/>
                <w:highlight w:val="none"/>
              </w:rPr>
              <w:t xml:space="preserve">建设地点： </w:t>
            </w:r>
            <w:r>
              <w:rPr>
                <w:rFonts w:hint="eastAsia"/>
                <w:color w:val="auto"/>
                <w:sz w:val="18"/>
                <w:szCs w:val="18"/>
                <w:highlight w:val="none"/>
              </w:rPr>
              <w:t>防城港市港口区（行政中心区）万山路500号。</w:t>
            </w:r>
          </w:p>
          <w:p w14:paraId="2B07498B">
            <w:pPr>
              <w:spacing w:line="300" w:lineRule="exact"/>
              <w:jc w:val="left"/>
              <w:rPr>
                <w:color w:val="auto"/>
                <w:sz w:val="18"/>
                <w:szCs w:val="18"/>
                <w:highlight w:val="none"/>
              </w:rPr>
            </w:pPr>
            <w:r>
              <w:rPr>
                <w:rFonts w:hint="eastAsia"/>
                <w:color w:val="auto"/>
                <w:sz w:val="18"/>
                <w:szCs w:val="18"/>
                <w:highlight w:val="none"/>
              </w:rPr>
              <w:t>建设</w:t>
            </w:r>
            <w:r>
              <w:rPr>
                <w:color w:val="auto"/>
                <w:sz w:val="18"/>
                <w:szCs w:val="18"/>
                <w:highlight w:val="none"/>
              </w:rPr>
              <w:t>范围：</w:t>
            </w:r>
            <w:r>
              <w:rPr>
                <w:rFonts w:hint="eastAsia"/>
                <w:color w:val="auto"/>
                <w:kern w:val="0"/>
                <w:sz w:val="18"/>
                <w:szCs w:val="18"/>
                <w:highlight w:val="none"/>
                <w:lang w:val="en-US" w:eastAsia="zh-CN"/>
              </w:rPr>
              <w:t>防城港市森林防火指挥中心和广西十万大山国家级自然保护区业务用房消防系统整改工程（重），本项目业务用房建筑面积 16884.66㎡，高度 68.5m，为一类高层公共建筑。本工程包含安装、拆除等专业工程。其他内容详见施工图纸及工程量清单。</w:t>
            </w:r>
          </w:p>
          <w:p w14:paraId="519D198F">
            <w:pPr>
              <w:spacing w:line="300" w:lineRule="exact"/>
              <w:jc w:val="left"/>
              <w:rPr>
                <w:color w:val="auto"/>
                <w:sz w:val="18"/>
                <w:szCs w:val="18"/>
                <w:highlight w:val="none"/>
              </w:rPr>
            </w:pPr>
            <w:r>
              <w:rPr>
                <w:rFonts w:hint="eastAsia"/>
                <w:color w:val="auto"/>
                <w:sz w:val="18"/>
                <w:szCs w:val="18"/>
                <w:highlight w:val="none"/>
              </w:rPr>
              <w:t>资金来源：财政资金</w:t>
            </w:r>
          </w:p>
          <w:p w14:paraId="12EA6868">
            <w:pPr>
              <w:spacing w:line="300" w:lineRule="exact"/>
              <w:jc w:val="left"/>
              <w:rPr>
                <w:color w:val="auto"/>
                <w:sz w:val="18"/>
                <w:szCs w:val="18"/>
                <w:highlight w:val="none"/>
              </w:rPr>
            </w:pPr>
            <w:r>
              <w:rPr>
                <w:color w:val="auto"/>
                <w:sz w:val="18"/>
                <w:szCs w:val="18"/>
                <w:highlight w:val="none"/>
              </w:rPr>
              <w:t>工期要求：</w:t>
            </w:r>
            <w:r>
              <w:rPr>
                <w:rFonts w:hint="eastAsia"/>
                <w:color w:val="auto"/>
                <w:sz w:val="18"/>
                <w:szCs w:val="18"/>
                <w:highlight w:val="none"/>
                <w:lang w:val="en-US" w:eastAsia="zh-CN"/>
              </w:rPr>
              <w:t>100</w:t>
            </w:r>
            <w:r>
              <w:rPr>
                <w:color w:val="auto"/>
                <w:sz w:val="18"/>
                <w:szCs w:val="18"/>
                <w:highlight w:val="none"/>
              </w:rPr>
              <w:t>日历天</w:t>
            </w:r>
            <w:r>
              <w:rPr>
                <w:rFonts w:hint="eastAsia"/>
                <w:color w:val="auto"/>
                <w:sz w:val="18"/>
                <w:szCs w:val="18"/>
                <w:highlight w:val="none"/>
              </w:rPr>
              <w:t>，</w:t>
            </w:r>
          </w:p>
          <w:p w14:paraId="45B40F02">
            <w:pPr>
              <w:spacing w:line="300" w:lineRule="exact"/>
              <w:jc w:val="left"/>
              <w:rPr>
                <w:color w:val="auto"/>
                <w:sz w:val="18"/>
                <w:szCs w:val="18"/>
                <w:highlight w:val="none"/>
              </w:rPr>
            </w:pPr>
            <w:r>
              <w:rPr>
                <w:color w:val="auto"/>
                <w:sz w:val="18"/>
                <w:szCs w:val="18"/>
                <w:highlight w:val="none"/>
              </w:rPr>
              <w:t>质量要求：合格</w:t>
            </w:r>
          </w:p>
          <w:p w14:paraId="27B0A688">
            <w:pPr>
              <w:spacing w:line="300" w:lineRule="exact"/>
              <w:jc w:val="left"/>
              <w:rPr>
                <w:color w:val="auto"/>
                <w:sz w:val="18"/>
                <w:szCs w:val="18"/>
                <w:highlight w:val="none"/>
              </w:rPr>
            </w:pPr>
            <w:r>
              <w:rPr>
                <w:color w:val="auto"/>
                <w:sz w:val="18"/>
                <w:szCs w:val="18"/>
                <w:highlight w:val="none"/>
              </w:rPr>
              <w:t>其他要求：</w:t>
            </w:r>
            <w:r>
              <w:rPr>
                <w:rFonts w:hint="eastAsia"/>
                <w:color w:val="auto"/>
                <w:sz w:val="18"/>
                <w:szCs w:val="18"/>
                <w:highlight w:val="none"/>
                <w:lang w:eastAsia="zh-CN"/>
              </w:rPr>
              <w:t>配合通过政府相关部门消防检验并颁发合格证书</w:t>
            </w:r>
          </w:p>
        </w:tc>
      </w:tr>
      <w:tr w14:paraId="55E861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54" w:type="dxa"/>
            <w:tcBorders>
              <w:top w:val="single" w:color="auto" w:sz="4" w:space="0"/>
              <w:left w:val="single" w:color="auto" w:sz="4" w:space="0"/>
              <w:bottom w:val="single" w:color="auto" w:sz="4" w:space="0"/>
              <w:right w:val="single" w:color="auto" w:sz="4" w:space="0"/>
            </w:tcBorders>
            <w:vAlign w:val="center"/>
          </w:tcPr>
          <w:p w14:paraId="4EA1BBCE">
            <w:pPr>
              <w:spacing w:line="300" w:lineRule="exact"/>
              <w:jc w:val="center"/>
              <w:rPr>
                <w:b/>
                <w:color w:val="auto"/>
                <w:sz w:val="18"/>
                <w:szCs w:val="18"/>
                <w:highlight w:val="none"/>
              </w:rPr>
            </w:pPr>
            <w:r>
              <w:rPr>
                <w:b/>
                <w:color w:val="auto"/>
                <w:sz w:val="18"/>
                <w:szCs w:val="18"/>
                <w:highlight w:val="none"/>
              </w:rPr>
              <w:t>1.3.1</w:t>
            </w:r>
          </w:p>
          <w:p w14:paraId="2DAEB683">
            <w:pPr>
              <w:spacing w:line="300" w:lineRule="exact"/>
              <w:jc w:val="center"/>
              <w:rPr>
                <w:color w:val="auto"/>
                <w:sz w:val="18"/>
                <w:szCs w:val="18"/>
                <w:highlight w:val="none"/>
              </w:rPr>
            </w:pPr>
          </w:p>
        </w:tc>
        <w:tc>
          <w:tcPr>
            <w:tcW w:w="1204" w:type="dxa"/>
            <w:tcBorders>
              <w:top w:val="single" w:color="auto" w:sz="4" w:space="0"/>
              <w:left w:val="single" w:color="auto" w:sz="4" w:space="0"/>
              <w:bottom w:val="single" w:color="auto" w:sz="4" w:space="0"/>
              <w:right w:val="single" w:color="auto" w:sz="4" w:space="0"/>
            </w:tcBorders>
            <w:vAlign w:val="center"/>
          </w:tcPr>
          <w:p w14:paraId="229C8FEA">
            <w:pPr>
              <w:spacing w:line="300" w:lineRule="exact"/>
              <w:jc w:val="center"/>
              <w:rPr>
                <w:color w:val="auto"/>
                <w:sz w:val="18"/>
                <w:szCs w:val="18"/>
                <w:highlight w:val="none"/>
              </w:rPr>
            </w:pPr>
            <w:r>
              <w:rPr>
                <w:color w:val="auto"/>
                <w:sz w:val="18"/>
                <w:szCs w:val="18"/>
                <w:highlight w:val="none"/>
              </w:rPr>
              <w:t>增值税计税方法</w:t>
            </w:r>
          </w:p>
        </w:tc>
        <w:tc>
          <w:tcPr>
            <w:tcW w:w="6905" w:type="dxa"/>
            <w:tcBorders>
              <w:top w:val="single" w:color="auto" w:sz="4" w:space="0"/>
              <w:left w:val="single" w:color="auto" w:sz="4" w:space="0"/>
              <w:bottom w:val="single" w:color="auto" w:sz="4" w:space="0"/>
              <w:right w:val="single" w:color="auto" w:sz="4" w:space="0"/>
            </w:tcBorders>
            <w:vAlign w:val="center"/>
          </w:tcPr>
          <w:p w14:paraId="6B49D30E">
            <w:pPr>
              <w:spacing w:line="300" w:lineRule="exact"/>
              <w:jc w:val="left"/>
              <w:rPr>
                <w:color w:val="auto"/>
                <w:sz w:val="18"/>
                <w:szCs w:val="18"/>
                <w:highlight w:val="none"/>
              </w:rPr>
            </w:pPr>
            <w:r>
              <w:rPr>
                <w:color w:val="auto"/>
                <w:sz w:val="18"/>
                <w:szCs w:val="18"/>
                <w:highlight w:val="none"/>
              </w:rPr>
              <w:t>本工程增值税计税方法：</w:t>
            </w:r>
            <w:r>
              <w:rPr>
                <w:color w:val="auto"/>
                <w:sz w:val="18"/>
                <w:szCs w:val="18"/>
                <w:highlight w:val="none"/>
              </w:rPr>
              <w:sym w:font="Wingdings 2" w:char="F052"/>
            </w:r>
            <w:r>
              <w:rPr>
                <w:color w:val="auto"/>
                <w:sz w:val="18"/>
                <w:szCs w:val="18"/>
                <w:highlight w:val="none"/>
              </w:rPr>
              <w:t xml:space="preserve">一般计税法   </w:t>
            </w:r>
            <w:r>
              <w:rPr>
                <w:color w:val="auto"/>
                <w:sz w:val="18"/>
                <w:szCs w:val="18"/>
                <w:highlight w:val="none"/>
              </w:rPr>
              <w:sym w:font="Wingdings 2" w:char="F0A3"/>
            </w:r>
            <w:r>
              <w:rPr>
                <w:color w:val="auto"/>
                <w:sz w:val="18"/>
                <w:szCs w:val="18"/>
                <w:highlight w:val="none"/>
              </w:rPr>
              <w:t>简易计税法</w:t>
            </w:r>
          </w:p>
          <w:p w14:paraId="0A32B221">
            <w:pPr>
              <w:spacing w:line="300" w:lineRule="exact"/>
              <w:jc w:val="left"/>
              <w:rPr>
                <w:color w:val="auto"/>
                <w:sz w:val="18"/>
                <w:szCs w:val="18"/>
                <w:highlight w:val="none"/>
              </w:rPr>
            </w:pPr>
            <w:r>
              <w:rPr>
                <w:rFonts w:hint="eastAsia" w:cs="宋体"/>
                <w:color w:val="auto"/>
                <w:sz w:val="18"/>
                <w:szCs w:val="18"/>
                <w:highlight w:val="none"/>
              </w:rPr>
              <w:t>注：根据</w:t>
            </w:r>
            <w:r>
              <w:rPr>
                <w:rFonts w:hint="eastAsia"/>
                <w:color w:val="auto"/>
                <w:sz w:val="18"/>
                <w:szCs w:val="18"/>
                <w:highlight w:val="none"/>
              </w:rPr>
              <w:t>《关于全面推开营业税改征增值税试点的通知》（财税〔2016〕36号）、《关于建筑服务等营改增试点政策的通知》（财税〔2017〕58号）等国家、自治区现行有关文件规定。</w:t>
            </w:r>
          </w:p>
        </w:tc>
      </w:tr>
      <w:tr w14:paraId="299C9A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54" w:type="dxa"/>
            <w:tcBorders>
              <w:top w:val="single" w:color="auto" w:sz="4" w:space="0"/>
              <w:left w:val="single" w:color="auto" w:sz="4" w:space="0"/>
              <w:bottom w:val="single" w:color="auto" w:sz="4" w:space="0"/>
              <w:right w:val="single" w:color="auto" w:sz="4" w:space="0"/>
            </w:tcBorders>
            <w:vAlign w:val="center"/>
          </w:tcPr>
          <w:p w14:paraId="4EE3BB61">
            <w:pPr>
              <w:spacing w:line="300" w:lineRule="exact"/>
              <w:jc w:val="center"/>
              <w:rPr>
                <w:color w:val="auto"/>
                <w:sz w:val="18"/>
                <w:szCs w:val="18"/>
                <w:highlight w:val="none"/>
              </w:rPr>
            </w:pPr>
            <w:r>
              <w:rPr>
                <w:b/>
                <w:color w:val="auto"/>
                <w:sz w:val="18"/>
                <w:szCs w:val="18"/>
                <w:highlight w:val="none"/>
              </w:rPr>
              <w:t>1.3.2</w:t>
            </w:r>
          </w:p>
        </w:tc>
        <w:tc>
          <w:tcPr>
            <w:tcW w:w="1204" w:type="dxa"/>
            <w:tcBorders>
              <w:top w:val="single" w:color="auto" w:sz="4" w:space="0"/>
              <w:left w:val="single" w:color="auto" w:sz="4" w:space="0"/>
              <w:bottom w:val="single" w:color="auto" w:sz="4" w:space="0"/>
              <w:right w:val="single" w:color="auto" w:sz="4" w:space="0"/>
            </w:tcBorders>
            <w:vAlign w:val="center"/>
          </w:tcPr>
          <w:p w14:paraId="11986A82">
            <w:pPr>
              <w:spacing w:line="300" w:lineRule="exact"/>
              <w:jc w:val="center"/>
              <w:rPr>
                <w:color w:val="auto"/>
                <w:sz w:val="18"/>
                <w:szCs w:val="18"/>
                <w:highlight w:val="none"/>
              </w:rPr>
            </w:pPr>
            <w:r>
              <w:rPr>
                <w:color w:val="auto"/>
                <w:sz w:val="18"/>
                <w:szCs w:val="18"/>
                <w:highlight w:val="none"/>
              </w:rPr>
              <w:t>采购方式</w:t>
            </w:r>
          </w:p>
        </w:tc>
        <w:tc>
          <w:tcPr>
            <w:tcW w:w="6905" w:type="dxa"/>
            <w:tcBorders>
              <w:top w:val="single" w:color="auto" w:sz="4" w:space="0"/>
              <w:left w:val="single" w:color="auto" w:sz="4" w:space="0"/>
              <w:bottom w:val="single" w:color="auto" w:sz="4" w:space="0"/>
              <w:right w:val="single" w:color="auto" w:sz="4" w:space="0"/>
            </w:tcBorders>
            <w:vAlign w:val="center"/>
          </w:tcPr>
          <w:p w14:paraId="1F3AB0C8">
            <w:pPr>
              <w:spacing w:line="300" w:lineRule="exact"/>
              <w:jc w:val="left"/>
              <w:rPr>
                <w:color w:val="auto"/>
                <w:sz w:val="18"/>
                <w:szCs w:val="18"/>
                <w:highlight w:val="none"/>
              </w:rPr>
            </w:pPr>
            <w:r>
              <w:rPr>
                <w:color w:val="auto"/>
                <w:sz w:val="18"/>
                <w:szCs w:val="18"/>
                <w:highlight w:val="none"/>
              </w:rPr>
              <w:t>竞争性磋商</w:t>
            </w:r>
          </w:p>
        </w:tc>
      </w:tr>
      <w:tr w14:paraId="02A435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54" w:type="dxa"/>
            <w:tcBorders>
              <w:top w:val="single" w:color="auto" w:sz="4" w:space="0"/>
              <w:left w:val="single" w:color="auto" w:sz="4" w:space="0"/>
              <w:bottom w:val="single" w:color="auto" w:sz="4" w:space="0"/>
              <w:right w:val="single" w:color="auto" w:sz="4" w:space="0"/>
            </w:tcBorders>
            <w:vAlign w:val="center"/>
          </w:tcPr>
          <w:p w14:paraId="77F09817">
            <w:pPr>
              <w:spacing w:line="300" w:lineRule="exact"/>
              <w:jc w:val="center"/>
              <w:rPr>
                <w:b/>
                <w:color w:val="auto"/>
                <w:sz w:val="18"/>
                <w:szCs w:val="18"/>
                <w:highlight w:val="none"/>
              </w:rPr>
            </w:pPr>
            <w:r>
              <w:rPr>
                <w:rFonts w:hint="eastAsia"/>
                <w:b/>
                <w:color w:val="auto"/>
                <w:sz w:val="18"/>
                <w:szCs w:val="18"/>
                <w:highlight w:val="none"/>
              </w:rPr>
              <w:t>1</w:t>
            </w:r>
            <w:r>
              <w:rPr>
                <w:b/>
                <w:color w:val="auto"/>
                <w:sz w:val="18"/>
                <w:szCs w:val="18"/>
                <w:highlight w:val="none"/>
              </w:rPr>
              <w:t>.4</w:t>
            </w:r>
          </w:p>
        </w:tc>
        <w:tc>
          <w:tcPr>
            <w:tcW w:w="1204" w:type="dxa"/>
            <w:tcBorders>
              <w:top w:val="single" w:color="auto" w:sz="4" w:space="0"/>
              <w:left w:val="single" w:color="auto" w:sz="4" w:space="0"/>
              <w:bottom w:val="single" w:color="auto" w:sz="4" w:space="0"/>
              <w:right w:val="single" w:color="auto" w:sz="4" w:space="0"/>
            </w:tcBorders>
            <w:vAlign w:val="center"/>
          </w:tcPr>
          <w:p w14:paraId="64079F51">
            <w:pPr>
              <w:spacing w:line="300" w:lineRule="exact"/>
              <w:jc w:val="center"/>
              <w:rPr>
                <w:color w:val="auto"/>
                <w:sz w:val="18"/>
                <w:szCs w:val="18"/>
                <w:highlight w:val="none"/>
                <w:lang w:val="zh-CN"/>
              </w:rPr>
            </w:pPr>
            <w:r>
              <w:rPr>
                <w:rFonts w:hint="eastAsia"/>
                <w:color w:val="auto"/>
                <w:sz w:val="18"/>
                <w:szCs w:val="18"/>
                <w:highlight w:val="none"/>
                <w:lang w:val="zh-CN"/>
              </w:rPr>
              <w:t>促进中小企业发展措施</w:t>
            </w:r>
          </w:p>
        </w:tc>
        <w:tc>
          <w:tcPr>
            <w:tcW w:w="6905" w:type="dxa"/>
            <w:tcBorders>
              <w:top w:val="single" w:color="auto" w:sz="4" w:space="0"/>
              <w:left w:val="single" w:color="auto" w:sz="4" w:space="0"/>
              <w:bottom w:val="single" w:color="auto" w:sz="4" w:space="0"/>
              <w:right w:val="single" w:color="auto" w:sz="4" w:space="0"/>
            </w:tcBorders>
            <w:vAlign w:val="center"/>
          </w:tcPr>
          <w:p w14:paraId="1377D519">
            <w:pPr>
              <w:spacing w:line="300" w:lineRule="exact"/>
              <w:jc w:val="left"/>
              <w:rPr>
                <w:color w:val="auto"/>
                <w:sz w:val="18"/>
                <w:szCs w:val="18"/>
                <w:highlight w:val="none"/>
              </w:rPr>
            </w:pPr>
            <w:r>
              <w:rPr>
                <w:rFonts w:hint="eastAsia"/>
                <w:color w:val="auto"/>
                <w:sz w:val="18"/>
                <w:szCs w:val="18"/>
                <w:highlight w:val="none"/>
              </w:rPr>
              <w:t>☑本项目（</w:t>
            </w:r>
            <w:r>
              <w:rPr>
                <w:rFonts w:hint="eastAsia"/>
                <w:color w:val="auto"/>
                <w:sz w:val="18"/>
                <w:szCs w:val="18"/>
                <w:highlight w:val="none"/>
                <w:u w:val="single"/>
              </w:rPr>
              <w:t xml:space="preserve"> </w:t>
            </w:r>
            <w:r>
              <w:rPr>
                <w:color w:val="auto"/>
                <w:sz w:val="18"/>
                <w:szCs w:val="18"/>
                <w:highlight w:val="none"/>
                <w:u w:val="single"/>
              </w:rPr>
              <w:t xml:space="preserve">  </w:t>
            </w:r>
            <w:r>
              <w:rPr>
                <w:rFonts w:hint="eastAsia"/>
                <w:color w:val="auto"/>
                <w:sz w:val="18"/>
                <w:szCs w:val="18"/>
                <w:highlight w:val="none"/>
                <w:u w:val="single"/>
              </w:rPr>
              <w:t>1</w:t>
            </w:r>
            <w:r>
              <w:rPr>
                <w:color w:val="auto"/>
                <w:sz w:val="18"/>
                <w:szCs w:val="18"/>
                <w:highlight w:val="none"/>
                <w:u w:val="single"/>
              </w:rPr>
              <w:t xml:space="preserve">  </w:t>
            </w:r>
            <w:r>
              <w:rPr>
                <w:rFonts w:hint="eastAsia"/>
                <w:color w:val="auto"/>
                <w:sz w:val="18"/>
                <w:szCs w:val="18"/>
                <w:highlight w:val="none"/>
              </w:rPr>
              <w:t>标段）专门面向中小微企业采购。</w:t>
            </w:r>
          </w:p>
          <w:p w14:paraId="7736DE6B">
            <w:pPr>
              <w:spacing w:line="300" w:lineRule="exact"/>
              <w:jc w:val="left"/>
              <w:rPr>
                <w:color w:val="auto"/>
                <w:sz w:val="18"/>
                <w:szCs w:val="18"/>
                <w:highlight w:val="none"/>
              </w:rPr>
            </w:pPr>
            <w:r>
              <w:rPr>
                <w:rFonts w:hint="eastAsia"/>
                <w:color w:val="auto"/>
                <w:sz w:val="18"/>
                <w:szCs w:val="18"/>
                <w:highlight w:val="none"/>
              </w:rPr>
              <w:t>供应商提供《中小企业声明函》中填报采购文件标明所属行业的标的物的工程施工单位应均为中型或小型或微型企业。如磋商公告接受联合体或分包时，供应商以联合体形式响应的，还须提供《联合体协议书》，《联合体协议书》中填报的中小微企业承建的比例为1</w:t>
            </w:r>
            <w:r>
              <w:rPr>
                <w:color w:val="auto"/>
                <w:sz w:val="18"/>
                <w:szCs w:val="18"/>
                <w:highlight w:val="none"/>
              </w:rPr>
              <w:t>00</w:t>
            </w:r>
            <w:r>
              <w:rPr>
                <w:rFonts w:hint="eastAsia"/>
                <w:color w:val="auto"/>
                <w:sz w:val="18"/>
                <w:szCs w:val="18"/>
                <w:highlight w:val="none"/>
              </w:rPr>
              <w:t>%；供应商以合同分包形式参与响应的，还须提供《分包意向协议书》，《分包意向协议书》中填报的中小微企业承建的比例为1</w:t>
            </w:r>
            <w:r>
              <w:rPr>
                <w:color w:val="auto"/>
                <w:sz w:val="18"/>
                <w:szCs w:val="18"/>
                <w:highlight w:val="none"/>
              </w:rPr>
              <w:t>00</w:t>
            </w:r>
            <w:r>
              <w:rPr>
                <w:rFonts w:hint="eastAsia"/>
                <w:color w:val="auto"/>
                <w:sz w:val="18"/>
                <w:szCs w:val="18"/>
                <w:highlight w:val="none"/>
              </w:rPr>
              <w:t>%；</w:t>
            </w:r>
          </w:p>
          <w:p w14:paraId="0EFFB3DF">
            <w:pPr>
              <w:spacing w:line="300" w:lineRule="exact"/>
              <w:jc w:val="left"/>
              <w:rPr>
                <w:color w:val="auto"/>
                <w:sz w:val="18"/>
                <w:szCs w:val="18"/>
                <w:highlight w:val="none"/>
              </w:rPr>
            </w:pPr>
          </w:p>
        </w:tc>
      </w:tr>
      <w:tr w14:paraId="7A3107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54" w:type="dxa"/>
            <w:tcBorders>
              <w:top w:val="single" w:color="auto" w:sz="4" w:space="0"/>
              <w:left w:val="single" w:color="auto" w:sz="4" w:space="0"/>
              <w:bottom w:val="single" w:color="auto" w:sz="4" w:space="0"/>
              <w:right w:val="single" w:color="auto" w:sz="4" w:space="0"/>
            </w:tcBorders>
            <w:vAlign w:val="center"/>
          </w:tcPr>
          <w:p w14:paraId="70A062AA">
            <w:pPr>
              <w:spacing w:line="300" w:lineRule="exact"/>
              <w:jc w:val="center"/>
              <w:rPr>
                <w:color w:val="auto"/>
                <w:sz w:val="18"/>
                <w:szCs w:val="18"/>
                <w:highlight w:val="none"/>
              </w:rPr>
            </w:pPr>
            <w:r>
              <w:rPr>
                <w:b/>
                <w:color w:val="auto"/>
                <w:sz w:val="18"/>
                <w:szCs w:val="18"/>
                <w:highlight w:val="none"/>
              </w:rPr>
              <w:t>1.5.1</w:t>
            </w:r>
          </w:p>
        </w:tc>
        <w:tc>
          <w:tcPr>
            <w:tcW w:w="1204" w:type="dxa"/>
            <w:tcBorders>
              <w:top w:val="single" w:color="auto" w:sz="4" w:space="0"/>
              <w:left w:val="single" w:color="auto" w:sz="4" w:space="0"/>
              <w:bottom w:val="single" w:color="auto" w:sz="4" w:space="0"/>
              <w:right w:val="single" w:color="auto" w:sz="4" w:space="0"/>
            </w:tcBorders>
            <w:vAlign w:val="center"/>
          </w:tcPr>
          <w:p w14:paraId="53F5F5D7">
            <w:pPr>
              <w:spacing w:line="300" w:lineRule="exact"/>
              <w:jc w:val="center"/>
              <w:rPr>
                <w:color w:val="auto"/>
                <w:sz w:val="18"/>
                <w:szCs w:val="18"/>
                <w:highlight w:val="none"/>
              </w:rPr>
            </w:pPr>
            <w:r>
              <w:rPr>
                <w:color w:val="auto"/>
                <w:sz w:val="18"/>
                <w:szCs w:val="18"/>
                <w:highlight w:val="none"/>
                <w:lang w:val="zh-CN"/>
              </w:rPr>
              <w:t>供应商资格条件</w:t>
            </w:r>
          </w:p>
        </w:tc>
        <w:tc>
          <w:tcPr>
            <w:tcW w:w="6905" w:type="dxa"/>
            <w:tcBorders>
              <w:top w:val="single" w:color="auto" w:sz="4" w:space="0"/>
              <w:left w:val="single" w:color="auto" w:sz="4" w:space="0"/>
              <w:bottom w:val="single" w:color="auto" w:sz="4" w:space="0"/>
              <w:right w:val="single" w:color="auto" w:sz="4" w:space="0"/>
            </w:tcBorders>
            <w:vAlign w:val="center"/>
          </w:tcPr>
          <w:p w14:paraId="1DE52109">
            <w:pPr>
              <w:spacing w:line="300" w:lineRule="exact"/>
              <w:jc w:val="left"/>
              <w:rPr>
                <w:color w:val="auto"/>
                <w:sz w:val="18"/>
                <w:szCs w:val="18"/>
                <w:highlight w:val="none"/>
              </w:rPr>
            </w:pPr>
            <w:r>
              <w:rPr>
                <w:rFonts w:hint="eastAsia"/>
                <w:color w:val="auto"/>
                <w:sz w:val="18"/>
                <w:szCs w:val="18"/>
                <w:highlight w:val="none"/>
              </w:rPr>
              <w:t>详</w:t>
            </w:r>
            <w:r>
              <w:rPr>
                <w:color w:val="auto"/>
                <w:sz w:val="18"/>
                <w:szCs w:val="18"/>
                <w:highlight w:val="none"/>
              </w:rPr>
              <w:t>见</w:t>
            </w:r>
            <w:r>
              <w:rPr>
                <w:rFonts w:hint="eastAsia"/>
                <w:color w:val="auto"/>
                <w:sz w:val="18"/>
                <w:szCs w:val="18"/>
                <w:highlight w:val="none"/>
              </w:rPr>
              <w:t>磋商</w:t>
            </w:r>
            <w:r>
              <w:rPr>
                <w:color w:val="auto"/>
                <w:sz w:val="18"/>
                <w:szCs w:val="18"/>
                <w:highlight w:val="none"/>
              </w:rPr>
              <w:t>公告</w:t>
            </w:r>
            <w:r>
              <w:rPr>
                <w:rFonts w:hint="eastAsia"/>
                <w:color w:val="auto"/>
                <w:sz w:val="18"/>
                <w:szCs w:val="18"/>
                <w:highlight w:val="none"/>
              </w:rPr>
              <w:t>。</w:t>
            </w:r>
          </w:p>
        </w:tc>
      </w:tr>
      <w:tr w14:paraId="7CC0D0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54" w:type="dxa"/>
            <w:tcBorders>
              <w:top w:val="single" w:color="auto" w:sz="4" w:space="0"/>
              <w:left w:val="single" w:color="auto" w:sz="4" w:space="0"/>
              <w:bottom w:val="single" w:color="auto" w:sz="4" w:space="0"/>
              <w:right w:val="single" w:color="auto" w:sz="4" w:space="0"/>
            </w:tcBorders>
            <w:vAlign w:val="center"/>
          </w:tcPr>
          <w:p w14:paraId="45F0DA54">
            <w:pPr>
              <w:spacing w:line="300" w:lineRule="exact"/>
              <w:jc w:val="center"/>
              <w:rPr>
                <w:b/>
                <w:color w:val="auto"/>
                <w:sz w:val="18"/>
                <w:szCs w:val="18"/>
                <w:highlight w:val="none"/>
              </w:rPr>
            </w:pPr>
            <w:r>
              <w:rPr>
                <w:b/>
                <w:color w:val="auto"/>
                <w:sz w:val="18"/>
                <w:szCs w:val="18"/>
                <w:highlight w:val="none"/>
              </w:rPr>
              <w:t>1.5.1</w:t>
            </w:r>
          </w:p>
        </w:tc>
        <w:tc>
          <w:tcPr>
            <w:tcW w:w="1204" w:type="dxa"/>
            <w:tcBorders>
              <w:top w:val="single" w:color="auto" w:sz="4" w:space="0"/>
              <w:left w:val="single" w:color="auto" w:sz="4" w:space="0"/>
              <w:bottom w:val="single" w:color="auto" w:sz="4" w:space="0"/>
              <w:right w:val="single" w:color="auto" w:sz="4" w:space="0"/>
            </w:tcBorders>
            <w:vAlign w:val="center"/>
          </w:tcPr>
          <w:p w14:paraId="43F49086">
            <w:pPr>
              <w:spacing w:line="300" w:lineRule="exact"/>
              <w:jc w:val="center"/>
              <w:rPr>
                <w:color w:val="auto"/>
                <w:sz w:val="18"/>
                <w:szCs w:val="18"/>
                <w:highlight w:val="none"/>
              </w:rPr>
            </w:pPr>
            <w:r>
              <w:rPr>
                <w:color w:val="auto"/>
                <w:sz w:val="18"/>
                <w:szCs w:val="18"/>
                <w:highlight w:val="none"/>
              </w:rPr>
              <w:t>供应商不得存在</w:t>
            </w:r>
            <w:r>
              <w:rPr>
                <w:rFonts w:hint="eastAsia"/>
                <w:color w:val="auto"/>
                <w:sz w:val="18"/>
                <w:szCs w:val="18"/>
                <w:highlight w:val="none"/>
              </w:rPr>
              <w:t>的</w:t>
            </w:r>
            <w:r>
              <w:rPr>
                <w:color w:val="auto"/>
                <w:sz w:val="18"/>
                <w:szCs w:val="18"/>
                <w:highlight w:val="none"/>
              </w:rPr>
              <w:t>情形</w:t>
            </w:r>
          </w:p>
        </w:tc>
        <w:tc>
          <w:tcPr>
            <w:tcW w:w="6905" w:type="dxa"/>
            <w:tcBorders>
              <w:top w:val="single" w:color="auto" w:sz="4" w:space="0"/>
              <w:left w:val="single" w:color="auto" w:sz="4" w:space="0"/>
              <w:bottom w:val="single" w:color="auto" w:sz="4" w:space="0"/>
              <w:right w:val="single" w:color="auto" w:sz="4" w:space="0"/>
            </w:tcBorders>
            <w:vAlign w:val="center"/>
          </w:tcPr>
          <w:p w14:paraId="18592D83">
            <w:pPr>
              <w:spacing w:line="300" w:lineRule="exact"/>
              <w:jc w:val="left"/>
              <w:rPr>
                <w:color w:val="auto"/>
                <w:sz w:val="18"/>
                <w:szCs w:val="18"/>
                <w:highlight w:val="none"/>
              </w:rPr>
            </w:pPr>
            <w:r>
              <w:rPr>
                <w:rFonts w:hint="eastAsia"/>
                <w:color w:val="auto"/>
                <w:sz w:val="18"/>
                <w:szCs w:val="18"/>
                <w:highlight w:val="none"/>
              </w:rPr>
              <w:t>（1）与采购人存在利害关系可能影响采购公正性的法人、其他组织；</w:t>
            </w:r>
          </w:p>
          <w:p w14:paraId="3033C359">
            <w:pPr>
              <w:spacing w:line="300" w:lineRule="exact"/>
              <w:jc w:val="left"/>
              <w:rPr>
                <w:color w:val="auto"/>
                <w:sz w:val="18"/>
                <w:szCs w:val="18"/>
                <w:highlight w:val="none"/>
              </w:rPr>
            </w:pPr>
            <w:r>
              <w:rPr>
                <w:rFonts w:hint="eastAsia"/>
                <w:color w:val="auto"/>
                <w:sz w:val="18"/>
                <w:szCs w:val="18"/>
                <w:highlight w:val="none"/>
              </w:rPr>
              <w:t>（2）为本标段前期准备提供设计或咨询服务的，但设计施工总承包的除外；</w:t>
            </w:r>
          </w:p>
          <w:p w14:paraId="4CD9EF1E">
            <w:pPr>
              <w:spacing w:line="300" w:lineRule="exact"/>
              <w:jc w:val="left"/>
              <w:rPr>
                <w:color w:val="auto"/>
                <w:sz w:val="18"/>
                <w:szCs w:val="18"/>
                <w:highlight w:val="none"/>
              </w:rPr>
            </w:pPr>
            <w:r>
              <w:rPr>
                <w:rFonts w:hint="eastAsia"/>
                <w:color w:val="auto"/>
                <w:sz w:val="18"/>
                <w:szCs w:val="18"/>
                <w:highlight w:val="none"/>
              </w:rPr>
              <w:t>（3）为本标段的监理人；</w:t>
            </w:r>
          </w:p>
          <w:p w14:paraId="5FB73E2B">
            <w:pPr>
              <w:spacing w:line="300" w:lineRule="exact"/>
              <w:jc w:val="left"/>
              <w:rPr>
                <w:color w:val="auto"/>
                <w:sz w:val="18"/>
                <w:szCs w:val="18"/>
                <w:highlight w:val="none"/>
              </w:rPr>
            </w:pPr>
            <w:r>
              <w:rPr>
                <w:rFonts w:hint="eastAsia"/>
                <w:color w:val="auto"/>
                <w:sz w:val="18"/>
                <w:szCs w:val="18"/>
                <w:highlight w:val="none"/>
              </w:rPr>
              <w:t>（4）为本标段的代建人；</w:t>
            </w:r>
          </w:p>
          <w:p w14:paraId="13D8E385">
            <w:pPr>
              <w:spacing w:line="300" w:lineRule="exact"/>
              <w:jc w:val="left"/>
              <w:rPr>
                <w:color w:val="auto"/>
                <w:sz w:val="18"/>
                <w:szCs w:val="18"/>
                <w:highlight w:val="none"/>
              </w:rPr>
            </w:pPr>
            <w:r>
              <w:rPr>
                <w:rFonts w:hint="eastAsia"/>
                <w:color w:val="auto"/>
                <w:sz w:val="18"/>
                <w:szCs w:val="18"/>
                <w:highlight w:val="none"/>
              </w:rPr>
              <w:t>（5）为本标段提供采购代理服务的；</w:t>
            </w:r>
          </w:p>
          <w:p w14:paraId="029D2E60">
            <w:pPr>
              <w:spacing w:line="300" w:lineRule="exact"/>
              <w:jc w:val="left"/>
              <w:rPr>
                <w:color w:val="auto"/>
                <w:sz w:val="18"/>
                <w:szCs w:val="18"/>
                <w:highlight w:val="none"/>
              </w:rPr>
            </w:pPr>
            <w:r>
              <w:rPr>
                <w:rFonts w:hint="eastAsia"/>
                <w:color w:val="auto"/>
                <w:sz w:val="18"/>
                <w:szCs w:val="18"/>
                <w:highlight w:val="none"/>
              </w:rPr>
              <w:t>（6）与本标段的监理人或代建人或采购代理机构同为一个法定代表人的；</w:t>
            </w:r>
          </w:p>
          <w:p w14:paraId="6308D02C">
            <w:pPr>
              <w:spacing w:line="300" w:lineRule="exact"/>
              <w:jc w:val="left"/>
              <w:rPr>
                <w:color w:val="auto"/>
                <w:sz w:val="18"/>
                <w:szCs w:val="18"/>
                <w:highlight w:val="none"/>
              </w:rPr>
            </w:pPr>
            <w:r>
              <w:rPr>
                <w:rFonts w:hint="eastAsia"/>
                <w:color w:val="auto"/>
                <w:sz w:val="18"/>
                <w:szCs w:val="18"/>
                <w:highlight w:val="none"/>
              </w:rPr>
              <w:t>（7）与本标段的监理人或代建人或采购代理机构相互控股或参股的；</w:t>
            </w:r>
          </w:p>
          <w:p w14:paraId="642703C6">
            <w:pPr>
              <w:spacing w:line="300" w:lineRule="exact"/>
              <w:jc w:val="left"/>
              <w:rPr>
                <w:color w:val="auto"/>
                <w:sz w:val="18"/>
                <w:szCs w:val="18"/>
                <w:highlight w:val="none"/>
              </w:rPr>
            </w:pPr>
            <w:r>
              <w:rPr>
                <w:rFonts w:hint="eastAsia"/>
                <w:color w:val="auto"/>
                <w:sz w:val="18"/>
                <w:szCs w:val="18"/>
                <w:highlight w:val="none"/>
              </w:rPr>
              <w:t>（8）与本标段的监理人或代建人或采购代理机构相互任职或工作的；</w:t>
            </w:r>
          </w:p>
          <w:p w14:paraId="47C8A0F7">
            <w:pPr>
              <w:spacing w:line="300" w:lineRule="exact"/>
              <w:jc w:val="left"/>
              <w:rPr>
                <w:color w:val="auto"/>
                <w:sz w:val="18"/>
                <w:szCs w:val="18"/>
                <w:highlight w:val="none"/>
              </w:rPr>
            </w:pPr>
            <w:r>
              <w:rPr>
                <w:rFonts w:hint="eastAsia"/>
                <w:color w:val="auto"/>
                <w:sz w:val="18"/>
                <w:szCs w:val="18"/>
                <w:highlight w:val="none"/>
              </w:rPr>
              <w:t>（9）吊销或暂扣营业执照、安全生产许可证期间；</w:t>
            </w:r>
          </w:p>
          <w:p w14:paraId="76D3FBFE">
            <w:pPr>
              <w:spacing w:line="300" w:lineRule="exact"/>
              <w:jc w:val="left"/>
              <w:rPr>
                <w:color w:val="auto"/>
                <w:sz w:val="18"/>
                <w:szCs w:val="18"/>
                <w:highlight w:val="none"/>
              </w:rPr>
            </w:pPr>
            <w:r>
              <w:rPr>
                <w:rFonts w:hint="eastAsia"/>
                <w:color w:val="auto"/>
                <w:sz w:val="18"/>
                <w:szCs w:val="18"/>
                <w:highlight w:val="none"/>
              </w:rPr>
              <w:t>（10）在本行政区域被暂停或取消投标资格的；</w:t>
            </w:r>
          </w:p>
          <w:p w14:paraId="3D773E6D">
            <w:pPr>
              <w:spacing w:line="300" w:lineRule="exact"/>
              <w:jc w:val="left"/>
              <w:rPr>
                <w:color w:val="auto"/>
                <w:sz w:val="18"/>
                <w:szCs w:val="18"/>
                <w:highlight w:val="none"/>
              </w:rPr>
            </w:pPr>
            <w:r>
              <w:rPr>
                <w:rFonts w:hint="eastAsia"/>
                <w:color w:val="auto"/>
                <w:sz w:val="18"/>
                <w:szCs w:val="18"/>
                <w:highlight w:val="none"/>
              </w:rPr>
              <w:t>（11）财产被接管或基本账户被冻结的；</w:t>
            </w:r>
          </w:p>
          <w:p w14:paraId="22A2BEE1">
            <w:pPr>
              <w:spacing w:line="300" w:lineRule="exact"/>
              <w:jc w:val="left"/>
              <w:rPr>
                <w:color w:val="auto"/>
                <w:sz w:val="18"/>
                <w:szCs w:val="18"/>
                <w:highlight w:val="none"/>
              </w:rPr>
            </w:pPr>
            <w:r>
              <w:rPr>
                <w:rFonts w:hint="eastAsia"/>
                <w:color w:val="auto"/>
                <w:sz w:val="18"/>
                <w:szCs w:val="18"/>
                <w:highlight w:val="none"/>
              </w:rPr>
              <w:t>（12）有骗取中标或严重违约或工程质量安全问题，在本行政区域正处在停业整顿或暂停投标期间的；</w:t>
            </w:r>
          </w:p>
          <w:p w14:paraId="58818B10">
            <w:pPr>
              <w:spacing w:line="300" w:lineRule="exact"/>
              <w:jc w:val="left"/>
              <w:rPr>
                <w:color w:val="auto"/>
                <w:sz w:val="18"/>
                <w:szCs w:val="18"/>
                <w:highlight w:val="none"/>
              </w:rPr>
            </w:pPr>
            <w:r>
              <w:rPr>
                <w:rFonts w:hint="eastAsia"/>
                <w:color w:val="auto"/>
                <w:sz w:val="18"/>
                <w:szCs w:val="18"/>
                <w:highlight w:val="none"/>
              </w:rPr>
              <w:t>（13）被责令停业的。</w:t>
            </w:r>
          </w:p>
        </w:tc>
      </w:tr>
      <w:tr w14:paraId="351527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54" w:type="dxa"/>
            <w:tcBorders>
              <w:top w:val="single" w:color="auto" w:sz="4" w:space="0"/>
              <w:left w:val="single" w:color="auto" w:sz="4" w:space="0"/>
              <w:bottom w:val="single" w:color="auto" w:sz="4" w:space="0"/>
              <w:right w:val="single" w:color="auto" w:sz="4" w:space="0"/>
            </w:tcBorders>
            <w:vAlign w:val="center"/>
          </w:tcPr>
          <w:p w14:paraId="0BF9C057">
            <w:pPr>
              <w:spacing w:line="300" w:lineRule="exact"/>
              <w:jc w:val="center"/>
              <w:rPr>
                <w:b/>
                <w:color w:val="auto"/>
                <w:sz w:val="18"/>
                <w:szCs w:val="18"/>
                <w:highlight w:val="none"/>
              </w:rPr>
            </w:pPr>
            <w:r>
              <w:rPr>
                <w:b/>
                <w:color w:val="auto"/>
                <w:sz w:val="18"/>
                <w:szCs w:val="18"/>
                <w:highlight w:val="none"/>
              </w:rPr>
              <w:t>1.5.3</w:t>
            </w:r>
          </w:p>
        </w:tc>
        <w:tc>
          <w:tcPr>
            <w:tcW w:w="1204" w:type="dxa"/>
            <w:tcBorders>
              <w:top w:val="single" w:color="auto" w:sz="4" w:space="0"/>
              <w:left w:val="single" w:color="auto" w:sz="4" w:space="0"/>
              <w:bottom w:val="single" w:color="auto" w:sz="4" w:space="0"/>
              <w:right w:val="single" w:color="auto" w:sz="4" w:space="0"/>
            </w:tcBorders>
            <w:vAlign w:val="center"/>
          </w:tcPr>
          <w:p w14:paraId="07547FC8">
            <w:pPr>
              <w:spacing w:line="300" w:lineRule="exact"/>
              <w:jc w:val="center"/>
              <w:rPr>
                <w:color w:val="auto"/>
                <w:sz w:val="18"/>
                <w:szCs w:val="18"/>
                <w:highlight w:val="none"/>
              </w:rPr>
            </w:pPr>
            <w:r>
              <w:rPr>
                <w:rFonts w:hint="eastAsia"/>
                <w:color w:val="auto"/>
                <w:sz w:val="18"/>
                <w:szCs w:val="18"/>
                <w:highlight w:val="none"/>
              </w:rPr>
              <w:t>联合体</w:t>
            </w:r>
          </w:p>
        </w:tc>
        <w:tc>
          <w:tcPr>
            <w:tcW w:w="6905" w:type="dxa"/>
            <w:tcBorders>
              <w:top w:val="single" w:color="auto" w:sz="4" w:space="0"/>
              <w:left w:val="single" w:color="auto" w:sz="4" w:space="0"/>
              <w:bottom w:val="single" w:color="auto" w:sz="4" w:space="0"/>
              <w:right w:val="single" w:color="auto" w:sz="4" w:space="0"/>
            </w:tcBorders>
            <w:vAlign w:val="center"/>
          </w:tcPr>
          <w:p w14:paraId="4FB6DBA5">
            <w:pPr>
              <w:spacing w:line="300" w:lineRule="exact"/>
              <w:jc w:val="left"/>
              <w:rPr>
                <w:color w:val="auto"/>
                <w:sz w:val="18"/>
                <w:szCs w:val="18"/>
                <w:highlight w:val="none"/>
              </w:rPr>
            </w:pPr>
            <w:r>
              <w:rPr>
                <w:rFonts w:hint="eastAsia"/>
                <w:color w:val="auto"/>
                <w:sz w:val="18"/>
                <w:szCs w:val="18"/>
                <w:highlight w:val="none"/>
              </w:rPr>
              <w:t>是否接受联合体详见磋商公告</w:t>
            </w:r>
          </w:p>
        </w:tc>
      </w:tr>
      <w:tr w14:paraId="5433A1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vAlign w:val="center"/>
          </w:tcPr>
          <w:p w14:paraId="07965C50">
            <w:pPr>
              <w:spacing w:line="300" w:lineRule="exact"/>
              <w:jc w:val="center"/>
              <w:rPr>
                <w:color w:val="auto"/>
                <w:sz w:val="18"/>
                <w:szCs w:val="18"/>
                <w:highlight w:val="none"/>
              </w:rPr>
            </w:pPr>
            <w:r>
              <w:rPr>
                <w:b/>
                <w:color w:val="auto"/>
                <w:sz w:val="18"/>
                <w:szCs w:val="18"/>
                <w:highlight w:val="none"/>
              </w:rPr>
              <w:t>1.6</w:t>
            </w:r>
          </w:p>
        </w:tc>
        <w:tc>
          <w:tcPr>
            <w:tcW w:w="1204" w:type="dxa"/>
            <w:tcBorders>
              <w:top w:val="single" w:color="auto" w:sz="4" w:space="0"/>
              <w:left w:val="single" w:color="auto" w:sz="4" w:space="0"/>
              <w:bottom w:val="single" w:color="auto" w:sz="4" w:space="0"/>
              <w:right w:val="single" w:color="auto" w:sz="4" w:space="0"/>
            </w:tcBorders>
            <w:vAlign w:val="center"/>
          </w:tcPr>
          <w:p w14:paraId="2E602921">
            <w:pPr>
              <w:spacing w:line="300" w:lineRule="exact"/>
              <w:jc w:val="center"/>
              <w:rPr>
                <w:color w:val="auto"/>
                <w:sz w:val="18"/>
                <w:szCs w:val="18"/>
                <w:highlight w:val="none"/>
              </w:rPr>
            </w:pPr>
            <w:r>
              <w:rPr>
                <w:rFonts w:hint="eastAsia"/>
                <w:color w:val="auto"/>
                <w:sz w:val="18"/>
                <w:szCs w:val="18"/>
                <w:highlight w:val="none"/>
              </w:rPr>
              <w:t>踏勘</w:t>
            </w:r>
          </w:p>
        </w:tc>
        <w:tc>
          <w:tcPr>
            <w:tcW w:w="6905" w:type="dxa"/>
            <w:tcBorders>
              <w:top w:val="single" w:color="auto" w:sz="4" w:space="0"/>
              <w:left w:val="single" w:color="auto" w:sz="4" w:space="0"/>
              <w:bottom w:val="single" w:color="auto" w:sz="4" w:space="0"/>
              <w:right w:val="single" w:color="auto" w:sz="4" w:space="0"/>
            </w:tcBorders>
            <w:vAlign w:val="center"/>
          </w:tcPr>
          <w:p w14:paraId="3A169614">
            <w:pPr>
              <w:spacing w:line="300" w:lineRule="exact"/>
              <w:jc w:val="left"/>
              <w:rPr>
                <w:color w:val="auto"/>
                <w:sz w:val="18"/>
                <w:szCs w:val="18"/>
                <w:highlight w:val="none"/>
              </w:rPr>
            </w:pPr>
            <w:r>
              <w:rPr>
                <w:color w:val="auto"/>
                <w:sz w:val="18"/>
                <w:szCs w:val="18"/>
                <w:highlight w:val="none"/>
              </w:rPr>
              <w:sym w:font="Wingdings 2" w:char="F052"/>
            </w:r>
            <w:r>
              <w:rPr>
                <w:rFonts w:hint="eastAsia"/>
                <w:color w:val="auto"/>
                <w:sz w:val="18"/>
                <w:szCs w:val="18"/>
                <w:highlight w:val="none"/>
              </w:rPr>
              <w:t>否   □是</w:t>
            </w:r>
          </w:p>
          <w:p w14:paraId="0F8854DC">
            <w:pPr>
              <w:rPr>
                <w:color w:val="auto"/>
                <w:sz w:val="18"/>
                <w:szCs w:val="18"/>
                <w:highlight w:val="none"/>
                <w:u w:val="single"/>
              </w:rPr>
            </w:pPr>
            <w:r>
              <w:rPr>
                <w:rFonts w:hint="eastAsia"/>
                <w:color w:val="auto"/>
                <w:sz w:val="18"/>
                <w:szCs w:val="18"/>
                <w:highlight w:val="none"/>
              </w:rPr>
              <w:t xml:space="preserve">踏勘时间： </w:t>
            </w:r>
            <w:r>
              <w:rPr>
                <w:rFonts w:hint="eastAsia"/>
                <w:color w:val="auto"/>
                <w:sz w:val="18"/>
                <w:szCs w:val="18"/>
                <w:highlight w:val="none"/>
                <w:u w:val="single"/>
              </w:rPr>
              <w:t xml:space="preserve">             </w:t>
            </w:r>
          </w:p>
          <w:p w14:paraId="7C2C3C5B">
            <w:pPr>
              <w:rPr>
                <w:color w:val="auto"/>
                <w:sz w:val="18"/>
                <w:szCs w:val="18"/>
                <w:highlight w:val="none"/>
                <w:u w:val="single"/>
              </w:rPr>
            </w:pPr>
            <w:r>
              <w:rPr>
                <w:rFonts w:hint="eastAsia"/>
                <w:color w:val="auto"/>
                <w:sz w:val="18"/>
                <w:szCs w:val="18"/>
                <w:highlight w:val="none"/>
              </w:rPr>
              <w:t xml:space="preserve">踏勘地点： </w:t>
            </w:r>
            <w:r>
              <w:rPr>
                <w:rFonts w:hint="eastAsia"/>
                <w:color w:val="auto"/>
                <w:sz w:val="18"/>
                <w:szCs w:val="18"/>
                <w:highlight w:val="none"/>
                <w:u w:val="single"/>
              </w:rPr>
              <w:t xml:space="preserve">          </w:t>
            </w:r>
          </w:p>
          <w:p w14:paraId="4814775A">
            <w:pPr>
              <w:spacing w:line="300" w:lineRule="exact"/>
              <w:jc w:val="left"/>
              <w:rPr>
                <w:color w:val="auto"/>
                <w:sz w:val="18"/>
                <w:szCs w:val="18"/>
                <w:highlight w:val="none"/>
              </w:rPr>
            </w:pPr>
            <w:r>
              <w:rPr>
                <w:rFonts w:hint="eastAsia"/>
                <w:color w:val="auto"/>
                <w:sz w:val="18"/>
                <w:szCs w:val="18"/>
                <w:highlight w:val="none"/>
              </w:rPr>
              <w:t xml:space="preserve">踏勘要求： </w:t>
            </w:r>
            <w:r>
              <w:rPr>
                <w:rFonts w:hint="eastAsia"/>
                <w:color w:val="auto"/>
                <w:sz w:val="18"/>
                <w:szCs w:val="18"/>
                <w:highlight w:val="none"/>
                <w:u w:val="single"/>
              </w:rPr>
              <w:t xml:space="preserve">           </w:t>
            </w:r>
            <w:r>
              <w:rPr>
                <w:rFonts w:hint="eastAsia"/>
                <w:color w:val="auto"/>
                <w:sz w:val="18"/>
                <w:szCs w:val="18"/>
                <w:highlight w:val="none"/>
              </w:rPr>
              <w:t xml:space="preserve">    </w:t>
            </w:r>
          </w:p>
        </w:tc>
      </w:tr>
      <w:tr w14:paraId="4E4B3B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vAlign w:val="center"/>
          </w:tcPr>
          <w:p w14:paraId="5BB8EB8A">
            <w:pPr>
              <w:spacing w:line="300" w:lineRule="exact"/>
              <w:jc w:val="center"/>
              <w:rPr>
                <w:b/>
                <w:color w:val="auto"/>
                <w:sz w:val="18"/>
                <w:szCs w:val="18"/>
                <w:highlight w:val="none"/>
              </w:rPr>
            </w:pPr>
            <w:r>
              <w:rPr>
                <w:b/>
                <w:color w:val="auto"/>
                <w:sz w:val="18"/>
                <w:szCs w:val="18"/>
                <w:highlight w:val="none"/>
              </w:rPr>
              <w:t>1.7.1</w:t>
            </w:r>
          </w:p>
        </w:tc>
        <w:tc>
          <w:tcPr>
            <w:tcW w:w="1204" w:type="dxa"/>
            <w:tcBorders>
              <w:top w:val="single" w:color="auto" w:sz="4" w:space="0"/>
              <w:left w:val="single" w:color="auto" w:sz="4" w:space="0"/>
              <w:bottom w:val="single" w:color="auto" w:sz="4" w:space="0"/>
              <w:right w:val="single" w:color="auto" w:sz="4" w:space="0"/>
            </w:tcBorders>
            <w:vAlign w:val="center"/>
          </w:tcPr>
          <w:p w14:paraId="6030FFB2">
            <w:pPr>
              <w:spacing w:line="300" w:lineRule="exact"/>
              <w:jc w:val="center"/>
              <w:rPr>
                <w:color w:val="auto"/>
                <w:sz w:val="18"/>
                <w:szCs w:val="18"/>
                <w:highlight w:val="none"/>
              </w:rPr>
            </w:pPr>
            <w:r>
              <w:rPr>
                <w:color w:val="auto"/>
                <w:sz w:val="18"/>
                <w:szCs w:val="18"/>
                <w:highlight w:val="none"/>
              </w:rPr>
              <w:t>转包</w:t>
            </w:r>
          </w:p>
        </w:tc>
        <w:tc>
          <w:tcPr>
            <w:tcW w:w="6905" w:type="dxa"/>
            <w:tcBorders>
              <w:top w:val="single" w:color="auto" w:sz="4" w:space="0"/>
              <w:left w:val="single" w:color="auto" w:sz="4" w:space="0"/>
              <w:bottom w:val="single" w:color="auto" w:sz="4" w:space="0"/>
              <w:right w:val="single" w:color="auto" w:sz="4" w:space="0"/>
            </w:tcBorders>
            <w:vAlign w:val="center"/>
          </w:tcPr>
          <w:p w14:paraId="52CE4573">
            <w:pPr>
              <w:spacing w:line="300" w:lineRule="exact"/>
              <w:jc w:val="left"/>
              <w:rPr>
                <w:color w:val="auto"/>
                <w:sz w:val="18"/>
                <w:szCs w:val="18"/>
                <w:highlight w:val="none"/>
              </w:rPr>
            </w:pPr>
            <w:r>
              <w:rPr>
                <w:color w:val="auto"/>
                <w:sz w:val="18"/>
                <w:szCs w:val="18"/>
                <w:highlight w:val="none"/>
              </w:rPr>
              <w:t>本项目不允许转包</w:t>
            </w:r>
            <w:r>
              <w:rPr>
                <w:rFonts w:hint="eastAsia"/>
                <w:color w:val="auto"/>
                <w:sz w:val="18"/>
                <w:szCs w:val="18"/>
                <w:highlight w:val="none"/>
              </w:rPr>
              <w:t>。</w:t>
            </w:r>
          </w:p>
        </w:tc>
      </w:tr>
      <w:tr w14:paraId="606099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vAlign w:val="center"/>
          </w:tcPr>
          <w:p w14:paraId="372EA961">
            <w:pPr>
              <w:spacing w:line="300" w:lineRule="exact"/>
              <w:jc w:val="center"/>
              <w:rPr>
                <w:color w:val="auto"/>
                <w:sz w:val="18"/>
                <w:szCs w:val="18"/>
                <w:highlight w:val="none"/>
              </w:rPr>
            </w:pPr>
            <w:r>
              <w:rPr>
                <w:b/>
                <w:color w:val="auto"/>
                <w:sz w:val="18"/>
                <w:szCs w:val="18"/>
                <w:highlight w:val="none"/>
              </w:rPr>
              <w:t>1.7.2</w:t>
            </w:r>
          </w:p>
        </w:tc>
        <w:tc>
          <w:tcPr>
            <w:tcW w:w="1204" w:type="dxa"/>
            <w:tcBorders>
              <w:top w:val="single" w:color="auto" w:sz="4" w:space="0"/>
              <w:left w:val="single" w:color="auto" w:sz="4" w:space="0"/>
              <w:bottom w:val="single" w:color="auto" w:sz="4" w:space="0"/>
              <w:right w:val="single" w:color="auto" w:sz="4" w:space="0"/>
            </w:tcBorders>
            <w:vAlign w:val="center"/>
          </w:tcPr>
          <w:p w14:paraId="1424AEC1">
            <w:pPr>
              <w:spacing w:line="300" w:lineRule="exact"/>
              <w:jc w:val="center"/>
              <w:rPr>
                <w:color w:val="auto"/>
                <w:sz w:val="18"/>
                <w:szCs w:val="18"/>
                <w:highlight w:val="none"/>
              </w:rPr>
            </w:pPr>
            <w:r>
              <w:rPr>
                <w:color w:val="auto"/>
                <w:sz w:val="18"/>
                <w:szCs w:val="18"/>
                <w:highlight w:val="none"/>
              </w:rPr>
              <w:t>分包</w:t>
            </w:r>
          </w:p>
        </w:tc>
        <w:tc>
          <w:tcPr>
            <w:tcW w:w="6905" w:type="dxa"/>
            <w:tcBorders>
              <w:top w:val="single" w:color="auto" w:sz="4" w:space="0"/>
              <w:left w:val="single" w:color="auto" w:sz="4" w:space="0"/>
              <w:bottom w:val="single" w:color="auto" w:sz="4" w:space="0"/>
              <w:right w:val="single" w:color="auto" w:sz="4" w:space="0"/>
            </w:tcBorders>
            <w:vAlign w:val="center"/>
          </w:tcPr>
          <w:p w14:paraId="5E50E4A6">
            <w:pPr>
              <w:spacing w:line="300" w:lineRule="exact"/>
              <w:jc w:val="left"/>
              <w:rPr>
                <w:color w:val="auto"/>
                <w:sz w:val="18"/>
                <w:szCs w:val="18"/>
                <w:highlight w:val="none"/>
              </w:rPr>
            </w:pPr>
            <w:r>
              <w:rPr>
                <w:rFonts w:hint="eastAsia"/>
                <w:color w:val="auto"/>
                <w:sz w:val="18"/>
                <w:szCs w:val="18"/>
                <w:highlight w:val="none"/>
              </w:rPr>
              <w:t>是否接受分包详见磋商公告</w:t>
            </w:r>
          </w:p>
        </w:tc>
      </w:tr>
      <w:tr w14:paraId="66FBFD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vAlign w:val="center"/>
          </w:tcPr>
          <w:p w14:paraId="74EEDF74">
            <w:pPr>
              <w:spacing w:line="300" w:lineRule="exact"/>
              <w:jc w:val="center"/>
              <w:rPr>
                <w:color w:val="auto"/>
                <w:sz w:val="18"/>
                <w:szCs w:val="18"/>
                <w:highlight w:val="none"/>
              </w:rPr>
            </w:pPr>
            <w:r>
              <w:rPr>
                <w:b/>
                <w:color w:val="auto"/>
                <w:sz w:val="18"/>
                <w:szCs w:val="18"/>
                <w:highlight w:val="none"/>
              </w:rPr>
              <w:t>2.3</w:t>
            </w:r>
          </w:p>
        </w:tc>
        <w:tc>
          <w:tcPr>
            <w:tcW w:w="1204" w:type="dxa"/>
            <w:tcBorders>
              <w:top w:val="single" w:color="auto" w:sz="4" w:space="0"/>
              <w:left w:val="single" w:color="auto" w:sz="4" w:space="0"/>
              <w:bottom w:val="single" w:color="auto" w:sz="4" w:space="0"/>
              <w:right w:val="single" w:color="auto" w:sz="4" w:space="0"/>
            </w:tcBorders>
            <w:vAlign w:val="center"/>
          </w:tcPr>
          <w:p w14:paraId="0AFF584F">
            <w:pPr>
              <w:spacing w:line="300" w:lineRule="exact"/>
              <w:jc w:val="center"/>
              <w:rPr>
                <w:color w:val="auto"/>
                <w:sz w:val="18"/>
                <w:szCs w:val="18"/>
                <w:highlight w:val="none"/>
              </w:rPr>
            </w:pPr>
            <w:r>
              <w:rPr>
                <w:color w:val="auto"/>
                <w:sz w:val="18"/>
                <w:szCs w:val="18"/>
                <w:highlight w:val="none"/>
              </w:rPr>
              <w:t>采购文件澄清、修改</w:t>
            </w:r>
          </w:p>
        </w:tc>
        <w:tc>
          <w:tcPr>
            <w:tcW w:w="6905" w:type="dxa"/>
            <w:tcBorders>
              <w:top w:val="single" w:color="auto" w:sz="4" w:space="0"/>
              <w:left w:val="single" w:color="auto" w:sz="4" w:space="0"/>
              <w:bottom w:val="single" w:color="auto" w:sz="4" w:space="0"/>
              <w:right w:val="single" w:color="auto" w:sz="4" w:space="0"/>
            </w:tcBorders>
            <w:vAlign w:val="center"/>
          </w:tcPr>
          <w:p w14:paraId="00EB8939">
            <w:pPr>
              <w:spacing w:line="300" w:lineRule="exact"/>
              <w:jc w:val="left"/>
              <w:rPr>
                <w:color w:val="auto"/>
                <w:sz w:val="18"/>
                <w:szCs w:val="18"/>
                <w:highlight w:val="none"/>
              </w:rPr>
            </w:pPr>
            <w:r>
              <w:rPr>
                <w:color w:val="auto"/>
                <w:sz w:val="18"/>
                <w:szCs w:val="18"/>
                <w:highlight w:val="none"/>
              </w:rPr>
              <w:t>在</w:t>
            </w:r>
            <w:r>
              <w:rPr>
                <w:rFonts w:hint="eastAsia"/>
                <w:color w:val="auto"/>
                <w:sz w:val="18"/>
                <w:szCs w:val="18"/>
                <w:highlight w:val="none"/>
              </w:rPr>
              <w:t>磋商</w:t>
            </w:r>
            <w:r>
              <w:rPr>
                <w:color w:val="auto"/>
                <w:sz w:val="18"/>
                <w:szCs w:val="18"/>
                <w:highlight w:val="none"/>
              </w:rPr>
              <w:t>公告发布媒介发布</w:t>
            </w:r>
            <w:r>
              <w:rPr>
                <w:rFonts w:hint="eastAsia"/>
                <w:color w:val="auto"/>
                <w:sz w:val="18"/>
                <w:szCs w:val="18"/>
                <w:highlight w:val="none"/>
              </w:rPr>
              <w:t>。</w:t>
            </w:r>
          </w:p>
        </w:tc>
      </w:tr>
      <w:tr w14:paraId="10373F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vAlign w:val="center"/>
          </w:tcPr>
          <w:p w14:paraId="6C46DCED">
            <w:pPr>
              <w:spacing w:line="300" w:lineRule="exact"/>
              <w:jc w:val="center"/>
              <w:rPr>
                <w:b/>
                <w:color w:val="auto"/>
                <w:sz w:val="18"/>
                <w:szCs w:val="18"/>
                <w:highlight w:val="none"/>
              </w:rPr>
            </w:pPr>
            <w:r>
              <w:rPr>
                <w:b/>
                <w:color w:val="auto"/>
                <w:sz w:val="18"/>
                <w:szCs w:val="18"/>
                <w:highlight w:val="none"/>
              </w:rPr>
              <w:t>2.3</w:t>
            </w:r>
          </w:p>
        </w:tc>
        <w:tc>
          <w:tcPr>
            <w:tcW w:w="1204" w:type="dxa"/>
            <w:tcBorders>
              <w:top w:val="single" w:color="auto" w:sz="4" w:space="0"/>
              <w:left w:val="single" w:color="auto" w:sz="4" w:space="0"/>
              <w:bottom w:val="single" w:color="auto" w:sz="4" w:space="0"/>
              <w:right w:val="single" w:color="auto" w:sz="4" w:space="0"/>
            </w:tcBorders>
            <w:vAlign w:val="center"/>
          </w:tcPr>
          <w:p w14:paraId="75966D00">
            <w:pPr>
              <w:spacing w:line="300" w:lineRule="exact"/>
              <w:jc w:val="center"/>
              <w:rPr>
                <w:color w:val="auto"/>
                <w:sz w:val="18"/>
                <w:szCs w:val="18"/>
                <w:highlight w:val="none"/>
              </w:rPr>
            </w:pPr>
            <w:r>
              <w:rPr>
                <w:color w:val="auto"/>
                <w:sz w:val="18"/>
                <w:szCs w:val="18"/>
                <w:highlight w:val="none"/>
              </w:rPr>
              <w:t>确认收到澄清、修改发布的方式</w:t>
            </w:r>
          </w:p>
        </w:tc>
        <w:tc>
          <w:tcPr>
            <w:tcW w:w="6905" w:type="dxa"/>
            <w:tcBorders>
              <w:top w:val="single" w:color="auto" w:sz="4" w:space="0"/>
              <w:left w:val="single" w:color="auto" w:sz="4" w:space="0"/>
              <w:bottom w:val="single" w:color="auto" w:sz="4" w:space="0"/>
              <w:right w:val="single" w:color="auto" w:sz="4" w:space="0"/>
            </w:tcBorders>
            <w:vAlign w:val="center"/>
          </w:tcPr>
          <w:p w14:paraId="26E09169">
            <w:pPr>
              <w:spacing w:line="300" w:lineRule="exact"/>
              <w:jc w:val="left"/>
              <w:rPr>
                <w:color w:val="auto"/>
                <w:sz w:val="18"/>
                <w:szCs w:val="18"/>
                <w:highlight w:val="none"/>
              </w:rPr>
            </w:pPr>
            <w:r>
              <w:rPr>
                <w:color w:val="auto"/>
                <w:sz w:val="18"/>
                <w:szCs w:val="18"/>
                <w:highlight w:val="none"/>
              </w:rPr>
              <w:t>澄清、修改文件</w:t>
            </w:r>
            <w:r>
              <w:rPr>
                <w:rFonts w:hint="eastAsia"/>
                <w:color w:val="auto"/>
                <w:sz w:val="18"/>
                <w:szCs w:val="18"/>
                <w:highlight w:val="none"/>
              </w:rPr>
              <w:t>自磋商</w:t>
            </w:r>
            <w:r>
              <w:rPr>
                <w:color w:val="auto"/>
                <w:sz w:val="18"/>
                <w:szCs w:val="18"/>
                <w:highlight w:val="none"/>
              </w:rPr>
              <w:t>公告发布媒</w:t>
            </w:r>
            <w:r>
              <w:rPr>
                <w:rFonts w:hint="eastAsia"/>
                <w:color w:val="auto"/>
                <w:sz w:val="18"/>
                <w:szCs w:val="18"/>
                <w:highlight w:val="none"/>
              </w:rPr>
              <w:t>体</w:t>
            </w:r>
            <w:r>
              <w:rPr>
                <w:color w:val="auto"/>
                <w:sz w:val="18"/>
                <w:szCs w:val="18"/>
                <w:highlight w:val="none"/>
              </w:rPr>
              <w:t>发布之日起，视为供应商已收到该澄清、修改。供应商未及时关注</w:t>
            </w:r>
            <w:r>
              <w:rPr>
                <w:rFonts w:hint="eastAsia"/>
                <w:color w:val="auto"/>
                <w:sz w:val="18"/>
                <w:szCs w:val="18"/>
                <w:highlight w:val="none"/>
              </w:rPr>
              <w:t>磋商</w:t>
            </w:r>
            <w:r>
              <w:rPr>
                <w:color w:val="auto"/>
                <w:sz w:val="18"/>
                <w:szCs w:val="18"/>
                <w:highlight w:val="none"/>
              </w:rPr>
              <w:t>公告发布媒</w:t>
            </w:r>
            <w:r>
              <w:rPr>
                <w:rFonts w:hint="eastAsia"/>
                <w:color w:val="auto"/>
                <w:sz w:val="18"/>
                <w:szCs w:val="18"/>
                <w:highlight w:val="none"/>
              </w:rPr>
              <w:t>体</w:t>
            </w:r>
            <w:r>
              <w:rPr>
                <w:color w:val="auto"/>
                <w:sz w:val="18"/>
                <w:szCs w:val="18"/>
                <w:highlight w:val="none"/>
              </w:rPr>
              <w:t>造成的损失，由供应商自行负责。</w:t>
            </w:r>
          </w:p>
        </w:tc>
      </w:tr>
      <w:tr w14:paraId="3E39A3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vAlign w:val="center"/>
          </w:tcPr>
          <w:p w14:paraId="327C15F2">
            <w:pPr>
              <w:spacing w:line="300" w:lineRule="exact"/>
              <w:jc w:val="center"/>
              <w:rPr>
                <w:b/>
                <w:color w:val="auto"/>
                <w:sz w:val="18"/>
                <w:szCs w:val="18"/>
                <w:highlight w:val="none"/>
              </w:rPr>
            </w:pPr>
            <w:r>
              <w:rPr>
                <w:b/>
                <w:color w:val="auto"/>
                <w:sz w:val="18"/>
                <w:szCs w:val="18"/>
                <w:highlight w:val="none"/>
              </w:rPr>
              <w:t>3.4.1</w:t>
            </w:r>
          </w:p>
        </w:tc>
        <w:tc>
          <w:tcPr>
            <w:tcW w:w="1204" w:type="dxa"/>
            <w:tcBorders>
              <w:top w:val="single" w:color="auto" w:sz="4" w:space="0"/>
              <w:left w:val="single" w:color="auto" w:sz="4" w:space="0"/>
              <w:bottom w:val="single" w:color="auto" w:sz="4" w:space="0"/>
              <w:right w:val="single" w:color="auto" w:sz="4" w:space="0"/>
            </w:tcBorders>
            <w:vAlign w:val="center"/>
          </w:tcPr>
          <w:p w14:paraId="5D62AE6B">
            <w:pPr>
              <w:spacing w:line="300" w:lineRule="exact"/>
              <w:jc w:val="center"/>
              <w:rPr>
                <w:color w:val="auto"/>
                <w:sz w:val="18"/>
                <w:szCs w:val="18"/>
                <w:highlight w:val="none"/>
              </w:rPr>
            </w:pPr>
            <w:r>
              <w:rPr>
                <w:rFonts w:hint="eastAsia"/>
                <w:color w:val="auto"/>
                <w:sz w:val="18"/>
                <w:szCs w:val="18"/>
                <w:highlight w:val="none"/>
              </w:rPr>
              <w:t>响应</w:t>
            </w:r>
            <w:r>
              <w:rPr>
                <w:color w:val="auto"/>
                <w:sz w:val="18"/>
                <w:szCs w:val="18"/>
                <w:highlight w:val="none"/>
              </w:rPr>
              <w:t>有效期</w:t>
            </w:r>
          </w:p>
        </w:tc>
        <w:tc>
          <w:tcPr>
            <w:tcW w:w="6905" w:type="dxa"/>
            <w:tcBorders>
              <w:top w:val="single" w:color="auto" w:sz="4" w:space="0"/>
              <w:left w:val="single" w:color="auto" w:sz="4" w:space="0"/>
              <w:bottom w:val="single" w:color="auto" w:sz="4" w:space="0"/>
              <w:right w:val="single" w:color="auto" w:sz="4" w:space="0"/>
            </w:tcBorders>
            <w:vAlign w:val="center"/>
          </w:tcPr>
          <w:p w14:paraId="2DCA1FFB">
            <w:pPr>
              <w:spacing w:line="300" w:lineRule="exact"/>
              <w:jc w:val="left"/>
              <w:rPr>
                <w:color w:val="auto"/>
                <w:sz w:val="18"/>
                <w:szCs w:val="18"/>
                <w:highlight w:val="none"/>
              </w:rPr>
            </w:pPr>
            <w:r>
              <w:rPr>
                <w:color w:val="auto"/>
                <w:sz w:val="18"/>
                <w:szCs w:val="18"/>
                <w:highlight w:val="none"/>
              </w:rPr>
              <w:t>响应截止之日起90天。</w:t>
            </w:r>
          </w:p>
        </w:tc>
      </w:tr>
      <w:tr w14:paraId="1C0DD7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vAlign w:val="center"/>
          </w:tcPr>
          <w:p w14:paraId="4438712B">
            <w:pPr>
              <w:spacing w:line="300" w:lineRule="exact"/>
              <w:jc w:val="center"/>
              <w:rPr>
                <w:b/>
                <w:color w:val="auto"/>
                <w:sz w:val="18"/>
                <w:szCs w:val="18"/>
                <w:highlight w:val="none"/>
              </w:rPr>
            </w:pPr>
            <w:r>
              <w:rPr>
                <w:b/>
                <w:color w:val="auto"/>
                <w:sz w:val="18"/>
                <w:szCs w:val="18"/>
                <w:highlight w:val="none"/>
              </w:rPr>
              <w:t>3.5</w:t>
            </w:r>
          </w:p>
        </w:tc>
        <w:tc>
          <w:tcPr>
            <w:tcW w:w="1204" w:type="dxa"/>
            <w:tcBorders>
              <w:top w:val="single" w:color="auto" w:sz="4" w:space="0"/>
              <w:left w:val="single" w:color="auto" w:sz="4" w:space="0"/>
              <w:bottom w:val="single" w:color="auto" w:sz="4" w:space="0"/>
              <w:right w:val="single" w:color="auto" w:sz="4" w:space="0"/>
            </w:tcBorders>
            <w:vAlign w:val="center"/>
          </w:tcPr>
          <w:p w14:paraId="445A4AD3">
            <w:pPr>
              <w:spacing w:line="300" w:lineRule="exact"/>
              <w:jc w:val="center"/>
              <w:rPr>
                <w:color w:val="auto"/>
                <w:sz w:val="18"/>
                <w:szCs w:val="18"/>
                <w:highlight w:val="none"/>
              </w:rPr>
            </w:pPr>
            <w:r>
              <w:rPr>
                <w:rFonts w:hint="eastAsia"/>
                <w:color w:val="auto"/>
                <w:sz w:val="18"/>
                <w:szCs w:val="18"/>
                <w:highlight w:val="none"/>
              </w:rPr>
              <w:t>磋商</w:t>
            </w:r>
            <w:r>
              <w:rPr>
                <w:color w:val="auto"/>
                <w:sz w:val="18"/>
                <w:szCs w:val="18"/>
                <w:highlight w:val="none"/>
              </w:rPr>
              <w:t>保证金</w:t>
            </w:r>
          </w:p>
        </w:tc>
        <w:tc>
          <w:tcPr>
            <w:tcW w:w="6905" w:type="dxa"/>
            <w:tcBorders>
              <w:top w:val="single" w:color="auto" w:sz="4" w:space="0"/>
              <w:left w:val="single" w:color="auto" w:sz="4" w:space="0"/>
              <w:bottom w:val="single" w:color="auto" w:sz="4" w:space="0"/>
              <w:right w:val="single" w:color="auto" w:sz="4" w:space="0"/>
            </w:tcBorders>
            <w:vAlign w:val="center"/>
          </w:tcPr>
          <w:p w14:paraId="56F55013">
            <w:pPr>
              <w:spacing w:line="300" w:lineRule="exact"/>
              <w:jc w:val="left"/>
              <w:rPr>
                <w:b/>
                <w:bCs/>
                <w:color w:val="auto"/>
                <w:sz w:val="18"/>
                <w:szCs w:val="18"/>
                <w:highlight w:val="none"/>
              </w:rPr>
            </w:pPr>
            <w:r>
              <w:rPr>
                <w:rFonts w:hint="eastAsia"/>
                <w:color w:val="auto"/>
                <w:sz w:val="18"/>
                <w:szCs w:val="18"/>
                <w:highlight w:val="none"/>
              </w:rPr>
              <w:t>本项目不收取磋商保证金</w:t>
            </w:r>
          </w:p>
        </w:tc>
      </w:tr>
      <w:tr w14:paraId="3D12EF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vAlign w:val="center"/>
          </w:tcPr>
          <w:p w14:paraId="5A0E2100">
            <w:pPr>
              <w:spacing w:line="300" w:lineRule="exact"/>
              <w:jc w:val="center"/>
              <w:rPr>
                <w:b/>
                <w:color w:val="auto"/>
                <w:sz w:val="18"/>
                <w:szCs w:val="18"/>
                <w:highlight w:val="none"/>
              </w:rPr>
            </w:pPr>
            <w:r>
              <w:rPr>
                <w:rFonts w:hint="eastAsia"/>
                <w:b/>
                <w:color w:val="auto"/>
                <w:sz w:val="18"/>
                <w:szCs w:val="18"/>
                <w:highlight w:val="none"/>
              </w:rPr>
              <w:t>3</w:t>
            </w:r>
            <w:r>
              <w:rPr>
                <w:b/>
                <w:color w:val="auto"/>
                <w:sz w:val="18"/>
                <w:szCs w:val="18"/>
                <w:highlight w:val="none"/>
              </w:rPr>
              <w:t>.6</w:t>
            </w:r>
          </w:p>
        </w:tc>
        <w:tc>
          <w:tcPr>
            <w:tcW w:w="1204" w:type="dxa"/>
            <w:tcBorders>
              <w:top w:val="single" w:color="auto" w:sz="4" w:space="0"/>
              <w:left w:val="single" w:color="auto" w:sz="4" w:space="0"/>
              <w:bottom w:val="single" w:color="auto" w:sz="4" w:space="0"/>
              <w:right w:val="single" w:color="auto" w:sz="4" w:space="0"/>
            </w:tcBorders>
            <w:vAlign w:val="center"/>
          </w:tcPr>
          <w:p w14:paraId="6B14E3E0">
            <w:pPr>
              <w:spacing w:line="300" w:lineRule="exact"/>
              <w:jc w:val="center"/>
              <w:rPr>
                <w:color w:val="auto"/>
                <w:sz w:val="18"/>
                <w:szCs w:val="18"/>
                <w:highlight w:val="none"/>
              </w:rPr>
            </w:pPr>
            <w:r>
              <w:rPr>
                <w:rFonts w:hint="eastAsia"/>
                <w:color w:val="auto"/>
                <w:sz w:val="18"/>
                <w:szCs w:val="18"/>
                <w:highlight w:val="none"/>
              </w:rPr>
              <w:t>响应文件的编制</w:t>
            </w:r>
          </w:p>
        </w:tc>
        <w:tc>
          <w:tcPr>
            <w:tcW w:w="6905" w:type="dxa"/>
            <w:tcBorders>
              <w:top w:val="single" w:color="auto" w:sz="4" w:space="0"/>
              <w:left w:val="single" w:color="auto" w:sz="4" w:space="0"/>
              <w:bottom w:val="single" w:color="auto" w:sz="4" w:space="0"/>
              <w:right w:val="single" w:color="auto" w:sz="4" w:space="0"/>
            </w:tcBorders>
            <w:vAlign w:val="center"/>
          </w:tcPr>
          <w:p w14:paraId="1B76F147">
            <w:pPr>
              <w:spacing w:line="300" w:lineRule="exact"/>
              <w:jc w:val="left"/>
              <w:rPr>
                <w:color w:val="auto"/>
                <w:sz w:val="18"/>
                <w:szCs w:val="18"/>
                <w:highlight w:val="none"/>
              </w:rPr>
            </w:pPr>
            <w:r>
              <w:rPr>
                <w:rFonts w:hint="eastAsia" w:hAnsi="宋体"/>
                <w:color w:val="auto"/>
                <w:sz w:val="18"/>
                <w:szCs w:val="18"/>
                <w:highlight w:val="none"/>
              </w:rPr>
              <w:t>响应文件应按第六章响应文件格式分别编制并使用下载的广西政府采购云平台新版客户端制作并上传。</w:t>
            </w:r>
          </w:p>
        </w:tc>
      </w:tr>
      <w:tr w14:paraId="29384E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vAlign w:val="center"/>
          </w:tcPr>
          <w:p w14:paraId="1A80E915">
            <w:pPr>
              <w:spacing w:line="300" w:lineRule="exact"/>
              <w:jc w:val="center"/>
              <w:rPr>
                <w:b/>
                <w:color w:val="auto"/>
                <w:sz w:val="18"/>
                <w:szCs w:val="18"/>
                <w:highlight w:val="none"/>
              </w:rPr>
            </w:pPr>
            <w:r>
              <w:rPr>
                <w:b/>
                <w:color w:val="auto"/>
                <w:sz w:val="18"/>
                <w:szCs w:val="18"/>
                <w:highlight w:val="none"/>
              </w:rPr>
              <w:t>3.7</w:t>
            </w:r>
          </w:p>
        </w:tc>
        <w:tc>
          <w:tcPr>
            <w:tcW w:w="1204" w:type="dxa"/>
            <w:tcBorders>
              <w:top w:val="single" w:color="auto" w:sz="4" w:space="0"/>
              <w:left w:val="single" w:color="auto" w:sz="4" w:space="0"/>
              <w:bottom w:val="single" w:color="auto" w:sz="4" w:space="0"/>
              <w:right w:val="single" w:color="auto" w:sz="4" w:space="0"/>
            </w:tcBorders>
            <w:vAlign w:val="center"/>
          </w:tcPr>
          <w:p w14:paraId="5E7A976E">
            <w:pPr>
              <w:spacing w:line="300" w:lineRule="exact"/>
              <w:jc w:val="center"/>
              <w:rPr>
                <w:color w:val="auto"/>
                <w:sz w:val="18"/>
                <w:szCs w:val="18"/>
                <w:highlight w:val="none"/>
              </w:rPr>
            </w:pPr>
            <w:r>
              <w:rPr>
                <w:color w:val="auto"/>
                <w:sz w:val="18"/>
                <w:szCs w:val="18"/>
                <w:highlight w:val="none"/>
              </w:rPr>
              <w:t>响应文件递交</w:t>
            </w:r>
            <w:r>
              <w:rPr>
                <w:rFonts w:hint="eastAsia"/>
                <w:color w:val="auto"/>
                <w:sz w:val="18"/>
                <w:szCs w:val="18"/>
                <w:highlight w:val="none"/>
              </w:rPr>
              <w:t>截止时间及截标时间</w:t>
            </w:r>
          </w:p>
        </w:tc>
        <w:tc>
          <w:tcPr>
            <w:tcW w:w="6905" w:type="dxa"/>
            <w:tcBorders>
              <w:top w:val="single" w:color="auto" w:sz="4" w:space="0"/>
              <w:left w:val="single" w:color="auto" w:sz="4" w:space="0"/>
              <w:bottom w:val="single" w:color="auto" w:sz="4" w:space="0"/>
              <w:right w:val="single" w:color="auto" w:sz="4" w:space="0"/>
            </w:tcBorders>
            <w:vAlign w:val="center"/>
          </w:tcPr>
          <w:p w14:paraId="201037C5">
            <w:pPr>
              <w:spacing w:line="300" w:lineRule="exact"/>
              <w:jc w:val="left"/>
              <w:rPr>
                <w:color w:val="auto"/>
                <w:sz w:val="18"/>
                <w:szCs w:val="18"/>
                <w:highlight w:val="none"/>
              </w:rPr>
            </w:pPr>
            <w:r>
              <w:rPr>
                <w:rFonts w:hint="eastAsia"/>
                <w:color w:val="auto"/>
                <w:kern w:val="0"/>
                <w:sz w:val="18"/>
                <w:szCs w:val="18"/>
                <w:highlight w:val="none"/>
              </w:rPr>
              <w:t>见磋商公告要求</w:t>
            </w:r>
            <w:r>
              <w:rPr>
                <w:rFonts w:hint="eastAsia"/>
                <w:color w:val="auto"/>
                <w:sz w:val="18"/>
                <w:szCs w:val="18"/>
                <w:highlight w:val="none"/>
              </w:rPr>
              <w:t>。</w:t>
            </w:r>
          </w:p>
        </w:tc>
      </w:tr>
      <w:tr w14:paraId="505F94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54" w:type="dxa"/>
            <w:tcBorders>
              <w:top w:val="single" w:color="auto" w:sz="4" w:space="0"/>
              <w:left w:val="single" w:color="auto" w:sz="4" w:space="0"/>
              <w:bottom w:val="single" w:color="auto" w:sz="4" w:space="0"/>
              <w:right w:val="single" w:color="auto" w:sz="4" w:space="0"/>
            </w:tcBorders>
            <w:vAlign w:val="center"/>
          </w:tcPr>
          <w:p w14:paraId="7019AEA9">
            <w:pPr>
              <w:spacing w:line="300" w:lineRule="exact"/>
              <w:jc w:val="center"/>
              <w:rPr>
                <w:b/>
                <w:color w:val="auto"/>
                <w:sz w:val="18"/>
                <w:szCs w:val="18"/>
                <w:highlight w:val="none"/>
              </w:rPr>
            </w:pPr>
            <w:r>
              <w:rPr>
                <w:rFonts w:hint="eastAsia"/>
                <w:b/>
                <w:color w:val="auto"/>
                <w:sz w:val="18"/>
                <w:szCs w:val="18"/>
                <w:highlight w:val="none"/>
              </w:rPr>
              <w:t>4</w:t>
            </w:r>
            <w:r>
              <w:rPr>
                <w:b/>
                <w:color w:val="auto"/>
                <w:sz w:val="18"/>
                <w:szCs w:val="18"/>
                <w:highlight w:val="none"/>
              </w:rPr>
              <w:t>.2</w:t>
            </w:r>
          </w:p>
        </w:tc>
        <w:tc>
          <w:tcPr>
            <w:tcW w:w="1204" w:type="dxa"/>
            <w:tcBorders>
              <w:top w:val="single" w:color="auto" w:sz="4" w:space="0"/>
              <w:left w:val="single" w:color="auto" w:sz="4" w:space="0"/>
              <w:bottom w:val="single" w:color="auto" w:sz="4" w:space="0"/>
              <w:right w:val="single" w:color="auto" w:sz="4" w:space="0"/>
            </w:tcBorders>
            <w:vAlign w:val="center"/>
          </w:tcPr>
          <w:p w14:paraId="244E7A77">
            <w:pPr>
              <w:spacing w:line="300" w:lineRule="exact"/>
              <w:jc w:val="center"/>
              <w:rPr>
                <w:color w:val="auto"/>
                <w:sz w:val="18"/>
                <w:szCs w:val="18"/>
                <w:highlight w:val="none"/>
              </w:rPr>
            </w:pPr>
            <w:r>
              <w:rPr>
                <w:rFonts w:hint="eastAsia"/>
                <w:color w:val="auto"/>
                <w:sz w:val="18"/>
                <w:szCs w:val="18"/>
                <w:highlight w:val="none"/>
              </w:rPr>
              <w:t>备份响应文件</w:t>
            </w:r>
          </w:p>
        </w:tc>
        <w:tc>
          <w:tcPr>
            <w:tcW w:w="6905" w:type="dxa"/>
            <w:tcBorders>
              <w:top w:val="single" w:color="auto" w:sz="4" w:space="0"/>
              <w:left w:val="single" w:color="auto" w:sz="4" w:space="0"/>
              <w:bottom w:val="single" w:color="auto" w:sz="4" w:space="0"/>
              <w:right w:val="single" w:color="auto" w:sz="4" w:space="0"/>
            </w:tcBorders>
            <w:vAlign w:val="center"/>
          </w:tcPr>
          <w:p w14:paraId="71BCDE73">
            <w:pPr>
              <w:spacing w:line="276" w:lineRule="auto"/>
              <w:rPr>
                <w:rFonts w:ascii="宋体" w:hAnsi="宋体"/>
                <w:color w:val="auto"/>
                <w:sz w:val="18"/>
                <w:szCs w:val="18"/>
                <w:highlight w:val="none"/>
              </w:rPr>
            </w:pPr>
            <w:r>
              <w:rPr>
                <w:rFonts w:hint="eastAsia" w:ascii="宋体" w:hAnsi="宋体"/>
                <w:color w:val="auto"/>
                <w:sz w:val="18"/>
                <w:szCs w:val="18"/>
                <w:highlight w:val="none"/>
              </w:rPr>
              <w:t>本项目</w:t>
            </w:r>
            <w:r>
              <w:rPr>
                <w:color w:val="auto"/>
                <w:sz w:val="18"/>
                <w:szCs w:val="18"/>
                <w:highlight w:val="none"/>
              </w:rPr>
              <w:sym w:font="Wingdings 2" w:char="F052"/>
            </w:r>
            <w:r>
              <w:rPr>
                <w:rFonts w:hint="eastAsia"/>
                <w:color w:val="auto"/>
                <w:sz w:val="18"/>
                <w:szCs w:val="18"/>
                <w:highlight w:val="none"/>
              </w:rPr>
              <w:t>接受   □不接受</w:t>
            </w:r>
            <w:r>
              <w:rPr>
                <w:rFonts w:hint="eastAsia" w:ascii="宋体" w:hAnsi="宋体"/>
                <w:color w:val="auto"/>
                <w:sz w:val="18"/>
                <w:szCs w:val="18"/>
                <w:highlight w:val="none"/>
              </w:rPr>
              <w:t>备份响应文件</w:t>
            </w:r>
          </w:p>
          <w:p w14:paraId="75AEDCF5">
            <w:pPr>
              <w:rPr>
                <w:color w:val="auto"/>
                <w:sz w:val="18"/>
                <w:szCs w:val="18"/>
                <w:highlight w:val="none"/>
              </w:rPr>
            </w:pPr>
            <w:r>
              <w:rPr>
                <w:rFonts w:hint="eastAsia" w:ascii="宋体" w:hAnsi="宋体"/>
                <w:color w:val="auto"/>
                <w:sz w:val="18"/>
                <w:szCs w:val="18"/>
                <w:highlight w:val="none"/>
              </w:rPr>
              <w:t>以</w:t>
            </w:r>
            <w:r>
              <w:rPr>
                <w:rFonts w:hint="eastAsia" w:ascii="宋体" w:hAnsi="宋体" w:cs="宋体"/>
                <w:color w:val="auto"/>
                <w:kern w:val="0"/>
                <w:sz w:val="18"/>
                <w:szCs w:val="18"/>
                <w:highlight w:val="none"/>
              </w:rPr>
              <w:t>广西政府采购云平台</w:t>
            </w:r>
            <w:r>
              <w:rPr>
                <w:rFonts w:hint="eastAsia" w:ascii="宋体" w:hAnsi="宋体"/>
                <w:color w:val="auto"/>
                <w:sz w:val="18"/>
                <w:szCs w:val="18"/>
                <w:highlight w:val="none"/>
              </w:rPr>
              <w:t>自动生成的备份文件为依据，当项目允许接受备份响应文件时，供应商才可以按规定上传备份响应文件。</w:t>
            </w:r>
          </w:p>
        </w:tc>
      </w:tr>
      <w:tr w14:paraId="41B037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54" w:type="dxa"/>
            <w:tcBorders>
              <w:top w:val="single" w:color="auto" w:sz="4" w:space="0"/>
              <w:left w:val="single" w:color="auto" w:sz="4" w:space="0"/>
              <w:bottom w:val="single" w:color="auto" w:sz="4" w:space="0"/>
              <w:right w:val="single" w:color="auto" w:sz="4" w:space="0"/>
            </w:tcBorders>
            <w:vAlign w:val="center"/>
          </w:tcPr>
          <w:p w14:paraId="7DD19358">
            <w:pPr>
              <w:spacing w:line="300" w:lineRule="exact"/>
              <w:jc w:val="center"/>
              <w:rPr>
                <w:b/>
                <w:color w:val="auto"/>
                <w:sz w:val="18"/>
                <w:szCs w:val="18"/>
                <w:highlight w:val="none"/>
              </w:rPr>
            </w:pPr>
            <w:r>
              <w:rPr>
                <w:rFonts w:hint="eastAsia"/>
                <w:b/>
                <w:color w:val="auto"/>
                <w:sz w:val="18"/>
                <w:szCs w:val="18"/>
                <w:highlight w:val="none"/>
              </w:rPr>
              <w:t>4</w:t>
            </w:r>
            <w:r>
              <w:rPr>
                <w:b/>
                <w:color w:val="auto"/>
                <w:sz w:val="18"/>
                <w:szCs w:val="18"/>
                <w:highlight w:val="none"/>
              </w:rPr>
              <w:t>.3</w:t>
            </w:r>
          </w:p>
        </w:tc>
        <w:tc>
          <w:tcPr>
            <w:tcW w:w="1204" w:type="dxa"/>
            <w:tcBorders>
              <w:top w:val="single" w:color="auto" w:sz="4" w:space="0"/>
              <w:left w:val="single" w:color="auto" w:sz="4" w:space="0"/>
              <w:bottom w:val="single" w:color="auto" w:sz="4" w:space="0"/>
              <w:right w:val="single" w:color="auto" w:sz="4" w:space="0"/>
            </w:tcBorders>
            <w:vAlign w:val="center"/>
          </w:tcPr>
          <w:p w14:paraId="6C0E9FC9">
            <w:pPr>
              <w:spacing w:line="300" w:lineRule="exact"/>
              <w:jc w:val="center"/>
              <w:rPr>
                <w:color w:val="auto"/>
                <w:sz w:val="18"/>
                <w:szCs w:val="18"/>
                <w:highlight w:val="none"/>
              </w:rPr>
            </w:pPr>
            <w:r>
              <w:rPr>
                <w:rFonts w:hint="eastAsia"/>
                <w:color w:val="auto"/>
                <w:sz w:val="18"/>
                <w:szCs w:val="18"/>
                <w:highlight w:val="none"/>
              </w:rPr>
              <w:t>演示</w:t>
            </w:r>
          </w:p>
        </w:tc>
        <w:tc>
          <w:tcPr>
            <w:tcW w:w="6905" w:type="dxa"/>
            <w:tcBorders>
              <w:top w:val="single" w:color="auto" w:sz="4" w:space="0"/>
              <w:left w:val="single" w:color="auto" w:sz="4" w:space="0"/>
              <w:bottom w:val="single" w:color="auto" w:sz="4" w:space="0"/>
              <w:right w:val="single" w:color="auto" w:sz="4" w:space="0"/>
            </w:tcBorders>
            <w:vAlign w:val="center"/>
          </w:tcPr>
          <w:p w14:paraId="0814D5F0">
            <w:pPr>
              <w:spacing w:line="276" w:lineRule="auto"/>
              <w:rPr>
                <w:color w:val="auto"/>
                <w:sz w:val="18"/>
                <w:szCs w:val="18"/>
                <w:highlight w:val="none"/>
              </w:rPr>
            </w:pPr>
            <w:r>
              <w:rPr>
                <w:color w:val="auto"/>
                <w:sz w:val="18"/>
                <w:szCs w:val="18"/>
                <w:highlight w:val="none"/>
              </w:rPr>
              <w:sym w:font="Wingdings 2" w:char="F052"/>
            </w:r>
            <w:r>
              <w:rPr>
                <w:rFonts w:hint="eastAsia"/>
                <w:color w:val="auto"/>
                <w:sz w:val="18"/>
                <w:szCs w:val="18"/>
                <w:highlight w:val="none"/>
              </w:rPr>
              <w:t>否   □是</w:t>
            </w:r>
          </w:p>
          <w:p w14:paraId="22600BAA">
            <w:pPr>
              <w:spacing w:line="276" w:lineRule="auto"/>
              <w:rPr>
                <w:color w:val="auto"/>
                <w:sz w:val="18"/>
                <w:szCs w:val="18"/>
                <w:highlight w:val="none"/>
                <w:u w:val="single"/>
              </w:rPr>
            </w:pPr>
            <w:r>
              <w:rPr>
                <w:rFonts w:hint="eastAsia"/>
                <w:color w:val="auto"/>
                <w:sz w:val="18"/>
                <w:szCs w:val="18"/>
                <w:highlight w:val="none"/>
              </w:rPr>
              <w:t>演示内容：</w:t>
            </w:r>
            <w:r>
              <w:rPr>
                <w:rFonts w:hint="eastAsia"/>
                <w:color w:val="auto"/>
                <w:sz w:val="18"/>
                <w:szCs w:val="18"/>
                <w:highlight w:val="none"/>
                <w:u w:val="single"/>
              </w:rPr>
              <w:t xml:space="preserve"> </w:t>
            </w:r>
            <w:r>
              <w:rPr>
                <w:color w:val="auto"/>
                <w:sz w:val="18"/>
                <w:szCs w:val="18"/>
                <w:highlight w:val="none"/>
                <w:u w:val="single"/>
              </w:rPr>
              <w:t xml:space="preserve">              </w:t>
            </w:r>
          </w:p>
          <w:p w14:paraId="59AC4A6E">
            <w:pPr>
              <w:spacing w:line="276" w:lineRule="auto"/>
              <w:rPr>
                <w:color w:val="auto"/>
                <w:sz w:val="18"/>
                <w:szCs w:val="18"/>
                <w:highlight w:val="none"/>
              </w:rPr>
            </w:pPr>
            <w:r>
              <w:rPr>
                <w:rFonts w:hint="eastAsia"/>
                <w:color w:val="auto"/>
                <w:sz w:val="18"/>
                <w:szCs w:val="18"/>
                <w:highlight w:val="none"/>
              </w:rPr>
              <w:t>演示形式：</w:t>
            </w:r>
            <w:r>
              <w:rPr>
                <w:color w:val="auto"/>
                <w:sz w:val="18"/>
                <w:szCs w:val="18"/>
                <w:highlight w:val="none"/>
              </w:rPr>
              <w:t xml:space="preserve"> </w:t>
            </w:r>
          </w:p>
        </w:tc>
      </w:tr>
      <w:tr w14:paraId="140A71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54" w:type="dxa"/>
            <w:tcBorders>
              <w:top w:val="single" w:color="auto" w:sz="4" w:space="0"/>
              <w:left w:val="single" w:color="auto" w:sz="4" w:space="0"/>
              <w:bottom w:val="single" w:color="auto" w:sz="4" w:space="0"/>
              <w:right w:val="single" w:color="auto" w:sz="4" w:space="0"/>
            </w:tcBorders>
            <w:vAlign w:val="center"/>
          </w:tcPr>
          <w:p w14:paraId="204845EC">
            <w:pPr>
              <w:spacing w:line="300" w:lineRule="exact"/>
              <w:jc w:val="center"/>
              <w:rPr>
                <w:b/>
                <w:color w:val="auto"/>
                <w:sz w:val="18"/>
                <w:szCs w:val="18"/>
                <w:highlight w:val="none"/>
              </w:rPr>
            </w:pPr>
            <w:r>
              <w:rPr>
                <w:rFonts w:hint="eastAsia"/>
                <w:b/>
                <w:color w:val="auto"/>
                <w:sz w:val="18"/>
                <w:szCs w:val="18"/>
                <w:highlight w:val="none"/>
              </w:rPr>
              <w:t>4</w:t>
            </w:r>
            <w:r>
              <w:rPr>
                <w:b/>
                <w:color w:val="auto"/>
                <w:sz w:val="18"/>
                <w:szCs w:val="18"/>
                <w:highlight w:val="none"/>
              </w:rPr>
              <w:t>.4</w:t>
            </w:r>
          </w:p>
        </w:tc>
        <w:tc>
          <w:tcPr>
            <w:tcW w:w="1204" w:type="dxa"/>
            <w:tcBorders>
              <w:top w:val="single" w:color="auto" w:sz="4" w:space="0"/>
              <w:left w:val="single" w:color="auto" w:sz="4" w:space="0"/>
              <w:bottom w:val="single" w:color="auto" w:sz="4" w:space="0"/>
              <w:right w:val="single" w:color="auto" w:sz="4" w:space="0"/>
            </w:tcBorders>
            <w:vAlign w:val="center"/>
          </w:tcPr>
          <w:p w14:paraId="0FAF3A7D">
            <w:pPr>
              <w:spacing w:line="300" w:lineRule="exact"/>
              <w:jc w:val="center"/>
              <w:rPr>
                <w:color w:val="auto"/>
                <w:sz w:val="18"/>
                <w:szCs w:val="18"/>
                <w:highlight w:val="none"/>
              </w:rPr>
            </w:pPr>
            <w:r>
              <w:rPr>
                <w:rFonts w:hint="eastAsia"/>
                <w:color w:val="auto"/>
                <w:sz w:val="18"/>
                <w:szCs w:val="18"/>
                <w:highlight w:val="none"/>
              </w:rPr>
              <w:t>样品</w:t>
            </w:r>
          </w:p>
        </w:tc>
        <w:tc>
          <w:tcPr>
            <w:tcW w:w="6905" w:type="dxa"/>
            <w:tcBorders>
              <w:top w:val="single" w:color="auto" w:sz="4" w:space="0"/>
              <w:left w:val="single" w:color="auto" w:sz="4" w:space="0"/>
              <w:bottom w:val="single" w:color="auto" w:sz="4" w:space="0"/>
              <w:right w:val="single" w:color="auto" w:sz="4" w:space="0"/>
            </w:tcBorders>
            <w:vAlign w:val="center"/>
          </w:tcPr>
          <w:p w14:paraId="50639963">
            <w:pPr>
              <w:spacing w:line="276" w:lineRule="auto"/>
              <w:rPr>
                <w:color w:val="auto"/>
                <w:sz w:val="18"/>
                <w:szCs w:val="18"/>
                <w:highlight w:val="none"/>
              </w:rPr>
            </w:pPr>
            <w:r>
              <w:rPr>
                <w:color w:val="auto"/>
                <w:sz w:val="18"/>
                <w:szCs w:val="18"/>
                <w:highlight w:val="none"/>
              </w:rPr>
              <w:sym w:font="Wingdings 2" w:char="F052"/>
            </w:r>
            <w:r>
              <w:rPr>
                <w:rFonts w:hint="eastAsia"/>
                <w:color w:val="auto"/>
                <w:sz w:val="18"/>
                <w:szCs w:val="18"/>
                <w:highlight w:val="none"/>
              </w:rPr>
              <w:t>否   □是</w:t>
            </w:r>
          </w:p>
          <w:p w14:paraId="18004BDA">
            <w:pPr>
              <w:spacing w:line="276" w:lineRule="auto"/>
              <w:rPr>
                <w:color w:val="auto"/>
                <w:sz w:val="18"/>
                <w:szCs w:val="18"/>
                <w:highlight w:val="none"/>
                <w:u w:val="single"/>
              </w:rPr>
            </w:pPr>
            <w:r>
              <w:rPr>
                <w:rFonts w:hint="eastAsia"/>
                <w:color w:val="auto"/>
                <w:sz w:val="18"/>
                <w:szCs w:val="18"/>
                <w:highlight w:val="none"/>
              </w:rPr>
              <w:t>样品制作的标准和要求：</w:t>
            </w:r>
            <w:r>
              <w:rPr>
                <w:rFonts w:hint="eastAsia"/>
                <w:color w:val="auto"/>
                <w:sz w:val="18"/>
                <w:szCs w:val="18"/>
                <w:highlight w:val="none"/>
                <w:u w:val="single"/>
              </w:rPr>
              <w:t xml:space="preserve"> </w:t>
            </w:r>
            <w:r>
              <w:rPr>
                <w:color w:val="auto"/>
                <w:sz w:val="18"/>
                <w:szCs w:val="18"/>
                <w:highlight w:val="none"/>
                <w:u w:val="single"/>
              </w:rPr>
              <w:t xml:space="preserve">              </w:t>
            </w:r>
          </w:p>
          <w:p w14:paraId="5E6A985A">
            <w:pPr>
              <w:spacing w:line="276" w:lineRule="auto"/>
              <w:rPr>
                <w:color w:val="auto"/>
                <w:sz w:val="18"/>
                <w:szCs w:val="18"/>
                <w:highlight w:val="none"/>
                <w:u w:val="single"/>
              </w:rPr>
            </w:pPr>
            <w:r>
              <w:rPr>
                <w:rFonts w:hint="eastAsia"/>
                <w:color w:val="auto"/>
                <w:sz w:val="18"/>
                <w:szCs w:val="18"/>
                <w:highlight w:val="none"/>
              </w:rPr>
              <w:t>样品检测机构的要求：</w:t>
            </w:r>
            <w:r>
              <w:rPr>
                <w:rFonts w:hint="eastAsia"/>
                <w:color w:val="auto"/>
                <w:sz w:val="18"/>
                <w:szCs w:val="18"/>
                <w:highlight w:val="none"/>
                <w:u w:val="single"/>
              </w:rPr>
              <w:t xml:space="preserve"> </w:t>
            </w:r>
            <w:r>
              <w:rPr>
                <w:color w:val="auto"/>
                <w:sz w:val="18"/>
                <w:szCs w:val="18"/>
                <w:highlight w:val="none"/>
                <w:u w:val="single"/>
              </w:rPr>
              <w:t xml:space="preserve">               </w:t>
            </w:r>
          </w:p>
          <w:p w14:paraId="3A638A57">
            <w:pPr>
              <w:spacing w:line="276" w:lineRule="auto"/>
              <w:rPr>
                <w:color w:val="auto"/>
                <w:sz w:val="18"/>
                <w:szCs w:val="18"/>
                <w:highlight w:val="none"/>
                <w:u w:val="single"/>
              </w:rPr>
            </w:pPr>
            <w:r>
              <w:rPr>
                <w:rFonts w:hint="eastAsia"/>
                <w:color w:val="auto"/>
                <w:sz w:val="18"/>
                <w:szCs w:val="18"/>
                <w:highlight w:val="none"/>
              </w:rPr>
              <w:t>检测内容：</w:t>
            </w:r>
            <w:r>
              <w:rPr>
                <w:rFonts w:hint="eastAsia"/>
                <w:color w:val="auto"/>
                <w:sz w:val="18"/>
                <w:szCs w:val="18"/>
                <w:highlight w:val="none"/>
                <w:u w:val="single"/>
              </w:rPr>
              <w:t xml:space="preserve"> </w:t>
            </w:r>
            <w:r>
              <w:rPr>
                <w:color w:val="auto"/>
                <w:sz w:val="18"/>
                <w:szCs w:val="18"/>
                <w:highlight w:val="none"/>
                <w:u w:val="single"/>
              </w:rPr>
              <w:t xml:space="preserve">                    </w:t>
            </w:r>
          </w:p>
          <w:p w14:paraId="17BEF6B0">
            <w:pPr>
              <w:spacing w:line="276" w:lineRule="auto"/>
              <w:rPr>
                <w:color w:val="auto"/>
                <w:sz w:val="18"/>
                <w:szCs w:val="18"/>
                <w:highlight w:val="none"/>
              </w:rPr>
            </w:pPr>
            <w:r>
              <w:rPr>
                <w:rFonts w:hint="eastAsia"/>
                <w:color w:val="auto"/>
                <w:sz w:val="18"/>
                <w:szCs w:val="18"/>
                <w:highlight w:val="none"/>
              </w:rPr>
              <w:t>样品递交方式：</w:t>
            </w:r>
            <w:r>
              <w:rPr>
                <w:color w:val="auto"/>
                <w:sz w:val="18"/>
                <w:szCs w:val="18"/>
                <w:highlight w:val="none"/>
              </w:rPr>
              <w:t xml:space="preserve"> </w:t>
            </w:r>
          </w:p>
        </w:tc>
      </w:tr>
      <w:tr w14:paraId="71AE2F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54" w:type="dxa"/>
            <w:tcBorders>
              <w:top w:val="single" w:color="auto" w:sz="4" w:space="0"/>
              <w:left w:val="single" w:color="auto" w:sz="4" w:space="0"/>
              <w:bottom w:val="single" w:color="auto" w:sz="4" w:space="0"/>
              <w:right w:val="single" w:color="auto" w:sz="4" w:space="0"/>
            </w:tcBorders>
            <w:vAlign w:val="center"/>
          </w:tcPr>
          <w:p w14:paraId="78662B20">
            <w:pPr>
              <w:spacing w:line="300" w:lineRule="exact"/>
              <w:jc w:val="center"/>
              <w:rPr>
                <w:rFonts w:hint="eastAsia"/>
                <w:b/>
                <w:color w:val="auto"/>
                <w:sz w:val="18"/>
                <w:szCs w:val="18"/>
                <w:highlight w:val="none"/>
              </w:rPr>
            </w:pPr>
            <w:r>
              <w:rPr>
                <w:rFonts w:hint="eastAsia"/>
                <w:b/>
                <w:color w:val="auto"/>
                <w:sz w:val="18"/>
                <w:szCs w:val="18"/>
                <w:highlight w:val="none"/>
                <w:lang w:val="en-US" w:eastAsia="zh-CN"/>
              </w:rPr>
              <w:t>5.3.1</w:t>
            </w:r>
          </w:p>
        </w:tc>
        <w:tc>
          <w:tcPr>
            <w:tcW w:w="1204" w:type="dxa"/>
            <w:tcBorders>
              <w:top w:val="single" w:color="auto" w:sz="4" w:space="0"/>
              <w:left w:val="single" w:color="auto" w:sz="4" w:space="0"/>
              <w:bottom w:val="single" w:color="auto" w:sz="4" w:space="0"/>
              <w:right w:val="single" w:color="auto" w:sz="4" w:space="0"/>
            </w:tcBorders>
            <w:vAlign w:val="center"/>
          </w:tcPr>
          <w:p w14:paraId="5239F99C">
            <w:pPr>
              <w:spacing w:line="300" w:lineRule="exact"/>
              <w:jc w:val="center"/>
              <w:rPr>
                <w:rFonts w:hint="eastAsia"/>
                <w:color w:val="auto"/>
                <w:sz w:val="18"/>
                <w:szCs w:val="18"/>
                <w:highlight w:val="none"/>
              </w:rPr>
            </w:pPr>
            <w:r>
              <w:rPr>
                <w:rFonts w:hint="eastAsia" w:cs="Times New Roman"/>
                <w:color w:val="auto"/>
                <w:kern w:val="2"/>
                <w:sz w:val="18"/>
                <w:szCs w:val="18"/>
                <w:highlight w:val="none"/>
                <w:lang w:val="en-US" w:eastAsia="zh-CN" w:bidi="ar-SA"/>
              </w:rPr>
              <w:t>信用中国查询</w:t>
            </w:r>
          </w:p>
        </w:tc>
        <w:tc>
          <w:tcPr>
            <w:tcW w:w="6905" w:type="dxa"/>
            <w:tcBorders>
              <w:top w:val="single" w:color="auto" w:sz="4" w:space="0"/>
              <w:left w:val="single" w:color="auto" w:sz="4" w:space="0"/>
              <w:bottom w:val="single" w:color="auto" w:sz="4" w:space="0"/>
              <w:right w:val="single" w:color="auto" w:sz="4" w:space="0"/>
            </w:tcBorders>
            <w:vAlign w:val="center"/>
          </w:tcPr>
          <w:p w14:paraId="605A3127">
            <w:pPr>
              <w:snapToGrid w:val="0"/>
              <w:spacing w:line="380" w:lineRule="exact"/>
              <w:rPr>
                <w:rFonts w:hint="eastAsia" w:ascii="宋体" w:hAnsi="宋体"/>
                <w:color w:val="auto"/>
                <w:sz w:val="18"/>
                <w:szCs w:val="18"/>
                <w:highlight w:val="none"/>
                <w:lang w:eastAsia="zh-CN"/>
              </w:rPr>
            </w:pPr>
            <w:r>
              <w:rPr>
                <w:rFonts w:hint="eastAsia" w:ascii="宋体" w:hAnsi="宋体"/>
                <w:color w:val="auto"/>
                <w:sz w:val="18"/>
                <w:szCs w:val="18"/>
                <w:highlight w:val="none"/>
                <w:lang w:eastAsia="zh-CN"/>
              </w:rPr>
              <w:t>磋商小组在资格审查结束前，对</w:t>
            </w:r>
            <w:r>
              <w:rPr>
                <w:rFonts w:hint="eastAsia" w:ascii="宋体" w:hAnsi="宋体"/>
                <w:color w:val="auto"/>
                <w:sz w:val="18"/>
                <w:szCs w:val="18"/>
                <w:highlight w:val="none"/>
                <w:lang w:val="en-US" w:eastAsia="zh-CN"/>
              </w:rPr>
              <w:t>供应商</w:t>
            </w:r>
            <w:r>
              <w:rPr>
                <w:rFonts w:hint="eastAsia" w:ascii="宋体" w:hAnsi="宋体"/>
                <w:color w:val="auto"/>
                <w:sz w:val="18"/>
                <w:szCs w:val="18"/>
                <w:highlight w:val="none"/>
                <w:lang w:eastAsia="zh-CN"/>
              </w:rPr>
              <w:t>进行信用查询。</w:t>
            </w:r>
          </w:p>
          <w:p w14:paraId="630F6A42">
            <w:pPr>
              <w:snapToGrid w:val="0"/>
              <w:spacing w:line="380" w:lineRule="exact"/>
              <w:rPr>
                <w:rFonts w:hint="eastAsia" w:ascii="宋体" w:hAnsi="宋体"/>
                <w:color w:val="auto"/>
                <w:sz w:val="18"/>
                <w:szCs w:val="18"/>
                <w:highlight w:val="none"/>
                <w:lang w:eastAsia="zh-CN"/>
              </w:rPr>
            </w:pPr>
            <w:r>
              <w:rPr>
                <w:rFonts w:hint="eastAsia" w:ascii="宋体" w:hAnsi="宋体"/>
                <w:color w:val="auto"/>
                <w:sz w:val="18"/>
                <w:szCs w:val="18"/>
                <w:highlight w:val="none"/>
                <w:lang w:eastAsia="zh-CN"/>
              </w:rPr>
              <w:t>（</w:t>
            </w:r>
            <w:r>
              <w:rPr>
                <w:rFonts w:hint="eastAsia" w:ascii="宋体" w:hAnsi="宋体"/>
                <w:color w:val="auto"/>
                <w:sz w:val="18"/>
                <w:szCs w:val="18"/>
                <w:highlight w:val="none"/>
                <w:lang w:val="en-US" w:eastAsia="zh-CN"/>
              </w:rPr>
              <w:t>1</w:t>
            </w:r>
            <w:r>
              <w:rPr>
                <w:rFonts w:hint="eastAsia" w:ascii="宋体" w:hAnsi="宋体"/>
                <w:color w:val="auto"/>
                <w:sz w:val="18"/>
                <w:szCs w:val="18"/>
                <w:highlight w:val="none"/>
                <w:lang w:eastAsia="zh-CN"/>
              </w:rPr>
              <w:t>）查询渠道：</w:t>
            </w:r>
            <w:r>
              <w:rPr>
                <w:rFonts w:hint="eastAsia" w:ascii="宋体" w:hAnsi="宋体"/>
                <w:color w:val="auto"/>
                <w:sz w:val="18"/>
                <w:szCs w:val="18"/>
                <w:highlight w:val="none"/>
                <w:lang w:val="en-US" w:eastAsia="zh-CN"/>
              </w:rPr>
              <w:t>广西政府采购云平台</w:t>
            </w:r>
            <w:r>
              <w:rPr>
                <w:rFonts w:hint="eastAsia" w:ascii="宋体" w:hAnsi="宋体"/>
                <w:color w:val="auto"/>
                <w:sz w:val="18"/>
                <w:szCs w:val="18"/>
                <w:highlight w:val="none"/>
                <w:lang w:eastAsia="zh-CN"/>
              </w:rPr>
              <w:t>“信用中国”网站(www.creditchina.gov.cn) 、中国政府采购网(www.ccgp.gov.cn)</w:t>
            </w:r>
            <w:r>
              <w:rPr>
                <w:rFonts w:hint="eastAsia" w:ascii="宋体" w:hAnsi="宋体"/>
                <w:color w:val="auto"/>
                <w:sz w:val="18"/>
                <w:szCs w:val="18"/>
                <w:highlight w:val="none"/>
                <w:lang w:val="en-US" w:eastAsia="zh-CN"/>
              </w:rPr>
              <w:t>链接入口</w:t>
            </w:r>
            <w:r>
              <w:rPr>
                <w:rFonts w:hint="eastAsia" w:ascii="宋体" w:hAnsi="宋体"/>
                <w:color w:val="auto"/>
                <w:sz w:val="18"/>
                <w:szCs w:val="18"/>
                <w:highlight w:val="none"/>
                <w:lang w:eastAsia="zh-CN"/>
              </w:rPr>
              <w:t>。</w:t>
            </w:r>
          </w:p>
          <w:p w14:paraId="362ACE5C">
            <w:pPr>
              <w:snapToGrid w:val="0"/>
              <w:spacing w:line="380" w:lineRule="exact"/>
              <w:rPr>
                <w:rFonts w:hint="eastAsia" w:ascii="宋体" w:hAnsi="宋体"/>
                <w:color w:val="auto"/>
                <w:sz w:val="18"/>
                <w:szCs w:val="18"/>
                <w:highlight w:val="none"/>
                <w:lang w:eastAsia="zh-CN"/>
              </w:rPr>
            </w:pPr>
            <w:r>
              <w:rPr>
                <w:rFonts w:hint="eastAsia" w:ascii="宋体" w:hAnsi="宋体"/>
                <w:color w:val="auto"/>
                <w:sz w:val="18"/>
                <w:szCs w:val="18"/>
                <w:highlight w:val="none"/>
                <w:lang w:eastAsia="zh-CN"/>
              </w:rPr>
              <w:t>（</w:t>
            </w:r>
            <w:r>
              <w:rPr>
                <w:rFonts w:hint="eastAsia" w:ascii="宋体" w:hAnsi="宋体"/>
                <w:color w:val="auto"/>
                <w:sz w:val="18"/>
                <w:szCs w:val="18"/>
                <w:highlight w:val="none"/>
                <w:lang w:val="en-US" w:eastAsia="zh-CN"/>
              </w:rPr>
              <w:t>2</w:t>
            </w:r>
            <w:r>
              <w:rPr>
                <w:rFonts w:hint="eastAsia" w:ascii="宋体" w:hAnsi="宋体"/>
                <w:color w:val="auto"/>
                <w:sz w:val="18"/>
                <w:szCs w:val="18"/>
                <w:highlight w:val="none"/>
                <w:lang w:eastAsia="zh-CN"/>
              </w:rPr>
              <w:t>）信用查询截止时点：</w:t>
            </w:r>
            <w:r>
              <w:rPr>
                <w:rFonts w:hint="eastAsia" w:ascii="宋体" w:hAnsi="宋体"/>
                <w:color w:val="auto"/>
                <w:sz w:val="18"/>
                <w:szCs w:val="18"/>
                <w:highlight w:val="none"/>
                <w:lang w:val="en-US" w:eastAsia="zh-CN"/>
              </w:rPr>
              <w:t>资</w:t>
            </w:r>
            <w:r>
              <w:rPr>
                <w:rFonts w:hint="eastAsia" w:ascii="宋体" w:hAnsi="宋体"/>
                <w:color w:val="auto"/>
                <w:sz w:val="18"/>
                <w:szCs w:val="18"/>
                <w:highlight w:val="none"/>
                <w:lang w:eastAsia="zh-CN"/>
              </w:rPr>
              <w:t>格审查结束前</w:t>
            </w:r>
          </w:p>
          <w:p w14:paraId="1591288E">
            <w:pPr>
              <w:snapToGrid w:val="0"/>
              <w:spacing w:line="380" w:lineRule="exact"/>
              <w:rPr>
                <w:rFonts w:hint="eastAsia" w:ascii="宋体" w:hAnsi="宋体"/>
                <w:color w:val="auto"/>
                <w:sz w:val="18"/>
                <w:szCs w:val="18"/>
                <w:highlight w:val="none"/>
                <w:lang w:eastAsia="zh-CN"/>
              </w:rPr>
            </w:pPr>
            <w:r>
              <w:rPr>
                <w:rFonts w:hint="eastAsia" w:ascii="宋体" w:hAnsi="宋体"/>
                <w:color w:val="auto"/>
                <w:sz w:val="18"/>
                <w:szCs w:val="18"/>
                <w:highlight w:val="none"/>
                <w:lang w:eastAsia="zh-CN"/>
              </w:rPr>
              <w:t>（</w:t>
            </w:r>
            <w:r>
              <w:rPr>
                <w:rFonts w:hint="eastAsia" w:ascii="宋体" w:hAnsi="宋体"/>
                <w:color w:val="auto"/>
                <w:sz w:val="18"/>
                <w:szCs w:val="18"/>
                <w:highlight w:val="none"/>
                <w:lang w:val="en-US" w:eastAsia="zh-CN"/>
              </w:rPr>
              <w:t>3</w:t>
            </w:r>
            <w:r>
              <w:rPr>
                <w:rFonts w:hint="eastAsia" w:ascii="宋体" w:hAnsi="宋体"/>
                <w:color w:val="auto"/>
                <w:sz w:val="18"/>
                <w:szCs w:val="18"/>
                <w:highlight w:val="none"/>
                <w:lang w:eastAsia="zh-CN"/>
              </w:rPr>
              <w:t>）查询记录和证据留存方式：在查询网站中直接截图查询记录，截图作为在“广西政府采购云”平台作为附件上传保存。</w:t>
            </w:r>
          </w:p>
          <w:p w14:paraId="5CDC3A3B">
            <w:pPr>
              <w:snapToGrid w:val="0"/>
              <w:spacing w:line="380" w:lineRule="exact"/>
              <w:rPr>
                <w:rFonts w:hint="eastAsia"/>
                <w:color w:val="auto"/>
                <w:sz w:val="18"/>
                <w:szCs w:val="18"/>
                <w:highlight w:val="none"/>
              </w:rPr>
            </w:pPr>
            <w:r>
              <w:rPr>
                <w:rFonts w:hint="eastAsia" w:ascii="宋体" w:hAnsi="宋体"/>
                <w:color w:val="auto"/>
                <w:sz w:val="18"/>
                <w:szCs w:val="18"/>
                <w:highlight w:val="none"/>
                <w:lang w:eastAsia="zh-CN"/>
              </w:rPr>
              <w:t>（</w:t>
            </w:r>
            <w:r>
              <w:rPr>
                <w:rFonts w:hint="eastAsia" w:ascii="宋体" w:hAnsi="宋体"/>
                <w:color w:val="auto"/>
                <w:sz w:val="18"/>
                <w:szCs w:val="18"/>
                <w:highlight w:val="none"/>
                <w:lang w:val="en-US" w:eastAsia="zh-CN"/>
              </w:rPr>
              <w:t>4</w:t>
            </w:r>
            <w:r>
              <w:rPr>
                <w:rFonts w:hint="eastAsia" w:ascii="宋体" w:hAnsi="宋体"/>
                <w:color w:val="auto"/>
                <w:sz w:val="18"/>
                <w:szCs w:val="18"/>
                <w:highlight w:val="none"/>
                <w:lang w:eastAsia="zh-CN"/>
              </w:rPr>
              <w:t>）信用信息使用规则：对在“信用中国”网站(www.creditchina.gov.cn) 、中国政府采购网(www.ccgp.gov.cn)被列入失信被执行人、</w:t>
            </w:r>
            <w:r>
              <w:rPr>
                <w:color w:val="auto"/>
                <w:kern w:val="0"/>
                <w:sz w:val="18"/>
                <w:szCs w:val="18"/>
                <w:highlight w:val="none"/>
              </w:rPr>
              <w:t>重大税收违法失信主体</w:t>
            </w:r>
            <w:r>
              <w:rPr>
                <w:rFonts w:hint="eastAsia" w:ascii="宋体" w:hAnsi="宋体"/>
                <w:color w:val="auto"/>
                <w:sz w:val="18"/>
                <w:szCs w:val="18"/>
                <w:highlight w:val="none"/>
                <w:lang w:eastAsia="zh-CN"/>
              </w:rPr>
              <w:t>、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31DAA7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54" w:type="dxa"/>
            <w:tcBorders>
              <w:top w:val="single" w:color="auto" w:sz="4" w:space="0"/>
              <w:left w:val="single" w:color="auto" w:sz="4" w:space="0"/>
              <w:bottom w:val="single" w:color="auto" w:sz="4" w:space="0"/>
              <w:right w:val="single" w:color="auto" w:sz="4" w:space="0"/>
            </w:tcBorders>
            <w:vAlign w:val="center"/>
          </w:tcPr>
          <w:p w14:paraId="718AE035">
            <w:pPr>
              <w:spacing w:line="300" w:lineRule="exact"/>
              <w:jc w:val="center"/>
              <w:rPr>
                <w:rFonts w:hint="eastAsia"/>
                <w:b/>
                <w:color w:val="auto"/>
                <w:sz w:val="18"/>
                <w:szCs w:val="18"/>
                <w:highlight w:val="none"/>
              </w:rPr>
            </w:pPr>
            <w:r>
              <w:rPr>
                <w:rFonts w:hint="eastAsia"/>
                <w:b/>
                <w:color w:val="auto"/>
                <w:sz w:val="18"/>
                <w:szCs w:val="18"/>
                <w:highlight w:val="none"/>
              </w:rPr>
              <w:t>6.</w:t>
            </w:r>
            <w:r>
              <w:rPr>
                <w:b/>
                <w:color w:val="auto"/>
                <w:sz w:val="18"/>
                <w:szCs w:val="18"/>
                <w:highlight w:val="none"/>
              </w:rPr>
              <w:t>3</w:t>
            </w:r>
            <w:r>
              <w:rPr>
                <w:rFonts w:hint="eastAsia"/>
                <w:b/>
                <w:color w:val="auto"/>
                <w:sz w:val="18"/>
                <w:szCs w:val="18"/>
                <w:highlight w:val="none"/>
              </w:rPr>
              <w:t>.</w:t>
            </w:r>
            <w:r>
              <w:rPr>
                <w:b/>
                <w:color w:val="auto"/>
                <w:sz w:val="18"/>
                <w:szCs w:val="18"/>
                <w:highlight w:val="none"/>
              </w:rPr>
              <w:t>5</w:t>
            </w:r>
          </w:p>
        </w:tc>
        <w:tc>
          <w:tcPr>
            <w:tcW w:w="1204" w:type="dxa"/>
            <w:tcBorders>
              <w:top w:val="single" w:color="auto" w:sz="4" w:space="0"/>
              <w:left w:val="single" w:color="auto" w:sz="4" w:space="0"/>
              <w:bottom w:val="single" w:color="auto" w:sz="4" w:space="0"/>
              <w:right w:val="single" w:color="auto" w:sz="4" w:space="0"/>
            </w:tcBorders>
            <w:vAlign w:val="center"/>
          </w:tcPr>
          <w:p w14:paraId="7153D065">
            <w:pPr>
              <w:spacing w:line="300" w:lineRule="exact"/>
              <w:jc w:val="center"/>
              <w:rPr>
                <w:rFonts w:hint="eastAsia"/>
                <w:color w:val="auto"/>
                <w:sz w:val="18"/>
                <w:szCs w:val="18"/>
                <w:highlight w:val="none"/>
                <w:lang w:val="en-US" w:eastAsia="zh-CN"/>
              </w:rPr>
            </w:pPr>
            <w:r>
              <w:rPr>
                <w:rFonts w:hint="eastAsia"/>
                <w:color w:val="auto"/>
                <w:sz w:val="18"/>
                <w:szCs w:val="18"/>
                <w:highlight w:val="none"/>
                <w:lang w:val="en-US" w:eastAsia="zh-CN"/>
              </w:rPr>
              <w:t>异常低价审查</w:t>
            </w:r>
          </w:p>
          <w:p w14:paraId="5C237661">
            <w:pPr>
              <w:spacing w:line="300" w:lineRule="exact"/>
              <w:jc w:val="center"/>
              <w:rPr>
                <w:rFonts w:hint="eastAsia"/>
                <w:color w:val="auto"/>
                <w:sz w:val="18"/>
                <w:szCs w:val="18"/>
                <w:highlight w:val="none"/>
              </w:rPr>
            </w:pPr>
          </w:p>
        </w:tc>
        <w:tc>
          <w:tcPr>
            <w:tcW w:w="6905" w:type="dxa"/>
            <w:tcBorders>
              <w:top w:val="single" w:color="auto" w:sz="4" w:space="0"/>
              <w:left w:val="single" w:color="auto" w:sz="4" w:space="0"/>
              <w:bottom w:val="single" w:color="auto" w:sz="4" w:space="0"/>
              <w:right w:val="single" w:color="auto" w:sz="4" w:space="0"/>
            </w:tcBorders>
            <w:vAlign w:val="center"/>
          </w:tcPr>
          <w:p w14:paraId="76391CF2">
            <w:pPr>
              <w:spacing w:line="300" w:lineRule="exact"/>
              <w:jc w:val="left"/>
              <w:rPr>
                <w:rFonts w:hint="eastAsia"/>
                <w:color w:val="auto"/>
                <w:sz w:val="18"/>
                <w:szCs w:val="18"/>
                <w:highlight w:val="none"/>
                <w:lang w:val="en-US" w:eastAsia="zh-CN"/>
              </w:rPr>
            </w:pPr>
            <w:r>
              <w:rPr>
                <w:rFonts w:hint="eastAsia"/>
                <w:color w:val="auto"/>
                <w:sz w:val="18"/>
                <w:szCs w:val="18"/>
                <w:highlight w:val="none"/>
                <w:lang w:eastAsia="zh-CN"/>
              </w:rPr>
              <w:t>☑</w:t>
            </w:r>
            <w:r>
              <w:rPr>
                <w:rFonts w:hint="eastAsia"/>
                <w:color w:val="auto"/>
                <w:sz w:val="18"/>
                <w:szCs w:val="18"/>
                <w:highlight w:val="none"/>
                <w:lang w:val="en-US" w:eastAsia="zh-CN"/>
              </w:rPr>
              <w:t>评审中出现下列情形之一的，评审委员会应当启动异常低价响应审查程序：</w:t>
            </w:r>
          </w:p>
          <w:p w14:paraId="3A088202">
            <w:pPr>
              <w:spacing w:line="276" w:lineRule="auto"/>
              <w:rPr>
                <w:rFonts w:hint="default"/>
                <w:color w:val="auto"/>
                <w:sz w:val="18"/>
                <w:szCs w:val="18"/>
                <w:highlight w:val="none"/>
                <w:lang w:val="en-US" w:eastAsia="zh-CN"/>
              </w:rPr>
            </w:pPr>
            <w:r>
              <w:rPr>
                <w:rFonts w:hint="eastAsia"/>
                <w:color w:val="auto"/>
                <w:sz w:val="18"/>
                <w:szCs w:val="18"/>
                <w:highlight w:val="none"/>
                <w:lang w:val="en-US" w:eastAsia="zh-CN"/>
              </w:rPr>
              <w:t>（1）投标（响应）报价低于全部通过符合性审查供应商投标（响应）报价平均值50%的，即投标（响应）报价&lt;全部通过符合性审查供应商投标（响应）报价平均值×50%；</w:t>
            </w:r>
          </w:p>
          <w:p w14:paraId="00DD54AF">
            <w:pPr>
              <w:spacing w:line="276" w:lineRule="auto"/>
              <w:rPr>
                <w:rFonts w:hint="eastAsia"/>
                <w:color w:val="auto"/>
                <w:sz w:val="18"/>
                <w:szCs w:val="18"/>
                <w:highlight w:val="none"/>
                <w:lang w:val="en-US" w:eastAsia="zh-CN"/>
              </w:rPr>
            </w:pPr>
            <w:r>
              <w:rPr>
                <w:rFonts w:hint="eastAsia"/>
                <w:color w:val="auto"/>
                <w:sz w:val="18"/>
                <w:szCs w:val="18"/>
                <w:highlight w:val="none"/>
                <w:lang w:val="en-US" w:eastAsia="zh-CN"/>
              </w:rPr>
              <w:t>（2）投标（响应）报价低于通过符合性审查的次低报价供应商投标（响应）报价50%的，即投标（响应）报价&lt;通过符合性审查的次低报价供应商投标（响应）报价×50%；</w:t>
            </w:r>
          </w:p>
          <w:p w14:paraId="4662BE44">
            <w:pPr>
              <w:spacing w:line="276" w:lineRule="auto"/>
              <w:rPr>
                <w:rFonts w:hint="eastAsia"/>
                <w:color w:val="auto"/>
                <w:sz w:val="18"/>
                <w:szCs w:val="18"/>
                <w:highlight w:val="none"/>
                <w:lang w:val="en-US" w:eastAsia="zh-CN"/>
              </w:rPr>
            </w:pPr>
            <w:r>
              <w:rPr>
                <w:rFonts w:hint="eastAsia"/>
                <w:color w:val="auto"/>
                <w:sz w:val="18"/>
                <w:szCs w:val="18"/>
                <w:highlight w:val="none"/>
                <w:lang w:val="en-US" w:eastAsia="zh-CN"/>
              </w:rPr>
              <w:t>（3）投标（响应）报价低于采购项目最高限价45%的，即投标（响应）报价&lt;采购项目最高限价×45%；</w:t>
            </w:r>
          </w:p>
          <w:p w14:paraId="0C8786BF">
            <w:pPr>
              <w:spacing w:line="276" w:lineRule="auto"/>
              <w:rPr>
                <w:rFonts w:hint="eastAsia"/>
                <w:color w:val="auto"/>
                <w:sz w:val="18"/>
                <w:szCs w:val="18"/>
                <w:highlight w:val="none"/>
                <w:lang w:val="en-US" w:eastAsia="zh-CN"/>
              </w:rPr>
            </w:pPr>
            <w:r>
              <w:rPr>
                <w:rFonts w:hint="eastAsia"/>
                <w:color w:val="auto"/>
                <w:sz w:val="18"/>
                <w:szCs w:val="18"/>
                <w:highlight w:val="none"/>
                <w:lang w:val="en-US" w:eastAsia="zh-CN"/>
              </w:rPr>
              <w:t>（4）评审委员会基于专业判断，认为供应商报价过低，有可能影响产品质量或者不能诚信履约的其他情形。</w:t>
            </w:r>
          </w:p>
          <w:p w14:paraId="341BE098">
            <w:pPr>
              <w:spacing w:line="276" w:lineRule="auto"/>
              <w:rPr>
                <w:rFonts w:hint="eastAsia"/>
                <w:color w:val="auto"/>
                <w:sz w:val="18"/>
                <w:szCs w:val="18"/>
                <w:highlight w:val="none"/>
                <w:lang w:val="en-US" w:eastAsia="zh-CN"/>
              </w:rPr>
            </w:pPr>
            <w:r>
              <w:rPr>
                <w:rFonts w:hint="eastAsia"/>
                <w:color w:val="auto"/>
                <w:sz w:val="18"/>
                <w:szCs w:val="18"/>
                <w:highlight w:val="none"/>
                <w:lang w:val="en-US" w:eastAsia="zh-CN"/>
              </w:rPr>
              <w:t>评审委员会经异常低价审查，认定供应商报价不能保证产品、工程质量或者不能诚信履约的，应当否决其响应。</w:t>
            </w:r>
          </w:p>
        </w:tc>
      </w:tr>
      <w:tr w14:paraId="10011A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54" w:type="dxa"/>
            <w:tcBorders>
              <w:top w:val="single" w:color="auto" w:sz="4" w:space="0"/>
              <w:left w:val="single" w:color="auto" w:sz="4" w:space="0"/>
              <w:bottom w:val="single" w:color="auto" w:sz="4" w:space="0"/>
              <w:right w:val="single" w:color="auto" w:sz="4" w:space="0"/>
            </w:tcBorders>
            <w:vAlign w:val="center"/>
          </w:tcPr>
          <w:p w14:paraId="6FB380EB">
            <w:pPr>
              <w:spacing w:line="300" w:lineRule="exact"/>
              <w:jc w:val="center"/>
              <w:rPr>
                <w:b/>
                <w:color w:val="auto"/>
                <w:sz w:val="18"/>
                <w:szCs w:val="18"/>
                <w:highlight w:val="none"/>
              </w:rPr>
            </w:pPr>
            <w:r>
              <w:rPr>
                <w:b/>
                <w:color w:val="auto"/>
                <w:sz w:val="18"/>
                <w:szCs w:val="18"/>
                <w:highlight w:val="none"/>
              </w:rPr>
              <w:t>6.5.1</w:t>
            </w:r>
          </w:p>
        </w:tc>
        <w:tc>
          <w:tcPr>
            <w:tcW w:w="1204" w:type="dxa"/>
            <w:tcBorders>
              <w:top w:val="single" w:color="auto" w:sz="4" w:space="0"/>
              <w:left w:val="single" w:color="auto" w:sz="4" w:space="0"/>
              <w:bottom w:val="single" w:color="auto" w:sz="4" w:space="0"/>
              <w:right w:val="single" w:color="auto" w:sz="4" w:space="0"/>
            </w:tcBorders>
            <w:vAlign w:val="center"/>
          </w:tcPr>
          <w:p w14:paraId="5465AEE1">
            <w:pPr>
              <w:spacing w:line="300" w:lineRule="exact"/>
              <w:jc w:val="center"/>
              <w:rPr>
                <w:color w:val="auto"/>
                <w:sz w:val="18"/>
                <w:szCs w:val="18"/>
                <w:highlight w:val="none"/>
              </w:rPr>
            </w:pPr>
            <w:r>
              <w:rPr>
                <w:rFonts w:hint="eastAsia"/>
                <w:color w:val="auto"/>
                <w:sz w:val="18"/>
                <w:szCs w:val="18"/>
                <w:highlight w:val="none"/>
              </w:rPr>
              <w:t>结果</w:t>
            </w:r>
            <w:r>
              <w:rPr>
                <w:color w:val="auto"/>
                <w:sz w:val="18"/>
                <w:szCs w:val="18"/>
                <w:highlight w:val="none"/>
              </w:rPr>
              <w:t>公告</w:t>
            </w:r>
          </w:p>
        </w:tc>
        <w:tc>
          <w:tcPr>
            <w:tcW w:w="6905" w:type="dxa"/>
            <w:tcBorders>
              <w:top w:val="single" w:color="auto" w:sz="4" w:space="0"/>
              <w:left w:val="single" w:color="auto" w:sz="4" w:space="0"/>
              <w:bottom w:val="single" w:color="auto" w:sz="4" w:space="0"/>
              <w:right w:val="single" w:color="auto" w:sz="4" w:space="0"/>
            </w:tcBorders>
            <w:vAlign w:val="center"/>
          </w:tcPr>
          <w:p w14:paraId="5BF2E326">
            <w:pPr>
              <w:spacing w:line="300" w:lineRule="exact"/>
              <w:jc w:val="left"/>
              <w:rPr>
                <w:color w:val="auto"/>
                <w:sz w:val="18"/>
                <w:szCs w:val="18"/>
                <w:highlight w:val="none"/>
              </w:rPr>
            </w:pPr>
            <w:r>
              <w:rPr>
                <w:color w:val="auto"/>
                <w:sz w:val="18"/>
                <w:szCs w:val="18"/>
                <w:highlight w:val="none"/>
              </w:rPr>
              <w:t>采购代理机构在采购人依法确认</w:t>
            </w:r>
            <w:r>
              <w:rPr>
                <w:rFonts w:hint="eastAsia"/>
                <w:color w:val="auto"/>
                <w:sz w:val="18"/>
                <w:szCs w:val="18"/>
                <w:highlight w:val="none"/>
              </w:rPr>
              <w:t>成交供应商</w:t>
            </w:r>
            <w:r>
              <w:rPr>
                <w:color w:val="auto"/>
                <w:sz w:val="18"/>
                <w:szCs w:val="18"/>
                <w:highlight w:val="none"/>
              </w:rPr>
              <w:t>后2个工作日内在</w:t>
            </w:r>
            <w:r>
              <w:rPr>
                <w:rFonts w:hint="eastAsia"/>
                <w:color w:val="auto"/>
                <w:sz w:val="18"/>
                <w:szCs w:val="18"/>
                <w:highlight w:val="none"/>
              </w:rPr>
              <w:t>磋商</w:t>
            </w:r>
            <w:r>
              <w:rPr>
                <w:color w:val="auto"/>
                <w:sz w:val="18"/>
                <w:szCs w:val="18"/>
                <w:highlight w:val="none"/>
              </w:rPr>
              <w:t>公告发布的媒体上发布</w:t>
            </w:r>
            <w:r>
              <w:rPr>
                <w:rFonts w:hint="eastAsia"/>
                <w:color w:val="auto"/>
                <w:sz w:val="18"/>
                <w:szCs w:val="18"/>
                <w:highlight w:val="none"/>
              </w:rPr>
              <w:t>结果</w:t>
            </w:r>
            <w:r>
              <w:rPr>
                <w:color w:val="auto"/>
                <w:sz w:val="18"/>
                <w:szCs w:val="18"/>
                <w:highlight w:val="none"/>
              </w:rPr>
              <w:t>公告</w:t>
            </w:r>
            <w:r>
              <w:rPr>
                <w:rFonts w:hint="eastAsia"/>
                <w:color w:val="auto"/>
                <w:sz w:val="18"/>
                <w:szCs w:val="18"/>
                <w:highlight w:val="none"/>
              </w:rPr>
              <w:t>。</w:t>
            </w:r>
          </w:p>
        </w:tc>
      </w:tr>
      <w:tr w14:paraId="766BDE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54" w:type="dxa"/>
            <w:tcBorders>
              <w:top w:val="single" w:color="auto" w:sz="4" w:space="0"/>
              <w:left w:val="single" w:color="auto" w:sz="4" w:space="0"/>
              <w:bottom w:val="single" w:color="auto" w:sz="4" w:space="0"/>
              <w:right w:val="single" w:color="auto" w:sz="4" w:space="0"/>
            </w:tcBorders>
            <w:vAlign w:val="center"/>
          </w:tcPr>
          <w:p w14:paraId="156FBBD8">
            <w:pPr>
              <w:spacing w:line="300" w:lineRule="exact"/>
              <w:jc w:val="center"/>
              <w:rPr>
                <w:b/>
                <w:color w:val="auto"/>
                <w:sz w:val="18"/>
                <w:szCs w:val="18"/>
                <w:highlight w:val="none"/>
              </w:rPr>
            </w:pPr>
            <w:r>
              <w:rPr>
                <w:b/>
                <w:color w:val="auto"/>
                <w:sz w:val="18"/>
                <w:szCs w:val="18"/>
                <w:highlight w:val="none"/>
              </w:rPr>
              <w:t>6.5.2</w:t>
            </w:r>
          </w:p>
        </w:tc>
        <w:tc>
          <w:tcPr>
            <w:tcW w:w="1204" w:type="dxa"/>
            <w:tcBorders>
              <w:top w:val="single" w:color="auto" w:sz="4" w:space="0"/>
              <w:left w:val="single" w:color="auto" w:sz="4" w:space="0"/>
              <w:bottom w:val="single" w:color="auto" w:sz="4" w:space="0"/>
              <w:right w:val="single" w:color="auto" w:sz="4" w:space="0"/>
            </w:tcBorders>
            <w:vAlign w:val="center"/>
          </w:tcPr>
          <w:p w14:paraId="7A860C1B">
            <w:pPr>
              <w:spacing w:line="300" w:lineRule="exact"/>
              <w:jc w:val="center"/>
              <w:rPr>
                <w:color w:val="auto"/>
                <w:sz w:val="18"/>
                <w:szCs w:val="18"/>
                <w:highlight w:val="none"/>
              </w:rPr>
            </w:pPr>
            <w:r>
              <w:rPr>
                <w:color w:val="auto"/>
                <w:sz w:val="18"/>
                <w:szCs w:val="18"/>
                <w:highlight w:val="none"/>
              </w:rPr>
              <w:t>成交通知书</w:t>
            </w:r>
          </w:p>
        </w:tc>
        <w:tc>
          <w:tcPr>
            <w:tcW w:w="6905" w:type="dxa"/>
            <w:tcBorders>
              <w:top w:val="single" w:color="auto" w:sz="4" w:space="0"/>
              <w:left w:val="single" w:color="auto" w:sz="4" w:space="0"/>
              <w:bottom w:val="single" w:color="auto" w:sz="4" w:space="0"/>
              <w:right w:val="single" w:color="auto" w:sz="4" w:space="0"/>
            </w:tcBorders>
            <w:vAlign w:val="center"/>
          </w:tcPr>
          <w:p w14:paraId="038B6252">
            <w:pPr>
              <w:spacing w:line="300" w:lineRule="exact"/>
              <w:jc w:val="left"/>
              <w:rPr>
                <w:color w:val="auto"/>
                <w:sz w:val="18"/>
                <w:szCs w:val="18"/>
                <w:highlight w:val="none"/>
              </w:rPr>
            </w:pPr>
            <w:r>
              <w:rPr>
                <w:rFonts w:hint="eastAsia"/>
                <w:color w:val="auto"/>
                <w:sz w:val="18"/>
                <w:szCs w:val="18"/>
                <w:highlight w:val="none"/>
              </w:rPr>
              <w:t>采购代理机构通过广西政府采购云平台发出</w:t>
            </w:r>
            <w:r>
              <w:rPr>
                <w:color w:val="auto"/>
                <w:sz w:val="18"/>
                <w:szCs w:val="18"/>
                <w:highlight w:val="none"/>
              </w:rPr>
              <w:t>成交通知书。</w:t>
            </w:r>
          </w:p>
          <w:p w14:paraId="154796AB">
            <w:pPr>
              <w:spacing w:line="300" w:lineRule="exact"/>
              <w:jc w:val="left"/>
              <w:rPr>
                <w:color w:val="auto"/>
                <w:sz w:val="18"/>
                <w:szCs w:val="18"/>
                <w:highlight w:val="none"/>
              </w:rPr>
            </w:pPr>
            <w:r>
              <w:rPr>
                <w:rFonts w:hint="eastAsia"/>
                <w:color w:val="auto"/>
                <w:sz w:val="18"/>
                <w:szCs w:val="18"/>
                <w:highlight w:val="none"/>
              </w:rPr>
              <w:t>成交通知书在广西政府采购云平台推送之日起，视为成交供应商已收到，成交供应商自行承担未及时查收的后果。</w:t>
            </w:r>
          </w:p>
        </w:tc>
      </w:tr>
      <w:tr w14:paraId="630541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54" w:type="dxa"/>
            <w:tcBorders>
              <w:top w:val="single" w:color="auto" w:sz="4" w:space="0"/>
              <w:left w:val="single" w:color="auto" w:sz="4" w:space="0"/>
              <w:bottom w:val="single" w:color="auto" w:sz="4" w:space="0"/>
              <w:right w:val="single" w:color="auto" w:sz="4" w:space="0"/>
            </w:tcBorders>
            <w:vAlign w:val="center"/>
          </w:tcPr>
          <w:p w14:paraId="23403624">
            <w:pPr>
              <w:spacing w:line="300" w:lineRule="exact"/>
              <w:jc w:val="center"/>
              <w:rPr>
                <w:b/>
                <w:color w:val="auto"/>
                <w:sz w:val="18"/>
                <w:szCs w:val="18"/>
                <w:highlight w:val="none"/>
              </w:rPr>
            </w:pPr>
            <w:r>
              <w:rPr>
                <w:rFonts w:hint="eastAsia"/>
                <w:b/>
                <w:color w:val="auto"/>
                <w:sz w:val="18"/>
                <w:szCs w:val="18"/>
                <w:highlight w:val="none"/>
              </w:rPr>
              <w:t>7</w:t>
            </w:r>
            <w:r>
              <w:rPr>
                <w:b/>
                <w:color w:val="auto"/>
                <w:sz w:val="18"/>
                <w:szCs w:val="18"/>
                <w:highlight w:val="none"/>
              </w:rPr>
              <w:t>.2</w:t>
            </w:r>
          </w:p>
        </w:tc>
        <w:tc>
          <w:tcPr>
            <w:tcW w:w="1204" w:type="dxa"/>
            <w:tcBorders>
              <w:top w:val="single" w:color="auto" w:sz="4" w:space="0"/>
              <w:left w:val="single" w:color="auto" w:sz="4" w:space="0"/>
              <w:bottom w:val="single" w:color="auto" w:sz="4" w:space="0"/>
              <w:right w:val="single" w:color="auto" w:sz="4" w:space="0"/>
            </w:tcBorders>
            <w:vAlign w:val="center"/>
          </w:tcPr>
          <w:p w14:paraId="7169CE61">
            <w:pPr>
              <w:spacing w:line="300" w:lineRule="exact"/>
              <w:jc w:val="center"/>
              <w:rPr>
                <w:color w:val="auto"/>
                <w:sz w:val="18"/>
                <w:szCs w:val="18"/>
                <w:highlight w:val="none"/>
              </w:rPr>
            </w:pPr>
            <w:r>
              <w:rPr>
                <w:rFonts w:hint="eastAsia"/>
                <w:color w:val="auto"/>
                <w:sz w:val="18"/>
                <w:szCs w:val="18"/>
                <w:highlight w:val="none"/>
              </w:rPr>
              <w:t>合同签订</w:t>
            </w:r>
          </w:p>
        </w:tc>
        <w:tc>
          <w:tcPr>
            <w:tcW w:w="6905" w:type="dxa"/>
            <w:tcBorders>
              <w:top w:val="single" w:color="auto" w:sz="4" w:space="0"/>
              <w:left w:val="single" w:color="auto" w:sz="4" w:space="0"/>
              <w:bottom w:val="single" w:color="auto" w:sz="4" w:space="0"/>
              <w:right w:val="single" w:color="auto" w:sz="4" w:space="0"/>
            </w:tcBorders>
            <w:vAlign w:val="center"/>
          </w:tcPr>
          <w:p w14:paraId="031F4E23">
            <w:pPr>
              <w:rPr>
                <w:color w:val="auto"/>
                <w:sz w:val="18"/>
                <w:szCs w:val="18"/>
                <w:highlight w:val="none"/>
              </w:rPr>
            </w:pPr>
            <w:r>
              <w:rPr>
                <w:rFonts w:hint="eastAsia"/>
                <w:color w:val="auto"/>
                <w:sz w:val="18"/>
                <w:szCs w:val="18"/>
                <w:highlight w:val="none"/>
              </w:rPr>
              <w:t>采购人应当自成交通知书发出之日起25日内，按照采购文件和</w:t>
            </w:r>
            <w:r>
              <w:rPr>
                <w:color w:val="auto"/>
                <w:sz w:val="18"/>
                <w:szCs w:val="18"/>
                <w:highlight w:val="none"/>
              </w:rPr>
              <w:t>成交供应商</w:t>
            </w:r>
            <w:r>
              <w:rPr>
                <w:rFonts w:hint="eastAsia"/>
                <w:color w:val="auto"/>
                <w:sz w:val="18"/>
                <w:szCs w:val="18"/>
                <w:highlight w:val="none"/>
              </w:rPr>
              <w:t>响应文件的规定，与</w:t>
            </w:r>
            <w:r>
              <w:rPr>
                <w:color w:val="auto"/>
                <w:sz w:val="18"/>
                <w:szCs w:val="18"/>
                <w:highlight w:val="none"/>
              </w:rPr>
              <w:t>成交供应商</w:t>
            </w:r>
            <w:r>
              <w:rPr>
                <w:rFonts w:hint="eastAsia"/>
                <w:color w:val="auto"/>
                <w:sz w:val="18"/>
                <w:szCs w:val="18"/>
                <w:highlight w:val="none"/>
              </w:rPr>
              <w:t>签订书面合同。</w:t>
            </w:r>
          </w:p>
        </w:tc>
      </w:tr>
      <w:tr w14:paraId="7DEEF4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354" w:type="dxa"/>
            <w:tcBorders>
              <w:top w:val="single" w:color="auto" w:sz="4" w:space="0"/>
              <w:left w:val="single" w:color="auto" w:sz="4" w:space="0"/>
              <w:bottom w:val="single" w:color="auto" w:sz="4" w:space="0"/>
              <w:right w:val="single" w:color="auto" w:sz="4" w:space="0"/>
            </w:tcBorders>
            <w:vAlign w:val="center"/>
          </w:tcPr>
          <w:p w14:paraId="5BB25CDB">
            <w:pPr>
              <w:spacing w:line="300" w:lineRule="exact"/>
              <w:jc w:val="center"/>
              <w:rPr>
                <w:b/>
                <w:color w:val="auto"/>
                <w:sz w:val="18"/>
                <w:szCs w:val="18"/>
                <w:highlight w:val="none"/>
              </w:rPr>
            </w:pPr>
            <w:r>
              <w:rPr>
                <w:b/>
                <w:color w:val="auto"/>
                <w:sz w:val="18"/>
                <w:szCs w:val="18"/>
                <w:highlight w:val="none"/>
              </w:rPr>
              <w:t>8.1</w:t>
            </w:r>
          </w:p>
        </w:tc>
        <w:tc>
          <w:tcPr>
            <w:tcW w:w="1204" w:type="dxa"/>
            <w:tcBorders>
              <w:top w:val="single" w:color="auto" w:sz="4" w:space="0"/>
              <w:left w:val="single" w:color="auto" w:sz="4" w:space="0"/>
              <w:bottom w:val="single" w:color="auto" w:sz="4" w:space="0"/>
              <w:right w:val="single" w:color="auto" w:sz="4" w:space="0"/>
            </w:tcBorders>
            <w:vAlign w:val="center"/>
          </w:tcPr>
          <w:p w14:paraId="64A118F8">
            <w:pPr>
              <w:spacing w:line="300" w:lineRule="exact"/>
              <w:jc w:val="center"/>
              <w:rPr>
                <w:color w:val="auto"/>
                <w:sz w:val="18"/>
                <w:szCs w:val="18"/>
                <w:highlight w:val="none"/>
              </w:rPr>
            </w:pPr>
            <w:r>
              <w:rPr>
                <w:rFonts w:hint="eastAsia"/>
                <w:color w:val="auto"/>
                <w:sz w:val="18"/>
                <w:szCs w:val="18"/>
                <w:highlight w:val="none"/>
              </w:rPr>
              <w:t>质疑</w:t>
            </w:r>
          </w:p>
        </w:tc>
        <w:tc>
          <w:tcPr>
            <w:tcW w:w="6905" w:type="dxa"/>
            <w:tcBorders>
              <w:top w:val="single" w:color="auto" w:sz="4" w:space="0"/>
              <w:left w:val="single" w:color="auto" w:sz="4" w:space="0"/>
              <w:bottom w:val="single" w:color="auto" w:sz="4" w:space="0"/>
              <w:right w:val="single" w:color="auto" w:sz="4" w:space="0"/>
            </w:tcBorders>
            <w:vAlign w:val="center"/>
          </w:tcPr>
          <w:p w14:paraId="1347D304">
            <w:pPr>
              <w:spacing w:line="300" w:lineRule="exact"/>
              <w:jc w:val="left"/>
              <w:rPr>
                <w:color w:val="auto"/>
                <w:sz w:val="18"/>
                <w:szCs w:val="18"/>
                <w:highlight w:val="none"/>
              </w:rPr>
            </w:pPr>
            <w:r>
              <w:rPr>
                <w:rFonts w:hint="eastAsia"/>
                <w:color w:val="auto"/>
                <w:sz w:val="18"/>
                <w:szCs w:val="18"/>
                <w:highlight w:val="none"/>
              </w:rPr>
              <w:t>（1）供应商</w:t>
            </w:r>
            <w:r>
              <w:rPr>
                <w:color w:val="auto"/>
                <w:sz w:val="18"/>
                <w:szCs w:val="18"/>
                <w:highlight w:val="none"/>
              </w:rPr>
              <w:t>认为</w:t>
            </w:r>
            <w:r>
              <w:rPr>
                <w:rFonts w:hint="eastAsia"/>
                <w:color w:val="auto"/>
                <w:sz w:val="18"/>
                <w:szCs w:val="18"/>
                <w:highlight w:val="none"/>
              </w:rPr>
              <w:t>采购文件</w:t>
            </w:r>
            <w:r>
              <w:rPr>
                <w:color w:val="auto"/>
                <w:sz w:val="18"/>
                <w:szCs w:val="18"/>
                <w:highlight w:val="none"/>
              </w:rPr>
              <w:t>、</w:t>
            </w:r>
            <w:r>
              <w:rPr>
                <w:rFonts w:hint="eastAsia"/>
                <w:color w:val="auto"/>
                <w:sz w:val="18"/>
                <w:szCs w:val="18"/>
                <w:highlight w:val="none"/>
              </w:rPr>
              <w:t>采购</w:t>
            </w:r>
            <w:r>
              <w:rPr>
                <w:color w:val="auto"/>
                <w:sz w:val="18"/>
                <w:szCs w:val="18"/>
                <w:highlight w:val="none"/>
              </w:rPr>
              <w:t>过程、中标</w:t>
            </w:r>
            <w:r>
              <w:rPr>
                <w:rFonts w:hint="eastAsia"/>
                <w:color w:val="auto"/>
                <w:sz w:val="18"/>
                <w:szCs w:val="18"/>
                <w:highlight w:val="none"/>
              </w:rPr>
              <w:t>或者成交</w:t>
            </w:r>
            <w:r>
              <w:rPr>
                <w:color w:val="auto"/>
                <w:sz w:val="18"/>
                <w:szCs w:val="18"/>
                <w:highlight w:val="none"/>
              </w:rPr>
              <w:t>结果使自己的权益受到损害的，可以在知道或者应知其权益受到损害之日起7个工作日内，</w:t>
            </w:r>
            <w:r>
              <w:rPr>
                <w:rFonts w:hint="eastAsia"/>
                <w:color w:val="auto"/>
                <w:sz w:val="18"/>
                <w:szCs w:val="18"/>
                <w:highlight w:val="none"/>
              </w:rPr>
              <w:t>通过以下方式</w:t>
            </w:r>
            <w:r>
              <w:rPr>
                <w:color w:val="auto"/>
                <w:sz w:val="18"/>
                <w:szCs w:val="18"/>
                <w:highlight w:val="none"/>
              </w:rPr>
              <w:t>向采购人、采购代理机构提出质疑。提出质疑的</w:t>
            </w:r>
            <w:r>
              <w:rPr>
                <w:rFonts w:hint="eastAsia"/>
                <w:color w:val="auto"/>
                <w:sz w:val="18"/>
                <w:szCs w:val="18"/>
                <w:highlight w:val="none"/>
              </w:rPr>
              <w:t>供应商</w:t>
            </w:r>
            <w:r>
              <w:rPr>
                <w:color w:val="auto"/>
                <w:sz w:val="18"/>
                <w:szCs w:val="18"/>
                <w:highlight w:val="none"/>
              </w:rPr>
              <w:t>必须是参与本项目采购活动的供应商</w:t>
            </w:r>
            <w:r>
              <w:rPr>
                <w:rFonts w:hint="eastAsia"/>
                <w:color w:val="auto"/>
                <w:sz w:val="18"/>
                <w:szCs w:val="18"/>
                <w:highlight w:val="none"/>
              </w:rPr>
              <w:t>，并须在</w:t>
            </w:r>
            <w:r>
              <w:rPr>
                <w:color w:val="auto"/>
                <w:sz w:val="18"/>
                <w:szCs w:val="18"/>
                <w:highlight w:val="none"/>
              </w:rPr>
              <w:t>法定质疑期内一次性提出针对同一采购程序环节的质疑。质疑函应使用财政部发布的</w:t>
            </w:r>
            <w:r>
              <w:rPr>
                <w:rFonts w:hint="eastAsia"/>
                <w:color w:val="auto"/>
                <w:sz w:val="18"/>
                <w:szCs w:val="18"/>
                <w:highlight w:val="none"/>
              </w:rPr>
              <w:t>政府采购供应商质疑函范本，并应按照“质疑函制作说明”进行制作。</w:t>
            </w:r>
          </w:p>
          <w:p w14:paraId="4576E9AA">
            <w:pPr>
              <w:spacing w:line="300" w:lineRule="exact"/>
              <w:jc w:val="left"/>
              <w:rPr>
                <w:color w:val="auto"/>
                <w:sz w:val="18"/>
                <w:szCs w:val="18"/>
                <w:highlight w:val="none"/>
              </w:rPr>
            </w:pPr>
            <w:r>
              <w:rPr>
                <w:rFonts w:hint="eastAsia"/>
                <w:color w:val="auto"/>
                <w:sz w:val="18"/>
                <w:szCs w:val="18"/>
                <w:highlight w:val="none"/>
              </w:rPr>
              <w:t>（2）本项目不接受传真、移动通信、广西政府采购云平台等方式送达的质疑材料，供应商可通过现场或邮寄方式递交书面质疑材料。供应商应于质疑有效期内将质疑函原件递交或邮寄至磋商公告中采购代理机构信息中的联系人。</w:t>
            </w:r>
          </w:p>
        </w:tc>
      </w:tr>
      <w:tr w14:paraId="560FB2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vAlign w:val="center"/>
          </w:tcPr>
          <w:p w14:paraId="53341DB8">
            <w:pPr>
              <w:spacing w:line="300" w:lineRule="exact"/>
              <w:jc w:val="center"/>
              <w:rPr>
                <w:color w:val="auto"/>
                <w:sz w:val="18"/>
                <w:szCs w:val="18"/>
                <w:highlight w:val="none"/>
              </w:rPr>
            </w:pPr>
            <w:r>
              <w:rPr>
                <w:b/>
                <w:color w:val="auto"/>
                <w:sz w:val="18"/>
                <w:szCs w:val="18"/>
                <w:highlight w:val="none"/>
              </w:rPr>
              <w:t>9.1</w:t>
            </w:r>
          </w:p>
        </w:tc>
        <w:tc>
          <w:tcPr>
            <w:tcW w:w="1204" w:type="dxa"/>
            <w:tcBorders>
              <w:top w:val="single" w:color="auto" w:sz="4" w:space="0"/>
              <w:left w:val="single" w:color="auto" w:sz="4" w:space="0"/>
              <w:bottom w:val="single" w:color="auto" w:sz="4" w:space="0"/>
              <w:right w:val="single" w:color="auto" w:sz="4" w:space="0"/>
            </w:tcBorders>
            <w:vAlign w:val="center"/>
          </w:tcPr>
          <w:p w14:paraId="11650379">
            <w:pPr>
              <w:spacing w:line="300" w:lineRule="exact"/>
              <w:jc w:val="center"/>
              <w:rPr>
                <w:color w:val="auto"/>
                <w:sz w:val="18"/>
                <w:szCs w:val="18"/>
                <w:highlight w:val="none"/>
              </w:rPr>
            </w:pPr>
            <w:r>
              <w:rPr>
                <w:color w:val="auto"/>
                <w:sz w:val="18"/>
                <w:szCs w:val="18"/>
                <w:highlight w:val="none"/>
              </w:rPr>
              <w:t>代理服务费</w:t>
            </w:r>
          </w:p>
        </w:tc>
        <w:tc>
          <w:tcPr>
            <w:tcW w:w="6905" w:type="dxa"/>
            <w:tcBorders>
              <w:top w:val="single" w:color="auto" w:sz="4" w:space="0"/>
              <w:left w:val="single" w:color="auto" w:sz="4" w:space="0"/>
              <w:bottom w:val="single" w:color="auto" w:sz="4" w:space="0"/>
              <w:right w:val="single" w:color="auto" w:sz="4" w:space="0"/>
            </w:tcBorders>
            <w:vAlign w:val="center"/>
          </w:tcPr>
          <w:p w14:paraId="6B42F473">
            <w:pPr>
              <w:rPr>
                <w:color w:val="auto"/>
                <w:sz w:val="18"/>
                <w:szCs w:val="18"/>
                <w:highlight w:val="none"/>
              </w:rPr>
            </w:pPr>
            <w:r>
              <w:rPr>
                <w:color w:val="auto"/>
                <w:sz w:val="18"/>
                <w:szCs w:val="18"/>
                <w:highlight w:val="none"/>
              </w:rPr>
              <w:t>（1）</w:t>
            </w:r>
            <w:r>
              <w:rPr>
                <w:rFonts w:hint="eastAsia"/>
                <w:color w:val="auto"/>
                <w:sz w:val="18"/>
                <w:szCs w:val="18"/>
                <w:highlight w:val="none"/>
              </w:rPr>
              <w:t>代理服务费</w:t>
            </w:r>
          </w:p>
          <w:p w14:paraId="02A8C22A">
            <w:pPr>
              <w:spacing w:line="300" w:lineRule="exact"/>
              <w:jc w:val="left"/>
              <w:rPr>
                <w:color w:val="auto"/>
                <w:sz w:val="18"/>
                <w:szCs w:val="18"/>
                <w:highlight w:val="none"/>
              </w:rPr>
            </w:pPr>
            <w:r>
              <w:rPr>
                <w:color w:val="auto"/>
                <w:sz w:val="18"/>
                <w:szCs w:val="18"/>
                <w:highlight w:val="none"/>
              </w:rPr>
              <w:sym w:font="Wingdings 2" w:char="F052"/>
            </w:r>
            <w:r>
              <w:rPr>
                <w:color w:val="auto"/>
                <w:sz w:val="18"/>
                <w:szCs w:val="18"/>
                <w:highlight w:val="none"/>
              </w:rPr>
              <w:t>采购代理机构向</w:t>
            </w:r>
            <w:r>
              <w:rPr>
                <w:rFonts w:hint="eastAsia"/>
                <w:color w:val="auto"/>
                <w:sz w:val="18"/>
                <w:szCs w:val="18"/>
                <w:highlight w:val="none"/>
              </w:rPr>
              <w:t>成交供应商</w:t>
            </w:r>
            <w:r>
              <w:rPr>
                <w:color w:val="auto"/>
                <w:sz w:val="18"/>
                <w:szCs w:val="18"/>
                <w:highlight w:val="none"/>
              </w:rPr>
              <w:t>收取代理服务费。本项目代理服务费</w:t>
            </w:r>
            <w:r>
              <w:rPr>
                <w:rFonts w:hint="eastAsia"/>
                <w:color w:val="auto"/>
                <w:sz w:val="18"/>
                <w:szCs w:val="18"/>
                <w:highlight w:val="none"/>
              </w:rPr>
              <w:t>按照</w:t>
            </w:r>
            <w:r>
              <w:rPr>
                <w:color w:val="auto"/>
                <w:sz w:val="18"/>
                <w:szCs w:val="18"/>
                <w:highlight w:val="none"/>
              </w:rPr>
              <w:t>《招标代理服务费管理暂行办法》 (计价格﹝2002﹞1980号)、《国家发展改革委关于降低部分建设项目收费标准规范收费行为等有关问题的通知》(发改价格﹝2011﹞534号)</w:t>
            </w:r>
            <w:r>
              <w:rPr>
                <w:rFonts w:hint="eastAsia"/>
                <w:color w:val="auto"/>
                <w:sz w:val="18"/>
                <w:szCs w:val="18"/>
                <w:highlight w:val="none"/>
              </w:rPr>
              <w:t>的</w:t>
            </w:r>
            <w:r>
              <w:rPr>
                <w:color w:val="auto"/>
                <w:sz w:val="18"/>
                <w:szCs w:val="18"/>
                <w:highlight w:val="none"/>
              </w:rPr>
              <w:t>规定</w:t>
            </w:r>
            <w:r>
              <w:rPr>
                <w:rFonts w:hint="eastAsia"/>
                <w:color w:val="auto"/>
                <w:sz w:val="18"/>
                <w:szCs w:val="18"/>
                <w:highlight w:val="none"/>
              </w:rPr>
              <w:t>采用</w:t>
            </w:r>
            <w:r>
              <w:rPr>
                <w:color w:val="auto"/>
                <w:sz w:val="18"/>
                <w:szCs w:val="18"/>
                <w:highlight w:val="none"/>
              </w:rPr>
              <w:t>差额定率累进</w:t>
            </w:r>
            <w:r>
              <w:rPr>
                <w:rFonts w:hint="eastAsia"/>
                <w:color w:val="auto"/>
                <w:sz w:val="18"/>
                <w:szCs w:val="18"/>
                <w:highlight w:val="none"/>
              </w:rPr>
              <w:t>法</w:t>
            </w:r>
            <w:r>
              <w:rPr>
                <w:color w:val="auto"/>
                <w:sz w:val="18"/>
                <w:szCs w:val="18"/>
                <w:highlight w:val="none"/>
              </w:rPr>
              <w:t>计算</w:t>
            </w:r>
            <w:r>
              <w:rPr>
                <w:rFonts w:hint="eastAsia"/>
                <w:color w:val="auto"/>
                <w:sz w:val="18"/>
                <w:szCs w:val="18"/>
                <w:highlight w:val="none"/>
              </w:rPr>
              <w:t>。</w:t>
            </w:r>
            <w:r>
              <w:rPr>
                <w:color w:val="auto"/>
                <w:sz w:val="18"/>
                <w:szCs w:val="18"/>
                <w:highlight w:val="none"/>
              </w:rPr>
              <w:t>具体费率</w:t>
            </w:r>
            <w:r>
              <w:rPr>
                <w:rFonts w:hint="eastAsia"/>
                <w:color w:val="auto"/>
                <w:sz w:val="18"/>
                <w:szCs w:val="18"/>
                <w:highlight w:val="none"/>
              </w:rPr>
              <w:t>如下：</w:t>
            </w:r>
          </w:p>
          <w:p w14:paraId="1F2D6568">
            <w:pPr>
              <w:spacing w:line="300" w:lineRule="exact"/>
              <w:jc w:val="left"/>
              <w:rPr>
                <w:color w:val="auto"/>
                <w:sz w:val="18"/>
                <w:szCs w:val="18"/>
                <w:highlight w:val="none"/>
              </w:rPr>
            </w:pPr>
            <w:r>
              <w:rPr>
                <w:rFonts w:hint="eastAsia"/>
                <w:color w:val="auto"/>
                <w:sz w:val="18"/>
                <w:szCs w:val="18"/>
                <w:highlight w:val="none"/>
              </w:rPr>
              <w:t>①成交金额在1</w:t>
            </w:r>
            <w:r>
              <w:rPr>
                <w:color w:val="auto"/>
                <w:sz w:val="18"/>
                <w:szCs w:val="18"/>
                <w:highlight w:val="none"/>
              </w:rPr>
              <w:t>00</w:t>
            </w:r>
            <w:r>
              <w:rPr>
                <w:rFonts w:hint="eastAsia"/>
                <w:color w:val="auto"/>
                <w:sz w:val="18"/>
                <w:szCs w:val="18"/>
                <w:highlight w:val="none"/>
              </w:rPr>
              <w:t>万元以下的：</w:t>
            </w:r>
          </w:p>
          <w:p w14:paraId="2B97F757">
            <w:pPr>
              <w:spacing w:line="300" w:lineRule="exact"/>
              <w:jc w:val="left"/>
              <w:rPr>
                <w:color w:val="auto"/>
                <w:sz w:val="18"/>
                <w:szCs w:val="18"/>
                <w:highlight w:val="none"/>
              </w:rPr>
            </w:pPr>
            <w:r>
              <w:rPr>
                <w:rFonts w:hint="eastAsia"/>
                <w:color w:val="auto"/>
                <w:sz w:val="18"/>
                <w:szCs w:val="18"/>
                <w:highlight w:val="none"/>
              </w:rPr>
              <w:t>货物</w:t>
            </w:r>
            <w:r>
              <w:rPr>
                <w:color w:val="auto"/>
                <w:sz w:val="18"/>
                <w:szCs w:val="18"/>
                <w:highlight w:val="none"/>
              </w:rPr>
              <w:t>1.5％</w:t>
            </w:r>
            <w:r>
              <w:rPr>
                <w:rFonts w:hint="eastAsia"/>
                <w:color w:val="auto"/>
                <w:sz w:val="18"/>
                <w:szCs w:val="18"/>
                <w:highlight w:val="none"/>
              </w:rPr>
              <w:t>；</w:t>
            </w:r>
            <w:r>
              <w:rPr>
                <w:color w:val="auto"/>
                <w:sz w:val="18"/>
                <w:szCs w:val="18"/>
                <w:highlight w:val="none"/>
              </w:rPr>
              <w:t>服务招标1.5％</w:t>
            </w:r>
            <w:r>
              <w:rPr>
                <w:rFonts w:hint="eastAsia"/>
                <w:color w:val="auto"/>
                <w:sz w:val="18"/>
                <w:szCs w:val="18"/>
                <w:highlight w:val="none"/>
              </w:rPr>
              <w:t>；</w:t>
            </w:r>
            <w:r>
              <w:rPr>
                <w:color w:val="auto"/>
                <w:sz w:val="18"/>
                <w:szCs w:val="18"/>
                <w:highlight w:val="none"/>
              </w:rPr>
              <w:t>工程招标1.0％</w:t>
            </w:r>
            <w:r>
              <w:rPr>
                <w:rFonts w:hint="eastAsia"/>
                <w:color w:val="auto"/>
                <w:sz w:val="18"/>
                <w:szCs w:val="18"/>
                <w:highlight w:val="none"/>
              </w:rPr>
              <w:t>；</w:t>
            </w:r>
          </w:p>
          <w:p w14:paraId="7FF883B1">
            <w:pPr>
              <w:spacing w:line="300" w:lineRule="exact"/>
              <w:jc w:val="left"/>
              <w:rPr>
                <w:color w:val="auto"/>
                <w:sz w:val="18"/>
                <w:szCs w:val="18"/>
                <w:highlight w:val="none"/>
              </w:rPr>
            </w:pPr>
            <w:r>
              <w:rPr>
                <w:rFonts w:hint="eastAsia"/>
                <w:color w:val="auto"/>
                <w:sz w:val="18"/>
                <w:szCs w:val="18"/>
                <w:highlight w:val="none"/>
              </w:rPr>
              <w:t>②成交金额在</w:t>
            </w:r>
            <w:r>
              <w:rPr>
                <w:color w:val="auto"/>
                <w:sz w:val="18"/>
                <w:szCs w:val="18"/>
                <w:highlight w:val="none"/>
              </w:rPr>
              <w:t>100-500</w:t>
            </w:r>
            <w:r>
              <w:rPr>
                <w:rFonts w:hint="eastAsia"/>
                <w:color w:val="auto"/>
                <w:sz w:val="18"/>
                <w:szCs w:val="18"/>
                <w:highlight w:val="none"/>
              </w:rPr>
              <w:t>万元之间：</w:t>
            </w:r>
          </w:p>
          <w:p w14:paraId="7BE11B40">
            <w:pPr>
              <w:spacing w:line="300" w:lineRule="exact"/>
              <w:jc w:val="left"/>
              <w:rPr>
                <w:color w:val="auto"/>
                <w:sz w:val="18"/>
                <w:szCs w:val="18"/>
                <w:highlight w:val="none"/>
              </w:rPr>
            </w:pPr>
            <w:r>
              <w:rPr>
                <w:rFonts w:hint="eastAsia"/>
                <w:color w:val="auto"/>
                <w:sz w:val="18"/>
                <w:szCs w:val="18"/>
                <w:highlight w:val="none"/>
              </w:rPr>
              <w:t>货物</w:t>
            </w:r>
            <w:r>
              <w:rPr>
                <w:color w:val="auto"/>
                <w:sz w:val="18"/>
                <w:szCs w:val="18"/>
                <w:highlight w:val="none"/>
              </w:rPr>
              <w:t>1.1％</w:t>
            </w:r>
            <w:r>
              <w:rPr>
                <w:rFonts w:hint="eastAsia"/>
                <w:color w:val="auto"/>
                <w:sz w:val="18"/>
                <w:szCs w:val="18"/>
                <w:highlight w:val="none"/>
              </w:rPr>
              <w:t>；</w:t>
            </w:r>
            <w:r>
              <w:rPr>
                <w:color w:val="auto"/>
                <w:sz w:val="18"/>
                <w:szCs w:val="18"/>
                <w:highlight w:val="none"/>
              </w:rPr>
              <w:t>服务招标0.8％</w:t>
            </w:r>
            <w:r>
              <w:rPr>
                <w:rFonts w:hint="eastAsia"/>
                <w:color w:val="auto"/>
                <w:sz w:val="18"/>
                <w:szCs w:val="18"/>
                <w:highlight w:val="none"/>
              </w:rPr>
              <w:t>；</w:t>
            </w:r>
            <w:r>
              <w:rPr>
                <w:color w:val="auto"/>
                <w:sz w:val="18"/>
                <w:szCs w:val="18"/>
                <w:highlight w:val="none"/>
              </w:rPr>
              <w:t>工程招标0.7％</w:t>
            </w:r>
            <w:r>
              <w:rPr>
                <w:rFonts w:hint="eastAsia"/>
                <w:color w:val="auto"/>
                <w:sz w:val="18"/>
                <w:szCs w:val="18"/>
                <w:highlight w:val="none"/>
              </w:rPr>
              <w:t>；</w:t>
            </w:r>
          </w:p>
          <w:p w14:paraId="05DF737E">
            <w:pPr>
              <w:spacing w:line="300" w:lineRule="exact"/>
              <w:jc w:val="left"/>
              <w:rPr>
                <w:color w:val="auto"/>
                <w:sz w:val="18"/>
                <w:szCs w:val="18"/>
                <w:highlight w:val="none"/>
              </w:rPr>
            </w:pPr>
            <w:r>
              <w:rPr>
                <w:rFonts w:hint="eastAsia"/>
                <w:color w:val="auto"/>
                <w:sz w:val="18"/>
                <w:szCs w:val="18"/>
                <w:highlight w:val="none"/>
              </w:rPr>
              <w:t>③成交金额在</w:t>
            </w:r>
            <w:r>
              <w:rPr>
                <w:color w:val="auto"/>
                <w:sz w:val="18"/>
                <w:szCs w:val="18"/>
                <w:highlight w:val="none"/>
              </w:rPr>
              <w:t>5</w:t>
            </w:r>
            <w:r>
              <w:rPr>
                <w:rFonts w:hint="eastAsia"/>
                <w:color w:val="auto"/>
                <w:sz w:val="18"/>
                <w:szCs w:val="18"/>
                <w:highlight w:val="none"/>
              </w:rPr>
              <w:t>0</w:t>
            </w:r>
            <w:r>
              <w:rPr>
                <w:color w:val="auto"/>
                <w:sz w:val="18"/>
                <w:szCs w:val="18"/>
                <w:highlight w:val="none"/>
              </w:rPr>
              <w:t>0-1</w:t>
            </w:r>
            <w:r>
              <w:rPr>
                <w:rFonts w:hint="eastAsia"/>
                <w:color w:val="auto"/>
                <w:sz w:val="18"/>
                <w:szCs w:val="18"/>
                <w:highlight w:val="none"/>
              </w:rPr>
              <w:t>00</w:t>
            </w:r>
            <w:r>
              <w:rPr>
                <w:color w:val="auto"/>
                <w:sz w:val="18"/>
                <w:szCs w:val="18"/>
                <w:highlight w:val="none"/>
              </w:rPr>
              <w:t>0</w:t>
            </w:r>
            <w:r>
              <w:rPr>
                <w:rFonts w:hint="eastAsia"/>
                <w:color w:val="auto"/>
                <w:sz w:val="18"/>
                <w:szCs w:val="18"/>
                <w:highlight w:val="none"/>
              </w:rPr>
              <w:t>万元之间：</w:t>
            </w:r>
          </w:p>
          <w:p w14:paraId="685E6B62">
            <w:pPr>
              <w:spacing w:line="300" w:lineRule="exact"/>
              <w:jc w:val="left"/>
              <w:rPr>
                <w:color w:val="auto"/>
                <w:sz w:val="18"/>
                <w:szCs w:val="18"/>
                <w:highlight w:val="none"/>
              </w:rPr>
            </w:pPr>
            <w:r>
              <w:rPr>
                <w:rFonts w:hint="eastAsia"/>
                <w:color w:val="auto"/>
                <w:sz w:val="18"/>
                <w:szCs w:val="18"/>
                <w:highlight w:val="none"/>
              </w:rPr>
              <w:t>货物</w:t>
            </w:r>
            <w:r>
              <w:rPr>
                <w:color w:val="auto"/>
                <w:sz w:val="18"/>
                <w:szCs w:val="18"/>
                <w:highlight w:val="none"/>
              </w:rPr>
              <w:t>0.8％</w:t>
            </w:r>
            <w:r>
              <w:rPr>
                <w:rFonts w:hint="eastAsia"/>
                <w:color w:val="auto"/>
                <w:sz w:val="18"/>
                <w:szCs w:val="18"/>
                <w:highlight w:val="none"/>
              </w:rPr>
              <w:t>；</w:t>
            </w:r>
            <w:r>
              <w:rPr>
                <w:color w:val="auto"/>
                <w:sz w:val="18"/>
                <w:szCs w:val="18"/>
                <w:highlight w:val="none"/>
              </w:rPr>
              <w:t>服务招标0.45％</w:t>
            </w:r>
            <w:r>
              <w:rPr>
                <w:rFonts w:hint="eastAsia"/>
                <w:color w:val="auto"/>
                <w:sz w:val="18"/>
                <w:szCs w:val="18"/>
                <w:highlight w:val="none"/>
              </w:rPr>
              <w:t>；</w:t>
            </w:r>
            <w:r>
              <w:rPr>
                <w:color w:val="auto"/>
                <w:sz w:val="18"/>
                <w:szCs w:val="18"/>
                <w:highlight w:val="none"/>
              </w:rPr>
              <w:t>工程招标0.55％</w:t>
            </w:r>
            <w:r>
              <w:rPr>
                <w:rFonts w:hint="eastAsia"/>
                <w:color w:val="auto"/>
                <w:sz w:val="18"/>
                <w:szCs w:val="18"/>
                <w:highlight w:val="none"/>
              </w:rPr>
              <w:t>；</w:t>
            </w:r>
          </w:p>
          <w:p w14:paraId="094A7ACD">
            <w:pPr>
              <w:spacing w:line="300" w:lineRule="exact"/>
              <w:jc w:val="left"/>
              <w:rPr>
                <w:color w:val="auto"/>
                <w:sz w:val="18"/>
                <w:szCs w:val="18"/>
                <w:highlight w:val="none"/>
              </w:rPr>
            </w:pPr>
            <w:r>
              <w:rPr>
                <w:rFonts w:hint="eastAsia"/>
                <w:color w:val="auto"/>
                <w:sz w:val="18"/>
                <w:szCs w:val="18"/>
                <w:highlight w:val="none"/>
              </w:rPr>
              <w:t>④成交金额在</w:t>
            </w:r>
            <w:r>
              <w:rPr>
                <w:color w:val="auto"/>
                <w:sz w:val="18"/>
                <w:szCs w:val="18"/>
                <w:highlight w:val="none"/>
              </w:rPr>
              <w:t>1000-5000</w:t>
            </w:r>
            <w:r>
              <w:rPr>
                <w:rFonts w:hint="eastAsia"/>
                <w:color w:val="auto"/>
                <w:sz w:val="18"/>
                <w:szCs w:val="18"/>
                <w:highlight w:val="none"/>
              </w:rPr>
              <w:t>万元之间：</w:t>
            </w:r>
          </w:p>
          <w:p w14:paraId="0955C90B">
            <w:pPr>
              <w:spacing w:line="300" w:lineRule="exact"/>
              <w:jc w:val="left"/>
              <w:rPr>
                <w:color w:val="auto"/>
                <w:sz w:val="18"/>
                <w:szCs w:val="18"/>
                <w:highlight w:val="none"/>
              </w:rPr>
            </w:pPr>
            <w:r>
              <w:rPr>
                <w:rFonts w:hint="eastAsia"/>
                <w:color w:val="auto"/>
                <w:sz w:val="18"/>
                <w:szCs w:val="18"/>
                <w:highlight w:val="none"/>
              </w:rPr>
              <w:t>货物</w:t>
            </w:r>
            <w:r>
              <w:rPr>
                <w:color w:val="auto"/>
                <w:sz w:val="18"/>
                <w:szCs w:val="18"/>
                <w:highlight w:val="none"/>
              </w:rPr>
              <w:t>0.5％</w:t>
            </w:r>
            <w:r>
              <w:rPr>
                <w:rFonts w:hint="eastAsia"/>
                <w:color w:val="auto"/>
                <w:sz w:val="18"/>
                <w:szCs w:val="18"/>
                <w:highlight w:val="none"/>
              </w:rPr>
              <w:t>；</w:t>
            </w:r>
            <w:r>
              <w:rPr>
                <w:color w:val="auto"/>
                <w:sz w:val="18"/>
                <w:szCs w:val="18"/>
                <w:highlight w:val="none"/>
              </w:rPr>
              <w:t>服务招标0.25％</w:t>
            </w:r>
            <w:r>
              <w:rPr>
                <w:rFonts w:hint="eastAsia"/>
                <w:color w:val="auto"/>
                <w:sz w:val="18"/>
                <w:szCs w:val="18"/>
                <w:highlight w:val="none"/>
              </w:rPr>
              <w:t>；</w:t>
            </w:r>
            <w:r>
              <w:rPr>
                <w:color w:val="auto"/>
                <w:sz w:val="18"/>
                <w:szCs w:val="18"/>
                <w:highlight w:val="none"/>
              </w:rPr>
              <w:t>工程招标0.35％</w:t>
            </w:r>
            <w:r>
              <w:rPr>
                <w:rFonts w:hint="eastAsia"/>
                <w:color w:val="auto"/>
                <w:sz w:val="18"/>
                <w:szCs w:val="18"/>
                <w:highlight w:val="none"/>
              </w:rPr>
              <w:t>；</w:t>
            </w:r>
          </w:p>
          <w:p w14:paraId="3B0E51CF">
            <w:pPr>
              <w:spacing w:line="300" w:lineRule="exact"/>
              <w:jc w:val="left"/>
              <w:rPr>
                <w:color w:val="auto"/>
                <w:sz w:val="18"/>
                <w:szCs w:val="18"/>
                <w:highlight w:val="none"/>
              </w:rPr>
            </w:pPr>
            <w:r>
              <w:rPr>
                <w:rFonts w:hint="eastAsia"/>
                <w:color w:val="auto"/>
                <w:sz w:val="18"/>
                <w:szCs w:val="18"/>
                <w:highlight w:val="none"/>
              </w:rPr>
              <w:t>……</w:t>
            </w:r>
          </w:p>
          <w:p w14:paraId="2F654F7C">
            <w:pPr>
              <w:spacing w:line="300" w:lineRule="exact"/>
              <w:jc w:val="left"/>
              <w:rPr>
                <w:color w:val="auto"/>
                <w:sz w:val="18"/>
                <w:szCs w:val="18"/>
                <w:highlight w:val="none"/>
              </w:rPr>
            </w:pPr>
            <w:r>
              <w:rPr>
                <w:color w:val="auto"/>
                <w:sz w:val="18"/>
                <w:szCs w:val="18"/>
                <w:highlight w:val="none"/>
              </w:rPr>
              <w:t>差额定率累进</w:t>
            </w:r>
            <w:r>
              <w:rPr>
                <w:rFonts w:hint="eastAsia"/>
                <w:color w:val="auto"/>
                <w:sz w:val="18"/>
                <w:szCs w:val="18"/>
                <w:highlight w:val="none"/>
              </w:rPr>
              <w:t>法</w:t>
            </w:r>
            <w:r>
              <w:rPr>
                <w:color w:val="auto"/>
                <w:sz w:val="18"/>
                <w:szCs w:val="18"/>
                <w:highlight w:val="none"/>
              </w:rPr>
              <w:t>计算</w:t>
            </w:r>
            <w:r>
              <w:rPr>
                <w:rFonts w:hint="eastAsia"/>
                <w:color w:val="auto"/>
                <w:sz w:val="18"/>
                <w:szCs w:val="18"/>
                <w:highlight w:val="none"/>
              </w:rPr>
              <w:t>过程示例：</w:t>
            </w:r>
          </w:p>
          <w:p w14:paraId="5CA7275B">
            <w:pPr>
              <w:spacing w:line="360" w:lineRule="exact"/>
              <w:rPr>
                <w:color w:val="auto"/>
                <w:kern w:val="0"/>
                <w:sz w:val="18"/>
                <w:szCs w:val="18"/>
                <w:highlight w:val="none"/>
              </w:rPr>
            </w:pPr>
            <w:r>
              <w:rPr>
                <w:color w:val="auto"/>
                <w:kern w:val="0"/>
                <w:sz w:val="18"/>
                <w:szCs w:val="18"/>
                <w:highlight w:val="none"/>
              </w:rPr>
              <w:t>例如：某工程代理业务成交金额为300万元，代理服务费金额按如下计算：</w:t>
            </w:r>
          </w:p>
          <w:p w14:paraId="139DA9B3">
            <w:pPr>
              <w:spacing w:line="300" w:lineRule="exact"/>
              <w:jc w:val="left"/>
              <w:rPr>
                <w:color w:val="auto"/>
                <w:sz w:val="18"/>
                <w:szCs w:val="18"/>
                <w:highlight w:val="none"/>
              </w:rPr>
            </w:pPr>
            <w:r>
              <w:rPr>
                <w:color w:val="auto"/>
                <w:sz w:val="18"/>
                <w:szCs w:val="18"/>
                <w:highlight w:val="none"/>
              </w:rPr>
              <w:t>100万元×1.0%＝1万元</w:t>
            </w:r>
          </w:p>
          <w:p w14:paraId="2283F120">
            <w:pPr>
              <w:spacing w:line="300" w:lineRule="exact"/>
              <w:jc w:val="left"/>
              <w:rPr>
                <w:color w:val="auto"/>
                <w:sz w:val="18"/>
                <w:szCs w:val="18"/>
                <w:highlight w:val="none"/>
              </w:rPr>
            </w:pPr>
            <w:r>
              <w:rPr>
                <w:color w:val="auto"/>
                <w:sz w:val="18"/>
                <w:szCs w:val="18"/>
                <w:highlight w:val="none"/>
              </w:rPr>
              <w:t>（300－100）万元×0.7%＝1.4万元</w:t>
            </w:r>
          </w:p>
          <w:p w14:paraId="3AC61BD6">
            <w:pPr>
              <w:spacing w:line="300" w:lineRule="exact"/>
              <w:jc w:val="left"/>
              <w:rPr>
                <w:color w:val="auto"/>
                <w:sz w:val="18"/>
                <w:szCs w:val="18"/>
                <w:highlight w:val="none"/>
              </w:rPr>
            </w:pPr>
            <w:r>
              <w:rPr>
                <w:color w:val="auto"/>
                <w:sz w:val="18"/>
                <w:szCs w:val="18"/>
                <w:highlight w:val="none"/>
              </w:rPr>
              <w:t>合计收费＝1.0＋1.4=2.4万元</w:t>
            </w:r>
          </w:p>
          <w:p w14:paraId="5D26B7F5">
            <w:pPr>
              <w:spacing w:line="300" w:lineRule="exact"/>
              <w:jc w:val="left"/>
              <w:rPr>
                <w:color w:val="auto"/>
                <w:sz w:val="18"/>
                <w:szCs w:val="18"/>
                <w:highlight w:val="none"/>
                <w:u w:val="single"/>
              </w:rPr>
            </w:pPr>
            <w:r>
              <w:rPr>
                <w:color w:val="auto"/>
                <w:sz w:val="18"/>
                <w:szCs w:val="18"/>
                <w:highlight w:val="none"/>
              </w:rPr>
              <w:sym w:font="Wingdings 2" w:char="F0A3"/>
            </w:r>
            <w:r>
              <w:rPr>
                <w:color w:val="auto"/>
                <w:sz w:val="18"/>
                <w:szCs w:val="18"/>
                <w:highlight w:val="none"/>
              </w:rPr>
              <w:t>采购代理机构向</w:t>
            </w:r>
            <w:r>
              <w:rPr>
                <w:rFonts w:hint="eastAsia"/>
                <w:color w:val="auto"/>
                <w:sz w:val="18"/>
                <w:szCs w:val="18"/>
                <w:highlight w:val="none"/>
              </w:rPr>
              <w:t>成交</w:t>
            </w:r>
            <w:r>
              <w:rPr>
                <w:color w:val="auto"/>
                <w:sz w:val="18"/>
                <w:szCs w:val="18"/>
                <w:highlight w:val="none"/>
              </w:rPr>
              <w:t>供应商收取代理服务费</w:t>
            </w:r>
            <w:r>
              <w:rPr>
                <w:rFonts w:hint="eastAsia"/>
                <w:color w:val="auto"/>
                <w:sz w:val="18"/>
                <w:szCs w:val="18"/>
                <w:highlight w:val="none"/>
              </w:rPr>
              <w:t>，</w:t>
            </w:r>
            <w:r>
              <w:rPr>
                <w:color w:val="auto"/>
                <w:sz w:val="18"/>
                <w:szCs w:val="18"/>
                <w:highlight w:val="none"/>
              </w:rPr>
              <w:t>具体金额为</w:t>
            </w:r>
            <w:r>
              <w:rPr>
                <w:rFonts w:hint="eastAsia"/>
                <w:color w:val="auto"/>
                <w:sz w:val="18"/>
                <w:szCs w:val="18"/>
                <w:highlight w:val="none"/>
                <w:u w:val="single"/>
              </w:rPr>
              <w:t xml:space="preserve">           </w:t>
            </w:r>
            <w:r>
              <w:rPr>
                <w:rFonts w:hint="eastAsia"/>
                <w:color w:val="auto"/>
                <w:sz w:val="18"/>
                <w:szCs w:val="18"/>
                <w:highlight w:val="none"/>
              </w:rPr>
              <w:t>。</w:t>
            </w:r>
          </w:p>
          <w:p w14:paraId="316C1C54">
            <w:pPr>
              <w:rPr>
                <w:color w:val="auto"/>
                <w:sz w:val="18"/>
                <w:szCs w:val="18"/>
                <w:highlight w:val="none"/>
              </w:rPr>
            </w:pPr>
            <w:r>
              <w:rPr>
                <w:color w:val="auto"/>
                <w:sz w:val="18"/>
                <w:szCs w:val="18"/>
                <w:highlight w:val="none"/>
              </w:rPr>
              <w:t>（2）</w:t>
            </w:r>
            <w:r>
              <w:rPr>
                <w:rFonts w:hint="eastAsia"/>
                <w:color w:val="auto"/>
                <w:sz w:val="18"/>
                <w:szCs w:val="18"/>
                <w:highlight w:val="none"/>
              </w:rPr>
              <w:t>成交</w:t>
            </w:r>
            <w:r>
              <w:rPr>
                <w:color w:val="auto"/>
                <w:sz w:val="18"/>
                <w:szCs w:val="18"/>
                <w:highlight w:val="none"/>
              </w:rPr>
              <w:t>供应商在</w:t>
            </w:r>
            <w:r>
              <w:rPr>
                <w:rFonts w:hint="eastAsia"/>
                <w:color w:val="auto"/>
                <w:sz w:val="18"/>
                <w:szCs w:val="18"/>
                <w:highlight w:val="none"/>
              </w:rPr>
              <w:t>成交</w:t>
            </w:r>
            <w:r>
              <w:rPr>
                <w:color w:val="auto"/>
                <w:sz w:val="18"/>
                <w:szCs w:val="18"/>
                <w:highlight w:val="none"/>
              </w:rPr>
              <w:t>通知书发出前以银行转账或现金形式支付代理服务费；采购代理机构也可以从</w:t>
            </w:r>
            <w:r>
              <w:rPr>
                <w:rFonts w:hint="eastAsia"/>
                <w:color w:val="auto"/>
                <w:sz w:val="18"/>
                <w:szCs w:val="18"/>
                <w:highlight w:val="none"/>
              </w:rPr>
              <w:t>成交</w:t>
            </w:r>
            <w:r>
              <w:rPr>
                <w:color w:val="auto"/>
                <w:sz w:val="18"/>
                <w:szCs w:val="18"/>
                <w:highlight w:val="none"/>
              </w:rPr>
              <w:t>供应商的</w:t>
            </w:r>
            <w:r>
              <w:rPr>
                <w:rFonts w:hint="eastAsia"/>
                <w:color w:val="auto"/>
                <w:sz w:val="18"/>
                <w:szCs w:val="18"/>
                <w:highlight w:val="none"/>
              </w:rPr>
              <w:t>磋商</w:t>
            </w:r>
            <w:r>
              <w:rPr>
                <w:color w:val="auto"/>
                <w:sz w:val="18"/>
                <w:szCs w:val="18"/>
                <w:highlight w:val="none"/>
              </w:rPr>
              <w:t>保证金中扣除上述金额的代理服务费，余款按供应商所汇入</w:t>
            </w:r>
            <w:r>
              <w:rPr>
                <w:rFonts w:hint="eastAsia"/>
                <w:color w:val="auto"/>
                <w:sz w:val="18"/>
                <w:szCs w:val="18"/>
                <w:highlight w:val="none"/>
              </w:rPr>
              <w:t>磋商</w:t>
            </w:r>
            <w:r>
              <w:rPr>
                <w:color w:val="auto"/>
                <w:sz w:val="18"/>
                <w:szCs w:val="18"/>
                <w:highlight w:val="none"/>
              </w:rPr>
              <w:t>保证金的账户原路退回，如无法原路返回，则按《代理服务费承诺书》列明的账户退回。</w:t>
            </w:r>
          </w:p>
          <w:p w14:paraId="1B8792B1">
            <w:pPr>
              <w:spacing w:line="300" w:lineRule="exact"/>
              <w:jc w:val="left"/>
              <w:rPr>
                <w:color w:val="auto"/>
                <w:kern w:val="0"/>
                <w:sz w:val="18"/>
                <w:szCs w:val="18"/>
                <w:highlight w:val="none"/>
              </w:rPr>
            </w:pPr>
            <w:r>
              <w:rPr>
                <w:rFonts w:hint="eastAsia"/>
                <w:color w:val="auto"/>
                <w:kern w:val="0"/>
                <w:sz w:val="18"/>
                <w:szCs w:val="18"/>
                <w:highlight w:val="none"/>
              </w:rPr>
              <w:t>开户银行：广西北部湾银行南宁市金湖支行</w:t>
            </w:r>
          </w:p>
          <w:p w14:paraId="3B13516A">
            <w:pPr>
              <w:spacing w:line="300" w:lineRule="exact"/>
              <w:jc w:val="left"/>
              <w:rPr>
                <w:color w:val="auto"/>
                <w:kern w:val="0"/>
                <w:sz w:val="18"/>
                <w:szCs w:val="18"/>
                <w:highlight w:val="none"/>
              </w:rPr>
            </w:pPr>
            <w:r>
              <w:rPr>
                <w:rFonts w:hint="eastAsia"/>
                <w:color w:val="auto"/>
                <w:kern w:val="0"/>
                <w:sz w:val="18"/>
                <w:szCs w:val="18"/>
                <w:highlight w:val="none"/>
              </w:rPr>
              <w:t>（银行地址：南宁市金湖路57号文德大厦1楼）</w:t>
            </w:r>
          </w:p>
          <w:p w14:paraId="6F27236D">
            <w:pPr>
              <w:spacing w:line="300" w:lineRule="exact"/>
              <w:jc w:val="left"/>
              <w:rPr>
                <w:color w:val="auto"/>
                <w:kern w:val="0"/>
                <w:sz w:val="18"/>
                <w:szCs w:val="18"/>
                <w:highlight w:val="none"/>
              </w:rPr>
            </w:pPr>
            <w:r>
              <w:rPr>
                <w:rFonts w:hint="eastAsia"/>
                <w:color w:val="auto"/>
                <w:kern w:val="0"/>
                <w:sz w:val="18"/>
                <w:szCs w:val="18"/>
                <w:highlight w:val="none"/>
              </w:rPr>
              <w:t>开户名称：广西机电设备招标有限公司</w:t>
            </w:r>
          </w:p>
          <w:p w14:paraId="4B86F738">
            <w:pPr>
              <w:spacing w:line="300" w:lineRule="exact"/>
              <w:jc w:val="left"/>
              <w:rPr>
                <w:color w:val="auto"/>
                <w:kern w:val="0"/>
                <w:sz w:val="18"/>
                <w:szCs w:val="18"/>
                <w:highlight w:val="none"/>
              </w:rPr>
            </w:pPr>
            <w:r>
              <w:rPr>
                <w:rFonts w:hint="eastAsia"/>
                <w:color w:val="auto"/>
                <w:kern w:val="0"/>
                <w:sz w:val="18"/>
                <w:szCs w:val="18"/>
                <w:highlight w:val="none"/>
              </w:rPr>
              <w:t>银行账号：1705012090027723 (联行号 313611017053)</w:t>
            </w:r>
          </w:p>
          <w:p w14:paraId="13C70B78">
            <w:pPr>
              <w:rPr>
                <w:color w:val="auto"/>
                <w:sz w:val="18"/>
                <w:szCs w:val="18"/>
                <w:highlight w:val="none"/>
              </w:rPr>
            </w:pPr>
            <w:r>
              <w:rPr>
                <w:rFonts w:hint="eastAsia"/>
                <w:color w:val="auto"/>
                <w:kern w:val="0"/>
                <w:sz w:val="18"/>
                <w:szCs w:val="18"/>
                <w:highlight w:val="none"/>
              </w:rPr>
              <w:t>财务联系人：吴茜（电话：0771-2821398）</w:t>
            </w:r>
          </w:p>
        </w:tc>
      </w:tr>
      <w:tr w14:paraId="19F8EE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vAlign w:val="center"/>
          </w:tcPr>
          <w:p w14:paraId="3333D319">
            <w:pPr>
              <w:spacing w:line="300" w:lineRule="exact"/>
              <w:jc w:val="center"/>
              <w:rPr>
                <w:color w:val="auto"/>
                <w:sz w:val="18"/>
                <w:szCs w:val="18"/>
                <w:highlight w:val="none"/>
              </w:rPr>
            </w:pPr>
            <w:r>
              <w:rPr>
                <w:b/>
                <w:color w:val="auto"/>
                <w:sz w:val="18"/>
                <w:szCs w:val="18"/>
                <w:highlight w:val="none"/>
              </w:rPr>
              <w:t>9.3</w:t>
            </w:r>
          </w:p>
        </w:tc>
        <w:tc>
          <w:tcPr>
            <w:tcW w:w="1204" w:type="dxa"/>
            <w:tcBorders>
              <w:top w:val="single" w:color="auto" w:sz="4" w:space="0"/>
              <w:left w:val="single" w:color="auto" w:sz="4" w:space="0"/>
              <w:bottom w:val="single" w:color="auto" w:sz="4" w:space="0"/>
              <w:right w:val="single" w:color="auto" w:sz="4" w:space="0"/>
            </w:tcBorders>
            <w:vAlign w:val="center"/>
          </w:tcPr>
          <w:p w14:paraId="663642FE">
            <w:pPr>
              <w:spacing w:line="300" w:lineRule="exact"/>
              <w:jc w:val="center"/>
              <w:rPr>
                <w:color w:val="auto"/>
                <w:sz w:val="18"/>
                <w:szCs w:val="18"/>
                <w:highlight w:val="none"/>
              </w:rPr>
            </w:pPr>
            <w:r>
              <w:rPr>
                <w:rFonts w:hint="eastAsia"/>
                <w:color w:val="auto"/>
                <w:sz w:val="18"/>
                <w:szCs w:val="18"/>
                <w:highlight w:val="none"/>
              </w:rPr>
              <w:t>履约保证金</w:t>
            </w:r>
          </w:p>
        </w:tc>
        <w:tc>
          <w:tcPr>
            <w:tcW w:w="6905" w:type="dxa"/>
            <w:tcBorders>
              <w:top w:val="single" w:color="auto" w:sz="4" w:space="0"/>
              <w:left w:val="single" w:color="auto" w:sz="4" w:space="0"/>
              <w:bottom w:val="single" w:color="auto" w:sz="4" w:space="0"/>
              <w:right w:val="single" w:color="auto" w:sz="4" w:space="0"/>
            </w:tcBorders>
            <w:vAlign w:val="center"/>
          </w:tcPr>
          <w:p w14:paraId="4AB4ED1B">
            <w:pPr>
              <w:spacing w:line="300" w:lineRule="exact"/>
              <w:jc w:val="left"/>
              <w:rPr>
                <w:color w:val="auto"/>
                <w:sz w:val="18"/>
                <w:szCs w:val="18"/>
                <w:highlight w:val="none"/>
              </w:rPr>
            </w:pPr>
            <w:r>
              <w:rPr>
                <w:rFonts w:hint="eastAsia" w:ascii="宋体" w:hAnsi="宋体" w:cs="宋体"/>
                <w:color w:val="auto"/>
                <w:sz w:val="18"/>
                <w:szCs w:val="18"/>
                <w:highlight w:val="none"/>
              </w:rPr>
              <w:t>本项目不收取履约保证金</w:t>
            </w:r>
          </w:p>
        </w:tc>
      </w:tr>
      <w:tr w14:paraId="36FDCC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vAlign w:val="center"/>
          </w:tcPr>
          <w:p w14:paraId="7DE9B385">
            <w:pPr>
              <w:spacing w:line="300" w:lineRule="exact"/>
              <w:jc w:val="center"/>
              <w:rPr>
                <w:color w:val="auto"/>
                <w:sz w:val="18"/>
                <w:szCs w:val="18"/>
                <w:highlight w:val="none"/>
              </w:rPr>
            </w:pPr>
            <w:r>
              <w:rPr>
                <w:b/>
                <w:color w:val="auto"/>
                <w:sz w:val="18"/>
                <w:szCs w:val="18"/>
                <w:highlight w:val="none"/>
              </w:rPr>
              <w:t>9.3</w:t>
            </w:r>
          </w:p>
        </w:tc>
        <w:tc>
          <w:tcPr>
            <w:tcW w:w="1204" w:type="dxa"/>
            <w:tcBorders>
              <w:top w:val="single" w:color="auto" w:sz="4" w:space="0"/>
              <w:left w:val="single" w:color="auto" w:sz="4" w:space="0"/>
              <w:bottom w:val="single" w:color="auto" w:sz="4" w:space="0"/>
              <w:right w:val="single" w:color="auto" w:sz="4" w:space="0"/>
            </w:tcBorders>
            <w:vAlign w:val="center"/>
          </w:tcPr>
          <w:p w14:paraId="0998F081">
            <w:pPr>
              <w:jc w:val="center"/>
              <w:rPr>
                <w:color w:val="auto"/>
                <w:sz w:val="18"/>
                <w:szCs w:val="18"/>
                <w:highlight w:val="none"/>
              </w:rPr>
            </w:pPr>
            <w:r>
              <w:rPr>
                <w:color w:val="auto"/>
                <w:sz w:val="18"/>
                <w:szCs w:val="18"/>
                <w:highlight w:val="none"/>
              </w:rPr>
              <w:t>农民工工资保障金</w:t>
            </w:r>
          </w:p>
        </w:tc>
        <w:tc>
          <w:tcPr>
            <w:tcW w:w="6905" w:type="dxa"/>
            <w:tcBorders>
              <w:top w:val="single" w:color="auto" w:sz="4" w:space="0"/>
              <w:left w:val="single" w:color="auto" w:sz="4" w:space="0"/>
              <w:bottom w:val="single" w:color="auto" w:sz="4" w:space="0"/>
              <w:right w:val="single" w:color="auto" w:sz="4" w:space="0"/>
            </w:tcBorders>
            <w:vAlign w:val="center"/>
          </w:tcPr>
          <w:p w14:paraId="4B4F29A7">
            <w:pPr>
              <w:spacing w:line="300" w:lineRule="exact"/>
              <w:jc w:val="left"/>
              <w:rPr>
                <w:color w:val="auto"/>
                <w:sz w:val="18"/>
                <w:szCs w:val="18"/>
                <w:highlight w:val="none"/>
              </w:rPr>
            </w:pPr>
            <w:r>
              <w:rPr>
                <w:rFonts w:hint="eastAsia" w:eastAsia="宋体"/>
                <w:color w:val="auto"/>
                <w:sz w:val="18"/>
                <w:szCs w:val="18"/>
                <w:highlight w:val="none"/>
              </w:rPr>
              <w:t>按广西壮族自治区人力资源和社会保障厅等8部门《关于印发广西壮族自治区工程建设领域农民工工资专用帐户管理暂行办法实施细则的通知》（桂人社规[2022]5号）执行，承包人在合同签订之日起30日内，自主选择在自治区行政区域内依法设立或设有分支机构的银行开立专用帐户。办理得施工许可证后，按照《关于印发广西壮族自治区工程建设领域农民工工资保证金规定实施办法的通知》桂人社规[2021]16号）缴存保证金，也可以使用银行保函</w:t>
            </w:r>
            <w:r>
              <w:rPr>
                <w:rFonts w:hint="default" w:eastAsia="宋体"/>
                <w:color w:val="auto"/>
                <w:sz w:val="18"/>
                <w:szCs w:val="18"/>
                <w:highlight w:val="none"/>
              </w:rPr>
              <w:t>、工程担保公司保函或工程保证保险</w:t>
            </w:r>
            <w:r>
              <w:rPr>
                <w:rFonts w:hint="eastAsia" w:eastAsia="宋体"/>
                <w:color w:val="auto"/>
                <w:sz w:val="18"/>
                <w:szCs w:val="18"/>
                <w:highlight w:val="none"/>
              </w:rPr>
              <w:t>。工程竣工验收结算经审定后，按照规定程序，将农民工工资保证金没有使用或剩余的金额退还给承包人。</w:t>
            </w:r>
          </w:p>
        </w:tc>
      </w:tr>
      <w:tr w14:paraId="41A61A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vAlign w:val="center"/>
          </w:tcPr>
          <w:p w14:paraId="419FF19D">
            <w:pPr>
              <w:spacing w:line="300" w:lineRule="exact"/>
              <w:jc w:val="center"/>
              <w:rPr>
                <w:b/>
                <w:color w:val="auto"/>
                <w:sz w:val="18"/>
                <w:szCs w:val="18"/>
                <w:highlight w:val="none"/>
              </w:rPr>
            </w:pPr>
            <w:r>
              <w:rPr>
                <w:b/>
                <w:color w:val="auto"/>
                <w:sz w:val="18"/>
                <w:szCs w:val="18"/>
                <w:highlight w:val="none"/>
              </w:rPr>
              <w:t>9.3</w:t>
            </w:r>
          </w:p>
        </w:tc>
        <w:tc>
          <w:tcPr>
            <w:tcW w:w="1204" w:type="dxa"/>
            <w:tcBorders>
              <w:top w:val="single" w:color="auto" w:sz="4" w:space="0"/>
              <w:left w:val="single" w:color="auto" w:sz="4" w:space="0"/>
              <w:bottom w:val="single" w:color="auto" w:sz="4" w:space="0"/>
              <w:right w:val="single" w:color="auto" w:sz="4" w:space="0"/>
            </w:tcBorders>
            <w:vAlign w:val="center"/>
          </w:tcPr>
          <w:p w14:paraId="3004E58F">
            <w:pPr>
              <w:jc w:val="center"/>
              <w:rPr>
                <w:color w:val="auto"/>
                <w:sz w:val="18"/>
                <w:szCs w:val="18"/>
                <w:highlight w:val="none"/>
              </w:rPr>
            </w:pPr>
            <w:r>
              <w:rPr>
                <w:rFonts w:hint="eastAsia"/>
                <w:color w:val="auto"/>
                <w:sz w:val="18"/>
                <w:szCs w:val="18"/>
                <w:highlight w:val="none"/>
              </w:rPr>
              <w:t>其他事项</w:t>
            </w:r>
          </w:p>
        </w:tc>
        <w:tc>
          <w:tcPr>
            <w:tcW w:w="6905" w:type="dxa"/>
            <w:tcBorders>
              <w:top w:val="single" w:color="auto" w:sz="4" w:space="0"/>
              <w:left w:val="single" w:color="auto" w:sz="4" w:space="0"/>
              <w:bottom w:val="single" w:color="auto" w:sz="4" w:space="0"/>
              <w:right w:val="single" w:color="auto" w:sz="4" w:space="0"/>
            </w:tcBorders>
            <w:vAlign w:val="center"/>
          </w:tcPr>
          <w:p w14:paraId="46E76A67">
            <w:pPr>
              <w:spacing w:line="300" w:lineRule="exact"/>
              <w:jc w:val="left"/>
              <w:rPr>
                <w:color w:val="auto"/>
                <w:sz w:val="18"/>
                <w:szCs w:val="18"/>
                <w:highlight w:val="none"/>
              </w:rPr>
            </w:pPr>
            <w:r>
              <w:rPr>
                <w:rFonts w:hint="eastAsia"/>
                <w:color w:val="auto"/>
                <w:sz w:val="18"/>
                <w:szCs w:val="18"/>
                <w:highlight w:val="none"/>
              </w:rPr>
              <w:t>构成本采购文件的各个组成文件应互为解释，互为说明：</w:t>
            </w:r>
          </w:p>
          <w:p w14:paraId="36E9C7E3">
            <w:pPr>
              <w:spacing w:line="300" w:lineRule="exact"/>
              <w:jc w:val="left"/>
              <w:rPr>
                <w:color w:val="auto"/>
                <w:sz w:val="18"/>
                <w:szCs w:val="18"/>
                <w:highlight w:val="none"/>
              </w:rPr>
            </w:pPr>
            <w:r>
              <w:rPr>
                <w:rFonts w:hint="eastAsia"/>
                <w:color w:val="auto"/>
                <w:sz w:val="18"/>
                <w:szCs w:val="18"/>
                <w:highlight w:val="none"/>
              </w:rPr>
              <w:t>除采购文件中有特别规定外，仅适用于招标投标阶段的规定，按更正公告（澄清公告）、磋商公告、采购需求、供应商须知、评审方法及标准、合同条款格式、响应文件格式的先后顺序解释；同一组成文件中就同一事项的规定或者约定不一致的，以编排顺序在后者为准；同一组成文件不同版本之间有不一致的，以形成时间在后者为准；更正公告（澄清公告）与同步更新的采购文件不一致时以更正公告（澄清公告）为准。按本款前述规定仍不能形成结论的，由采购人或者采购代理机构负责解释。</w:t>
            </w:r>
          </w:p>
        </w:tc>
      </w:tr>
    </w:tbl>
    <w:p w14:paraId="3E4A0385">
      <w:pPr>
        <w:tabs>
          <w:tab w:val="left" w:pos="611"/>
        </w:tabs>
        <w:rPr>
          <w:color w:val="auto"/>
          <w:sz w:val="24"/>
          <w:szCs w:val="24"/>
          <w:highlight w:val="none"/>
        </w:rPr>
      </w:pPr>
    </w:p>
    <w:p w14:paraId="1A85AAC4">
      <w:pPr>
        <w:spacing w:before="120" w:line="320" w:lineRule="atLeast"/>
        <w:outlineLvl w:val="1"/>
        <w:rPr>
          <w:b/>
          <w:bCs/>
          <w:color w:val="auto"/>
          <w:kern w:val="0"/>
          <w:sz w:val="24"/>
          <w:szCs w:val="24"/>
          <w:highlight w:val="none"/>
        </w:rPr>
      </w:pPr>
      <w:r>
        <w:rPr>
          <w:color w:val="auto"/>
          <w:sz w:val="24"/>
          <w:szCs w:val="24"/>
          <w:highlight w:val="none"/>
        </w:rPr>
        <w:br w:type="page"/>
      </w:r>
      <w:bookmarkStart w:id="28" w:name="_Hlk89188603"/>
      <w:r>
        <w:rPr>
          <w:b/>
          <w:bCs/>
          <w:color w:val="auto"/>
          <w:kern w:val="0"/>
          <w:sz w:val="24"/>
          <w:szCs w:val="24"/>
          <w:highlight w:val="none"/>
        </w:rPr>
        <w:t>1．总则</w:t>
      </w:r>
    </w:p>
    <w:p w14:paraId="14F4F1FB">
      <w:pPr>
        <w:spacing w:before="120" w:line="320" w:lineRule="atLeast"/>
        <w:ind w:firstLine="482" w:firstLineChars="200"/>
        <w:outlineLvl w:val="2"/>
        <w:rPr>
          <w:b/>
          <w:bCs/>
          <w:color w:val="auto"/>
          <w:kern w:val="0"/>
          <w:sz w:val="24"/>
          <w:szCs w:val="24"/>
          <w:highlight w:val="none"/>
        </w:rPr>
      </w:pPr>
      <w:bookmarkStart w:id="29" w:name="_Toc254970527"/>
      <w:bookmarkStart w:id="30" w:name="_Toc254970668"/>
      <w:r>
        <w:rPr>
          <w:b/>
          <w:bCs/>
          <w:color w:val="auto"/>
          <w:kern w:val="0"/>
          <w:sz w:val="24"/>
          <w:szCs w:val="24"/>
          <w:highlight w:val="none"/>
        </w:rPr>
        <w:t>1.1适用范围</w:t>
      </w:r>
      <w:bookmarkEnd w:id="29"/>
      <w:bookmarkEnd w:id="30"/>
    </w:p>
    <w:p w14:paraId="13F3D652">
      <w:pPr>
        <w:spacing w:before="120" w:line="320" w:lineRule="atLeast"/>
        <w:ind w:firstLine="480" w:firstLineChars="200"/>
        <w:rPr>
          <w:color w:val="auto"/>
          <w:sz w:val="24"/>
          <w:szCs w:val="24"/>
          <w:highlight w:val="none"/>
        </w:rPr>
      </w:pPr>
      <w:r>
        <w:rPr>
          <w:color w:val="auto"/>
          <w:sz w:val="24"/>
          <w:szCs w:val="24"/>
          <w:highlight w:val="none"/>
        </w:rPr>
        <w:t>本采购文件适用于供应商须知前附表所述项目的</w:t>
      </w:r>
      <w:r>
        <w:rPr>
          <w:rFonts w:hint="eastAsia"/>
          <w:color w:val="auto"/>
          <w:sz w:val="24"/>
          <w:szCs w:val="24"/>
          <w:highlight w:val="none"/>
        </w:rPr>
        <w:t>政府采购活动。</w:t>
      </w:r>
    </w:p>
    <w:p w14:paraId="0C71BABE">
      <w:pPr>
        <w:spacing w:before="120" w:line="320" w:lineRule="atLeast"/>
        <w:ind w:firstLine="482" w:firstLineChars="200"/>
        <w:outlineLvl w:val="2"/>
        <w:rPr>
          <w:b/>
          <w:bCs/>
          <w:color w:val="auto"/>
          <w:kern w:val="0"/>
          <w:sz w:val="24"/>
          <w:szCs w:val="24"/>
          <w:highlight w:val="none"/>
        </w:rPr>
      </w:pPr>
      <w:bookmarkStart w:id="31" w:name="_Toc254970528"/>
      <w:bookmarkStart w:id="32" w:name="_Toc254970669"/>
      <w:r>
        <w:rPr>
          <w:b/>
          <w:bCs/>
          <w:color w:val="auto"/>
          <w:kern w:val="0"/>
          <w:sz w:val="24"/>
          <w:szCs w:val="24"/>
          <w:highlight w:val="none"/>
        </w:rPr>
        <w:t>1.2定义</w:t>
      </w:r>
      <w:bookmarkEnd w:id="31"/>
      <w:bookmarkEnd w:id="32"/>
    </w:p>
    <w:p w14:paraId="0215D249">
      <w:pPr>
        <w:spacing w:before="120" w:line="320" w:lineRule="atLeast"/>
        <w:ind w:firstLine="480" w:firstLineChars="200"/>
        <w:rPr>
          <w:color w:val="auto"/>
          <w:sz w:val="24"/>
          <w:szCs w:val="24"/>
          <w:highlight w:val="none"/>
        </w:rPr>
      </w:pPr>
      <w:r>
        <w:rPr>
          <w:color w:val="auto"/>
          <w:sz w:val="24"/>
          <w:szCs w:val="24"/>
          <w:highlight w:val="none"/>
        </w:rPr>
        <w:t>1.2.1“采购人”系指依法进行政府采购的国家机关、事业单位、团体组织。</w:t>
      </w:r>
    </w:p>
    <w:p w14:paraId="1A30E408">
      <w:pPr>
        <w:spacing w:before="120" w:line="320" w:lineRule="atLeast"/>
        <w:ind w:firstLine="480" w:firstLineChars="200"/>
        <w:rPr>
          <w:color w:val="auto"/>
          <w:sz w:val="24"/>
          <w:szCs w:val="24"/>
          <w:highlight w:val="none"/>
        </w:rPr>
      </w:pPr>
      <w:r>
        <w:rPr>
          <w:color w:val="auto"/>
          <w:sz w:val="24"/>
          <w:szCs w:val="24"/>
          <w:highlight w:val="none"/>
        </w:rPr>
        <w:t>1.2.2“供应商”系</w:t>
      </w:r>
      <w:r>
        <w:rPr>
          <w:color w:val="auto"/>
          <w:sz w:val="24"/>
          <w:highlight w:val="none"/>
        </w:rPr>
        <w:t>指响应</w:t>
      </w:r>
      <w:r>
        <w:rPr>
          <w:rFonts w:hint="eastAsia"/>
          <w:color w:val="auto"/>
          <w:sz w:val="24"/>
          <w:highlight w:val="none"/>
        </w:rPr>
        <w:t>磋商</w:t>
      </w:r>
      <w:r>
        <w:rPr>
          <w:color w:val="auto"/>
          <w:sz w:val="24"/>
          <w:highlight w:val="none"/>
        </w:rPr>
        <w:t>、参加</w:t>
      </w:r>
      <w:r>
        <w:rPr>
          <w:rFonts w:hint="eastAsia"/>
          <w:color w:val="auto"/>
          <w:sz w:val="24"/>
          <w:highlight w:val="none"/>
        </w:rPr>
        <w:t>响应</w:t>
      </w:r>
      <w:r>
        <w:rPr>
          <w:color w:val="auto"/>
          <w:sz w:val="24"/>
          <w:highlight w:val="none"/>
        </w:rPr>
        <w:t>竞争的法人、其他组织或者自然人</w:t>
      </w:r>
      <w:r>
        <w:rPr>
          <w:color w:val="auto"/>
          <w:sz w:val="24"/>
          <w:szCs w:val="24"/>
          <w:highlight w:val="none"/>
        </w:rPr>
        <w:t>。</w:t>
      </w:r>
    </w:p>
    <w:p w14:paraId="60A8D282">
      <w:pPr>
        <w:spacing w:before="120" w:line="360" w:lineRule="auto"/>
        <w:ind w:firstLine="480" w:firstLineChars="200"/>
        <w:rPr>
          <w:color w:val="auto"/>
          <w:sz w:val="24"/>
          <w:highlight w:val="none"/>
        </w:rPr>
      </w:pPr>
      <w:r>
        <w:rPr>
          <w:rFonts w:hint="eastAsia"/>
          <w:color w:val="auto"/>
          <w:sz w:val="24"/>
          <w:highlight w:val="none"/>
        </w:rPr>
        <w:t>1.2.3</w:t>
      </w:r>
      <w:r>
        <w:rPr>
          <w:color w:val="auto"/>
          <w:sz w:val="24"/>
          <w:highlight w:val="none"/>
        </w:rPr>
        <w:t>本</w:t>
      </w:r>
      <w:r>
        <w:rPr>
          <w:rFonts w:hint="eastAsia"/>
          <w:color w:val="auto"/>
          <w:sz w:val="24"/>
          <w:highlight w:val="none"/>
        </w:rPr>
        <w:t>文件</w:t>
      </w:r>
      <w:r>
        <w:rPr>
          <w:color w:val="auto"/>
          <w:sz w:val="24"/>
          <w:highlight w:val="none"/>
        </w:rPr>
        <w:t>中的</w:t>
      </w:r>
      <w:r>
        <w:rPr>
          <w:rFonts w:hint="eastAsia"/>
          <w:color w:val="auto"/>
          <w:sz w:val="24"/>
          <w:highlight w:val="none"/>
        </w:rPr>
        <w:t>“法定代表人”若无特别说明，当</w:t>
      </w:r>
      <w:r>
        <w:rPr>
          <w:color w:val="auto"/>
          <w:sz w:val="24"/>
          <w:highlight w:val="none"/>
        </w:rPr>
        <w:t>供应商是</w:t>
      </w:r>
      <w:r>
        <w:rPr>
          <w:rFonts w:hint="eastAsia"/>
          <w:color w:val="auto"/>
          <w:sz w:val="24"/>
          <w:highlight w:val="none"/>
        </w:rPr>
        <w:t>企业的，是指企业法人营业执照上的法定代表人；当</w:t>
      </w:r>
      <w:r>
        <w:rPr>
          <w:color w:val="auto"/>
          <w:sz w:val="24"/>
          <w:highlight w:val="none"/>
        </w:rPr>
        <w:t>供应商是</w:t>
      </w:r>
      <w:r>
        <w:rPr>
          <w:rFonts w:hint="eastAsia"/>
          <w:color w:val="auto"/>
          <w:sz w:val="24"/>
          <w:highlight w:val="none"/>
        </w:rPr>
        <w:t>事业单位的，是指事业单位法人证书上的法定代表人；当</w:t>
      </w:r>
      <w:r>
        <w:rPr>
          <w:color w:val="auto"/>
          <w:sz w:val="24"/>
          <w:highlight w:val="none"/>
        </w:rPr>
        <w:t>供应商是</w:t>
      </w:r>
      <w:r>
        <w:rPr>
          <w:rFonts w:hint="eastAsia"/>
          <w:color w:val="auto"/>
          <w:sz w:val="24"/>
          <w:highlight w:val="none"/>
        </w:rPr>
        <w:t>社会团体、民办非企业的，是指法人登记证书中的法定代表人；当</w:t>
      </w:r>
      <w:r>
        <w:rPr>
          <w:color w:val="auto"/>
          <w:sz w:val="24"/>
          <w:highlight w:val="none"/>
        </w:rPr>
        <w:t>供应商是</w:t>
      </w:r>
      <w:r>
        <w:rPr>
          <w:rFonts w:hint="eastAsia"/>
          <w:color w:val="auto"/>
          <w:sz w:val="24"/>
          <w:highlight w:val="none"/>
        </w:rPr>
        <w:t>个体工商户的，是指个体工商户营业执照上的经营者；</w:t>
      </w:r>
      <w:r>
        <w:rPr>
          <w:color w:val="auto"/>
          <w:sz w:val="24"/>
          <w:highlight w:val="none"/>
        </w:rPr>
        <w:t>当供应商是自然人</w:t>
      </w:r>
      <w:r>
        <w:rPr>
          <w:rFonts w:hint="eastAsia"/>
          <w:color w:val="auto"/>
          <w:sz w:val="24"/>
          <w:highlight w:val="none"/>
        </w:rPr>
        <w:t>的，是指参与本项目响应的自然人本人。</w:t>
      </w:r>
      <w:r>
        <w:rPr>
          <w:color w:val="auto"/>
          <w:sz w:val="24"/>
          <w:highlight w:val="none"/>
        </w:rPr>
        <w:br w:type="textWrapping"/>
      </w:r>
      <w:r>
        <w:rPr>
          <w:color w:val="auto"/>
          <w:sz w:val="24"/>
          <w:highlight w:val="none"/>
        </w:rPr>
        <w:t xml:space="preserve">    </w:t>
      </w:r>
      <w:r>
        <w:rPr>
          <w:rFonts w:hint="eastAsia"/>
          <w:color w:val="auto"/>
          <w:sz w:val="24"/>
          <w:highlight w:val="none"/>
        </w:rPr>
        <w:t>1.2.4本文件中的“公章”是指根据我国对公章的管理规定，用供应商法定主体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47A0C0A2">
      <w:pPr>
        <w:widowControl/>
        <w:spacing w:line="360" w:lineRule="auto"/>
        <w:ind w:firstLine="480" w:firstLineChars="200"/>
        <w:jc w:val="left"/>
        <w:rPr>
          <w:color w:val="auto"/>
          <w:sz w:val="24"/>
          <w:szCs w:val="24"/>
          <w:highlight w:val="none"/>
        </w:rPr>
      </w:pPr>
      <w:r>
        <w:rPr>
          <w:color w:val="auto"/>
          <w:sz w:val="24"/>
          <w:szCs w:val="24"/>
          <w:highlight w:val="none"/>
        </w:rPr>
        <w:t>1.2.</w:t>
      </w:r>
      <w:r>
        <w:rPr>
          <w:rFonts w:hint="eastAsia"/>
          <w:color w:val="auto"/>
          <w:sz w:val="24"/>
          <w:szCs w:val="24"/>
          <w:highlight w:val="none"/>
        </w:rPr>
        <w:t>5</w:t>
      </w:r>
      <w:r>
        <w:rPr>
          <w:color w:val="auto"/>
          <w:sz w:val="24"/>
          <w:szCs w:val="24"/>
          <w:highlight w:val="none"/>
        </w:rPr>
        <w:t>“书面形式”如无特殊规定，</w:t>
      </w:r>
      <w:r>
        <w:rPr>
          <w:rFonts w:hint="eastAsia"/>
          <w:color w:val="auto"/>
          <w:sz w:val="24"/>
          <w:szCs w:val="24"/>
          <w:highlight w:val="none"/>
        </w:rPr>
        <w:t>书面形式是合同书、信件、电报、电传等可以有形地表现所载内容的形式。以电子数据交换、电子邮件等方式能够有形地表现所载内容，并可以随时调取查用的数据电文，视为书面形式。</w:t>
      </w:r>
      <w:r>
        <w:rPr>
          <w:color w:val="auto"/>
          <w:sz w:val="24"/>
          <w:szCs w:val="24"/>
          <w:highlight w:val="none"/>
        </w:rPr>
        <w:t xml:space="preserve">采购文件如有特殊规定，以采购文件规定为准。 </w:t>
      </w:r>
    </w:p>
    <w:p w14:paraId="7D0AE6E8">
      <w:pPr>
        <w:spacing w:before="120" w:line="320" w:lineRule="atLeast"/>
        <w:ind w:firstLine="480" w:firstLineChars="200"/>
        <w:rPr>
          <w:color w:val="auto"/>
          <w:sz w:val="24"/>
          <w:szCs w:val="24"/>
          <w:highlight w:val="none"/>
        </w:rPr>
      </w:pPr>
      <w:r>
        <w:rPr>
          <w:color w:val="auto"/>
          <w:sz w:val="24"/>
          <w:szCs w:val="24"/>
          <w:highlight w:val="none"/>
        </w:rPr>
        <w:t>1.2.</w:t>
      </w:r>
      <w:r>
        <w:rPr>
          <w:rFonts w:hint="eastAsia"/>
          <w:color w:val="auto"/>
          <w:sz w:val="24"/>
          <w:szCs w:val="24"/>
          <w:highlight w:val="none"/>
        </w:rPr>
        <w:t>6本项目的技术商务要求重要性分为“▲”（如有）、“#”（如有）和一般无标识指标。▲代表实质性要求指标，</w:t>
      </w:r>
      <w:r>
        <w:rPr>
          <w:rFonts w:hint="eastAsia"/>
          <w:b/>
          <w:bCs/>
          <w:color w:val="auto"/>
          <w:sz w:val="24"/>
          <w:szCs w:val="24"/>
          <w:highlight w:val="none"/>
        </w:rPr>
        <w:t>不满足该指标项将导致响应被否决</w:t>
      </w:r>
      <w:r>
        <w:rPr>
          <w:rFonts w:hint="eastAsia"/>
          <w:color w:val="auto"/>
          <w:sz w:val="24"/>
          <w:szCs w:val="24"/>
          <w:highlight w:val="none"/>
        </w:rPr>
        <w:t>，#代表重要指标，无标识则表示一般指标项。</w:t>
      </w:r>
    </w:p>
    <w:p w14:paraId="26494D3E">
      <w:pPr>
        <w:spacing w:before="120" w:line="320" w:lineRule="atLeast"/>
        <w:ind w:firstLine="480" w:firstLineChars="200"/>
        <w:rPr>
          <w:color w:val="auto"/>
          <w:sz w:val="24"/>
          <w:szCs w:val="24"/>
          <w:highlight w:val="none"/>
        </w:rPr>
      </w:pPr>
      <w:r>
        <w:rPr>
          <w:color w:val="auto"/>
          <w:sz w:val="24"/>
          <w:szCs w:val="24"/>
          <w:highlight w:val="none"/>
        </w:rPr>
        <w:t>1.2.</w:t>
      </w:r>
      <w:r>
        <w:rPr>
          <w:rFonts w:hint="eastAsia"/>
          <w:color w:val="auto"/>
          <w:sz w:val="24"/>
          <w:szCs w:val="24"/>
          <w:highlight w:val="none"/>
        </w:rPr>
        <w:t>7 本</w:t>
      </w:r>
      <w:r>
        <w:rPr>
          <w:color w:val="auto"/>
          <w:sz w:val="24"/>
          <w:szCs w:val="24"/>
          <w:highlight w:val="none"/>
        </w:rPr>
        <w:t>采购文件</w:t>
      </w:r>
      <w:r>
        <w:rPr>
          <w:rFonts w:hint="eastAsia"/>
          <w:color w:val="auto"/>
          <w:sz w:val="24"/>
          <w:szCs w:val="24"/>
          <w:highlight w:val="none"/>
        </w:rPr>
        <w:t>出现多种选项的条款，以“</w:t>
      </w:r>
      <w:r>
        <w:rPr>
          <w:color w:val="auto"/>
          <w:sz w:val="24"/>
          <w:highlight w:val="none"/>
        </w:rPr>
        <w:sym w:font="Wingdings 2" w:char="F052"/>
      </w:r>
      <w:r>
        <w:rPr>
          <w:rFonts w:hint="eastAsia"/>
          <w:color w:val="auto"/>
          <w:sz w:val="24"/>
          <w:szCs w:val="24"/>
          <w:highlight w:val="none"/>
        </w:rPr>
        <w:t>”表示本条款所选择的方式。</w:t>
      </w:r>
    </w:p>
    <w:p w14:paraId="6524F9D8">
      <w:pPr>
        <w:spacing w:before="120" w:line="320" w:lineRule="atLeast"/>
        <w:ind w:firstLine="480" w:firstLineChars="200"/>
        <w:rPr>
          <w:color w:val="auto"/>
          <w:sz w:val="24"/>
          <w:szCs w:val="24"/>
          <w:highlight w:val="none"/>
        </w:rPr>
      </w:pPr>
      <w:r>
        <w:rPr>
          <w:rFonts w:hint="eastAsia"/>
          <w:color w:val="auto"/>
          <w:sz w:val="24"/>
          <w:szCs w:val="24"/>
          <w:highlight w:val="none"/>
        </w:rPr>
        <w:t>1.</w:t>
      </w:r>
      <w:r>
        <w:rPr>
          <w:color w:val="auto"/>
          <w:sz w:val="24"/>
          <w:szCs w:val="24"/>
          <w:highlight w:val="none"/>
        </w:rPr>
        <w:t>2</w:t>
      </w:r>
      <w:r>
        <w:rPr>
          <w:rFonts w:hint="eastAsia"/>
          <w:color w:val="auto"/>
          <w:sz w:val="24"/>
          <w:szCs w:val="24"/>
          <w:highlight w:val="none"/>
        </w:rPr>
        <w:t>.</w:t>
      </w:r>
      <w:r>
        <w:rPr>
          <w:color w:val="auto"/>
          <w:sz w:val="24"/>
          <w:szCs w:val="24"/>
          <w:highlight w:val="none"/>
        </w:rPr>
        <w:t>8 “</w:t>
      </w:r>
      <w:r>
        <w:rPr>
          <w:rFonts w:hint="eastAsia"/>
          <w:color w:val="auto"/>
          <w:sz w:val="24"/>
          <w:szCs w:val="24"/>
          <w:highlight w:val="none"/>
        </w:rPr>
        <w:t>电子交易平台</w:t>
      </w:r>
      <w:r>
        <w:rPr>
          <w:color w:val="auto"/>
          <w:sz w:val="24"/>
          <w:szCs w:val="24"/>
          <w:highlight w:val="none"/>
        </w:rPr>
        <w:t>”</w:t>
      </w:r>
      <w:r>
        <w:rPr>
          <w:rFonts w:hint="eastAsia"/>
          <w:color w:val="auto"/>
          <w:sz w:val="24"/>
          <w:szCs w:val="24"/>
          <w:highlight w:val="none"/>
        </w:rPr>
        <w:t>是指以数据电文形式在线完成采购活动的信息平台，本采购文件中也称</w:t>
      </w:r>
      <w:r>
        <w:rPr>
          <w:color w:val="auto"/>
          <w:sz w:val="24"/>
          <w:szCs w:val="24"/>
          <w:highlight w:val="none"/>
        </w:rPr>
        <w:t>“</w:t>
      </w:r>
      <w:r>
        <w:rPr>
          <w:rFonts w:hint="eastAsia"/>
          <w:color w:val="auto"/>
          <w:sz w:val="24"/>
          <w:szCs w:val="24"/>
          <w:highlight w:val="none"/>
        </w:rPr>
        <w:t>广西政府采购云平台</w:t>
      </w:r>
      <w:r>
        <w:rPr>
          <w:color w:val="auto"/>
          <w:sz w:val="24"/>
          <w:szCs w:val="24"/>
          <w:highlight w:val="none"/>
        </w:rPr>
        <w:t>”</w:t>
      </w:r>
      <w:r>
        <w:rPr>
          <w:rFonts w:hint="eastAsia"/>
          <w:color w:val="auto"/>
          <w:sz w:val="24"/>
          <w:szCs w:val="24"/>
          <w:highlight w:val="none"/>
        </w:rPr>
        <w:t>。</w:t>
      </w:r>
    </w:p>
    <w:p w14:paraId="5691C7C2">
      <w:pPr>
        <w:spacing w:before="120" w:line="320" w:lineRule="atLeast"/>
        <w:ind w:firstLine="482" w:firstLineChars="200"/>
        <w:outlineLvl w:val="2"/>
        <w:rPr>
          <w:b/>
          <w:bCs/>
          <w:color w:val="auto"/>
          <w:kern w:val="0"/>
          <w:sz w:val="24"/>
          <w:szCs w:val="24"/>
          <w:highlight w:val="none"/>
        </w:rPr>
      </w:pPr>
      <w:r>
        <w:rPr>
          <w:rFonts w:hint="eastAsia"/>
          <w:b/>
          <w:bCs/>
          <w:color w:val="auto"/>
          <w:kern w:val="0"/>
          <w:sz w:val="24"/>
          <w:szCs w:val="24"/>
          <w:highlight w:val="none"/>
        </w:rPr>
        <w:t>1</w:t>
      </w:r>
      <w:r>
        <w:rPr>
          <w:b/>
          <w:bCs/>
          <w:color w:val="auto"/>
          <w:kern w:val="0"/>
          <w:sz w:val="24"/>
          <w:szCs w:val="24"/>
          <w:highlight w:val="none"/>
        </w:rPr>
        <w:t>.3</w:t>
      </w:r>
      <w:r>
        <w:rPr>
          <w:rFonts w:hint="eastAsia"/>
          <w:b/>
          <w:bCs/>
          <w:color w:val="auto"/>
          <w:kern w:val="0"/>
          <w:sz w:val="24"/>
          <w:szCs w:val="24"/>
          <w:highlight w:val="none"/>
        </w:rPr>
        <w:t>项目信息</w:t>
      </w:r>
    </w:p>
    <w:p w14:paraId="31A933B8">
      <w:pPr>
        <w:spacing w:before="120" w:line="320" w:lineRule="atLeast"/>
        <w:ind w:firstLine="480" w:firstLineChars="200"/>
        <w:rPr>
          <w:color w:val="auto"/>
          <w:sz w:val="24"/>
          <w:szCs w:val="24"/>
          <w:highlight w:val="none"/>
        </w:rPr>
      </w:pPr>
      <w:r>
        <w:rPr>
          <w:rFonts w:hint="eastAsia"/>
          <w:color w:val="auto"/>
          <w:sz w:val="24"/>
          <w:szCs w:val="24"/>
          <w:highlight w:val="none"/>
        </w:rPr>
        <w:t>1</w:t>
      </w:r>
      <w:r>
        <w:rPr>
          <w:color w:val="auto"/>
          <w:sz w:val="24"/>
          <w:szCs w:val="24"/>
          <w:highlight w:val="none"/>
        </w:rPr>
        <w:t>.3.1</w:t>
      </w:r>
      <w:r>
        <w:rPr>
          <w:rFonts w:hint="eastAsia"/>
          <w:color w:val="auto"/>
          <w:sz w:val="24"/>
          <w:szCs w:val="24"/>
          <w:highlight w:val="none"/>
        </w:rPr>
        <w:t>项目名称及编号：详见</w:t>
      </w:r>
      <w:bookmarkStart w:id="33" w:name="_Hlk89176704"/>
      <w:r>
        <w:rPr>
          <w:rFonts w:hint="eastAsia"/>
          <w:color w:val="auto"/>
          <w:sz w:val="24"/>
          <w:szCs w:val="24"/>
          <w:highlight w:val="none"/>
        </w:rPr>
        <w:t>供应商须知前附表</w:t>
      </w:r>
      <w:bookmarkEnd w:id="33"/>
    </w:p>
    <w:p w14:paraId="4331F64E">
      <w:pPr>
        <w:spacing w:before="120" w:line="320" w:lineRule="atLeast"/>
        <w:ind w:firstLine="480" w:firstLineChars="200"/>
        <w:rPr>
          <w:color w:val="auto"/>
          <w:sz w:val="24"/>
          <w:szCs w:val="24"/>
          <w:highlight w:val="none"/>
        </w:rPr>
      </w:pPr>
      <w:r>
        <w:rPr>
          <w:rFonts w:hint="eastAsia"/>
          <w:color w:val="auto"/>
          <w:sz w:val="24"/>
          <w:szCs w:val="24"/>
          <w:highlight w:val="none"/>
        </w:rPr>
        <w:t>1</w:t>
      </w:r>
      <w:r>
        <w:rPr>
          <w:color w:val="auto"/>
          <w:sz w:val="24"/>
          <w:szCs w:val="24"/>
          <w:highlight w:val="none"/>
        </w:rPr>
        <w:t>.3.2</w:t>
      </w:r>
      <w:r>
        <w:rPr>
          <w:rFonts w:hint="eastAsia"/>
          <w:color w:val="auto"/>
          <w:sz w:val="24"/>
          <w:szCs w:val="24"/>
          <w:highlight w:val="none"/>
        </w:rPr>
        <w:t>采购方式：详见供应商须知前附表</w:t>
      </w:r>
    </w:p>
    <w:p w14:paraId="6EC2EDB8">
      <w:pPr>
        <w:spacing w:before="120" w:line="320" w:lineRule="atLeast"/>
        <w:ind w:firstLine="482" w:firstLineChars="200"/>
        <w:outlineLvl w:val="2"/>
        <w:rPr>
          <w:b/>
          <w:bCs/>
          <w:color w:val="auto"/>
          <w:kern w:val="0"/>
          <w:sz w:val="24"/>
          <w:szCs w:val="24"/>
          <w:highlight w:val="none"/>
        </w:rPr>
      </w:pPr>
      <w:bookmarkStart w:id="34" w:name="_Hlk132812137"/>
      <w:r>
        <w:rPr>
          <w:rFonts w:hint="eastAsia"/>
          <w:b/>
          <w:bCs/>
          <w:color w:val="auto"/>
          <w:kern w:val="0"/>
          <w:sz w:val="24"/>
          <w:szCs w:val="24"/>
          <w:highlight w:val="none"/>
        </w:rPr>
        <w:t>1</w:t>
      </w:r>
      <w:r>
        <w:rPr>
          <w:b/>
          <w:bCs/>
          <w:color w:val="auto"/>
          <w:kern w:val="0"/>
          <w:sz w:val="24"/>
          <w:szCs w:val="24"/>
          <w:highlight w:val="none"/>
        </w:rPr>
        <w:t>.4</w:t>
      </w:r>
      <w:r>
        <w:rPr>
          <w:rFonts w:hint="eastAsia"/>
          <w:b/>
          <w:bCs/>
          <w:color w:val="auto"/>
          <w:kern w:val="0"/>
          <w:sz w:val="24"/>
          <w:szCs w:val="24"/>
          <w:highlight w:val="none"/>
        </w:rPr>
        <w:t>促进中小企业发展政策</w:t>
      </w:r>
    </w:p>
    <w:p w14:paraId="47268E73">
      <w:pPr>
        <w:spacing w:before="120" w:line="320" w:lineRule="atLeast"/>
        <w:ind w:left="2" w:leftChars="1" w:firstLine="480" w:firstLineChars="200"/>
        <w:rPr>
          <w:color w:val="auto"/>
          <w:sz w:val="24"/>
          <w:szCs w:val="24"/>
          <w:highlight w:val="none"/>
        </w:rPr>
      </w:pPr>
      <w:r>
        <w:rPr>
          <w:color w:val="auto"/>
          <w:sz w:val="24"/>
          <w:szCs w:val="24"/>
          <w:highlight w:val="none"/>
        </w:rPr>
        <w:t>1.4.1</w:t>
      </w:r>
      <w:r>
        <w:rPr>
          <w:rFonts w:hint="eastAsia"/>
          <w:color w:val="auto"/>
          <w:sz w:val="24"/>
          <w:szCs w:val="24"/>
          <w:highlight w:val="none"/>
        </w:rPr>
        <w:t>本项目落实促进中小企业发展政策措施在前附表规定。依据促进中小企业发展政策获得政府采购合同的，小微企业不得将合同分包给大中型企业，中型企业不得将合同分包给大型企业。</w:t>
      </w:r>
    </w:p>
    <w:p w14:paraId="32851B7C">
      <w:pPr>
        <w:spacing w:before="120" w:line="320" w:lineRule="atLeast"/>
        <w:ind w:left="2" w:leftChars="1" w:firstLine="480" w:firstLineChars="200"/>
        <w:rPr>
          <w:color w:val="auto"/>
          <w:sz w:val="24"/>
          <w:szCs w:val="24"/>
          <w:highlight w:val="none"/>
        </w:rPr>
      </w:pPr>
      <w:bookmarkStart w:id="35" w:name="_Hlk92205820"/>
      <w:r>
        <w:rPr>
          <w:color w:val="auto"/>
          <w:sz w:val="24"/>
          <w:szCs w:val="24"/>
          <w:highlight w:val="none"/>
        </w:rPr>
        <w:t>1.4.2</w:t>
      </w:r>
      <w:r>
        <w:rPr>
          <w:rFonts w:hint="eastAsia"/>
          <w:color w:val="auto"/>
          <w:sz w:val="24"/>
          <w:szCs w:val="24"/>
          <w:highlight w:val="none"/>
        </w:rPr>
        <w:t>中小企业定义</w:t>
      </w:r>
    </w:p>
    <w:p w14:paraId="377C37BE">
      <w:pPr>
        <w:spacing w:before="120" w:line="320" w:lineRule="atLeast"/>
        <w:ind w:firstLine="480" w:firstLineChars="200"/>
        <w:rPr>
          <w:color w:val="auto"/>
          <w:sz w:val="24"/>
          <w:szCs w:val="24"/>
          <w:highlight w:val="none"/>
        </w:rPr>
      </w:pPr>
      <w:r>
        <w:rPr>
          <w:color w:val="auto"/>
          <w:sz w:val="24"/>
          <w:szCs w:val="24"/>
          <w:highlight w:val="none"/>
        </w:rPr>
        <w:t>1.4.2.1</w:t>
      </w:r>
      <w:r>
        <w:rPr>
          <w:rFonts w:hint="eastAsia"/>
          <w:color w:val="auto"/>
          <w:sz w:val="24"/>
          <w:szCs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w:t>
      </w:r>
    </w:p>
    <w:p w14:paraId="337349BE">
      <w:pPr>
        <w:spacing w:before="120" w:line="320" w:lineRule="atLeast"/>
        <w:ind w:left="2" w:leftChars="1" w:firstLine="480" w:firstLineChars="200"/>
        <w:rPr>
          <w:color w:val="auto"/>
          <w:sz w:val="24"/>
          <w:szCs w:val="24"/>
          <w:highlight w:val="none"/>
        </w:rPr>
      </w:pPr>
      <w:r>
        <w:rPr>
          <w:color w:val="auto"/>
          <w:sz w:val="24"/>
          <w:szCs w:val="24"/>
          <w:highlight w:val="none"/>
        </w:rPr>
        <w:t>1.4.2.2</w:t>
      </w:r>
      <w:r>
        <w:rPr>
          <w:rFonts w:hint="eastAsia"/>
          <w:color w:val="auto"/>
          <w:sz w:val="24"/>
          <w:szCs w:val="24"/>
          <w:highlight w:val="none"/>
        </w:rPr>
        <w:t>供应商提供的货物、工程或者服务符合下列情形的，享受本款规定的促进中小企业发展政策：</w:t>
      </w:r>
    </w:p>
    <w:p w14:paraId="68E0D011">
      <w:pPr>
        <w:spacing w:before="120" w:line="320" w:lineRule="atLeast"/>
        <w:ind w:left="2" w:leftChars="1" w:firstLine="480" w:firstLineChars="200"/>
        <w:rPr>
          <w:color w:val="auto"/>
          <w:sz w:val="24"/>
          <w:szCs w:val="24"/>
          <w:highlight w:val="none"/>
        </w:rPr>
      </w:pPr>
      <w:r>
        <w:rPr>
          <w:rFonts w:hint="eastAsia"/>
          <w:color w:val="auto"/>
          <w:sz w:val="24"/>
          <w:szCs w:val="24"/>
          <w:highlight w:val="none"/>
        </w:rPr>
        <w:t>在货物采购项目中，货物由中小企业制造，即货物由中小企业生产且使用该中小企业商号或者注册商标；</w:t>
      </w:r>
    </w:p>
    <w:p w14:paraId="139B1869">
      <w:pPr>
        <w:spacing w:before="120" w:line="320" w:lineRule="atLeast"/>
        <w:ind w:left="2" w:leftChars="1" w:firstLine="480" w:firstLineChars="200"/>
        <w:rPr>
          <w:color w:val="auto"/>
          <w:sz w:val="24"/>
          <w:szCs w:val="24"/>
          <w:highlight w:val="none"/>
        </w:rPr>
      </w:pPr>
      <w:r>
        <w:rPr>
          <w:rFonts w:hint="eastAsia"/>
          <w:color w:val="auto"/>
          <w:sz w:val="24"/>
          <w:szCs w:val="24"/>
          <w:highlight w:val="none"/>
        </w:rPr>
        <w:t>在工程采购项目中，工程由中小企业承建，即工程施工单位为中小企业；</w:t>
      </w:r>
    </w:p>
    <w:p w14:paraId="40042DC4">
      <w:pPr>
        <w:spacing w:before="120" w:line="320" w:lineRule="atLeast"/>
        <w:ind w:left="2" w:leftChars="1" w:firstLine="480" w:firstLineChars="200"/>
        <w:rPr>
          <w:color w:val="auto"/>
          <w:sz w:val="24"/>
          <w:szCs w:val="24"/>
          <w:highlight w:val="none"/>
        </w:rPr>
      </w:pPr>
      <w:r>
        <w:rPr>
          <w:rFonts w:hint="eastAsia"/>
          <w:color w:val="auto"/>
          <w:sz w:val="24"/>
          <w:szCs w:val="24"/>
          <w:highlight w:val="none"/>
        </w:rPr>
        <w:t>在服务采购项目中，服务由中小企业承接，即提供服务的人员为中小企业依照《中华人民共和国劳动合同法》订立劳动合同的从业人员。</w:t>
      </w:r>
    </w:p>
    <w:p w14:paraId="7B5C85D3">
      <w:pPr>
        <w:spacing w:before="120" w:line="320" w:lineRule="atLeast"/>
        <w:ind w:left="2" w:leftChars="1" w:firstLine="480" w:firstLineChars="200"/>
        <w:rPr>
          <w:color w:val="auto"/>
          <w:sz w:val="24"/>
          <w:szCs w:val="24"/>
          <w:highlight w:val="none"/>
        </w:rPr>
      </w:pPr>
      <w:r>
        <w:rPr>
          <w:rFonts w:hint="eastAsia"/>
          <w:color w:val="auto"/>
          <w:sz w:val="24"/>
          <w:szCs w:val="24"/>
          <w:highlight w:val="none"/>
        </w:rPr>
        <w:t>在货物采购项目中，供应商提供的货物既有中小企业制造货物，也有大型企业制造货物的，不享受本款规定的促进中小企业发展政策。</w:t>
      </w:r>
    </w:p>
    <w:p w14:paraId="2786F6C0">
      <w:pPr>
        <w:spacing w:before="120" w:line="320" w:lineRule="atLeast"/>
        <w:ind w:firstLine="480" w:firstLineChars="200"/>
        <w:rPr>
          <w:color w:val="auto"/>
          <w:sz w:val="24"/>
          <w:szCs w:val="24"/>
          <w:highlight w:val="none"/>
        </w:rPr>
      </w:pPr>
      <w:r>
        <w:rPr>
          <w:color w:val="auto"/>
          <w:sz w:val="24"/>
          <w:szCs w:val="24"/>
          <w:highlight w:val="none"/>
        </w:rPr>
        <w:t>1.4.2</w:t>
      </w:r>
      <w:r>
        <w:rPr>
          <w:rFonts w:hint="eastAsia"/>
          <w:color w:val="auto"/>
          <w:sz w:val="24"/>
          <w:szCs w:val="24"/>
          <w:highlight w:val="none"/>
        </w:rPr>
        <w:t>.</w:t>
      </w:r>
      <w:r>
        <w:rPr>
          <w:color w:val="auto"/>
          <w:sz w:val="24"/>
          <w:szCs w:val="24"/>
          <w:highlight w:val="none"/>
        </w:rPr>
        <w:t>3</w:t>
      </w:r>
      <w:r>
        <w:rPr>
          <w:rFonts w:hint="eastAsia"/>
          <w:color w:val="auto"/>
          <w:sz w:val="24"/>
          <w:szCs w:val="24"/>
          <w:highlight w:val="none"/>
        </w:rPr>
        <w:t>本项目标的所属行业在第二章采购需求中规定。供应商根据中小企业划分标准（《关于印发中小企业划型标准规定的通知》（工信部联企业〔2011〕300号）判断是否为中小企业。（见附件）</w:t>
      </w:r>
    </w:p>
    <w:p w14:paraId="7FB4EA67">
      <w:pPr>
        <w:spacing w:before="120" w:line="320" w:lineRule="atLeast"/>
        <w:ind w:firstLine="480" w:firstLineChars="200"/>
        <w:rPr>
          <w:color w:val="auto"/>
          <w:sz w:val="24"/>
          <w:szCs w:val="24"/>
          <w:highlight w:val="none"/>
        </w:rPr>
      </w:pPr>
      <w:r>
        <w:rPr>
          <w:rFonts w:hint="eastAsia"/>
          <w:color w:val="auto"/>
          <w:sz w:val="24"/>
          <w:szCs w:val="24"/>
          <w:highlight w:val="none"/>
        </w:rPr>
        <w:t>符合条件的货物制造商、工程施工单位、服务承接单位为中小企业的，应按采购文件规定在响应文件中提供声明函。</w:t>
      </w:r>
    </w:p>
    <w:p w14:paraId="5A917CA2">
      <w:pPr>
        <w:spacing w:before="120" w:line="320" w:lineRule="atLeast"/>
        <w:ind w:firstLine="480" w:firstLineChars="200"/>
        <w:rPr>
          <w:color w:val="auto"/>
          <w:sz w:val="24"/>
          <w:szCs w:val="24"/>
          <w:highlight w:val="none"/>
        </w:rPr>
      </w:pPr>
      <w:r>
        <w:rPr>
          <w:color w:val="auto"/>
          <w:sz w:val="24"/>
          <w:szCs w:val="24"/>
          <w:highlight w:val="none"/>
        </w:rPr>
        <w:t>1.4</w:t>
      </w:r>
      <w:r>
        <w:rPr>
          <w:rFonts w:hint="eastAsia"/>
          <w:color w:val="auto"/>
          <w:sz w:val="24"/>
          <w:szCs w:val="24"/>
          <w:highlight w:val="none"/>
        </w:rPr>
        <w:t>.</w:t>
      </w:r>
      <w:r>
        <w:rPr>
          <w:color w:val="auto"/>
          <w:sz w:val="24"/>
          <w:szCs w:val="24"/>
          <w:highlight w:val="none"/>
        </w:rPr>
        <w:t>2</w:t>
      </w:r>
      <w:r>
        <w:rPr>
          <w:rFonts w:hint="eastAsia"/>
          <w:color w:val="auto"/>
          <w:sz w:val="24"/>
          <w:szCs w:val="24"/>
          <w:highlight w:val="none"/>
        </w:rPr>
        <w:t>.</w:t>
      </w:r>
      <w:r>
        <w:rPr>
          <w:color w:val="auto"/>
          <w:sz w:val="24"/>
          <w:szCs w:val="24"/>
          <w:highlight w:val="none"/>
        </w:rPr>
        <w:t>4</w:t>
      </w:r>
      <w:r>
        <w:rPr>
          <w:rFonts w:hint="eastAsia"/>
          <w:color w:val="auto"/>
          <w:sz w:val="24"/>
          <w:szCs w:val="24"/>
          <w:highlight w:val="none"/>
        </w:rPr>
        <w:t>视同中小企业情形</w:t>
      </w:r>
    </w:p>
    <w:p w14:paraId="1A673F93">
      <w:pPr>
        <w:spacing w:before="120" w:line="320" w:lineRule="atLeast"/>
        <w:ind w:firstLine="480" w:firstLineChars="200"/>
        <w:rPr>
          <w:color w:val="auto"/>
          <w:sz w:val="24"/>
          <w:szCs w:val="24"/>
          <w:highlight w:val="none"/>
        </w:rPr>
      </w:pPr>
      <w:r>
        <w:rPr>
          <w:rFonts w:hint="eastAsia"/>
          <w:color w:val="auto"/>
          <w:sz w:val="24"/>
          <w:szCs w:val="24"/>
          <w:highlight w:val="none"/>
        </w:rPr>
        <w:t>（1）符合中小企业划分标准的个体工商户，视同中小企业。</w:t>
      </w:r>
    </w:p>
    <w:p w14:paraId="05FEB363">
      <w:pPr>
        <w:spacing w:before="120" w:line="320" w:lineRule="atLeast"/>
        <w:ind w:firstLine="480" w:firstLineChars="200"/>
        <w:rPr>
          <w:color w:val="auto"/>
          <w:sz w:val="24"/>
          <w:szCs w:val="24"/>
          <w:highlight w:val="none"/>
        </w:rPr>
      </w:pPr>
      <w:r>
        <w:rPr>
          <w:rFonts w:hint="eastAsia"/>
          <w:color w:val="auto"/>
          <w:sz w:val="24"/>
          <w:szCs w:val="24"/>
          <w:highlight w:val="none"/>
        </w:rPr>
        <w:t>（2）以联合体形式参加政府采购活动，联合体各方均为中小企业的，联合体视同中小企业。其中，联合体各方均为小微企业的，联合体视同小微企业。</w:t>
      </w:r>
    </w:p>
    <w:p w14:paraId="17348D4C">
      <w:pPr>
        <w:spacing w:before="120" w:line="320" w:lineRule="atLeast"/>
        <w:ind w:firstLine="480" w:firstLineChars="200"/>
        <w:rPr>
          <w:color w:val="auto"/>
          <w:sz w:val="24"/>
          <w:szCs w:val="24"/>
          <w:highlight w:val="none"/>
        </w:rPr>
      </w:pPr>
      <w:r>
        <w:rPr>
          <w:rFonts w:hint="eastAsia"/>
          <w:color w:val="auto"/>
          <w:sz w:val="24"/>
          <w:szCs w:val="24"/>
          <w:highlight w:val="none"/>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561D5627">
      <w:pPr>
        <w:spacing w:before="120" w:line="320" w:lineRule="atLeast"/>
        <w:ind w:left="2" w:leftChars="1" w:firstLine="480" w:firstLineChars="200"/>
        <w:rPr>
          <w:color w:val="auto"/>
          <w:sz w:val="24"/>
          <w:szCs w:val="24"/>
          <w:highlight w:val="none"/>
        </w:rPr>
      </w:pPr>
      <w:r>
        <w:rPr>
          <w:rFonts w:hint="eastAsia"/>
          <w:color w:val="auto"/>
          <w:sz w:val="24"/>
          <w:szCs w:val="24"/>
          <w:highlight w:val="none"/>
        </w:rPr>
        <w:t>符合条件的货物制造商、工程施工单位、服务承接单位为监狱企业或残疾人福利性单位的，应按采购文件规定在响应文件中提供相关证明文件。</w:t>
      </w:r>
      <w:bookmarkEnd w:id="34"/>
      <w:bookmarkEnd w:id="35"/>
    </w:p>
    <w:p w14:paraId="3E7F0330">
      <w:pPr>
        <w:spacing w:before="120" w:line="320" w:lineRule="atLeast"/>
        <w:ind w:firstLine="482" w:firstLineChars="200"/>
        <w:outlineLvl w:val="2"/>
        <w:rPr>
          <w:b/>
          <w:bCs/>
          <w:color w:val="auto"/>
          <w:kern w:val="0"/>
          <w:sz w:val="24"/>
          <w:szCs w:val="24"/>
          <w:highlight w:val="none"/>
        </w:rPr>
      </w:pPr>
      <w:r>
        <w:rPr>
          <w:b/>
          <w:bCs/>
          <w:color w:val="auto"/>
          <w:kern w:val="0"/>
          <w:sz w:val="24"/>
          <w:szCs w:val="24"/>
          <w:highlight w:val="none"/>
        </w:rPr>
        <w:t>1.5供应商资格</w:t>
      </w:r>
      <w:r>
        <w:rPr>
          <w:rFonts w:hint="eastAsia"/>
          <w:b/>
          <w:bCs/>
          <w:color w:val="auto"/>
          <w:kern w:val="0"/>
          <w:sz w:val="24"/>
          <w:szCs w:val="24"/>
          <w:highlight w:val="none"/>
        </w:rPr>
        <w:t>要求</w:t>
      </w:r>
    </w:p>
    <w:p w14:paraId="29AA2D4B">
      <w:pPr>
        <w:spacing w:before="120" w:line="320" w:lineRule="atLeast"/>
        <w:ind w:firstLine="480" w:firstLineChars="200"/>
        <w:rPr>
          <w:color w:val="auto"/>
          <w:sz w:val="24"/>
          <w:szCs w:val="24"/>
          <w:highlight w:val="none"/>
        </w:rPr>
      </w:pPr>
      <w:r>
        <w:rPr>
          <w:color w:val="auto"/>
          <w:sz w:val="24"/>
          <w:szCs w:val="24"/>
          <w:highlight w:val="none"/>
        </w:rPr>
        <w:t>1.5.1</w:t>
      </w:r>
      <w:r>
        <w:rPr>
          <w:rFonts w:hint="eastAsia"/>
          <w:color w:val="auto"/>
          <w:sz w:val="24"/>
          <w:szCs w:val="24"/>
          <w:highlight w:val="none"/>
        </w:rPr>
        <w:t>供应商资格要求：详见供应商须知前附表</w:t>
      </w:r>
    </w:p>
    <w:p w14:paraId="00985C75">
      <w:pPr>
        <w:spacing w:before="120" w:line="320" w:lineRule="atLeast"/>
        <w:ind w:firstLine="480" w:firstLineChars="200"/>
        <w:rPr>
          <w:color w:val="auto"/>
          <w:sz w:val="24"/>
          <w:szCs w:val="24"/>
          <w:highlight w:val="none"/>
        </w:rPr>
      </w:pPr>
      <w:r>
        <w:rPr>
          <w:color w:val="auto"/>
          <w:sz w:val="24"/>
          <w:szCs w:val="24"/>
          <w:highlight w:val="none"/>
        </w:rPr>
        <w:t>1.5.2按照磋商公告的规定获得采购文件。</w:t>
      </w:r>
    </w:p>
    <w:p w14:paraId="701FAF8B">
      <w:pPr>
        <w:spacing w:before="120" w:line="320" w:lineRule="atLeast"/>
        <w:ind w:firstLine="480" w:firstLineChars="200"/>
        <w:rPr>
          <w:color w:val="auto"/>
          <w:sz w:val="24"/>
          <w:szCs w:val="24"/>
          <w:highlight w:val="none"/>
        </w:rPr>
      </w:pPr>
      <w:r>
        <w:rPr>
          <w:color w:val="auto"/>
          <w:sz w:val="24"/>
          <w:szCs w:val="24"/>
          <w:highlight w:val="none"/>
        </w:rPr>
        <w:t>1.5.3本项目是否接受联合体响应，见“供应商须知前附表”规定。</w:t>
      </w:r>
    </w:p>
    <w:p w14:paraId="0A9E6CCC">
      <w:pPr>
        <w:spacing w:before="120" w:line="320" w:lineRule="atLeast"/>
        <w:ind w:firstLine="480" w:firstLineChars="200"/>
        <w:rPr>
          <w:color w:val="auto"/>
          <w:sz w:val="24"/>
          <w:szCs w:val="24"/>
          <w:highlight w:val="none"/>
        </w:rPr>
      </w:pPr>
      <w:r>
        <w:rPr>
          <w:rFonts w:hint="eastAsia"/>
          <w:color w:val="auto"/>
          <w:sz w:val="24"/>
          <w:szCs w:val="24"/>
          <w:highlight w:val="none"/>
        </w:rPr>
        <w:t xml:space="preserve">如接受联合体响应，联合体响应要求如下： </w:t>
      </w:r>
    </w:p>
    <w:p w14:paraId="7AC09284">
      <w:pPr>
        <w:spacing w:before="120" w:line="320" w:lineRule="atLeast"/>
        <w:ind w:firstLine="480" w:firstLineChars="200"/>
        <w:rPr>
          <w:color w:val="auto"/>
          <w:sz w:val="24"/>
          <w:szCs w:val="24"/>
          <w:highlight w:val="none"/>
        </w:rPr>
      </w:pPr>
      <w:r>
        <w:rPr>
          <w:rFonts w:hint="eastAsia"/>
          <w:color w:val="auto"/>
          <w:sz w:val="24"/>
          <w:szCs w:val="24"/>
          <w:highlight w:val="none"/>
        </w:rPr>
        <w:t>（1）供应商可以组成一个响应联合体，以一个供应商的身份共同参加响应。联合体响应的，须提供《联合体协议书》（格式后附）</w:t>
      </w:r>
    </w:p>
    <w:p w14:paraId="48C1CBF0">
      <w:pPr>
        <w:spacing w:before="120" w:line="320" w:lineRule="atLeast"/>
        <w:ind w:firstLine="480" w:firstLineChars="200"/>
        <w:rPr>
          <w:color w:val="auto"/>
          <w:sz w:val="24"/>
          <w:szCs w:val="24"/>
          <w:highlight w:val="none"/>
        </w:rPr>
      </w:pPr>
      <w:r>
        <w:rPr>
          <w:rFonts w:hint="eastAsia"/>
          <w:color w:val="auto"/>
          <w:sz w:val="24"/>
          <w:szCs w:val="24"/>
          <w:highlight w:val="none"/>
        </w:rPr>
        <w:t>（2）以联合体形式参加响应的，联合体各方均必须具备《中华人民共和国政府采购法》第二十二条第一款规定的基本条件。本项目有特殊要求规定供应商特定条件的，联合体各方中至少有一方必须符合采购文件规定的特定条件。</w:t>
      </w:r>
    </w:p>
    <w:p w14:paraId="4DB984F0">
      <w:pPr>
        <w:spacing w:before="120" w:line="320" w:lineRule="atLeast"/>
        <w:ind w:firstLine="480" w:firstLineChars="200"/>
        <w:rPr>
          <w:color w:val="auto"/>
          <w:sz w:val="24"/>
          <w:szCs w:val="24"/>
          <w:highlight w:val="none"/>
        </w:rPr>
      </w:pPr>
      <w:r>
        <w:rPr>
          <w:rFonts w:hint="eastAsia"/>
          <w:color w:val="auto"/>
          <w:sz w:val="24"/>
          <w:szCs w:val="24"/>
          <w:highlight w:val="none"/>
        </w:rPr>
        <w:t>（3）联合体各方之间必须签订联合体协议，协议书必须明确主体方（或者牵头方）并明确约定联合体各方承担的工作和相应的责任，并将联合响应协议放入响应文件。联合体各方必须共同与采购人签订采购合同，就采购合同约定的事项对采购人承担连带责任。</w:t>
      </w:r>
    </w:p>
    <w:p w14:paraId="612DC15A">
      <w:pPr>
        <w:spacing w:before="120" w:line="320" w:lineRule="atLeast"/>
        <w:ind w:firstLine="480" w:firstLineChars="200"/>
        <w:rPr>
          <w:color w:val="auto"/>
          <w:sz w:val="24"/>
          <w:szCs w:val="24"/>
          <w:highlight w:val="none"/>
        </w:rPr>
      </w:pPr>
      <w:r>
        <w:rPr>
          <w:rFonts w:hint="eastAsia"/>
          <w:color w:val="auto"/>
          <w:sz w:val="24"/>
          <w:szCs w:val="24"/>
          <w:highlight w:val="none"/>
        </w:rPr>
        <w:t>（4）以联合体形式参加政府采购活动的，联合体各方不得再单独参加或者与其他供应商另外组成联合体参加同一合同项下的政府采购活动。</w:t>
      </w:r>
    </w:p>
    <w:p w14:paraId="335F958E">
      <w:pPr>
        <w:spacing w:before="120" w:line="320" w:lineRule="atLeast"/>
        <w:ind w:firstLine="480" w:firstLineChars="200"/>
        <w:rPr>
          <w:color w:val="auto"/>
          <w:sz w:val="24"/>
          <w:szCs w:val="24"/>
          <w:highlight w:val="none"/>
        </w:rPr>
      </w:pPr>
      <w:r>
        <w:rPr>
          <w:rFonts w:hint="eastAsia"/>
          <w:color w:val="auto"/>
          <w:sz w:val="24"/>
          <w:szCs w:val="24"/>
          <w:highlight w:val="none"/>
        </w:rPr>
        <w:t>（5）联合体中有同类资质的供应商按照联合体分工承担相同工作的，应当按照资质等级较低的供应商确定资质等级。</w:t>
      </w:r>
    </w:p>
    <w:p w14:paraId="74F925B9">
      <w:pPr>
        <w:spacing w:before="120" w:line="320" w:lineRule="atLeast"/>
        <w:ind w:firstLine="480" w:firstLineChars="200"/>
        <w:rPr>
          <w:color w:val="auto"/>
          <w:sz w:val="24"/>
          <w:szCs w:val="24"/>
          <w:highlight w:val="none"/>
        </w:rPr>
      </w:pPr>
      <w:r>
        <w:rPr>
          <w:rFonts w:hint="eastAsia"/>
          <w:color w:val="auto"/>
          <w:sz w:val="24"/>
          <w:szCs w:val="24"/>
          <w:highlight w:val="none"/>
        </w:rPr>
        <w:t>（6）联合体响应业绩、履约能力按照联合体各方其中较高的一方认定并计算（采购文件其他章节另有规定的除外）。</w:t>
      </w:r>
    </w:p>
    <w:p w14:paraId="152932CE">
      <w:pPr>
        <w:spacing w:before="120" w:line="320" w:lineRule="atLeast"/>
        <w:ind w:firstLine="480" w:firstLineChars="200"/>
        <w:rPr>
          <w:color w:val="auto"/>
          <w:sz w:val="24"/>
          <w:szCs w:val="24"/>
          <w:highlight w:val="none"/>
        </w:rPr>
      </w:pPr>
      <w:r>
        <w:rPr>
          <w:rFonts w:hint="eastAsia"/>
          <w:color w:val="auto"/>
          <w:sz w:val="24"/>
          <w:szCs w:val="24"/>
          <w:highlight w:val="none"/>
        </w:rPr>
        <w:t>（7）供应商为联合体的，可以由联合体中的一方或者多方共同交纳磋商保证金，其交纳的保证金对联合体各方均具有约束力。</w:t>
      </w:r>
    </w:p>
    <w:p w14:paraId="688EC168">
      <w:pPr>
        <w:spacing w:before="120" w:line="320" w:lineRule="atLeast"/>
        <w:ind w:firstLine="480" w:firstLineChars="200"/>
        <w:rPr>
          <w:color w:val="auto"/>
          <w:sz w:val="24"/>
          <w:szCs w:val="24"/>
          <w:highlight w:val="none"/>
        </w:rPr>
      </w:pPr>
      <w:r>
        <w:rPr>
          <w:rFonts w:hint="eastAsia"/>
          <w:color w:val="auto"/>
          <w:sz w:val="24"/>
          <w:szCs w:val="24"/>
          <w:highlight w:val="none"/>
        </w:rPr>
        <w:t>（8）联合体各方均应按照采购文件的规定提交资格证明文件。</w:t>
      </w:r>
    </w:p>
    <w:p w14:paraId="479E91F1">
      <w:pPr>
        <w:spacing w:before="120" w:line="320" w:lineRule="atLeast"/>
        <w:ind w:firstLine="482" w:firstLineChars="200"/>
        <w:outlineLvl w:val="2"/>
        <w:rPr>
          <w:b/>
          <w:bCs/>
          <w:color w:val="auto"/>
          <w:kern w:val="0"/>
          <w:sz w:val="24"/>
          <w:szCs w:val="24"/>
          <w:highlight w:val="none"/>
        </w:rPr>
      </w:pPr>
      <w:bookmarkStart w:id="36" w:name="_Toc254970672"/>
      <w:bookmarkStart w:id="37" w:name="_Toc254970531"/>
      <w:r>
        <w:rPr>
          <w:b/>
          <w:bCs/>
          <w:color w:val="auto"/>
          <w:kern w:val="0"/>
          <w:sz w:val="24"/>
          <w:szCs w:val="24"/>
          <w:highlight w:val="none"/>
        </w:rPr>
        <w:t>1.6现场踏勘及响应费用</w:t>
      </w:r>
      <w:bookmarkEnd w:id="36"/>
      <w:bookmarkEnd w:id="37"/>
    </w:p>
    <w:p w14:paraId="29519841">
      <w:pPr>
        <w:spacing w:before="120" w:line="320" w:lineRule="atLeast"/>
        <w:ind w:firstLine="480" w:firstLineChars="200"/>
        <w:rPr>
          <w:color w:val="auto"/>
          <w:sz w:val="24"/>
          <w:szCs w:val="24"/>
          <w:highlight w:val="none"/>
        </w:rPr>
      </w:pPr>
      <w:r>
        <w:rPr>
          <w:color w:val="auto"/>
          <w:sz w:val="24"/>
          <w:szCs w:val="24"/>
          <w:highlight w:val="none"/>
        </w:rPr>
        <w:t>1.6.1前附表如规定现场踏勘的，供应商应按规定时间地点参加踏勘。</w:t>
      </w:r>
    </w:p>
    <w:p w14:paraId="3A4AB6F4">
      <w:pPr>
        <w:spacing w:before="120" w:line="320" w:lineRule="atLeast"/>
        <w:ind w:firstLine="480" w:firstLineChars="200"/>
        <w:rPr>
          <w:color w:val="auto"/>
          <w:sz w:val="24"/>
          <w:szCs w:val="24"/>
          <w:highlight w:val="none"/>
        </w:rPr>
      </w:pPr>
      <w:r>
        <w:rPr>
          <w:color w:val="auto"/>
          <w:sz w:val="24"/>
          <w:szCs w:val="24"/>
          <w:highlight w:val="none"/>
        </w:rPr>
        <w:t>1.6.2供应商均应自行承担所有与响应有关的全部费用（采购文件有相关的规定除外）。</w:t>
      </w:r>
    </w:p>
    <w:p w14:paraId="5F59711A">
      <w:pPr>
        <w:spacing w:before="120" w:line="320" w:lineRule="atLeast"/>
        <w:ind w:firstLine="482" w:firstLineChars="200"/>
        <w:outlineLvl w:val="2"/>
        <w:rPr>
          <w:b/>
          <w:bCs/>
          <w:color w:val="auto"/>
          <w:kern w:val="0"/>
          <w:sz w:val="24"/>
          <w:szCs w:val="24"/>
          <w:highlight w:val="none"/>
        </w:rPr>
      </w:pPr>
      <w:r>
        <w:rPr>
          <w:b/>
          <w:bCs/>
          <w:color w:val="auto"/>
          <w:kern w:val="0"/>
          <w:sz w:val="24"/>
          <w:szCs w:val="24"/>
          <w:highlight w:val="none"/>
        </w:rPr>
        <w:t>1.7转包与分包</w:t>
      </w:r>
    </w:p>
    <w:p w14:paraId="0554D0B6">
      <w:pPr>
        <w:spacing w:before="120" w:line="320" w:lineRule="atLeast"/>
        <w:ind w:firstLine="480" w:firstLineChars="200"/>
        <w:rPr>
          <w:color w:val="auto"/>
          <w:sz w:val="24"/>
          <w:szCs w:val="24"/>
          <w:highlight w:val="none"/>
        </w:rPr>
      </w:pPr>
      <w:r>
        <w:rPr>
          <w:color w:val="auto"/>
          <w:sz w:val="24"/>
          <w:szCs w:val="24"/>
          <w:highlight w:val="none"/>
        </w:rPr>
        <w:t>1.7.1如</w:t>
      </w:r>
      <w:r>
        <w:rPr>
          <w:rFonts w:hint="eastAsia"/>
          <w:color w:val="auto"/>
          <w:sz w:val="24"/>
          <w:szCs w:val="24"/>
          <w:highlight w:val="none"/>
        </w:rPr>
        <w:t>采购文件</w:t>
      </w:r>
      <w:r>
        <w:rPr>
          <w:color w:val="auto"/>
          <w:sz w:val="24"/>
          <w:szCs w:val="24"/>
          <w:highlight w:val="none"/>
        </w:rPr>
        <w:t>其他地方无特别规定</w:t>
      </w:r>
      <w:r>
        <w:rPr>
          <w:rFonts w:hint="eastAsia"/>
          <w:color w:val="auto"/>
          <w:sz w:val="24"/>
          <w:szCs w:val="24"/>
          <w:highlight w:val="none"/>
        </w:rPr>
        <w:t>，</w:t>
      </w:r>
      <w:r>
        <w:rPr>
          <w:color w:val="auto"/>
          <w:sz w:val="24"/>
          <w:szCs w:val="24"/>
          <w:highlight w:val="none"/>
        </w:rPr>
        <w:t>本项目不允许转包。</w:t>
      </w:r>
    </w:p>
    <w:p w14:paraId="21D77690">
      <w:pPr>
        <w:spacing w:before="120" w:line="320" w:lineRule="atLeast"/>
        <w:ind w:firstLine="480" w:firstLineChars="200"/>
        <w:rPr>
          <w:color w:val="auto"/>
          <w:sz w:val="24"/>
          <w:szCs w:val="24"/>
          <w:highlight w:val="none"/>
        </w:rPr>
      </w:pPr>
      <w:r>
        <w:rPr>
          <w:color w:val="auto"/>
          <w:sz w:val="24"/>
          <w:szCs w:val="24"/>
          <w:highlight w:val="none"/>
        </w:rPr>
        <w:t>1.7.2</w:t>
      </w:r>
      <w:r>
        <w:rPr>
          <w:rFonts w:hint="eastAsia"/>
          <w:color w:val="auto"/>
          <w:sz w:val="24"/>
          <w:szCs w:val="24"/>
          <w:highlight w:val="none"/>
        </w:rPr>
        <w:t>本项目是否允许分包详见“供应商须知前附表”，本项目不允许违法分包。供应商根据采购文件的规定和采购项目的实际情况，拟在成交后将成交项目的非主体、非关键性工作分包的，应当在响应文件中载明分包承担主体，分包承担主体应当具备相应资质条件且不得再次分包。</w:t>
      </w:r>
    </w:p>
    <w:p w14:paraId="61EC3EBD">
      <w:pPr>
        <w:spacing w:before="120" w:line="276" w:lineRule="auto"/>
        <w:ind w:firstLine="482" w:firstLineChars="200"/>
        <w:outlineLvl w:val="2"/>
        <w:rPr>
          <w:b/>
          <w:bCs/>
          <w:color w:val="auto"/>
          <w:kern w:val="0"/>
          <w:sz w:val="24"/>
          <w:szCs w:val="24"/>
          <w:highlight w:val="none"/>
        </w:rPr>
      </w:pPr>
      <w:bookmarkStart w:id="38" w:name="_Toc254970532"/>
      <w:bookmarkStart w:id="39" w:name="_Toc254970673"/>
      <w:r>
        <w:rPr>
          <w:b/>
          <w:bCs/>
          <w:color w:val="auto"/>
          <w:kern w:val="0"/>
          <w:sz w:val="24"/>
          <w:szCs w:val="24"/>
          <w:highlight w:val="none"/>
        </w:rPr>
        <w:t>1.8特别说明</w:t>
      </w:r>
      <w:bookmarkEnd w:id="38"/>
      <w:bookmarkEnd w:id="39"/>
    </w:p>
    <w:p w14:paraId="3F2FBCFD">
      <w:pPr>
        <w:spacing w:line="276" w:lineRule="auto"/>
        <w:ind w:firstLine="480" w:firstLineChars="200"/>
        <w:rPr>
          <w:color w:val="auto"/>
          <w:sz w:val="24"/>
          <w:szCs w:val="24"/>
          <w:highlight w:val="none"/>
        </w:rPr>
      </w:pPr>
      <w:r>
        <w:rPr>
          <w:color w:val="auto"/>
          <w:sz w:val="24"/>
          <w:szCs w:val="24"/>
          <w:highlight w:val="none"/>
        </w:rPr>
        <w:t>1.8.1 供应商应保证其提供的联系方式（电话、传真、电子邮件）有效，以保证往来函件（澄清、修改等）能及时通知供应商，并能及时反馈，否则采购人</w:t>
      </w:r>
      <w:r>
        <w:rPr>
          <w:rFonts w:hint="eastAsia"/>
          <w:color w:val="auto"/>
          <w:sz w:val="24"/>
          <w:szCs w:val="24"/>
          <w:highlight w:val="none"/>
        </w:rPr>
        <w:t>及代理机构</w:t>
      </w:r>
      <w:r>
        <w:rPr>
          <w:color w:val="auto"/>
          <w:sz w:val="24"/>
          <w:szCs w:val="24"/>
          <w:highlight w:val="none"/>
        </w:rPr>
        <w:t>不承担由此引起的一切后果。</w:t>
      </w:r>
    </w:p>
    <w:p w14:paraId="25721811">
      <w:pPr>
        <w:spacing w:before="120" w:line="320" w:lineRule="atLeast"/>
        <w:ind w:firstLine="480" w:firstLineChars="200"/>
        <w:rPr>
          <w:color w:val="auto"/>
          <w:sz w:val="24"/>
          <w:szCs w:val="24"/>
          <w:highlight w:val="none"/>
        </w:rPr>
      </w:pPr>
      <w:r>
        <w:rPr>
          <w:color w:val="auto"/>
          <w:sz w:val="24"/>
          <w:szCs w:val="24"/>
          <w:highlight w:val="none"/>
        </w:rPr>
        <w:t>1.8.2供应商应仔细阅读采购文件的所有内容，按照采购文件的要求提交响应文件，并对所提供的全部资料的真实性承担法律责任。</w:t>
      </w:r>
    </w:p>
    <w:p w14:paraId="25121C12">
      <w:pPr>
        <w:spacing w:before="120" w:line="360" w:lineRule="auto"/>
        <w:ind w:firstLine="480" w:firstLineChars="200"/>
        <w:rPr>
          <w:color w:val="auto"/>
          <w:sz w:val="24"/>
          <w:szCs w:val="24"/>
          <w:highlight w:val="none"/>
        </w:rPr>
      </w:pPr>
      <w:r>
        <w:rPr>
          <w:color w:val="auto"/>
          <w:sz w:val="24"/>
          <w:szCs w:val="24"/>
          <w:highlight w:val="none"/>
        </w:rPr>
        <w:t>1.8.3供应商在响应活动中提供任何虚假材料，</w:t>
      </w:r>
      <w:r>
        <w:rPr>
          <w:rFonts w:hint="eastAsia"/>
          <w:color w:val="auto"/>
          <w:sz w:val="24"/>
          <w:szCs w:val="24"/>
          <w:highlight w:val="none"/>
        </w:rPr>
        <w:t>将</w:t>
      </w:r>
      <w:r>
        <w:rPr>
          <w:color w:val="auto"/>
          <w:sz w:val="24"/>
          <w:szCs w:val="24"/>
          <w:highlight w:val="none"/>
        </w:rPr>
        <w:t xml:space="preserve">报监管部门查处； </w:t>
      </w:r>
    </w:p>
    <w:p w14:paraId="42CB947D">
      <w:pPr>
        <w:spacing w:before="120" w:line="320" w:lineRule="atLeast"/>
        <w:ind w:left="2" w:leftChars="1" w:firstLine="482" w:firstLineChars="200"/>
        <w:outlineLvl w:val="1"/>
        <w:rPr>
          <w:b/>
          <w:bCs/>
          <w:color w:val="auto"/>
          <w:kern w:val="0"/>
          <w:sz w:val="24"/>
          <w:szCs w:val="24"/>
          <w:highlight w:val="none"/>
        </w:rPr>
      </w:pPr>
      <w:bookmarkStart w:id="40" w:name="_Toc254970534"/>
      <w:bookmarkStart w:id="41" w:name="_Toc254970675"/>
      <w:r>
        <w:rPr>
          <w:b/>
          <w:bCs/>
          <w:color w:val="auto"/>
          <w:kern w:val="0"/>
          <w:sz w:val="24"/>
          <w:szCs w:val="24"/>
          <w:highlight w:val="none"/>
        </w:rPr>
        <w:t>2．采购文件</w:t>
      </w:r>
      <w:bookmarkEnd w:id="40"/>
      <w:bookmarkEnd w:id="41"/>
    </w:p>
    <w:p w14:paraId="170C50DC">
      <w:pPr>
        <w:spacing w:before="120" w:line="320" w:lineRule="atLeast"/>
        <w:ind w:firstLine="482" w:firstLineChars="200"/>
        <w:outlineLvl w:val="2"/>
        <w:rPr>
          <w:b/>
          <w:bCs/>
          <w:color w:val="auto"/>
          <w:kern w:val="0"/>
          <w:sz w:val="24"/>
          <w:szCs w:val="24"/>
          <w:highlight w:val="none"/>
        </w:rPr>
      </w:pPr>
      <w:r>
        <w:rPr>
          <w:b/>
          <w:bCs/>
          <w:color w:val="auto"/>
          <w:kern w:val="0"/>
          <w:sz w:val="24"/>
          <w:szCs w:val="24"/>
          <w:highlight w:val="none"/>
        </w:rPr>
        <w:t>2.1采购文件的构成</w:t>
      </w:r>
    </w:p>
    <w:p w14:paraId="4E86CC68">
      <w:pPr>
        <w:spacing w:before="120" w:line="320" w:lineRule="atLeast"/>
        <w:ind w:firstLine="480" w:firstLineChars="200"/>
        <w:rPr>
          <w:color w:val="auto"/>
          <w:sz w:val="24"/>
          <w:szCs w:val="24"/>
          <w:highlight w:val="none"/>
        </w:rPr>
      </w:pPr>
      <w:r>
        <w:rPr>
          <w:color w:val="auto"/>
          <w:sz w:val="24"/>
          <w:szCs w:val="24"/>
          <w:highlight w:val="none"/>
        </w:rPr>
        <w:t>第一章 磋商公告</w:t>
      </w:r>
    </w:p>
    <w:p w14:paraId="245C8C5F">
      <w:pPr>
        <w:spacing w:before="120" w:line="320" w:lineRule="atLeast"/>
        <w:ind w:firstLine="480" w:firstLineChars="200"/>
        <w:rPr>
          <w:color w:val="auto"/>
          <w:sz w:val="24"/>
          <w:szCs w:val="24"/>
          <w:highlight w:val="none"/>
        </w:rPr>
      </w:pPr>
      <w:r>
        <w:rPr>
          <w:color w:val="auto"/>
          <w:sz w:val="24"/>
          <w:szCs w:val="24"/>
          <w:highlight w:val="none"/>
        </w:rPr>
        <w:t>第二章 采购需求</w:t>
      </w:r>
    </w:p>
    <w:p w14:paraId="0D81E325">
      <w:pPr>
        <w:spacing w:before="120" w:line="320" w:lineRule="atLeast"/>
        <w:ind w:firstLine="480" w:firstLineChars="200"/>
        <w:rPr>
          <w:color w:val="auto"/>
          <w:sz w:val="24"/>
          <w:szCs w:val="24"/>
          <w:highlight w:val="none"/>
        </w:rPr>
      </w:pPr>
      <w:r>
        <w:rPr>
          <w:color w:val="auto"/>
          <w:sz w:val="24"/>
          <w:szCs w:val="24"/>
          <w:highlight w:val="none"/>
        </w:rPr>
        <w:t>第三章 供应商须知</w:t>
      </w:r>
    </w:p>
    <w:p w14:paraId="4AF3B29F">
      <w:pPr>
        <w:spacing w:before="120" w:line="320" w:lineRule="atLeast"/>
        <w:ind w:firstLine="480" w:firstLineChars="200"/>
        <w:rPr>
          <w:color w:val="auto"/>
          <w:sz w:val="24"/>
          <w:szCs w:val="24"/>
          <w:highlight w:val="none"/>
        </w:rPr>
      </w:pPr>
      <w:r>
        <w:rPr>
          <w:color w:val="auto"/>
          <w:sz w:val="24"/>
          <w:szCs w:val="24"/>
          <w:highlight w:val="none"/>
        </w:rPr>
        <w:t>第四章 评审方法及标准</w:t>
      </w:r>
    </w:p>
    <w:p w14:paraId="02184FBD">
      <w:pPr>
        <w:spacing w:before="120" w:line="320" w:lineRule="atLeast"/>
        <w:ind w:firstLine="480" w:firstLineChars="200"/>
        <w:rPr>
          <w:color w:val="auto"/>
          <w:sz w:val="24"/>
          <w:szCs w:val="24"/>
          <w:highlight w:val="none"/>
        </w:rPr>
      </w:pPr>
      <w:r>
        <w:rPr>
          <w:color w:val="auto"/>
          <w:sz w:val="24"/>
          <w:szCs w:val="24"/>
          <w:highlight w:val="none"/>
        </w:rPr>
        <w:t>第五章 合同主要条款格式</w:t>
      </w:r>
    </w:p>
    <w:p w14:paraId="79B7AE31">
      <w:pPr>
        <w:spacing w:before="120" w:line="320" w:lineRule="atLeast"/>
        <w:ind w:firstLine="480" w:firstLineChars="200"/>
        <w:rPr>
          <w:color w:val="auto"/>
          <w:sz w:val="24"/>
          <w:szCs w:val="24"/>
          <w:highlight w:val="none"/>
        </w:rPr>
      </w:pPr>
      <w:r>
        <w:rPr>
          <w:color w:val="auto"/>
          <w:sz w:val="24"/>
          <w:szCs w:val="24"/>
          <w:highlight w:val="none"/>
        </w:rPr>
        <w:t>第六章 响应文件格式</w:t>
      </w:r>
    </w:p>
    <w:p w14:paraId="16A29846">
      <w:pPr>
        <w:spacing w:before="120" w:line="320" w:lineRule="atLeast"/>
        <w:ind w:firstLine="482" w:firstLineChars="200"/>
        <w:outlineLvl w:val="2"/>
        <w:rPr>
          <w:b/>
          <w:bCs/>
          <w:color w:val="auto"/>
          <w:kern w:val="0"/>
          <w:sz w:val="24"/>
          <w:szCs w:val="24"/>
          <w:highlight w:val="none"/>
        </w:rPr>
      </w:pPr>
      <w:r>
        <w:rPr>
          <w:b/>
          <w:bCs/>
          <w:color w:val="auto"/>
          <w:kern w:val="0"/>
          <w:sz w:val="24"/>
          <w:szCs w:val="24"/>
          <w:highlight w:val="none"/>
        </w:rPr>
        <w:t>2.2供应商的风险</w:t>
      </w:r>
    </w:p>
    <w:p w14:paraId="76B87364">
      <w:pPr>
        <w:spacing w:before="120" w:line="320" w:lineRule="atLeast"/>
        <w:ind w:firstLine="480" w:firstLineChars="200"/>
        <w:rPr>
          <w:color w:val="auto"/>
          <w:sz w:val="24"/>
          <w:szCs w:val="24"/>
          <w:highlight w:val="none"/>
        </w:rPr>
      </w:pPr>
      <w:r>
        <w:rPr>
          <w:color w:val="auto"/>
          <w:sz w:val="24"/>
          <w:szCs w:val="24"/>
          <w:highlight w:val="none"/>
        </w:rPr>
        <w:t>供应商没有按照采购文件要求提供全部资料，或者供应商没有对采购文件在各方面作出实质性响应是供应商的风险，并可能导致其响应被否决。</w:t>
      </w:r>
    </w:p>
    <w:p w14:paraId="1D2FCBDA">
      <w:pPr>
        <w:spacing w:before="120" w:line="320" w:lineRule="atLeast"/>
        <w:ind w:firstLine="482" w:firstLineChars="200"/>
        <w:outlineLvl w:val="2"/>
        <w:rPr>
          <w:b/>
          <w:color w:val="auto"/>
          <w:sz w:val="24"/>
          <w:szCs w:val="24"/>
          <w:highlight w:val="none"/>
        </w:rPr>
      </w:pPr>
      <w:r>
        <w:rPr>
          <w:b/>
          <w:bCs/>
          <w:color w:val="auto"/>
          <w:kern w:val="0"/>
          <w:sz w:val="24"/>
          <w:szCs w:val="24"/>
          <w:highlight w:val="none"/>
        </w:rPr>
        <w:t>2.3采购文件的澄清与修改</w:t>
      </w:r>
    </w:p>
    <w:p w14:paraId="4DAC1BDF">
      <w:pPr>
        <w:spacing w:before="120" w:line="320" w:lineRule="atLeast"/>
        <w:ind w:firstLine="480" w:firstLineChars="200"/>
        <w:rPr>
          <w:color w:val="auto"/>
          <w:sz w:val="24"/>
          <w:szCs w:val="24"/>
          <w:highlight w:val="none"/>
        </w:rPr>
      </w:pPr>
      <w:r>
        <w:rPr>
          <w:color w:val="auto"/>
          <w:sz w:val="24"/>
          <w:szCs w:val="24"/>
          <w:highlight w:val="none"/>
        </w:rPr>
        <w:t>2.3.1</w:t>
      </w:r>
      <w:r>
        <w:rPr>
          <w:rFonts w:hint="eastAsia"/>
          <w:color w:val="auto"/>
          <w:sz w:val="24"/>
          <w:szCs w:val="24"/>
          <w:highlight w:val="none"/>
        </w:rPr>
        <w:t>任何已获得采购文件的潜在供应商，均可</w:t>
      </w:r>
      <w:r>
        <w:rPr>
          <w:color w:val="auto"/>
          <w:sz w:val="24"/>
          <w:szCs w:val="24"/>
          <w:highlight w:val="none"/>
        </w:rPr>
        <w:t>以书面形式要求采购代理机构作出书面解释、澄清</w:t>
      </w:r>
      <w:r>
        <w:rPr>
          <w:rFonts w:hint="eastAsia"/>
          <w:color w:val="auto"/>
          <w:sz w:val="24"/>
          <w:szCs w:val="24"/>
          <w:highlight w:val="none"/>
        </w:rPr>
        <w:t>。</w:t>
      </w:r>
    </w:p>
    <w:p w14:paraId="5EB62442">
      <w:pPr>
        <w:spacing w:before="120" w:line="320" w:lineRule="atLeast"/>
        <w:ind w:firstLine="480" w:firstLineChars="200"/>
        <w:rPr>
          <w:color w:val="auto"/>
          <w:sz w:val="24"/>
          <w:szCs w:val="24"/>
          <w:highlight w:val="none"/>
        </w:rPr>
      </w:pPr>
      <w:r>
        <w:rPr>
          <w:color w:val="auto"/>
          <w:sz w:val="24"/>
          <w:szCs w:val="24"/>
          <w:highlight w:val="none"/>
        </w:rPr>
        <w:t>2.3.2</w:t>
      </w:r>
      <w:r>
        <w:rPr>
          <w:rFonts w:hint="eastAsia"/>
          <w:color w:val="auto"/>
          <w:sz w:val="24"/>
          <w:szCs w:val="24"/>
          <w:highlight w:val="none"/>
        </w:rPr>
        <w:t>采购人、采购代理机构可以对已发出的采购文件进行必要的澄清或者修改，澄清或者修改的内容可能影响响应文件编制的，采购人、采购代理机构应当在提交首次响应文件截止时间至少5日前，</w:t>
      </w:r>
      <w:bookmarkStart w:id="42" w:name="_Hlk133590520"/>
      <w:r>
        <w:rPr>
          <w:rFonts w:hint="eastAsia"/>
          <w:color w:val="auto"/>
          <w:sz w:val="24"/>
          <w:szCs w:val="24"/>
          <w:highlight w:val="none"/>
        </w:rPr>
        <w:t>在供应商须知前附表规定的方式</w:t>
      </w:r>
      <w:bookmarkEnd w:id="42"/>
      <w:r>
        <w:rPr>
          <w:rFonts w:hint="eastAsia"/>
          <w:color w:val="auto"/>
          <w:sz w:val="24"/>
          <w:szCs w:val="24"/>
          <w:highlight w:val="none"/>
        </w:rPr>
        <w:t>通知所有获取采购文件的潜在供应商；不足5日的，采购人、采购代理机构应当顺延提交首次响应文件截止时间。</w:t>
      </w:r>
    </w:p>
    <w:p w14:paraId="0C99E78C">
      <w:pPr>
        <w:spacing w:before="120" w:line="320" w:lineRule="atLeast"/>
        <w:ind w:firstLine="480" w:firstLineChars="200"/>
        <w:rPr>
          <w:color w:val="auto"/>
          <w:sz w:val="24"/>
          <w:szCs w:val="24"/>
          <w:highlight w:val="none"/>
        </w:rPr>
      </w:pPr>
      <w:r>
        <w:rPr>
          <w:color w:val="auto"/>
          <w:sz w:val="24"/>
          <w:szCs w:val="24"/>
          <w:highlight w:val="none"/>
        </w:rPr>
        <w:t>2.3.3采购文件澄清、答复、修改、补充的内容为采购文件的组成部分。当采购文件与采购文件的答复、澄清、修改、补充通知就同一内容的表述不一致时，以最后发出的公告或书面文件为准。</w:t>
      </w:r>
    </w:p>
    <w:p w14:paraId="0754AB19">
      <w:pPr>
        <w:spacing w:before="120" w:line="320" w:lineRule="atLeast"/>
        <w:ind w:left="2" w:leftChars="1" w:firstLine="482" w:firstLineChars="200"/>
        <w:outlineLvl w:val="1"/>
        <w:rPr>
          <w:b/>
          <w:bCs/>
          <w:color w:val="auto"/>
          <w:kern w:val="0"/>
          <w:sz w:val="24"/>
          <w:szCs w:val="24"/>
          <w:highlight w:val="none"/>
        </w:rPr>
      </w:pPr>
      <w:bookmarkStart w:id="43" w:name="_Toc254970676"/>
      <w:bookmarkStart w:id="44" w:name="_Toc254970535"/>
      <w:r>
        <w:rPr>
          <w:b/>
          <w:bCs/>
          <w:color w:val="auto"/>
          <w:kern w:val="0"/>
          <w:sz w:val="24"/>
          <w:szCs w:val="24"/>
          <w:highlight w:val="none"/>
        </w:rPr>
        <w:t>3．响应文件</w:t>
      </w:r>
      <w:bookmarkEnd w:id="43"/>
      <w:bookmarkEnd w:id="44"/>
    </w:p>
    <w:p w14:paraId="56348B43">
      <w:pPr>
        <w:spacing w:before="120" w:line="320" w:lineRule="atLeast"/>
        <w:ind w:firstLine="482" w:firstLineChars="200"/>
        <w:outlineLvl w:val="2"/>
        <w:rPr>
          <w:b/>
          <w:bCs/>
          <w:color w:val="auto"/>
          <w:kern w:val="0"/>
          <w:sz w:val="24"/>
          <w:szCs w:val="24"/>
          <w:highlight w:val="none"/>
        </w:rPr>
      </w:pPr>
      <w:bookmarkStart w:id="45" w:name="_Toc254970536"/>
      <w:bookmarkStart w:id="46" w:name="_Toc254970677"/>
      <w:r>
        <w:rPr>
          <w:b/>
          <w:bCs/>
          <w:color w:val="auto"/>
          <w:kern w:val="0"/>
          <w:sz w:val="24"/>
          <w:szCs w:val="24"/>
          <w:highlight w:val="none"/>
        </w:rPr>
        <w:t>3.1响应文件的组成</w:t>
      </w:r>
      <w:bookmarkEnd w:id="45"/>
      <w:bookmarkEnd w:id="46"/>
    </w:p>
    <w:p w14:paraId="38CF777C">
      <w:pPr>
        <w:spacing w:before="120" w:line="320" w:lineRule="atLeast"/>
        <w:ind w:firstLine="480" w:firstLineChars="200"/>
        <w:rPr>
          <w:color w:val="auto"/>
          <w:sz w:val="24"/>
          <w:szCs w:val="24"/>
          <w:highlight w:val="none"/>
        </w:rPr>
      </w:pPr>
      <w:r>
        <w:rPr>
          <w:color w:val="auto"/>
          <w:sz w:val="24"/>
          <w:szCs w:val="24"/>
          <w:highlight w:val="none"/>
        </w:rPr>
        <w:t>响应文件由第六章“响应文件格式”规定的</w:t>
      </w:r>
      <w:r>
        <w:rPr>
          <w:rFonts w:hint="eastAsia"/>
          <w:color w:val="auto"/>
          <w:sz w:val="24"/>
          <w:szCs w:val="24"/>
          <w:highlight w:val="none"/>
        </w:rPr>
        <w:t>内容</w:t>
      </w:r>
      <w:r>
        <w:rPr>
          <w:color w:val="auto"/>
          <w:sz w:val="24"/>
          <w:szCs w:val="24"/>
          <w:highlight w:val="none"/>
        </w:rPr>
        <w:t>和供应商所作的一切有效补充、修改和承诺等文件组成</w:t>
      </w:r>
      <w:r>
        <w:rPr>
          <w:rFonts w:hint="eastAsia"/>
          <w:color w:val="auto"/>
          <w:sz w:val="24"/>
          <w:szCs w:val="24"/>
          <w:highlight w:val="none"/>
        </w:rPr>
        <w:t>。</w:t>
      </w:r>
    </w:p>
    <w:p w14:paraId="0A27AA57">
      <w:pPr>
        <w:spacing w:before="120" w:line="320" w:lineRule="atLeast"/>
        <w:ind w:firstLine="482" w:firstLineChars="200"/>
        <w:outlineLvl w:val="2"/>
        <w:rPr>
          <w:b/>
          <w:bCs/>
          <w:color w:val="auto"/>
          <w:kern w:val="0"/>
          <w:sz w:val="24"/>
          <w:szCs w:val="24"/>
          <w:highlight w:val="none"/>
        </w:rPr>
      </w:pPr>
      <w:bookmarkStart w:id="47" w:name="_Toc254970537"/>
      <w:bookmarkStart w:id="48" w:name="_Toc254970678"/>
      <w:r>
        <w:rPr>
          <w:b/>
          <w:color w:val="auto"/>
          <w:sz w:val="24"/>
          <w:szCs w:val="24"/>
          <w:highlight w:val="none"/>
        </w:rPr>
        <w:t>3.2</w:t>
      </w:r>
      <w:r>
        <w:rPr>
          <w:b/>
          <w:bCs/>
          <w:color w:val="auto"/>
          <w:kern w:val="0"/>
          <w:sz w:val="24"/>
          <w:szCs w:val="24"/>
          <w:highlight w:val="none"/>
        </w:rPr>
        <w:t>响应文件的语言及计量</w:t>
      </w:r>
      <w:bookmarkEnd w:id="47"/>
      <w:bookmarkEnd w:id="48"/>
    </w:p>
    <w:p w14:paraId="2EBE7A5D">
      <w:pPr>
        <w:spacing w:before="120" w:line="320" w:lineRule="atLeast"/>
        <w:ind w:firstLine="480" w:firstLineChars="200"/>
        <w:rPr>
          <w:color w:val="auto"/>
          <w:sz w:val="24"/>
          <w:szCs w:val="24"/>
          <w:highlight w:val="none"/>
        </w:rPr>
      </w:pPr>
      <w:r>
        <w:rPr>
          <w:color w:val="auto"/>
          <w:sz w:val="24"/>
          <w:szCs w:val="24"/>
          <w:highlight w:val="none"/>
        </w:rPr>
        <w:t>3.2.1</w:t>
      </w:r>
      <w:r>
        <w:rPr>
          <w:rFonts w:hint="eastAsia"/>
          <w:color w:val="auto"/>
          <w:sz w:val="24"/>
          <w:szCs w:val="24"/>
          <w:highlight w:val="none"/>
        </w:rPr>
        <w:t>响应文件以及供应商与采购人就有关响应事宜的所有来往函电，均应以中文书写（除专用术语外，与招标响应有关的语言均使用中文。必要时专用术语应附有中文注释）。供应商提交的支持文件和印刷的文献可以使用别的语言，但其相应内容应同时附中文翻译文本，在解释响应文件时以中文翻译文本为主。对不同文字文本响应文件的解释发生异议的，以中文文本为准。</w:t>
      </w:r>
    </w:p>
    <w:p w14:paraId="5C690272">
      <w:pPr>
        <w:spacing w:before="120" w:line="320" w:lineRule="atLeast"/>
        <w:ind w:firstLine="480" w:firstLineChars="200"/>
        <w:rPr>
          <w:color w:val="auto"/>
          <w:sz w:val="24"/>
          <w:szCs w:val="24"/>
          <w:highlight w:val="none"/>
        </w:rPr>
      </w:pPr>
      <w:r>
        <w:rPr>
          <w:color w:val="auto"/>
          <w:sz w:val="24"/>
          <w:szCs w:val="24"/>
          <w:highlight w:val="none"/>
        </w:rPr>
        <w:t>3.2.2计量单位采购文件已有明确规定的，响应使用采购文件规定的计量单位；采购文件没有规定的，应采用中华人民共和国法定计量单位。</w:t>
      </w:r>
    </w:p>
    <w:p w14:paraId="438FC640">
      <w:pPr>
        <w:spacing w:before="120" w:line="320" w:lineRule="atLeast"/>
        <w:ind w:firstLine="482" w:firstLineChars="200"/>
        <w:outlineLvl w:val="2"/>
        <w:rPr>
          <w:b/>
          <w:bCs/>
          <w:color w:val="auto"/>
          <w:kern w:val="0"/>
          <w:sz w:val="24"/>
          <w:szCs w:val="24"/>
          <w:highlight w:val="none"/>
        </w:rPr>
      </w:pPr>
      <w:bookmarkStart w:id="49" w:name="_Toc254970538"/>
      <w:bookmarkStart w:id="50" w:name="_Toc254970679"/>
      <w:r>
        <w:rPr>
          <w:b/>
          <w:bCs/>
          <w:color w:val="auto"/>
          <w:kern w:val="0"/>
          <w:sz w:val="24"/>
          <w:szCs w:val="24"/>
          <w:highlight w:val="none"/>
        </w:rPr>
        <w:t>3.3响应报价</w:t>
      </w:r>
      <w:bookmarkEnd w:id="49"/>
      <w:bookmarkEnd w:id="50"/>
    </w:p>
    <w:p w14:paraId="7DB5623C">
      <w:pPr>
        <w:spacing w:before="120" w:line="320" w:lineRule="atLeast"/>
        <w:ind w:firstLine="480" w:firstLineChars="200"/>
        <w:rPr>
          <w:color w:val="auto"/>
          <w:sz w:val="24"/>
          <w:szCs w:val="24"/>
          <w:highlight w:val="none"/>
        </w:rPr>
      </w:pPr>
      <w:r>
        <w:rPr>
          <w:color w:val="auto"/>
          <w:sz w:val="24"/>
          <w:szCs w:val="24"/>
          <w:highlight w:val="none"/>
        </w:rPr>
        <w:t>3.3.1响应报价应按采购文件中相关附表格式填写。</w:t>
      </w:r>
    </w:p>
    <w:p w14:paraId="32868199">
      <w:pPr>
        <w:spacing w:before="120" w:line="320" w:lineRule="atLeast"/>
        <w:ind w:firstLine="480" w:firstLineChars="200"/>
        <w:rPr>
          <w:color w:val="auto"/>
          <w:sz w:val="24"/>
          <w:szCs w:val="24"/>
          <w:highlight w:val="none"/>
        </w:rPr>
      </w:pPr>
      <w:r>
        <w:rPr>
          <w:color w:val="auto"/>
          <w:sz w:val="24"/>
          <w:szCs w:val="24"/>
          <w:highlight w:val="none"/>
        </w:rPr>
        <w:t>3.3.2响应文件只允许有一个报价，有选择的或有条件的报价将不予接受。</w:t>
      </w:r>
    </w:p>
    <w:p w14:paraId="6D269056">
      <w:pPr>
        <w:suppressAutoHyphens/>
        <w:spacing w:before="120" w:line="320" w:lineRule="atLeast"/>
        <w:ind w:firstLine="480" w:firstLineChars="200"/>
        <w:rPr>
          <w:color w:val="auto"/>
          <w:kern w:val="1"/>
          <w:sz w:val="24"/>
          <w:szCs w:val="24"/>
          <w:highlight w:val="none"/>
        </w:rPr>
      </w:pPr>
      <w:r>
        <w:rPr>
          <w:color w:val="auto"/>
          <w:kern w:val="1"/>
          <w:sz w:val="24"/>
          <w:szCs w:val="24"/>
          <w:highlight w:val="none"/>
        </w:rPr>
        <w:t>3.3.3对于本文件中未列明，而供应商认为必需的费用也需列入</w:t>
      </w:r>
      <w:r>
        <w:rPr>
          <w:rFonts w:hint="eastAsia"/>
          <w:color w:val="auto"/>
          <w:kern w:val="1"/>
          <w:sz w:val="24"/>
          <w:szCs w:val="24"/>
          <w:highlight w:val="none"/>
        </w:rPr>
        <w:t>响应报价</w:t>
      </w:r>
      <w:r>
        <w:rPr>
          <w:color w:val="auto"/>
          <w:kern w:val="1"/>
          <w:sz w:val="24"/>
          <w:szCs w:val="24"/>
          <w:highlight w:val="none"/>
        </w:rPr>
        <w:t>。在合同实施时，采购人将不予支付成交供应商没有列入的项目费用，并认为此项目的费用已包括在</w:t>
      </w:r>
      <w:r>
        <w:rPr>
          <w:rFonts w:hint="eastAsia"/>
          <w:color w:val="auto"/>
          <w:kern w:val="1"/>
          <w:sz w:val="24"/>
          <w:szCs w:val="24"/>
          <w:highlight w:val="none"/>
        </w:rPr>
        <w:t>响应报价</w:t>
      </w:r>
      <w:r>
        <w:rPr>
          <w:color w:val="auto"/>
          <w:kern w:val="1"/>
          <w:sz w:val="24"/>
          <w:szCs w:val="24"/>
          <w:highlight w:val="none"/>
        </w:rPr>
        <w:t>中。</w:t>
      </w:r>
    </w:p>
    <w:p w14:paraId="7B7C3790">
      <w:pPr>
        <w:suppressAutoHyphens/>
        <w:spacing w:before="120" w:line="320" w:lineRule="atLeast"/>
        <w:ind w:firstLine="480" w:firstLineChars="200"/>
        <w:rPr>
          <w:b/>
          <w:bCs/>
          <w:color w:val="auto"/>
          <w:kern w:val="1"/>
          <w:sz w:val="24"/>
          <w:szCs w:val="24"/>
          <w:highlight w:val="none"/>
        </w:rPr>
      </w:pPr>
      <w:r>
        <w:rPr>
          <w:rFonts w:hint="eastAsia"/>
          <w:color w:val="auto"/>
          <w:kern w:val="1"/>
          <w:sz w:val="24"/>
          <w:szCs w:val="24"/>
          <w:highlight w:val="none"/>
        </w:rPr>
        <w:t>3</w:t>
      </w:r>
      <w:r>
        <w:rPr>
          <w:color w:val="auto"/>
          <w:kern w:val="1"/>
          <w:sz w:val="24"/>
          <w:szCs w:val="24"/>
          <w:highlight w:val="none"/>
        </w:rPr>
        <w:t>.3.4</w:t>
      </w:r>
      <w:r>
        <w:rPr>
          <w:rFonts w:hint="eastAsia"/>
          <w:color w:val="auto"/>
          <w:kern w:val="1"/>
          <w:sz w:val="24"/>
          <w:szCs w:val="24"/>
          <w:highlight w:val="none"/>
        </w:rPr>
        <w:t>采购人不接受供应商给予的赠品、回扣或者与采购无关的其他商品、服务。</w:t>
      </w:r>
    </w:p>
    <w:p w14:paraId="676C871F">
      <w:pPr>
        <w:spacing w:before="120" w:line="320" w:lineRule="atLeast"/>
        <w:ind w:firstLine="482" w:firstLineChars="200"/>
        <w:outlineLvl w:val="2"/>
        <w:rPr>
          <w:b/>
          <w:bCs/>
          <w:color w:val="auto"/>
          <w:kern w:val="0"/>
          <w:sz w:val="24"/>
          <w:szCs w:val="24"/>
          <w:highlight w:val="none"/>
        </w:rPr>
      </w:pPr>
      <w:r>
        <w:rPr>
          <w:b/>
          <w:bCs/>
          <w:color w:val="auto"/>
          <w:kern w:val="0"/>
          <w:sz w:val="24"/>
          <w:szCs w:val="24"/>
          <w:highlight w:val="none"/>
        </w:rPr>
        <w:t>3.4响应有效期</w:t>
      </w:r>
    </w:p>
    <w:p w14:paraId="49889B2F">
      <w:pPr>
        <w:spacing w:before="120" w:line="320" w:lineRule="atLeast"/>
        <w:ind w:firstLine="480" w:firstLineChars="200"/>
        <w:rPr>
          <w:color w:val="auto"/>
          <w:sz w:val="24"/>
          <w:szCs w:val="24"/>
          <w:highlight w:val="none"/>
        </w:rPr>
      </w:pPr>
      <w:r>
        <w:rPr>
          <w:color w:val="auto"/>
          <w:sz w:val="24"/>
          <w:szCs w:val="24"/>
          <w:highlight w:val="none"/>
        </w:rPr>
        <w:t>3.4.1如采购文件其他地方无特别规定</w:t>
      </w:r>
      <w:r>
        <w:rPr>
          <w:rFonts w:hint="eastAsia"/>
          <w:color w:val="auto"/>
          <w:sz w:val="24"/>
          <w:szCs w:val="24"/>
          <w:highlight w:val="none"/>
        </w:rPr>
        <w:t>，</w:t>
      </w:r>
      <w:r>
        <w:rPr>
          <w:color w:val="auto"/>
          <w:sz w:val="24"/>
          <w:szCs w:val="24"/>
          <w:highlight w:val="none"/>
        </w:rPr>
        <w:t>响应有效期则为响应截止之日起90天</w:t>
      </w:r>
      <w:r>
        <w:rPr>
          <w:rFonts w:hint="eastAsia"/>
          <w:color w:val="auto"/>
          <w:sz w:val="24"/>
          <w:szCs w:val="24"/>
          <w:highlight w:val="none"/>
        </w:rPr>
        <w:t>。</w:t>
      </w:r>
      <w:r>
        <w:rPr>
          <w:color w:val="auto"/>
          <w:sz w:val="24"/>
          <w:szCs w:val="24"/>
          <w:highlight w:val="none"/>
        </w:rPr>
        <w:t>在响应有效期内响应文件应保持有效。</w:t>
      </w:r>
      <w:r>
        <w:rPr>
          <w:b/>
          <w:bCs/>
          <w:color w:val="auto"/>
          <w:sz w:val="24"/>
          <w:szCs w:val="24"/>
          <w:highlight w:val="none"/>
        </w:rPr>
        <w:t>有效期不足的响应文件将被否决</w:t>
      </w:r>
      <w:r>
        <w:rPr>
          <w:color w:val="auto"/>
          <w:sz w:val="24"/>
          <w:szCs w:val="24"/>
          <w:highlight w:val="none"/>
        </w:rPr>
        <w:t>。</w:t>
      </w:r>
    </w:p>
    <w:p w14:paraId="18B63BA2">
      <w:pPr>
        <w:spacing w:before="120" w:line="320" w:lineRule="atLeast"/>
        <w:ind w:firstLine="480" w:firstLineChars="200"/>
        <w:rPr>
          <w:color w:val="auto"/>
          <w:sz w:val="24"/>
          <w:szCs w:val="24"/>
          <w:highlight w:val="none"/>
        </w:rPr>
      </w:pPr>
      <w:r>
        <w:rPr>
          <w:color w:val="auto"/>
          <w:sz w:val="24"/>
          <w:szCs w:val="24"/>
          <w:highlight w:val="none"/>
        </w:rPr>
        <w:t>3.4.2在特殊情况下，采购人可与供应商协商延长响应文件的有效期，这种要求和答复均以书面形式进行。</w:t>
      </w:r>
    </w:p>
    <w:p w14:paraId="221A7C5C">
      <w:pPr>
        <w:spacing w:before="120" w:line="320" w:lineRule="atLeast"/>
        <w:ind w:firstLine="480" w:firstLineChars="200"/>
        <w:rPr>
          <w:color w:val="auto"/>
          <w:sz w:val="24"/>
          <w:szCs w:val="24"/>
          <w:highlight w:val="none"/>
        </w:rPr>
      </w:pPr>
      <w:r>
        <w:rPr>
          <w:color w:val="auto"/>
          <w:sz w:val="24"/>
          <w:szCs w:val="24"/>
          <w:highlight w:val="none"/>
        </w:rPr>
        <w:t>3.4.3</w:t>
      </w:r>
      <w:r>
        <w:rPr>
          <w:rFonts w:hint="eastAsia"/>
          <w:color w:val="auto"/>
          <w:sz w:val="24"/>
          <w:szCs w:val="24"/>
          <w:highlight w:val="none"/>
        </w:rPr>
        <w:t>供应商同意延长的响应有效期的，如本项目要求提交保证金则应相应延长其磋商保证金的有效期，但不得要求或被允许修改或撤销其响应文件；供应商拒绝延长的，其响应无效，但供应商有权收回其磋商保证金。</w:t>
      </w:r>
    </w:p>
    <w:p w14:paraId="6D21AC56">
      <w:pPr>
        <w:spacing w:before="120" w:line="320" w:lineRule="atLeast"/>
        <w:ind w:firstLine="482" w:firstLineChars="200"/>
        <w:outlineLvl w:val="2"/>
        <w:rPr>
          <w:b/>
          <w:bCs/>
          <w:color w:val="auto"/>
          <w:kern w:val="0"/>
          <w:sz w:val="24"/>
          <w:szCs w:val="24"/>
          <w:highlight w:val="none"/>
        </w:rPr>
      </w:pPr>
      <w:bookmarkStart w:id="51" w:name="_Toc254970541"/>
      <w:bookmarkStart w:id="52" w:name="_Toc254970682"/>
      <w:r>
        <w:rPr>
          <w:b/>
          <w:bCs/>
          <w:color w:val="auto"/>
          <w:kern w:val="0"/>
          <w:sz w:val="24"/>
          <w:szCs w:val="24"/>
          <w:highlight w:val="none"/>
        </w:rPr>
        <w:t>3.5磋商保证金</w:t>
      </w:r>
      <w:bookmarkEnd w:id="51"/>
      <w:bookmarkEnd w:id="52"/>
    </w:p>
    <w:p w14:paraId="3FDD540E">
      <w:pPr>
        <w:spacing w:before="120" w:line="320" w:lineRule="atLeast"/>
        <w:ind w:firstLine="480" w:firstLineChars="200"/>
        <w:rPr>
          <w:color w:val="auto"/>
          <w:sz w:val="24"/>
          <w:szCs w:val="24"/>
          <w:highlight w:val="none"/>
        </w:rPr>
      </w:pPr>
      <w:r>
        <w:rPr>
          <w:color w:val="auto"/>
          <w:sz w:val="24"/>
          <w:szCs w:val="24"/>
          <w:highlight w:val="none"/>
        </w:rPr>
        <w:t>3.5.1供应商须按须知前附表规定提交磋商保证金，</w:t>
      </w:r>
      <w:r>
        <w:rPr>
          <w:b/>
          <w:bCs/>
          <w:color w:val="auto"/>
          <w:sz w:val="24"/>
          <w:szCs w:val="24"/>
          <w:highlight w:val="none"/>
        </w:rPr>
        <w:t>否则其响应将被否决</w:t>
      </w:r>
      <w:r>
        <w:rPr>
          <w:color w:val="auto"/>
          <w:sz w:val="24"/>
          <w:szCs w:val="24"/>
          <w:highlight w:val="none"/>
        </w:rPr>
        <w:t>。除采购文件规定不予退还保证金的情形外，代理机构在规定时间内退回供应商的磋商保证金（供应商自行承担因未按供应商须知前附表要求交纳导致磋商保证金无法及时退还的责任）。</w:t>
      </w:r>
    </w:p>
    <w:p w14:paraId="28EE7DD2">
      <w:pPr>
        <w:spacing w:before="120" w:line="320" w:lineRule="atLeast"/>
        <w:ind w:firstLine="480" w:firstLineChars="200"/>
        <w:rPr>
          <w:color w:val="auto"/>
          <w:sz w:val="24"/>
          <w:szCs w:val="24"/>
          <w:highlight w:val="none"/>
        </w:rPr>
      </w:pPr>
      <w:r>
        <w:rPr>
          <w:color w:val="auto"/>
          <w:sz w:val="24"/>
          <w:szCs w:val="24"/>
          <w:highlight w:val="none"/>
        </w:rPr>
        <w:t>3.5.2磋商保证金币种应与响应报价币种相同。</w:t>
      </w:r>
    </w:p>
    <w:p w14:paraId="605DA7DF">
      <w:pPr>
        <w:spacing w:before="120" w:line="320" w:lineRule="atLeast"/>
        <w:ind w:firstLine="480" w:firstLineChars="200"/>
        <w:rPr>
          <w:color w:val="auto"/>
          <w:sz w:val="24"/>
          <w:szCs w:val="24"/>
          <w:highlight w:val="none"/>
        </w:rPr>
      </w:pPr>
      <w:r>
        <w:rPr>
          <w:color w:val="auto"/>
          <w:sz w:val="24"/>
          <w:szCs w:val="24"/>
          <w:highlight w:val="none"/>
        </w:rPr>
        <w:t>3.5.3未成交供应商的磋商保证金在成交通知书发出后5个工作日内退还。成交供应商的磋商保证金在合同签订后5个工作日内退还（办理退还手续时需要向采购代理机构提供两份合同复印件）。</w:t>
      </w:r>
    </w:p>
    <w:p w14:paraId="03FDF3E7">
      <w:pPr>
        <w:spacing w:before="120" w:line="320" w:lineRule="atLeast"/>
        <w:ind w:firstLine="480" w:firstLineChars="200"/>
        <w:rPr>
          <w:color w:val="auto"/>
          <w:sz w:val="24"/>
          <w:szCs w:val="24"/>
          <w:highlight w:val="none"/>
        </w:rPr>
      </w:pPr>
      <w:r>
        <w:rPr>
          <w:color w:val="auto"/>
          <w:sz w:val="24"/>
          <w:szCs w:val="24"/>
          <w:highlight w:val="none"/>
        </w:rPr>
        <w:t>3.5.4供应商有下列情形之一的，磋商保证金将不予退还：</w:t>
      </w:r>
    </w:p>
    <w:p w14:paraId="408288E2">
      <w:pPr>
        <w:numPr>
          <w:ilvl w:val="0"/>
          <w:numId w:val="1"/>
        </w:numPr>
        <w:spacing w:before="120" w:line="320" w:lineRule="atLeast"/>
        <w:rPr>
          <w:color w:val="auto"/>
          <w:sz w:val="24"/>
          <w:szCs w:val="24"/>
          <w:highlight w:val="none"/>
        </w:rPr>
      </w:pPr>
      <w:r>
        <w:rPr>
          <w:color w:val="auto"/>
          <w:sz w:val="24"/>
          <w:szCs w:val="24"/>
          <w:highlight w:val="none"/>
        </w:rPr>
        <w:t>供应商在响应有效期内撤销响应文件的；</w:t>
      </w:r>
    </w:p>
    <w:p w14:paraId="6ACA2722">
      <w:pPr>
        <w:numPr>
          <w:ilvl w:val="0"/>
          <w:numId w:val="1"/>
        </w:numPr>
        <w:spacing w:before="120" w:line="320" w:lineRule="atLeast"/>
        <w:rPr>
          <w:color w:val="auto"/>
          <w:sz w:val="24"/>
          <w:szCs w:val="24"/>
          <w:highlight w:val="none"/>
        </w:rPr>
      </w:pPr>
      <w:r>
        <w:rPr>
          <w:color w:val="auto"/>
          <w:sz w:val="24"/>
          <w:szCs w:val="24"/>
          <w:highlight w:val="none"/>
        </w:rPr>
        <w:t>供应商在响应过程中弄虚作假，提供虚假材料的；</w:t>
      </w:r>
    </w:p>
    <w:p w14:paraId="684C25CE">
      <w:pPr>
        <w:numPr>
          <w:ilvl w:val="0"/>
          <w:numId w:val="1"/>
        </w:numPr>
        <w:spacing w:before="120" w:line="320" w:lineRule="atLeast"/>
        <w:rPr>
          <w:color w:val="auto"/>
          <w:sz w:val="24"/>
          <w:szCs w:val="24"/>
          <w:highlight w:val="none"/>
        </w:rPr>
      </w:pPr>
      <w:r>
        <w:rPr>
          <w:color w:val="auto"/>
          <w:sz w:val="24"/>
          <w:szCs w:val="24"/>
          <w:highlight w:val="none"/>
        </w:rPr>
        <w:t>成交供应商无正当理由不与采购人签订合同的；</w:t>
      </w:r>
    </w:p>
    <w:p w14:paraId="4C5343C0">
      <w:pPr>
        <w:numPr>
          <w:ilvl w:val="0"/>
          <w:numId w:val="1"/>
        </w:numPr>
        <w:spacing w:before="120" w:line="320" w:lineRule="atLeast"/>
        <w:rPr>
          <w:color w:val="auto"/>
          <w:sz w:val="24"/>
          <w:szCs w:val="24"/>
          <w:highlight w:val="none"/>
        </w:rPr>
      </w:pPr>
      <w:r>
        <w:rPr>
          <w:color w:val="auto"/>
          <w:sz w:val="24"/>
          <w:szCs w:val="24"/>
          <w:highlight w:val="none"/>
        </w:rPr>
        <w:t>将</w:t>
      </w:r>
      <w:r>
        <w:rPr>
          <w:rFonts w:hint="eastAsia"/>
          <w:color w:val="auto"/>
          <w:sz w:val="24"/>
          <w:szCs w:val="24"/>
          <w:highlight w:val="none"/>
        </w:rPr>
        <w:t>成交</w:t>
      </w:r>
      <w:r>
        <w:rPr>
          <w:color w:val="auto"/>
          <w:sz w:val="24"/>
          <w:szCs w:val="24"/>
          <w:highlight w:val="none"/>
        </w:rPr>
        <w:t>项目转让给他人或者在响应文件中未说明且未经采购人同意，将</w:t>
      </w:r>
      <w:r>
        <w:rPr>
          <w:rFonts w:hint="eastAsia"/>
          <w:color w:val="auto"/>
          <w:sz w:val="24"/>
          <w:szCs w:val="24"/>
          <w:highlight w:val="none"/>
        </w:rPr>
        <w:t>成交</w:t>
      </w:r>
      <w:r>
        <w:rPr>
          <w:color w:val="auto"/>
          <w:sz w:val="24"/>
          <w:szCs w:val="24"/>
          <w:highlight w:val="none"/>
        </w:rPr>
        <w:t>项目分包给他人的；</w:t>
      </w:r>
    </w:p>
    <w:p w14:paraId="315AF684">
      <w:pPr>
        <w:numPr>
          <w:ilvl w:val="0"/>
          <w:numId w:val="1"/>
        </w:numPr>
        <w:spacing w:before="120" w:line="320" w:lineRule="atLeast"/>
        <w:rPr>
          <w:color w:val="auto"/>
          <w:sz w:val="24"/>
          <w:szCs w:val="24"/>
          <w:highlight w:val="none"/>
        </w:rPr>
      </w:pPr>
      <w:r>
        <w:rPr>
          <w:rFonts w:hint="eastAsia"/>
          <w:color w:val="auto"/>
          <w:sz w:val="24"/>
          <w:szCs w:val="24"/>
          <w:highlight w:val="none"/>
        </w:rPr>
        <w:t>供应商与采购人、其他供应商或者采购代理机构恶意串通的；</w:t>
      </w:r>
    </w:p>
    <w:p w14:paraId="09AFF0A9">
      <w:pPr>
        <w:numPr>
          <w:ilvl w:val="0"/>
          <w:numId w:val="1"/>
        </w:numPr>
        <w:spacing w:before="120" w:line="320" w:lineRule="atLeast"/>
        <w:rPr>
          <w:color w:val="auto"/>
          <w:sz w:val="24"/>
          <w:szCs w:val="24"/>
          <w:highlight w:val="none"/>
        </w:rPr>
      </w:pPr>
      <w:r>
        <w:rPr>
          <w:color w:val="auto"/>
          <w:sz w:val="24"/>
          <w:szCs w:val="24"/>
          <w:highlight w:val="none"/>
        </w:rPr>
        <w:t>拒绝履行合同义务的；</w:t>
      </w:r>
    </w:p>
    <w:p w14:paraId="3DB03A8B">
      <w:pPr>
        <w:numPr>
          <w:ilvl w:val="0"/>
          <w:numId w:val="1"/>
        </w:numPr>
        <w:spacing w:before="120" w:line="320" w:lineRule="atLeast"/>
        <w:rPr>
          <w:color w:val="auto"/>
          <w:sz w:val="24"/>
          <w:szCs w:val="24"/>
          <w:highlight w:val="none"/>
        </w:rPr>
      </w:pPr>
      <w:r>
        <w:rPr>
          <w:color w:val="auto"/>
          <w:sz w:val="24"/>
          <w:szCs w:val="24"/>
          <w:highlight w:val="none"/>
        </w:rPr>
        <w:t>其他严重扰乱招</w:t>
      </w:r>
      <w:r>
        <w:rPr>
          <w:rFonts w:hint="eastAsia"/>
          <w:color w:val="auto"/>
          <w:sz w:val="24"/>
          <w:szCs w:val="24"/>
          <w:highlight w:val="none"/>
        </w:rPr>
        <w:t>投标</w:t>
      </w:r>
      <w:r>
        <w:rPr>
          <w:color w:val="auto"/>
          <w:sz w:val="24"/>
          <w:szCs w:val="24"/>
          <w:highlight w:val="none"/>
        </w:rPr>
        <w:t>程序的</w:t>
      </w:r>
      <w:r>
        <w:rPr>
          <w:rFonts w:hint="eastAsia"/>
          <w:color w:val="auto"/>
          <w:sz w:val="24"/>
          <w:szCs w:val="24"/>
          <w:highlight w:val="none"/>
        </w:rPr>
        <w:t>。</w:t>
      </w:r>
    </w:p>
    <w:p w14:paraId="2CC2B459">
      <w:pPr>
        <w:spacing w:before="120" w:line="320" w:lineRule="atLeast"/>
        <w:ind w:firstLine="482" w:firstLineChars="200"/>
        <w:outlineLvl w:val="2"/>
        <w:rPr>
          <w:b/>
          <w:bCs/>
          <w:color w:val="auto"/>
          <w:kern w:val="0"/>
          <w:sz w:val="24"/>
          <w:szCs w:val="24"/>
          <w:highlight w:val="none"/>
        </w:rPr>
      </w:pPr>
      <w:bookmarkStart w:id="53" w:name="_Toc254970683"/>
      <w:bookmarkStart w:id="54" w:name="_Toc254970542"/>
      <w:r>
        <w:rPr>
          <w:b/>
          <w:bCs/>
          <w:color w:val="auto"/>
          <w:kern w:val="0"/>
          <w:sz w:val="24"/>
          <w:szCs w:val="24"/>
          <w:highlight w:val="none"/>
        </w:rPr>
        <w:t>3.6响应文件的</w:t>
      </w:r>
      <w:bookmarkEnd w:id="53"/>
      <w:bookmarkEnd w:id="54"/>
      <w:r>
        <w:rPr>
          <w:b/>
          <w:bCs/>
          <w:color w:val="auto"/>
          <w:kern w:val="0"/>
          <w:sz w:val="24"/>
          <w:szCs w:val="24"/>
          <w:highlight w:val="none"/>
        </w:rPr>
        <w:t>编制要求</w:t>
      </w:r>
    </w:p>
    <w:p w14:paraId="448D899B">
      <w:pPr>
        <w:spacing w:before="120" w:line="320" w:lineRule="atLeast"/>
        <w:ind w:firstLine="480" w:firstLineChars="200"/>
        <w:rPr>
          <w:b/>
          <w:bCs/>
          <w:color w:val="auto"/>
          <w:kern w:val="0"/>
          <w:sz w:val="24"/>
          <w:szCs w:val="24"/>
          <w:highlight w:val="none"/>
        </w:rPr>
      </w:pPr>
      <w:r>
        <w:rPr>
          <w:rFonts w:hint="eastAsia"/>
          <w:color w:val="auto"/>
          <w:kern w:val="0"/>
          <w:sz w:val="24"/>
          <w:szCs w:val="24"/>
          <w:highlight w:val="none"/>
        </w:rPr>
        <w:t>3</w:t>
      </w:r>
      <w:r>
        <w:rPr>
          <w:color w:val="auto"/>
          <w:kern w:val="0"/>
          <w:sz w:val="24"/>
          <w:szCs w:val="24"/>
          <w:highlight w:val="none"/>
        </w:rPr>
        <w:t>.6.1</w:t>
      </w:r>
      <w:r>
        <w:rPr>
          <w:rFonts w:hint="eastAsia"/>
          <w:color w:val="auto"/>
          <w:sz w:val="24"/>
          <w:szCs w:val="24"/>
          <w:highlight w:val="none"/>
        </w:rPr>
        <w:t>供应商应先安装广西政府采购云平台新版客户端，通过账号密码或C</w:t>
      </w:r>
      <w:r>
        <w:rPr>
          <w:color w:val="auto"/>
          <w:sz w:val="24"/>
          <w:szCs w:val="24"/>
          <w:highlight w:val="none"/>
        </w:rPr>
        <w:t>A</w:t>
      </w:r>
      <w:r>
        <w:rPr>
          <w:rFonts w:hint="eastAsia"/>
          <w:color w:val="auto"/>
          <w:sz w:val="24"/>
          <w:szCs w:val="24"/>
          <w:highlight w:val="none"/>
        </w:rPr>
        <w:t>登录客户端制作响应文件。</w:t>
      </w:r>
    </w:p>
    <w:p w14:paraId="04E4DFE5">
      <w:pPr>
        <w:spacing w:before="120" w:line="320" w:lineRule="atLeast"/>
        <w:ind w:firstLine="480" w:firstLineChars="200"/>
        <w:rPr>
          <w:color w:val="auto"/>
          <w:sz w:val="24"/>
          <w:szCs w:val="24"/>
          <w:highlight w:val="none"/>
        </w:rPr>
      </w:pPr>
      <w:r>
        <w:rPr>
          <w:rFonts w:hint="eastAsia"/>
          <w:color w:val="auto"/>
          <w:sz w:val="24"/>
          <w:szCs w:val="24"/>
          <w:highlight w:val="none"/>
        </w:rPr>
        <w:t>3.6.2供应商应按本采购文件规定的格式和顺序编制响应文件并进行关联定位，以便磋商小组在评审时，点击评分项可直接定位到该评分项内容。如对采购文件的某项要求，供应商的响应文件未能关联定位提供相应的内容与其对应，则磋商小组在评审时如做出对供应商不利的评审由供应商自行承担。响应文件如内容不完整、编排混乱导致响应文件被误读、漏读，或者在按采购文件规定的部位查找不到相关内容的，由供应商自行承担。</w:t>
      </w:r>
    </w:p>
    <w:p w14:paraId="5B6E0CD6">
      <w:pPr>
        <w:spacing w:before="120" w:line="320" w:lineRule="atLeast"/>
        <w:ind w:firstLine="480" w:firstLineChars="200"/>
        <w:rPr>
          <w:color w:val="auto"/>
          <w:sz w:val="24"/>
          <w:szCs w:val="24"/>
          <w:highlight w:val="none"/>
        </w:rPr>
      </w:pPr>
      <w:r>
        <w:rPr>
          <w:rFonts w:hint="eastAsia"/>
          <w:color w:val="auto"/>
          <w:sz w:val="24"/>
          <w:szCs w:val="24"/>
          <w:highlight w:val="none"/>
        </w:rPr>
        <w:t>3.6.3 供应商的响应文件未按照采购文件要求签署、盖章的，</w:t>
      </w:r>
      <w:r>
        <w:rPr>
          <w:rFonts w:hint="eastAsia"/>
          <w:b/>
          <w:bCs/>
          <w:color w:val="auto"/>
          <w:sz w:val="24"/>
          <w:szCs w:val="24"/>
          <w:highlight w:val="none"/>
        </w:rPr>
        <w:t>其响应无效</w:t>
      </w:r>
      <w:r>
        <w:rPr>
          <w:rFonts w:hint="eastAsia"/>
          <w:color w:val="auto"/>
          <w:sz w:val="24"/>
          <w:szCs w:val="24"/>
          <w:highlight w:val="none"/>
        </w:rPr>
        <w:t>。</w:t>
      </w:r>
    </w:p>
    <w:p w14:paraId="27EF53DF">
      <w:pPr>
        <w:spacing w:before="120" w:line="320" w:lineRule="atLeast"/>
        <w:ind w:firstLine="480" w:firstLineChars="200"/>
        <w:rPr>
          <w:color w:val="auto"/>
          <w:sz w:val="24"/>
          <w:szCs w:val="24"/>
          <w:highlight w:val="none"/>
        </w:rPr>
      </w:pPr>
      <w:r>
        <w:rPr>
          <w:color w:val="auto"/>
          <w:sz w:val="24"/>
          <w:szCs w:val="24"/>
          <w:highlight w:val="none"/>
        </w:rPr>
        <w:t>3.6.4</w:t>
      </w:r>
      <w:r>
        <w:rPr>
          <w:rFonts w:hint="eastAsia"/>
          <w:color w:val="auto"/>
          <w:sz w:val="24"/>
          <w:szCs w:val="24"/>
          <w:highlight w:val="none"/>
        </w:rPr>
        <w:t>为确保网上操作合法、有效和安全，供应商应当在响应截止时间前完成在广西政府采购云平台的身份认证，确保在电子投标过程中能够对相关数据电文进行加密和使用电子签名。</w:t>
      </w:r>
    </w:p>
    <w:p w14:paraId="23715B98">
      <w:pPr>
        <w:spacing w:before="120" w:line="320" w:lineRule="atLeast"/>
        <w:ind w:firstLine="480" w:firstLineChars="200"/>
        <w:rPr>
          <w:color w:val="auto"/>
          <w:sz w:val="24"/>
          <w:szCs w:val="24"/>
          <w:highlight w:val="none"/>
        </w:rPr>
      </w:pPr>
      <w:r>
        <w:rPr>
          <w:rFonts w:hint="eastAsia"/>
          <w:color w:val="auto"/>
          <w:sz w:val="24"/>
          <w:szCs w:val="24"/>
          <w:highlight w:val="none"/>
        </w:rPr>
        <w:t>3</w:t>
      </w:r>
      <w:r>
        <w:rPr>
          <w:color w:val="auto"/>
          <w:sz w:val="24"/>
          <w:szCs w:val="24"/>
          <w:highlight w:val="none"/>
        </w:rPr>
        <w:t>.6.5</w:t>
      </w:r>
      <w:r>
        <w:rPr>
          <w:rFonts w:hint="eastAsia"/>
          <w:color w:val="auto"/>
          <w:sz w:val="24"/>
          <w:szCs w:val="24"/>
          <w:highlight w:val="none"/>
        </w:rPr>
        <w:t>响应文件中标注的供应商名称应与主体资格证明（如营业执照、事业单位法人证书、执业许可证、个体工商户营业执照、自然人身份证等）和公章/电子签章一致，</w:t>
      </w:r>
      <w:r>
        <w:rPr>
          <w:rFonts w:hint="eastAsia"/>
          <w:b/>
          <w:bCs/>
          <w:color w:val="auto"/>
          <w:sz w:val="24"/>
          <w:szCs w:val="24"/>
          <w:highlight w:val="none"/>
        </w:rPr>
        <w:t>否则作无效响应处理。</w:t>
      </w:r>
    </w:p>
    <w:p w14:paraId="4ED397EE">
      <w:pPr>
        <w:spacing w:before="120" w:line="320" w:lineRule="atLeast"/>
        <w:ind w:firstLine="482" w:firstLineChars="200"/>
        <w:outlineLvl w:val="2"/>
        <w:rPr>
          <w:b/>
          <w:bCs/>
          <w:color w:val="auto"/>
          <w:kern w:val="0"/>
          <w:sz w:val="24"/>
          <w:szCs w:val="24"/>
          <w:highlight w:val="none"/>
        </w:rPr>
      </w:pPr>
      <w:r>
        <w:rPr>
          <w:b/>
          <w:bCs/>
          <w:color w:val="auto"/>
          <w:kern w:val="0"/>
          <w:sz w:val="24"/>
          <w:szCs w:val="24"/>
          <w:highlight w:val="none"/>
        </w:rPr>
        <w:t>3.7响应文件的递交、修改和撤回</w:t>
      </w:r>
    </w:p>
    <w:p w14:paraId="26786AC4">
      <w:pPr>
        <w:spacing w:before="120" w:line="320" w:lineRule="atLeast"/>
        <w:ind w:firstLine="480" w:firstLineChars="200"/>
        <w:rPr>
          <w:color w:val="auto"/>
          <w:sz w:val="24"/>
          <w:szCs w:val="24"/>
          <w:highlight w:val="none"/>
        </w:rPr>
      </w:pPr>
      <w:r>
        <w:rPr>
          <w:color w:val="auto"/>
          <w:sz w:val="24"/>
          <w:szCs w:val="24"/>
          <w:highlight w:val="none"/>
        </w:rPr>
        <w:t>3.7.1</w:t>
      </w:r>
      <w:r>
        <w:rPr>
          <w:rFonts w:hint="eastAsia"/>
          <w:color w:val="auto"/>
          <w:sz w:val="24"/>
          <w:szCs w:val="24"/>
          <w:highlight w:val="none"/>
        </w:rPr>
        <w:t xml:space="preserve">供应商必须在“供应商须知前附表”规定的响应文件截标时间和响应地点提交电子版响应文件。电子响应文件应在制作完成后，在响应截止时间前通过有效数字证书（CA认证锁）进行电子签章、加密，然后通过网络将加密的电子响应文件递交至广西政府采购云平台。 </w:t>
      </w:r>
    </w:p>
    <w:p w14:paraId="74A4AADB">
      <w:pPr>
        <w:spacing w:before="120" w:line="320" w:lineRule="atLeast"/>
        <w:ind w:firstLine="480" w:firstLineChars="200"/>
        <w:rPr>
          <w:color w:val="auto"/>
          <w:sz w:val="24"/>
          <w:szCs w:val="24"/>
          <w:highlight w:val="none"/>
        </w:rPr>
      </w:pPr>
      <w:r>
        <w:rPr>
          <w:rFonts w:hint="eastAsia"/>
          <w:color w:val="auto"/>
          <w:sz w:val="24"/>
          <w:szCs w:val="24"/>
          <w:highlight w:val="none"/>
        </w:rPr>
        <w:t>3</w:t>
      </w:r>
      <w:r>
        <w:rPr>
          <w:color w:val="auto"/>
          <w:sz w:val="24"/>
          <w:szCs w:val="24"/>
          <w:highlight w:val="none"/>
        </w:rPr>
        <w:t>.7.2</w:t>
      </w:r>
      <w:r>
        <w:rPr>
          <w:rFonts w:hint="eastAsia"/>
          <w:color w:val="auto"/>
          <w:sz w:val="24"/>
          <w:szCs w:val="24"/>
          <w:highlight w:val="none"/>
        </w:rPr>
        <w:t xml:space="preserve">未在规定时间内提交或者未按照采购文件要求签章、加密的电子响应文件，广西政府采购云平台将拒收。 </w:t>
      </w:r>
    </w:p>
    <w:p w14:paraId="6C3B829A">
      <w:pPr>
        <w:spacing w:before="120" w:line="320" w:lineRule="atLeast"/>
        <w:ind w:left="2" w:leftChars="1" w:firstLine="480" w:firstLineChars="200"/>
        <w:rPr>
          <w:color w:val="auto"/>
          <w:sz w:val="24"/>
          <w:szCs w:val="24"/>
          <w:highlight w:val="none"/>
        </w:rPr>
      </w:pPr>
      <w:r>
        <w:rPr>
          <w:rFonts w:hint="eastAsia"/>
          <w:color w:val="auto"/>
          <w:sz w:val="24"/>
          <w:szCs w:val="24"/>
          <w:highlight w:val="none"/>
        </w:rPr>
        <w:t>3</w:t>
      </w:r>
      <w:r>
        <w:rPr>
          <w:color w:val="auto"/>
          <w:sz w:val="24"/>
          <w:szCs w:val="24"/>
          <w:highlight w:val="none"/>
        </w:rPr>
        <w:t>.7.3</w:t>
      </w:r>
      <w:r>
        <w:rPr>
          <w:rFonts w:hint="eastAsia"/>
          <w:color w:val="auto"/>
          <w:sz w:val="24"/>
          <w:szCs w:val="24"/>
          <w:highlight w:val="none"/>
        </w:rPr>
        <w:t>供应商应当在响应截止时间前完成响应文件的传输递交，并可以补充、修改或者撤回响应文件。补充或者修改响应文件的，应当先行撤回原文件，补充、修改后重新传输递交。响应截止时间前未完成传输的，视为撤回响应文件。响应截止时间后递交的响应文件，广西政府采购云平台将拒收。</w:t>
      </w:r>
    </w:p>
    <w:p w14:paraId="420E2F47">
      <w:pPr>
        <w:spacing w:before="120" w:line="320" w:lineRule="atLeast"/>
        <w:ind w:left="2" w:leftChars="1" w:firstLine="480" w:firstLineChars="200"/>
        <w:rPr>
          <w:color w:val="auto"/>
          <w:sz w:val="24"/>
          <w:szCs w:val="24"/>
          <w:highlight w:val="none"/>
        </w:rPr>
      </w:pPr>
      <w:r>
        <w:rPr>
          <w:color w:val="auto"/>
          <w:sz w:val="24"/>
          <w:szCs w:val="24"/>
          <w:highlight w:val="none"/>
        </w:rPr>
        <w:t>3.7.4</w:t>
      </w:r>
      <w:r>
        <w:rPr>
          <w:rFonts w:hint="eastAsia"/>
          <w:color w:val="auto"/>
          <w:sz w:val="24"/>
          <w:szCs w:val="24"/>
          <w:highlight w:val="none"/>
        </w:rPr>
        <w:t>在响应截止时间前，除供应商补充、修改或者撤回响应文件外，任何单位和个人不得解密或提取响应文件。</w:t>
      </w:r>
    </w:p>
    <w:p w14:paraId="35388ED6">
      <w:pPr>
        <w:spacing w:before="120" w:line="320" w:lineRule="atLeast"/>
        <w:ind w:left="2" w:leftChars="1" w:firstLine="480" w:firstLineChars="200"/>
        <w:rPr>
          <w:color w:val="auto"/>
          <w:sz w:val="24"/>
          <w:szCs w:val="24"/>
          <w:highlight w:val="none"/>
        </w:rPr>
      </w:pPr>
      <w:r>
        <w:rPr>
          <w:color w:val="auto"/>
          <w:sz w:val="24"/>
          <w:szCs w:val="24"/>
          <w:highlight w:val="none"/>
        </w:rPr>
        <w:t>3.7.5</w:t>
      </w:r>
      <w:r>
        <w:rPr>
          <w:rFonts w:hint="eastAsia"/>
          <w:color w:val="auto"/>
          <w:sz w:val="24"/>
          <w:szCs w:val="24"/>
          <w:highlight w:val="none"/>
        </w:rPr>
        <w:t>在响应截止时间止提交电子版响应文件的供应商不足3家时，电子版响应文件由代理机构在广西政府采购云平台操作退回，除此之外采购人和采购代理机构对已提交的响应文件概不退回。</w:t>
      </w:r>
    </w:p>
    <w:p w14:paraId="55CC6BA0">
      <w:pPr>
        <w:spacing w:before="120" w:line="320" w:lineRule="atLeast"/>
        <w:ind w:left="2" w:leftChars="1" w:firstLine="480" w:firstLineChars="200"/>
        <w:rPr>
          <w:color w:val="auto"/>
          <w:sz w:val="24"/>
          <w:szCs w:val="24"/>
          <w:highlight w:val="none"/>
        </w:rPr>
      </w:pPr>
      <w:bookmarkStart w:id="55" w:name="_Hlk93046827"/>
      <w:r>
        <w:rPr>
          <w:rFonts w:hint="eastAsia"/>
          <w:color w:val="auto"/>
          <w:sz w:val="24"/>
          <w:szCs w:val="24"/>
          <w:highlight w:val="none"/>
        </w:rPr>
        <w:t>3</w:t>
      </w:r>
      <w:r>
        <w:rPr>
          <w:color w:val="auto"/>
          <w:sz w:val="24"/>
          <w:szCs w:val="24"/>
          <w:highlight w:val="none"/>
        </w:rPr>
        <w:t>.7.6</w:t>
      </w:r>
      <w:bookmarkEnd w:id="55"/>
      <w:r>
        <w:rPr>
          <w:rFonts w:hint="eastAsia"/>
          <w:color w:val="auto"/>
          <w:sz w:val="24"/>
          <w:szCs w:val="24"/>
          <w:highlight w:val="none"/>
        </w:rPr>
        <w:t>采购文件未允许同一供应商提交两个或以上不同的响应文件，但存在同一供应商提交两个或以上不同的响应文件的，其响应无效。供应商在同一响应文件中对某项技术、商务要求提供有选择性的响应参数或方案等同于提交两个或以上不同的响应文件。</w:t>
      </w:r>
    </w:p>
    <w:p w14:paraId="1E49C8B2">
      <w:pPr>
        <w:spacing w:before="120" w:line="320" w:lineRule="atLeast"/>
        <w:ind w:left="2" w:leftChars="1" w:firstLine="482" w:firstLineChars="200"/>
        <w:outlineLvl w:val="1"/>
        <w:rPr>
          <w:b/>
          <w:bCs/>
          <w:color w:val="auto"/>
          <w:kern w:val="0"/>
          <w:sz w:val="24"/>
          <w:szCs w:val="24"/>
          <w:highlight w:val="none"/>
        </w:rPr>
      </w:pPr>
      <w:r>
        <w:rPr>
          <w:b/>
          <w:bCs/>
          <w:color w:val="auto"/>
          <w:kern w:val="0"/>
          <w:sz w:val="24"/>
          <w:szCs w:val="24"/>
          <w:highlight w:val="none"/>
        </w:rPr>
        <w:t>4．截标</w:t>
      </w:r>
    </w:p>
    <w:p w14:paraId="0FA519E7">
      <w:pPr>
        <w:spacing w:before="120" w:line="320" w:lineRule="atLeast"/>
        <w:ind w:firstLine="482" w:firstLineChars="200"/>
        <w:outlineLvl w:val="2"/>
        <w:rPr>
          <w:b/>
          <w:bCs/>
          <w:color w:val="auto"/>
          <w:kern w:val="0"/>
          <w:sz w:val="24"/>
          <w:szCs w:val="24"/>
          <w:highlight w:val="none"/>
        </w:rPr>
      </w:pPr>
      <w:r>
        <w:rPr>
          <w:b/>
          <w:bCs/>
          <w:color w:val="auto"/>
          <w:kern w:val="0"/>
          <w:sz w:val="24"/>
          <w:szCs w:val="24"/>
          <w:highlight w:val="none"/>
        </w:rPr>
        <w:t>4.1截标准备</w:t>
      </w:r>
    </w:p>
    <w:p w14:paraId="4BDF6019">
      <w:pPr>
        <w:spacing w:before="120" w:line="276" w:lineRule="auto"/>
        <w:ind w:firstLine="480" w:firstLineChars="200"/>
        <w:rPr>
          <w:color w:val="auto"/>
          <w:sz w:val="24"/>
          <w:szCs w:val="24"/>
          <w:highlight w:val="none"/>
        </w:rPr>
      </w:pPr>
      <w:r>
        <w:rPr>
          <w:color w:val="auto"/>
          <w:sz w:val="24"/>
          <w:szCs w:val="24"/>
          <w:highlight w:val="none"/>
        </w:rPr>
        <w:t>本项目响应截止时间及地点见“供应商须知前附表”规定。</w:t>
      </w:r>
    </w:p>
    <w:p w14:paraId="53768D3A">
      <w:pPr>
        <w:autoSpaceDE w:val="0"/>
        <w:autoSpaceDN w:val="0"/>
        <w:adjustRightInd w:val="0"/>
        <w:spacing w:line="276" w:lineRule="auto"/>
        <w:ind w:firstLine="480" w:firstLineChars="200"/>
        <w:rPr>
          <w:color w:val="auto"/>
          <w:sz w:val="24"/>
          <w:szCs w:val="24"/>
          <w:highlight w:val="none"/>
        </w:rPr>
      </w:pPr>
      <w:r>
        <w:rPr>
          <w:rFonts w:hint="eastAsia"/>
          <w:color w:val="auto"/>
          <w:sz w:val="24"/>
          <w:szCs w:val="24"/>
          <w:highlight w:val="none"/>
        </w:rPr>
        <w:t>全流程电子化项目没有现场递交响应文件及现场截标环节。采购代理机构将按照采购文件规定的时间通过广西政府采购云平台组织线上截标活动、开启响应文件，所有供应商均应当准时在线参加。供应商</w:t>
      </w:r>
      <w:r>
        <w:rPr>
          <w:color w:val="auto"/>
          <w:sz w:val="24"/>
          <w:szCs w:val="24"/>
          <w:highlight w:val="none"/>
        </w:rPr>
        <w:t>如不</w:t>
      </w:r>
      <w:r>
        <w:rPr>
          <w:rFonts w:hint="eastAsia"/>
          <w:color w:val="auto"/>
          <w:sz w:val="24"/>
          <w:szCs w:val="24"/>
          <w:highlight w:val="none"/>
        </w:rPr>
        <w:t>参加</w:t>
      </w:r>
      <w:r>
        <w:rPr>
          <w:color w:val="auto"/>
          <w:sz w:val="24"/>
          <w:szCs w:val="24"/>
          <w:highlight w:val="none"/>
        </w:rPr>
        <w:t>截标大会的，</w:t>
      </w:r>
      <w:r>
        <w:rPr>
          <w:rFonts w:hint="eastAsia"/>
          <w:color w:val="auto"/>
          <w:sz w:val="24"/>
          <w:szCs w:val="24"/>
          <w:highlight w:val="none"/>
        </w:rPr>
        <w:t>视同认可截标结果，</w:t>
      </w:r>
      <w:r>
        <w:rPr>
          <w:color w:val="auto"/>
          <w:sz w:val="24"/>
          <w:szCs w:val="24"/>
          <w:highlight w:val="none"/>
        </w:rPr>
        <w:t>事后不得对采购相关人员、截标过程和截标结果提出异议</w:t>
      </w:r>
      <w:r>
        <w:rPr>
          <w:rFonts w:hint="eastAsia"/>
          <w:color w:val="auto"/>
          <w:sz w:val="24"/>
          <w:szCs w:val="24"/>
          <w:highlight w:val="none"/>
        </w:rPr>
        <w:t>，同时供应商因未在线参加截标而导致响应文件无法按时解密等一切后果由供应商自己承担。</w:t>
      </w:r>
    </w:p>
    <w:p w14:paraId="0614C45D">
      <w:pPr>
        <w:spacing w:before="120" w:line="276" w:lineRule="auto"/>
        <w:ind w:firstLine="480" w:firstLineChars="200"/>
        <w:rPr>
          <w:color w:val="auto"/>
          <w:sz w:val="24"/>
          <w:szCs w:val="24"/>
          <w:highlight w:val="none"/>
        </w:rPr>
      </w:pPr>
      <w:r>
        <w:rPr>
          <w:rFonts w:hint="eastAsia"/>
          <w:color w:val="auto"/>
          <w:sz w:val="24"/>
          <w:szCs w:val="24"/>
          <w:highlight w:val="none"/>
        </w:rPr>
        <w:t xml:space="preserve">如供应商成功解密响应文件，但未在广西政府采购云平台电子开标大厅参加截标的，视同认可截标过程和结果，由此产生的后果由供应商自行负责。 </w:t>
      </w:r>
    </w:p>
    <w:p w14:paraId="65BDD28A">
      <w:pPr>
        <w:spacing w:before="120" w:line="320" w:lineRule="atLeast"/>
        <w:ind w:firstLine="482" w:firstLineChars="200"/>
        <w:outlineLvl w:val="2"/>
        <w:rPr>
          <w:b/>
          <w:bCs/>
          <w:color w:val="auto"/>
          <w:kern w:val="0"/>
          <w:sz w:val="24"/>
          <w:szCs w:val="24"/>
          <w:highlight w:val="none"/>
        </w:rPr>
      </w:pPr>
      <w:r>
        <w:rPr>
          <w:b/>
          <w:bCs/>
          <w:color w:val="auto"/>
          <w:kern w:val="0"/>
          <w:sz w:val="24"/>
          <w:szCs w:val="24"/>
          <w:highlight w:val="none"/>
        </w:rPr>
        <w:t>4.2截标程序</w:t>
      </w:r>
    </w:p>
    <w:p w14:paraId="3E42DF29">
      <w:pPr>
        <w:spacing w:before="120" w:line="320" w:lineRule="atLeast"/>
        <w:ind w:firstLine="480" w:firstLineChars="200"/>
        <w:rPr>
          <w:color w:val="auto"/>
          <w:sz w:val="24"/>
          <w:szCs w:val="24"/>
          <w:highlight w:val="none"/>
        </w:rPr>
      </w:pPr>
      <w:r>
        <w:rPr>
          <w:color w:val="auto"/>
          <w:sz w:val="24"/>
          <w:szCs w:val="24"/>
          <w:highlight w:val="none"/>
        </w:rPr>
        <w:t>4.2.1</w:t>
      </w:r>
      <w:r>
        <w:rPr>
          <w:rFonts w:hint="eastAsia"/>
          <w:color w:val="auto"/>
          <w:sz w:val="24"/>
          <w:szCs w:val="24"/>
          <w:highlight w:val="none"/>
        </w:rPr>
        <w:t>供应商登录广西政府采购云平台进入开标大厅签到。</w:t>
      </w:r>
    </w:p>
    <w:p w14:paraId="2677F85F">
      <w:pPr>
        <w:spacing w:before="120" w:line="320" w:lineRule="atLeast"/>
        <w:ind w:firstLine="480" w:firstLineChars="200"/>
        <w:rPr>
          <w:color w:val="auto"/>
          <w:sz w:val="24"/>
          <w:szCs w:val="24"/>
          <w:highlight w:val="none"/>
        </w:rPr>
      </w:pPr>
      <w:r>
        <w:rPr>
          <w:rFonts w:hint="eastAsia"/>
          <w:color w:val="auto"/>
          <w:sz w:val="24"/>
          <w:szCs w:val="24"/>
          <w:highlight w:val="none"/>
        </w:rPr>
        <w:t>4</w:t>
      </w:r>
      <w:r>
        <w:rPr>
          <w:color w:val="auto"/>
          <w:sz w:val="24"/>
          <w:szCs w:val="24"/>
          <w:highlight w:val="none"/>
        </w:rPr>
        <w:t>.2.2</w:t>
      </w:r>
      <w:r>
        <w:rPr>
          <w:rFonts w:hint="eastAsia"/>
          <w:color w:val="auto"/>
          <w:sz w:val="24"/>
          <w:szCs w:val="24"/>
          <w:highlight w:val="none"/>
        </w:rPr>
        <w:t>解密电子响应文件。广西政府采购云平台按截标时间自动提取所有响应文件。采购代理机构在广西政府采购云平台向各供应商发出电子加密响应文件开始解密通知，由供应商平台设置时间内自行进行响应文件解密。供应商须使用加密时所用的CA锁准时登录到广西政府采购云平台电子开标大厅签到并对电子响应文件解密。截标后供应商未及时进行解密的，代理机构可通知供应商。</w:t>
      </w:r>
      <w:bookmarkStart w:id="56" w:name="_Hlk106639817"/>
      <w:r>
        <w:rPr>
          <w:rFonts w:hint="eastAsia"/>
          <w:color w:val="auto"/>
          <w:sz w:val="24"/>
          <w:highlight w:val="none"/>
        </w:rPr>
        <w:t>通知后供应商仍未在上述规定时间内解密响应文件</w:t>
      </w:r>
      <w:bookmarkEnd w:id="56"/>
      <w:r>
        <w:rPr>
          <w:rFonts w:hint="eastAsia"/>
          <w:color w:val="auto"/>
          <w:sz w:val="24"/>
          <w:szCs w:val="24"/>
          <w:highlight w:val="none"/>
        </w:rPr>
        <w:t>，或者供应商没预留联系方式或预留联系方式无效导致代理机构无法联系到供应商进行解密的，均视为无效响应。</w:t>
      </w:r>
    </w:p>
    <w:p w14:paraId="63800B22">
      <w:pPr>
        <w:spacing w:before="120" w:line="320" w:lineRule="atLeast"/>
        <w:ind w:firstLine="480" w:firstLineChars="200"/>
        <w:rPr>
          <w:color w:val="auto"/>
          <w:sz w:val="24"/>
          <w:szCs w:val="24"/>
          <w:highlight w:val="none"/>
        </w:rPr>
      </w:pPr>
      <w:r>
        <w:rPr>
          <w:rFonts w:hint="eastAsia"/>
          <w:color w:val="auto"/>
          <w:sz w:val="24"/>
          <w:szCs w:val="24"/>
          <w:highlight w:val="none"/>
        </w:rPr>
        <w:t>4</w:t>
      </w:r>
      <w:r>
        <w:rPr>
          <w:color w:val="auto"/>
          <w:sz w:val="24"/>
          <w:szCs w:val="24"/>
          <w:highlight w:val="none"/>
        </w:rPr>
        <w:t>.2.3</w:t>
      </w:r>
      <w:bookmarkStart w:id="57" w:name="_Hlk106637968"/>
      <w:r>
        <w:rPr>
          <w:rFonts w:hint="eastAsia"/>
          <w:color w:val="auto"/>
          <w:sz w:val="24"/>
          <w:szCs w:val="24"/>
          <w:highlight w:val="none"/>
        </w:rPr>
        <w:t>广西政府采购云平台设置有备份响应文件功能。备份响应文件是指平台设置为接受备份响应文件时，如出现供应商上传的响应文件存在问题或其他供应商原因引起解密异常时，供应商可以在规定时间内将备份响应文件通过邮箱发送至采购代理机构，由代理机构上传备份响应文件后自动解密从而避免被视为无效响应。是否接受备份响应文件详见供应商须知前附表，如接受备份文件，供应商未在规定时间内发送备份响应文件的将视为无效响应。</w:t>
      </w:r>
    </w:p>
    <w:bookmarkEnd w:id="57"/>
    <w:p w14:paraId="42380127">
      <w:pPr>
        <w:spacing w:before="120" w:line="320" w:lineRule="atLeast"/>
        <w:ind w:firstLine="480" w:firstLineChars="200"/>
        <w:rPr>
          <w:color w:val="auto"/>
          <w:sz w:val="24"/>
          <w:szCs w:val="24"/>
          <w:highlight w:val="none"/>
        </w:rPr>
      </w:pPr>
      <w:r>
        <w:rPr>
          <w:rFonts w:hint="eastAsia"/>
          <w:color w:val="auto"/>
          <w:sz w:val="24"/>
          <w:szCs w:val="24"/>
          <w:highlight w:val="none"/>
        </w:rPr>
        <w:t>4</w:t>
      </w:r>
      <w:r>
        <w:rPr>
          <w:color w:val="auto"/>
          <w:sz w:val="24"/>
          <w:szCs w:val="24"/>
          <w:highlight w:val="none"/>
        </w:rPr>
        <w:t>.2.4</w:t>
      </w:r>
      <w:r>
        <w:rPr>
          <w:rFonts w:hint="eastAsia"/>
          <w:color w:val="auto"/>
          <w:sz w:val="24"/>
          <w:szCs w:val="24"/>
          <w:highlight w:val="none"/>
        </w:rPr>
        <w:t>解密异常情况处理：详见本章</w:t>
      </w:r>
      <w:r>
        <w:rPr>
          <w:color w:val="auto"/>
          <w:sz w:val="24"/>
          <w:szCs w:val="24"/>
          <w:highlight w:val="none"/>
        </w:rPr>
        <w:t>9.2</w:t>
      </w:r>
      <w:r>
        <w:rPr>
          <w:rFonts w:hint="eastAsia"/>
          <w:color w:val="auto"/>
          <w:sz w:val="24"/>
          <w:szCs w:val="24"/>
          <w:highlight w:val="none"/>
        </w:rPr>
        <w:t>电子交易活动的中止。</w:t>
      </w:r>
    </w:p>
    <w:p w14:paraId="7990FAEC">
      <w:pPr>
        <w:spacing w:before="120" w:line="320" w:lineRule="atLeast"/>
        <w:ind w:firstLine="480" w:firstLineChars="200"/>
        <w:rPr>
          <w:color w:val="auto"/>
          <w:sz w:val="24"/>
          <w:szCs w:val="24"/>
          <w:highlight w:val="none"/>
        </w:rPr>
      </w:pPr>
      <w:r>
        <w:rPr>
          <w:color w:val="auto"/>
          <w:sz w:val="24"/>
          <w:szCs w:val="24"/>
          <w:highlight w:val="none"/>
        </w:rPr>
        <w:t>4.2.5截标结束。</w:t>
      </w:r>
    </w:p>
    <w:p w14:paraId="49F7340F">
      <w:pPr>
        <w:spacing w:before="120" w:line="320" w:lineRule="atLeast"/>
        <w:ind w:firstLine="482" w:firstLineChars="200"/>
        <w:rPr>
          <w:color w:val="auto"/>
          <w:sz w:val="24"/>
          <w:szCs w:val="24"/>
          <w:highlight w:val="none"/>
        </w:rPr>
      </w:pPr>
      <w:r>
        <w:rPr>
          <w:rFonts w:hint="eastAsia"/>
          <w:b/>
          <w:bCs/>
          <w:color w:val="auto"/>
          <w:sz w:val="24"/>
          <w:szCs w:val="24"/>
          <w:highlight w:val="none"/>
        </w:rPr>
        <w:t>特别说明</w:t>
      </w:r>
      <w:r>
        <w:rPr>
          <w:rFonts w:hint="eastAsia"/>
          <w:color w:val="auto"/>
          <w:sz w:val="24"/>
          <w:szCs w:val="24"/>
          <w:highlight w:val="none"/>
        </w:rPr>
        <w:t>：如遇广西政府采购云平台电子化截标或评审程序调整的，按调整后的程序执行。</w:t>
      </w:r>
    </w:p>
    <w:p w14:paraId="2B94F4E6">
      <w:pPr>
        <w:spacing w:before="120" w:line="320" w:lineRule="atLeast"/>
        <w:ind w:firstLine="482" w:firstLineChars="200"/>
        <w:outlineLvl w:val="2"/>
        <w:rPr>
          <w:b/>
          <w:bCs/>
          <w:color w:val="auto"/>
          <w:kern w:val="0"/>
          <w:sz w:val="24"/>
          <w:szCs w:val="24"/>
          <w:highlight w:val="none"/>
        </w:rPr>
      </w:pPr>
      <w:r>
        <w:rPr>
          <w:b/>
          <w:bCs/>
          <w:color w:val="auto"/>
          <w:kern w:val="0"/>
          <w:sz w:val="24"/>
          <w:szCs w:val="24"/>
          <w:highlight w:val="none"/>
        </w:rPr>
        <w:t>4.3演示</w:t>
      </w:r>
    </w:p>
    <w:p w14:paraId="0C83E00B">
      <w:pPr>
        <w:spacing w:before="120" w:line="320" w:lineRule="atLeast"/>
        <w:ind w:firstLine="480" w:firstLineChars="200"/>
        <w:rPr>
          <w:color w:val="auto"/>
          <w:sz w:val="24"/>
          <w:szCs w:val="24"/>
          <w:highlight w:val="none"/>
        </w:rPr>
      </w:pPr>
      <w:r>
        <w:rPr>
          <w:color w:val="auto"/>
          <w:sz w:val="24"/>
          <w:szCs w:val="24"/>
          <w:highlight w:val="none"/>
        </w:rPr>
        <w:t>4.3.1“供应商须知前附表”规定在截标会议结束后进行演示的，供应商应按规定进行演示。</w:t>
      </w:r>
    </w:p>
    <w:p w14:paraId="3A36BA39">
      <w:pPr>
        <w:spacing w:before="120" w:line="320" w:lineRule="atLeast"/>
        <w:ind w:firstLine="480" w:firstLineChars="200"/>
        <w:rPr>
          <w:color w:val="auto"/>
          <w:sz w:val="24"/>
          <w:szCs w:val="24"/>
          <w:highlight w:val="none"/>
        </w:rPr>
      </w:pPr>
      <w:r>
        <w:rPr>
          <w:color w:val="auto"/>
          <w:sz w:val="24"/>
          <w:szCs w:val="24"/>
          <w:highlight w:val="none"/>
        </w:rPr>
        <w:t>4.3.2未按规定时间进行演示可能引起的演示分数被计为0分或响应无效等后果由供应商自行承担。</w:t>
      </w:r>
    </w:p>
    <w:p w14:paraId="6092E755">
      <w:pPr>
        <w:spacing w:before="120" w:line="320" w:lineRule="atLeast"/>
        <w:ind w:firstLine="482" w:firstLineChars="200"/>
        <w:outlineLvl w:val="2"/>
        <w:rPr>
          <w:color w:val="auto"/>
          <w:sz w:val="24"/>
          <w:szCs w:val="24"/>
          <w:highlight w:val="none"/>
        </w:rPr>
      </w:pPr>
      <w:r>
        <w:rPr>
          <w:b/>
          <w:bCs/>
          <w:color w:val="auto"/>
          <w:kern w:val="0"/>
          <w:sz w:val="24"/>
          <w:szCs w:val="24"/>
          <w:highlight w:val="none"/>
        </w:rPr>
        <w:t>4.4样品</w:t>
      </w:r>
    </w:p>
    <w:p w14:paraId="7EC1A4C8">
      <w:pPr>
        <w:spacing w:before="120" w:line="320" w:lineRule="atLeast"/>
        <w:ind w:firstLine="480" w:firstLineChars="200"/>
        <w:rPr>
          <w:color w:val="auto"/>
          <w:sz w:val="24"/>
          <w:szCs w:val="24"/>
          <w:highlight w:val="none"/>
        </w:rPr>
      </w:pPr>
      <w:r>
        <w:rPr>
          <w:color w:val="auto"/>
          <w:sz w:val="24"/>
          <w:szCs w:val="24"/>
          <w:highlight w:val="none"/>
        </w:rPr>
        <w:t>4.4.1“供应商须知前附表”规定递交样品的，供应商应按前附表规定递交样品，递交样品时应附样品递交表（格式见第六章）。</w:t>
      </w:r>
    </w:p>
    <w:p w14:paraId="65DB84FD">
      <w:pPr>
        <w:spacing w:before="120" w:line="320" w:lineRule="atLeast"/>
        <w:ind w:firstLine="480" w:firstLineChars="200"/>
        <w:rPr>
          <w:color w:val="auto"/>
          <w:sz w:val="24"/>
          <w:szCs w:val="24"/>
          <w:highlight w:val="none"/>
        </w:rPr>
      </w:pPr>
      <w:r>
        <w:rPr>
          <w:color w:val="auto"/>
          <w:sz w:val="24"/>
          <w:szCs w:val="24"/>
          <w:highlight w:val="none"/>
        </w:rPr>
        <w:t>4.4.2未按规定时间递交样品可能引起的样品分数被计为0分或响应无效等后果由供应商自行承担。</w:t>
      </w:r>
    </w:p>
    <w:p w14:paraId="3189D353">
      <w:pPr>
        <w:spacing w:before="120" w:line="320" w:lineRule="atLeast"/>
        <w:ind w:firstLine="480" w:firstLineChars="200"/>
        <w:rPr>
          <w:color w:val="auto"/>
          <w:sz w:val="24"/>
          <w:szCs w:val="24"/>
          <w:highlight w:val="none"/>
        </w:rPr>
      </w:pPr>
      <w:r>
        <w:rPr>
          <w:color w:val="auto"/>
          <w:sz w:val="24"/>
          <w:szCs w:val="24"/>
          <w:highlight w:val="none"/>
        </w:rPr>
        <w:t>4.4.3样品封存或退还的说明请见第六章响应文件格式所附样品递交表。</w:t>
      </w:r>
    </w:p>
    <w:p w14:paraId="0F7CE2D5">
      <w:pPr>
        <w:spacing w:before="120" w:line="320" w:lineRule="atLeast"/>
        <w:ind w:left="2" w:leftChars="1" w:firstLine="482" w:firstLineChars="200"/>
        <w:outlineLvl w:val="1"/>
        <w:rPr>
          <w:b/>
          <w:bCs/>
          <w:color w:val="auto"/>
          <w:kern w:val="0"/>
          <w:sz w:val="24"/>
          <w:szCs w:val="24"/>
          <w:highlight w:val="none"/>
        </w:rPr>
      </w:pPr>
      <w:r>
        <w:rPr>
          <w:b/>
          <w:bCs/>
          <w:color w:val="auto"/>
          <w:kern w:val="0"/>
          <w:sz w:val="24"/>
          <w:szCs w:val="24"/>
          <w:highlight w:val="none"/>
        </w:rPr>
        <w:t>5．</w:t>
      </w:r>
      <w:r>
        <w:rPr>
          <w:rFonts w:hint="eastAsia"/>
          <w:b/>
          <w:bCs/>
          <w:color w:val="auto"/>
          <w:kern w:val="0"/>
          <w:sz w:val="24"/>
          <w:szCs w:val="24"/>
          <w:highlight w:val="none"/>
        </w:rPr>
        <w:t>资格审查</w:t>
      </w:r>
    </w:p>
    <w:p w14:paraId="0C5D21D3">
      <w:pPr>
        <w:spacing w:before="120" w:line="320" w:lineRule="atLeast"/>
        <w:ind w:left="2" w:leftChars="1" w:firstLine="480" w:firstLineChars="200"/>
        <w:outlineLvl w:val="2"/>
        <w:rPr>
          <w:bCs/>
          <w:color w:val="auto"/>
          <w:kern w:val="0"/>
          <w:sz w:val="24"/>
          <w:szCs w:val="24"/>
          <w:highlight w:val="none"/>
        </w:rPr>
      </w:pPr>
      <w:r>
        <w:rPr>
          <w:rFonts w:hint="eastAsia"/>
          <w:bCs/>
          <w:color w:val="auto"/>
          <w:kern w:val="0"/>
          <w:sz w:val="24"/>
          <w:szCs w:val="24"/>
          <w:highlight w:val="none"/>
        </w:rPr>
        <w:t>5</w:t>
      </w:r>
      <w:r>
        <w:rPr>
          <w:bCs/>
          <w:color w:val="auto"/>
          <w:kern w:val="0"/>
          <w:sz w:val="24"/>
          <w:szCs w:val="24"/>
          <w:highlight w:val="none"/>
        </w:rPr>
        <w:t>.1</w:t>
      </w:r>
      <w:r>
        <w:rPr>
          <w:rFonts w:hint="eastAsia"/>
          <w:bCs/>
          <w:color w:val="auto"/>
          <w:kern w:val="0"/>
          <w:sz w:val="24"/>
          <w:szCs w:val="24"/>
          <w:highlight w:val="none"/>
        </w:rPr>
        <w:t>截标</w:t>
      </w:r>
      <w:r>
        <w:rPr>
          <w:rFonts w:ascii="宋体" w:hAnsi="宋体"/>
          <w:bCs/>
          <w:color w:val="auto"/>
          <w:sz w:val="24"/>
          <w:szCs w:val="24"/>
          <w:highlight w:val="none"/>
        </w:rPr>
        <w:t>后，</w:t>
      </w:r>
      <w:r>
        <w:rPr>
          <w:rFonts w:hint="eastAsia" w:ascii="宋体" w:hAnsi="宋体"/>
          <w:bCs/>
          <w:color w:val="auto"/>
          <w:sz w:val="24"/>
          <w:szCs w:val="24"/>
          <w:highlight w:val="none"/>
        </w:rPr>
        <w:t>磋商小组通过电子交易平台</w:t>
      </w:r>
      <w:r>
        <w:rPr>
          <w:rFonts w:ascii="宋体" w:hAnsi="宋体"/>
          <w:bCs/>
          <w:color w:val="auto"/>
          <w:sz w:val="24"/>
          <w:szCs w:val="24"/>
          <w:highlight w:val="none"/>
        </w:rPr>
        <w:t>对供应商的资格进行审查。</w:t>
      </w:r>
      <w:r>
        <w:rPr>
          <w:rFonts w:hint="eastAsia" w:ascii="宋体" w:hAnsi="宋体"/>
          <w:bCs/>
          <w:color w:val="auto"/>
          <w:sz w:val="24"/>
          <w:szCs w:val="24"/>
          <w:highlight w:val="none"/>
        </w:rPr>
        <w:t>资格审查</w:t>
      </w:r>
      <w:r>
        <w:rPr>
          <w:rFonts w:hint="eastAsia"/>
          <w:bCs/>
          <w:color w:val="auto"/>
          <w:kern w:val="0"/>
          <w:sz w:val="24"/>
          <w:szCs w:val="24"/>
          <w:highlight w:val="none"/>
        </w:rPr>
        <w:t>是根据法律法规和采购文件的规定，对供应商的基本资格条件、特定资格条件进行审查。</w:t>
      </w:r>
    </w:p>
    <w:p w14:paraId="5A764823">
      <w:pPr>
        <w:spacing w:before="120" w:line="320" w:lineRule="atLeast"/>
        <w:ind w:left="2" w:leftChars="1" w:firstLine="480" w:firstLineChars="200"/>
        <w:outlineLvl w:val="2"/>
        <w:rPr>
          <w:bCs/>
          <w:color w:val="auto"/>
          <w:kern w:val="0"/>
          <w:sz w:val="24"/>
          <w:szCs w:val="24"/>
          <w:highlight w:val="none"/>
        </w:rPr>
      </w:pPr>
      <w:r>
        <w:rPr>
          <w:rFonts w:hint="eastAsia"/>
          <w:bCs/>
          <w:color w:val="auto"/>
          <w:kern w:val="0"/>
          <w:sz w:val="24"/>
          <w:szCs w:val="24"/>
          <w:highlight w:val="none"/>
        </w:rPr>
        <w:t>5.</w:t>
      </w:r>
      <w:r>
        <w:rPr>
          <w:bCs/>
          <w:color w:val="auto"/>
          <w:kern w:val="0"/>
          <w:sz w:val="24"/>
          <w:szCs w:val="24"/>
          <w:highlight w:val="none"/>
        </w:rPr>
        <w:t>2</w:t>
      </w:r>
      <w:r>
        <w:rPr>
          <w:rFonts w:hint="eastAsia"/>
          <w:bCs/>
          <w:color w:val="auto"/>
          <w:kern w:val="0"/>
          <w:sz w:val="24"/>
          <w:szCs w:val="24"/>
          <w:highlight w:val="none"/>
        </w:rPr>
        <w:t>资格审查标准在第四章评审方法及标准中规定，符合资格审查标准要求的供应商即为资格审查合格。</w:t>
      </w:r>
    </w:p>
    <w:p w14:paraId="010081B7">
      <w:pPr>
        <w:spacing w:before="120" w:line="276" w:lineRule="auto"/>
        <w:ind w:left="2" w:leftChars="1" w:firstLine="480" w:firstLineChars="200"/>
        <w:outlineLvl w:val="2"/>
        <w:rPr>
          <w:bCs/>
          <w:color w:val="auto"/>
          <w:kern w:val="0"/>
          <w:sz w:val="24"/>
          <w:szCs w:val="24"/>
          <w:highlight w:val="none"/>
        </w:rPr>
      </w:pPr>
      <w:r>
        <w:rPr>
          <w:bCs/>
          <w:color w:val="auto"/>
          <w:kern w:val="0"/>
          <w:sz w:val="24"/>
          <w:szCs w:val="24"/>
          <w:highlight w:val="none"/>
        </w:rPr>
        <w:t>5.3</w:t>
      </w:r>
      <w:r>
        <w:rPr>
          <w:rFonts w:hint="eastAsia"/>
          <w:bCs/>
          <w:color w:val="auto"/>
          <w:kern w:val="0"/>
          <w:sz w:val="24"/>
          <w:szCs w:val="24"/>
          <w:highlight w:val="none"/>
        </w:rPr>
        <w:t>供应商有下列情形之一的，资格审查不合格，作无效响应处理：</w:t>
      </w:r>
    </w:p>
    <w:p w14:paraId="09466C91">
      <w:pPr>
        <w:spacing w:line="276" w:lineRule="auto"/>
        <w:ind w:firstLine="480" w:firstLineChars="200"/>
        <w:rPr>
          <w:rFonts w:hAnsi="宋体"/>
          <w:color w:val="auto"/>
          <w:sz w:val="24"/>
          <w:highlight w:val="none"/>
        </w:rPr>
      </w:pPr>
      <w:r>
        <w:rPr>
          <w:rFonts w:hint="eastAsia"/>
          <w:color w:val="auto"/>
          <w:sz w:val="24"/>
          <w:szCs w:val="24"/>
          <w:highlight w:val="none"/>
        </w:rPr>
        <w:t>5</w:t>
      </w:r>
      <w:r>
        <w:rPr>
          <w:color w:val="auto"/>
          <w:sz w:val="24"/>
          <w:szCs w:val="24"/>
          <w:highlight w:val="none"/>
        </w:rPr>
        <w:t>.3.1</w:t>
      </w:r>
      <w:r>
        <w:rPr>
          <w:rFonts w:hint="eastAsia"/>
          <w:color w:val="auto"/>
          <w:sz w:val="24"/>
          <w:szCs w:val="24"/>
          <w:highlight w:val="none"/>
        </w:rPr>
        <w:t>不具备采购文件中规定的资格要求或资格条件的；</w:t>
      </w:r>
      <w:r>
        <w:rPr>
          <w:color w:val="auto"/>
          <w:sz w:val="24"/>
          <w:szCs w:val="24"/>
          <w:highlight w:val="none"/>
        </w:rPr>
        <w:t xml:space="preserve"> </w:t>
      </w:r>
      <w:r>
        <w:rPr>
          <w:rFonts w:hint="eastAsia" w:hAnsi="宋体"/>
          <w:color w:val="auto"/>
          <w:sz w:val="24"/>
          <w:highlight w:val="none"/>
        </w:rPr>
        <w:t>（注：其中信用查询规则见“供应商须知前附表”，</w:t>
      </w:r>
      <w:r>
        <w:rPr>
          <w:rFonts w:hint="eastAsia"/>
          <w:color w:val="auto"/>
          <w:sz w:val="24"/>
          <w:szCs w:val="24"/>
          <w:highlight w:val="none"/>
        </w:rPr>
        <w:t>广西政府采购云平台</w:t>
      </w:r>
      <w:r>
        <w:rPr>
          <w:rFonts w:hint="eastAsia" w:hAnsi="宋体"/>
          <w:color w:val="auto"/>
          <w:sz w:val="24"/>
          <w:highlight w:val="none"/>
        </w:rPr>
        <w:t>已与“信用中国”平台做接口，可直接在线查询）</w:t>
      </w:r>
    </w:p>
    <w:p w14:paraId="2E7CC788">
      <w:pPr>
        <w:spacing w:before="120" w:line="276" w:lineRule="auto"/>
        <w:ind w:firstLine="480" w:firstLineChars="200"/>
        <w:rPr>
          <w:rFonts w:hint="eastAsia"/>
          <w:color w:val="auto"/>
          <w:sz w:val="24"/>
          <w:szCs w:val="24"/>
          <w:highlight w:val="none"/>
        </w:rPr>
      </w:pPr>
      <w:r>
        <w:rPr>
          <w:rFonts w:hint="eastAsia"/>
          <w:color w:val="auto"/>
          <w:sz w:val="24"/>
          <w:szCs w:val="24"/>
          <w:highlight w:val="none"/>
        </w:rPr>
        <w:t>5</w:t>
      </w:r>
      <w:r>
        <w:rPr>
          <w:color w:val="auto"/>
          <w:sz w:val="24"/>
          <w:szCs w:val="24"/>
          <w:highlight w:val="none"/>
        </w:rPr>
        <w:t>.3.2</w:t>
      </w:r>
      <w:r>
        <w:rPr>
          <w:rFonts w:hint="eastAsia"/>
          <w:color w:val="auto"/>
          <w:sz w:val="24"/>
          <w:szCs w:val="24"/>
          <w:highlight w:val="none"/>
        </w:rPr>
        <w:t>响应文件缺少任何一项资格证明文件或不符合第四章评审方法及标准中资格审查标准规定的评审内容的。</w:t>
      </w:r>
    </w:p>
    <w:p w14:paraId="707913DB">
      <w:pPr>
        <w:spacing w:before="120" w:line="320" w:lineRule="atLeast"/>
        <w:ind w:left="2" w:leftChars="1" w:firstLine="482" w:firstLineChars="200"/>
        <w:outlineLvl w:val="1"/>
        <w:rPr>
          <w:b/>
          <w:bCs/>
          <w:color w:val="auto"/>
          <w:kern w:val="0"/>
          <w:sz w:val="24"/>
          <w:szCs w:val="24"/>
          <w:highlight w:val="none"/>
        </w:rPr>
      </w:pPr>
      <w:r>
        <w:rPr>
          <w:b/>
          <w:bCs/>
          <w:color w:val="auto"/>
          <w:kern w:val="0"/>
          <w:sz w:val="24"/>
          <w:szCs w:val="24"/>
          <w:highlight w:val="none"/>
        </w:rPr>
        <w:t>6．评审</w:t>
      </w:r>
    </w:p>
    <w:p w14:paraId="6FFBA9C6">
      <w:pPr>
        <w:spacing w:before="120" w:line="320" w:lineRule="atLeast"/>
        <w:ind w:firstLine="482" w:firstLineChars="200"/>
        <w:outlineLvl w:val="2"/>
        <w:rPr>
          <w:b/>
          <w:bCs/>
          <w:color w:val="auto"/>
          <w:kern w:val="0"/>
          <w:sz w:val="24"/>
          <w:szCs w:val="24"/>
          <w:highlight w:val="none"/>
        </w:rPr>
      </w:pPr>
      <w:r>
        <w:rPr>
          <w:b/>
          <w:bCs/>
          <w:color w:val="auto"/>
          <w:kern w:val="0"/>
          <w:sz w:val="24"/>
          <w:szCs w:val="24"/>
          <w:highlight w:val="none"/>
        </w:rPr>
        <w:t>6.1组建磋商小组</w:t>
      </w:r>
    </w:p>
    <w:p w14:paraId="24ACFC74">
      <w:pPr>
        <w:spacing w:before="120" w:line="320" w:lineRule="atLeast"/>
        <w:ind w:firstLine="480" w:firstLineChars="200"/>
        <w:rPr>
          <w:color w:val="auto"/>
          <w:sz w:val="24"/>
          <w:szCs w:val="24"/>
          <w:highlight w:val="none"/>
        </w:rPr>
      </w:pPr>
      <w:r>
        <w:rPr>
          <w:rFonts w:hint="eastAsia"/>
          <w:color w:val="auto"/>
          <w:sz w:val="24"/>
          <w:szCs w:val="24"/>
          <w:highlight w:val="none"/>
        </w:rPr>
        <w:t>6.1.1</w:t>
      </w:r>
      <w:r>
        <w:rPr>
          <w:color w:val="auto"/>
          <w:sz w:val="24"/>
          <w:szCs w:val="24"/>
          <w:highlight w:val="none"/>
        </w:rPr>
        <w:t>本项目</w:t>
      </w:r>
      <w:r>
        <w:rPr>
          <w:rFonts w:hint="eastAsia"/>
          <w:color w:val="auto"/>
          <w:sz w:val="24"/>
          <w:szCs w:val="24"/>
          <w:highlight w:val="none"/>
        </w:rPr>
        <w:t>评审工作由</w:t>
      </w:r>
      <w:r>
        <w:rPr>
          <w:color w:val="auto"/>
          <w:sz w:val="24"/>
          <w:szCs w:val="24"/>
          <w:highlight w:val="none"/>
        </w:rPr>
        <w:t>磋商小组</w:t>
      </w:r>
      <w:r>
        <w:rPr>
          <w:rFonts w:hint="eastAsia"/>
          <w:color w:val="auto"/>
          <w:sz w:val="24"/>
          <w:szCs w:val="24"/>
          <w:highlight w:val="none"/>
        </w:rPr>
        <w:t>负责，磋商小组</w:t>
      </w:r>
      <w:r>
        <w:rPr>
          <w:color w:val="auto"/>
          <w:sz w:val="24"/>
          <w:szCs w:val="24"/>
          <w:highlight w:val="none"/>
        </w:rPr>
        <w:t>由</w:t>
      </w:r>
      <w:r>
        <w:rPr>
          <w:rFonts w:hint="eastAsia"/>
          <w:color w:val="auto"/>
          <w:sz w:val="24"/>
          <w:szCs w:val="24"/>
          <w:highlight w:val="none"/>
        </w:rPr>
        <w:t>评审专家</w:t>
      </w:r>
      <w:r>
        <w:rPr>
          <w:color w:val="auto"/>
          <w:sz w:val="24"/>
          <w:szCs w:val="24"/>
          <w:highlight w:val="none"/>
        </w:rPr>
        <w:t>和采购人代表</w:t>
      </w:r>
      <w:r>
        <w:rPr>
          <w:rFonts w:hint="eastAsia"/>
          <w:color w:val="auto"/>
          <w:sz w:val="24"/>
          <w:szCs w:val="24"/>
          <w:highlight w:val="none"/>
        </w:rPr>
        <w:t>（如有）</w:t>
      </w:r>
      <w:r>
        <w:rPr>
          <w:color w:val="auto"/>
          <w:sz w:val="24"/>
          <w:szCs w:val="24"/>
          <w:highlight w:val="none"/>
        </w:rPr>
        <w:t>组成。</w:t>
      </w:r>
      <w:r>
        <w:rPr>
          <w:rFonts w:hint="eastAsia"/>
          <w:color w:val="auto"/>
          <w:sz w:val="24"/>
          <w:szCs w:val="24"/>
          <w:highlight w:val="none"/>
        </w:rPr>
        <w:t>磋商小组评审时必须公平、公正、客观，不带任何倾向性和启发性；不得向外界透露任何与评审有关的内容；任何单位和个人不得干扰、影响评标的正常进行；磋商小组及有关工作人员不得私下与供应商接触，不得收受利害关系人的财物或者其他好处；</w:t>
      </w:r>
      <w:r>
        <w:rPr>
          <w:color w:val="auto"/>
          <w:sz w:val="24"/>
          <w:szCs w:val="24"/>
          <w:highlight w:val="none"/>
        </w:rPr>
        <w:t>评审专家发现本人与参加采购活动的供应商有利害关系的，应当主动提出回避</w:t>
      </w:r>
      <w:r>
        <w:rPr>
          <w:rFonts w:hint="eastAsia"/>
          <w:color w:val="auto"/>
          <w:sz w:val="24"/>
          <w:szCs w:val="24"/>
          <w:highlight w:val="none"/>
        </w:rPr>
        <w:t>。</w:t>
      </w:r>
    </w:p>
    <w:p w14:paraId="1B5DBACB">
      <w:pPr>
        <w:spacing w:before="120" w:line="320" w:lineRule="atLeast"/>
        <w:ind w:firstLine="480" w:firstLineChars="200"/>
        <w:rPr>
          <w:color w:val="auto"/>
          <w:sz w:val="24"/>
          <w:szCs w:val="24"/>
          <w:highlight w:val="none"/>
        </w:rPr>
      </w:pPr>
      <w:r>
        <w:rPr>
          <w:rFonts w:hint="eastAsia"/>
          <w:color w:val="auto"/>
          <w:sz w:val="24"/>
          <w:szCs w:val="24"/>
          <w:highlight w:val="none"/>
        </w:rPr>
        <w:t>6.1.2磋商小组成员应当通过电子交易平台进行独立评审，磋商小组成员对需要共同认定的事项存在争议的，应当按照少数服从多数的原则作出结论。持不同意见的磋商小组成员应当在评审报告上签署不同意见及理由，否则视为同意评审报告。如果在评审过程中出现法律法规和采购文件均没有明确规定的情形时，由磋商小组现场协商确定，协商不一致的，由全体磋商小组成员投票表决，应当按照少数服从多数的原则作出结论并记录在评审报告中。</w:t>
      </w:r>
    </w:p>
    <w:p w14:paraId="75D3D09D">
      <w:pPr>
        <w:spacing w:before="120" w:line="320" w:lineRule="atLeast"/>
        <w:ind w:firstLine="480" w:firstLineChars="200"/>
        <w:rPr>
          <w:color w:val="auto"/>
          <w:sz w:val="24"/>
          <w:szCs w:val="24"/>
          <w:highlight w:val="none"/>
        </w:rPr>
      </w:pPr>
      <w:r>
        <w:rPr>
          <w:rFonts w:hint="eastAsia"/>
          <w:color w:val="auto"/>
          <w:sz w:val="24"/>
          <w:szCs w:val="24"/>
          <w:highlight w:val="none"/>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59F71331">
      <w:pPr>
        <w:spacing w:before="120" w:line="320" w:lineRule="atLeast"/>
        <w:ind w:firstLine="480" w:firstLineChars="200"/>
        <w:rPr>
          <w:color w:val="auto"/>
          <w:sz w:val="24"/>
          <w:szCs w:val="24"/>
          <w:highlight w:val="none"/>
        </w:rPr>
      </w:pPr>
      <w:r>
        <w:rPr>
          <w:rFonts w:hint="eastAsia"/>
          <w:color w:val="auto"/>
          <w:sz w:val="24"/>
          <w:szCs w:val="24"/>
          <w:highlight w:val="none"/>
        </w:rPr>
        <w:t>6.1.4本项目评审过程实行全程网上留痕及录音、录像监控，供应商在评审过程中所进行的试图影响评审结果的不公正活动，可能导致其响应按无效处理。</w:t>
      </w:r>
    </w:p>
    <w:p w14:paraId="76A817E3">
      <w:pPr>
        <w:spacing w:before="120" w:line="320" w:lineRule="atLeast"/>
        <w:ind w:firstLine="482" w:firstLineChars="200"/>
        <w:outlineLvl w:val="2"/>
        <w:rPr>
          <w:b/>
          <w:bCs/>
          <w:color w:val="auto"/>
          <w:kern w:val="0"/>
          <w:sz w:val="24"/>
          <w:szCs w:val="24"/>
          <w:highlight w:val="none"/>
        </w:rPr>
      </w:pPr>
      <w:r>
        <w:rPr>
          <w:b/>
          <w:bCs/>
          <w:color w:val="auto"/>
          <w:kern w:val="0"/>
          <w:sz w:val="24"/>
          <w:szCs w:val="24"/>
          <w:highlight w:val="none"/>
        </w:rPr>
        <w:t>6.2</w:t>
      </w:r>
      <w:r>
        <w:rPr>
          <w:rFonts w:hint="eastAsia"/>
          <w:b/>
          <w:bCs/>
          <w:color w:val="auto"/>
          <w:kern w:val="0"/>
          <w:sz w:val="24"/>
          <w:szCs w:val="24"/>
          <w:highlight w:val="none"/>
        </w:rPr>
        <w:t>评审方法及依据</w:t>
      </w:r>
    </w:p>
    <w:p w14:paraId="29A95E8B">
      <w:pPr>
        <w:spacing w:before="120" w:line="320" w:lineRule="atLeast"/>
        <w:ind w:firstLine="480" w:firstLineChars="200"/>
        <w:rPr>
          <w:bCs/>
          <w:color w:val="auto"/>
          <w:kern w:val="0"/>
          <w:sz w:val="24"/>
          <w:szCs w:val="24"/>
          <w:highlight w:val="none"/>
        </w:rPr>
      </w:pPr>
      <w:r>
        <w:rPr>
          <w:bCs/>
          <w:color w:val="auto"/>
          <w:kern w:val="0"/>
          <w:sz w:val="24"/>
          <w:szCs w:val="24"/>
          <w:highlight w:val="none"/>
        </w:rPr>
        <w:t>6.2.1</w:t>
      </w:r>
      <w:r>
        <w:rPr>
          <w:rFonts w:hint="eastAsia"/>
          <w:bCs/>
          <w:color w:val="auto"/>
          <w:kern w:val="0"/>
          <w:sz w:val="24"/>
          <w:szCs w:val="24"/>
          <w:highlight w:val="none"/>
        </w:rPr>
        <w:t>本项目采用第四章评审方法及标准规定的方法进行评审。</w:t>
      </w:r>
    </w:p>
    <w:p w14:paraId="619CD6BB">
      <w:pPr>
        <w:suppressAutoHyphens/>
        <w:spacing w:before="120" w:line="320" w:lineRule="atLeast"/>
        <w:ind w:firstLine="480" w:firstLineChars="200"/>
        <w:rPr>
          <w:bCs/>
          <w:color w:val="auto"/>
          <w:kern w:val="0"/>
          <w:sz w:val="24"/>
          <w:szCs w:val="24"/>
          <w:highlight w:val="none"/>
        </w:rPr>
      </w:pPr>
      <w:r>
        <w:rPr>
          <w:bCs/>
          <w:color w:val="auto"/>
          <w:kern w:val="0"/>
          <w:sz w:val="24"/>
          <w:szCs w:val="24"/>
          <w:highlight w:val="none"/>
        </w:rPr>
        <w:t>6.2.2</w:t>
      </w:r>
      <w:r>
        <w:rPr>
          <w:rFonts w:hint="eastAsia"/>
          <w:bCs/>
          <w:color w:val="auto"/>
          <w:kern w:val="0"/>
          <w:sz w:val="24"/>
          <w:szCs w:val="24"/>
          <w:highlight w:val="none"/>
        </w:rPr>
        <w:t>磋商小组</w:t>
      </w:r>
      <w:r>
        <w:rPr>
          <w:color w:val="auto"/>
          <w:sz w:val="24"/>
          <w:highlight w:val="none"/>
        </w:rPr>
        <w:t>以</w:t>
      </w:r>
      <w:r>
        <w:rPr>
          <w:rFonts w:hint="eastAsia"/>
          <w:color w:val="auto"/>
          <w:sz w:val="24"/>
          <w:highlight w:val="none"/>
        </w:rPr>
        <w:t>采购</w:t>
      </w:r>
      <w:r>
        <w:rPr>
          <w:color w:val="auto"/>
          <w:sz w:val="24"/>
          <w:highlight w:val="none"/>
        </w:rPr>
        <w:t>文件、补充文件、</w:t>
      </w:r>
      <w:r>
        <w:rPr>
          <w:rFonts w:hint="eastAsia"/>
          <w:color w:val="auto"/>
          <w:sz w:val="24"/>
          <w:highlight w:val="none"/>
        </w:rPr>
        <w:t>响应</w:t>
      </w:r>
      <w:r>
        <w:rPr>
          <w:color w:val="auto"/>
          <w:sz w:val="24"/>
          <w:highlight w:val="none"/>
        </w:rPr>
        <w:t>文件、澄清及答复为评审依据</w:t>
      </w:r>
      <w:r>
        <w:rPr>
          <w:rFonts w:hint="eastAsia"/>
          <w:color w:val="auto"/>
          <w:sz w:val="24"/>
          <w:highlight w:val="none"/>
        </w:rPr>
        <w:t>，</w:t>
      </w:r>
      <w:r>
        <w:rPr>
          <w:rFonts w:hint="eastAsia"/>
          <w:bCs/>
          <w:color w:val="auto"/>
          <w:kern w:val="0"/>
          <w:sz w:val="24"/>
          <w:szCs w:val="24"/>
          <w:highlight w:val="none"/>
        </w:rPr>
        <w:t>第四章评审方法及标准没有规定的评审方法、标准及因素，不得作为评审依据。</w:t>
      </w:r>
    </w:p>
    <w:p w14:paraId="58E6B4C6">
      <w:pPr>
        <w:spacing w:before="120" w:line="320" w:lineRule="atLeast"/>
        <w:ind w:firstLine="482" w:firstLineChars="200"/>
        <w:outlineLvl w:val="2"/>
        <w:rPr>
          <w:b/>
          <w:bCs/>
          <w:color w:val="auto"/>
          <w:kern w:val="0"/>
          <w:sz w:val="24"/>
          <w:szCs w:val="24"/>
          <w:highlight w:val="none"/>
        </w:rPr>
      </w:pPr>
      <w:bookmarkStart w:id="58" w:name="_Toc254970687"/>
      <w:bookmarkStart w:id="59" w:name="_Toc254970546"/>
      <w:r>
        <w:rPr>
          <w:b/>
          <w:bCs/>
          <w:color w:val="auto"/>
          <w:kern w:val="0"/>
          <w:sz w:val="24"/>
          <w:szCs w:val="24"/>
          <w:highlight w:val="none"/>
        </w:rPr>
        <w:t>6.3评审</w:t>
      </w:r>
      <w:r>
        <w:rPr>
          <w:rFonts w:hint="eastAsia"/>
          <w:b/>
          <w:bCs/>
          <w:color w:val="auto"/>
          <w:kern w:val="0"/>
          <w:sz w:val="24"/>
          <w:szCs w:val="24"/>
          <w:highlight w:val="none"/>
        </w:rPr>
        <w:t>程序</w:t>
      </w:r>
    </w:p>
    <w:p w14:paraId="25B1FEE7">
      <w:pPr>
        <w:spacing w:before="120" w:line="320" w:lineRule="atLeast"/>
        <w:ind w:firstLine="480" w:firstLineChars="200"/>
        <w:rPr>
          <w:color w:val="auto"/>
          <w:sz w:val="24"/>
          <w:highlight w:val="none"/>
        </w:rPr>
      </w:pPr>
      <w:r>
        <w:rPr>
          <w:color w:val="auto"/>
          <w:sz w:val="24"/>
          <w:highlight w:val="none"/>
        </w:rPr>
        <w:t>6.</w:t>
      </w:r>
      <w:bookmarkStart w:id="60" w:name="_Hlk80956880"/>
      <w:bookmarkStart w:id="61" w:name="_Hlk19175507"/>
      <w:r>
        <w:rPr>
          <w:color w:val="auto"/>
          <w:sz w:val="24"/>
          <w:highlight w:val="none"/>
        </w:rPr>
        <w:t>3.1</w:t>
      </w:r>
      <w:r>
        <w:rPr>
          <w:rFonts w:hint="eastAsia"/>
          <w:color w:val="auto"/>
          <w:sz w:val="24"/>
          <w:highlight w:val="none"/>
        </w:rPr>
        <w:t>符合性审查</w:t>
      </w:r>
    </w:p>
    <w:p w14:paraId="388C97C5">
      <w:pPr>
        <w:spacing w:before="120" w:line="320" w:lineRule="atLeast"/>
        <w:ind w:firstLine="480" w:firstLineChars="200"/>
        <w:rPr>
          <w:color w:val="auto"/>
          <w:sz w:val="24"/>
          <w:szCs w:val="24"/>
          <w:highlight w:val="none"/>
        </w:rPr>
      </w:pPr>
      <w:r>
        <w:rPr>
          <w:bCs/>
          <w:color w:val="auto"/>
          <w:kern w:val="1"/>
          <w:sz w:val="24"/>
          <w:szCs w:val="24"/>
          <w:highlight w:val="none"/>
        </w:rPr>
        <w:t>资格审查结束后，</w:t>
      </w:r>
      <w:r>
        <w:rPr>
          <w:rFonts w:hint="eastAsia" w:hAnsi="宋体"/>
          <w:color w:val="auto"/>
          <w:sz w:val="24"/>
          <w:highlight w:val="none"/>
        </w:rPr>
        <w:t>磋商小组对</w:t>
      </w:r>
      <w:r>
        <w:rPr>
          <w:color w:val="auto"/>
          <w:sz w:val="24"/>
          <w:highlight w:val="none"/>
        </w:rPr>
        <w:t>通过资格审查的供应商</w:t>
      </w:r>
      <w:r>
        <w:rPr>
          <w:rFonts w:hint="eastAsia" w:hAnsi="宋体"/>
          <w:color w:val="auto"/>
          <w:sz w:val="24"/>
          <w:highlight w:val="none"/>
        </w:rPr>
        <w:t>的响应文件报价、商务资信、技术等方面实质性内容进行符合性审查，</w:t>
      </w:r>
      <w:r>
        <w:rPr>
          <w:rFonts w:hint="eastAsia"/>
          <w:color w:val="auto"/>
          <w:sz w:val="24"/>
          <w:szCs w:val="24"/>
          <w:highlight w:val="none"/>
        </w:rPr>
        <w:t>符合性审查标准</w:t>
      </w:r>
      <w:r>
        <w:rPr>
          <w:color w:val="auto"/>
          <w:sz w:val="24"/>
          <w:szCs w:val="24"/>
          <w:highlight w:val="none"/>
        </w:rPr>
        <w:t>详见第四章评审方法及标准。</w:t>
      </w:r>
    </w:p>
    <w:bookmarkEnd w:id="60"/>
    <w:bookmarkEnd w:id="61"/>
    <w:p w14:paraId="04A72EB8">
      <w:pPr>
        <w:spacing w:before="120" w:line="320" w:lineRule="atLeast"/>
        <w:ind w:firstLine="480" w:firstLineChars="200"/>
        <w:rPr>
          <w:color w:val="auto"/>
          <w:sz w:val="24"/>
          <w:szCs w:val="24"/>
          <w:highlight w:val="none"/>
        </w:rPr>
      </w:pPr>
      <w:r>
        <w:rPr>
          <w:rFonts w:hint="eastAsia"/>
          <w:color w:val="auto"/>
          <w:sz w:val="24"/>
          <w:szCs w:val="24"/>
          <w:highlight w:val="none"/>
        </w:rPr>
        <w:t>6</w:t>
      </w:r>
      <w:r>
        <w:rPr>
          <w:color w:val="auto"/>
          <w:sz w:val="24"/>
          <w:szCs w:val="24"/>
          <w:highlight w:val="none"/>
        </w:rPr>
        <w:t>.3.2</w:t>
      </w:r>
      <w:r>
        <w:rPr>
          <w:rFonts w:hAnsi="宋体"/>
          <w:color w:val="auto"/>
          <w:sz w:val="24"/>
          <w:highlight w:val="none"/>
        </w:rPr>
        <w:t>强制性</w:t>
      </w:r>
      <w:r>
        <w:rPr>
          <w:color w:val="auto"/>
          <w:sz w:val="24"/>
          <w:szCs w:val="24"/>
          <w:highlight w:val="none"/>
        </w:rPr>
        <w:t>采购要求</w:t>
      </w:r>
    </w:p>
    <w:p w14:paraId="1CB80DA1">
      <w:pPr>
        <w:suppressAutoHyphens/>
        <w:spacing w:before="120" w:line="320" w:lineRule="atLeast"/>
        <w:ind w:firstLine="482" w:firstLineChars="201"/>
        <w:rPr>
          <w:color w:val="auto"/>
          <w:sz w:val="24"/>
          <w:szCs w:val="24"/>
          <w:highlight w:val="none"/>
        </w:rPr>
      </w:pPr>
      <w:bookmarkStart w:id="62" w:name="_Hlk47714684"/>
      <w:r>
        <w:rPr>
          <w:rFonts w:hint="eastAsia"/>
          <w:color w:val="auto"/>
          <w:sz w:val="24"/>
          <w:szCs w:val="24"/>
          <w:highlight w:val="none"/>
        </w:rPr>
        <w:t>（1）</w:t>
      </w:r>
      <w:bookmarkEnd w:id="62"/>
      <w:r>
        <w:rPr>
          <w:rFonts w:hint="eastAsia"/>
          <w:color w:val="auto"/>
          <w:sz w:val="24"/>
          <w:szCs w:val="24"/>
          <w:highlight w:val="none"/>
        </w:rPr>
        <w:t>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供应商的响应货物必须使用政府强制采购的节能产品，否则响应文件作无效处理；属于品目清单内非标注“★”的产品时，应优先采购。</w:t>
      </w:r>
    </w:p>
    <w:p w14:paraId="5BEFA996">
      <w:pPr>
        <w:spacing w:before="120" w:line="320" w:lineRule="atLeast"/>
        <w:ind w:firstLine="480" w:firstLineChars="200"/>
        <w:rPr>
          <w:color w:val="auto"/>
          <w:sz w:val="24"/>
          <w:szCs w:val="24"/>
          <w:highlight w:val="none"/>
        </w:rPr>
      </w:pPr>
      <w:bookmarkStart w:id="63" w:name="_Hlk19176155"/>
      <w:r>
        <w:rPr>
          <w:rFonts w:hint="eastAsia"/>
          <w:color w:val="auto"/>
          <w:sz w:val="24"/>
          <w:szCs w:val="24"/>
          <w:highlight w:val="none"/>
        </w:rPr>
        <w:t>（2）根据《关于调整网络安全专用产品安全管理有关事项的公告》（2023年1号）规定，本项目采购需求中的产品如果包括《网络关键设备和网络安全专用产品目录》的网络安全专用产品，供应商在响应文件中应主动列明供货范围中属于网络安全专用产品的响应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投标无效。</w:t>
      </w:r>
    </w:p>
    <w:p w14:paraId="1449C001">
      <w:pPr>
        <w:spacing w:before="120" w:line="320" w:lineRule="atLeast"/>
        <w:ind w:firstLine="480" w:firstLineChars="200"/>
        <w:rPr>
          <w:color w:val="auto"/>
          <w:sz w:val="24"/>
          <w:szCs w:val="24"/>
          <w:highlight w:val="none"/>
        </w:rPr>
      </w:pPr>
      <w:r>
        <w:rPr>
          <w:rFonts w:hint="eastAsia"/>
          <w:color w:val="auto"/>
          <w:sz w:val="24"/>
          <w:szCs w:val="24"/>
          <w:highlight w:val="none"/>
        </w:rPr>
        <w:t>注：网络安全专用产品在中共中央网络安全和信息化委员会办公室网站上发布的《网络关键设备和网络安全专用产品目录》中查询。 目前共15类：路由器、交换机、服务器（机架式）、可编程逻辑控制器（PLC设备）、数据备份一体机、防火墙（硬件）、WEB应用防火墙（WAF）、入侵检测系统（IDS）、入侵防御系统（IPS）、安全隔离与信息交换产品（网闸）、反垃圾邮件产品、网络综合审计系统、网络脆弱性扫描产品、安全数据库系统、网站恢复产品（硬件）。</w:t>
      </w:r>
    </w:p>
    <w:p w14:paraId="6C57980A">
      <w:pPr>
        <w:spacing w:before="120" w:line="320" w:lineRule="atLeast"/>
        <w:ind w:firstLine="480" w:firstLineChars="200"/>
        <w:rPr>
          <w:color w:val="auto"/>
          <w:sz w:val="24"/>
          <w:highlight w:val="none"/>
        </w:rPr>
      </w:pPr>
      <w:r>
        <w:rPr>
          <w:color w:val="auto"/>
          <w:sz w:val="24"/>
          <w:highlight w:val="none"/>
        </w:rPr>
        <w:t>6.3.3澄清、说明或补正</w:t>
      </w:r>
    </w:p>
    <w:p w14:paraId="7770A1E1">
      <w:pPr>
        <w:spacing w:before="120" w:line="320" w:lineRule="atLeast"/>
        <w:ind w:firstLine="480" w:firstLineChars="200"/>
        <w:rPr>
          <w:color w:val="auto"/>
          <w:sz w:val="24"/>
          <w:highlight w:val="none"/>
        </w:rPr>
      </w:pPr>
      <w:r>
        <w:rPr>
          <w:rFonts w:hint="eastAsia"/>
          <w:color w:val="auto"/>
          <w:sz w:val="24"/>
          <w:highlight w:val="none"/>
        </w:rPr>
        <w:t>（1）对响应文件中含义不明确、同类问题表述不一致或者有明显文字和计算错误的内容，磋商小组应在</w:t>
      </w:r>
      <w:r>
        <w:rPr>
          <w:rFonts w:hint="eastAsia"/>
          <w:color w:val="auto"/>
          <w:sz w:val="24"/>
          <w:szCs w:val="24"/>
          <w:highlight w:val="none"/>
        </w:rPr>
        <w:t>广西政府采购云平台</w:t>
      </w:r>
      <w:r>
        <w:rPr>
          <w:rFonts w:hint="eastAsia"/>
          <w:color w:val="auto"/>
          <w:sz w:val="24"/>
          <w:highlight w:val="none"/>
        </w:rPr>
        <w:t>发布电子澄清函，要求供应商在平台设置的时间内作出必要的澄清、说明或者补正。供应商在</w:t>
      </w:r>
      <w:r>
        <w:rPr>
          <w:rFonts w:hint="eastAsia"/>
          <w:color w:val="auto"/>
          <w:sz w:val="24"/>
          <w:szCs w:val="24"/>
          <w:highlight w:val="none"/>
        </w:rPr>
        <w:t>广西政府采购云平台</w:t>
      </w:r>
      <w:r>
        <w:rPr>
          <w:rFonts w:hint="eastAsia"/>
          <w:color w:val="auto"/>
          <w:sz w:val="24"/>
          <w:highlight w:val="none"/>
        </w:rPr>
        <w:t>接收到电子澄清函后根据澄清函内容直接在线编辑或上传PDF格式回函，电子澄清答复函使用CA证书加盖单位电子签章后提交至磋商小组。供应商的澄清、说明或者补正不得超出响应文件的范围或者改变响应文件的实质性内容。供应商未在规定时间内进行澄清、说明或者补正的，按无效响应处理。</w:t>
      </w:r>
    </w:p>
    <w:p w14:paraId="36FF2475">
      <w:pPr>
        <w:spacing w:before="120" w:line="320" w:lineRule="atLeast"/>
        <w:ind w:firstLine="480" w:firstLineChars="200"/>
        <w:rPr>
          <w:color w:val="auto"/>
          <w:sz w:val="24"/>
          <w:highlight w:val="none"/>
        </w:rPr>
      </w:pPr>
      <w:r>
        <w:rPr>
          <w:rFonts w:hint="eastAsia"/>
          <w:color w:val="auto"/>
          <w:sz w:val="24"/>
          <w:highlight w:val="none"/>
        </w:rPr>
        <w:t>（2）异常情况处理：如遇无法正常使用线上发送澄清函的情况，将以书面形式执行。磋商小组以书面形式要求供应商在规定时间内作出必要的澄清、说明或者补正。供应商的澄清、说明或者补正必须采用书面形式，并加盖公章或者由法定代表人或者其授权的代表签字。</w:t>
      </w:r>
    </w:p>
    <w:p w14:paraId="75266FBF">
      <w:pPr>
        <w:spacing w:before="120" w:line="320" w:lineRule="atLeast"/>
        <w:ind w:firstLine="480" w:firstLineChars="200"/>
        <w:rPr>
          <w:color w:val="auto"/>
          <w:sz w:val="24"/>
          <w:highlight w:val="none"/>
        </w:rPr>
      </w:pPr>
      <w:r>
        <w:rPr>
          <w:color w:val="auto"/>
          <w:sz w:val="24"/>
          <w:highlight w:val="none"/>
        </w:rPr>
        <w:t>6.3.4</w:t>
      </w:r>
      <w:r>
        <w:rPr>
          <w:rFonts w:hint="eastAsia"/>
          <w:color w:val="auto"/>
          <w:sz w:val="24"/>
          <w:highlight w:val="none"/>
        </w:rPr>
        <w:t>报价</w:t>
      </w:r>
      <w:r>
        <w:rPr>
          <w:color w:val="auto"/>
          <w:sz w:val="24"/>
          <w:highlight w:val="none"/>
        </w:rPr>
        <w:t>修正</w:t>
      </w:r>
    </w:p>
    <w:p w14:paraId="5E99EB05">
      <w:pPr>
        <w:spacing w:before="120" w:line="320" w:lineRule="atLeast"/>
        <w:ind w:firstLine="480" w:firstLineChars="200"/>
        <w:rPr>
          <w:color w:val="auto"/>
          <w:sz w:val="24"/>
          <w:highlight w:val="none"/>
        </w:rPr>
      </w:pPr>
      <w:r>
        <w:rPr>
          <w:rFonts w:hint="eastAsia"/>
          <w:color w:val="auto"/>
          <w:sz w:val="24"/>
          <w:highlight w:val="none"/>
        </w:rPr>
        <w:t>（1）报价出现前后不一致的，按照下列规定修正：</w:t>
      </w:r>
    </w:p>
    <w:p w14:paraId="51DA09BD">
      <w:pPr>
        <w:spacing w:before="120" w:line="320" w:lineRule="atLeast"/>
        <w:ind w:firstLine="480" w:firstLineChars="200"/>
        <w:rPr>
          <w:color w:val="auto"/>
          <w:sz w:val="24"/>
          <w:szCs w:val="24"/>
          <w:highlight w:val="none"/>
        </w:rPr>
      </w:pPr>
      <w:r>
        <w:rPr>
          <w:rFonts w:hint="eastAsia" w:ascii="宋体" w:hAnsi="宋体"/>
          <w:color w:val="auto"/>
          <w:sz w:val="24"/>
          <w:szCs w:val="24"/>
          <w:highlight w:val="none"/>
        </w:rPr>
        <w:t>①</w:t>
      </w:r>
      <w:r>
        <w:rPr>
          <w:color w:val="auto"/>
          <w:sz w:val="24"/>
          <w:szCs w:val="24"/>
          <w:highlight w:val="none"/>
        </w:rPr>
        <w:t>响应文件中开标一览表（报价表）内容与响应文件中相应内容不一致的，以开标一览表（报价表）为准；</w:t>
      </w:r>
    </w:p>
    <w:p w14:paraId="34B47938">
      <w:pPr>
        <w:spacing w:before="120" w:line="320" w:lineRule="atLeast"/>
        <w:ind w:firstLine="480" w:firstLineChars="200"/>
        <w:rPr>
          <w:color w:val="auto"/>
          <w:sz w:val="24"/>
          <w:szCs w:val="24"/>
          <w:highlight w:val="none"/>
        </w:rPr>
      </w:pPr>
      <w:r>
        <w:rPr>
          <w:rFonts w:ascii="宋体" w:hAnsi="宋体"/>
          <w:color w:val="auto"/>
          <w:sz w:val="24"/>
          <w:szCs w:val="24"/>
          <w:highlight w:val="none"/>
        </w:rPr>
        <w:t>②</w:t>
      </w:r>
      <w:r>
        <w:rPr>
          <w:color w:val="auto"/>
          <w:sz w:val="24"/>
          <w:szCs w:val="24"/>
          <w:highlight w:val="none"/>
        </w:rPr>
        <w:t>大写金额和小写金额不一致的，以大写金额为准；</w:t>
      </w:r>
    </w:p>
    <w:p w14:paraId="0A9B1FDB">
      <w:pPr>
        <w:spacing w:before="120" w:line="320" w:lineRule="atLeast"/>
        <w:ind w:firstLine="480" w:firstLineChars="200"/>
        <w:rPr>
          <w:color w:val="auto"/>
          <w:sz w:val="24"/>
          <w:szCs w:val="24"/>
          <w:highlight w:val="none"/>
        </w:rPr>
      </w:pPr>
      <w:r>
        <w:rPr>
          <w:rFonts w:hint="eastAsia"/>
          <w:color w:val="auto"/>
          <w:sz w:val="24"/>
          <w:szCs w:val="24"/>
          <w:highlight w:val="none"/>
        </w:rPr>
        <w:t>③</w:t>
      </w:r>
      <w:r>
        <w:rPr>
          <w:color w:val="auto"/>
          <w:sz w:val="24"/>
          <w:szCs w:val="24"/>
          <w:highlight w:val="none"/>
        </w:rPr>
        <w:t>单价金额小数点或者百分比有明显错位的，以开标一览表的总价为准，并修改单价；</w:t>
      </w:r>
    </w:p>
    <w:p w14:paraId="7C21C51C">
      <w:pPr>
        <w:spacing w:before="120" w:line="320" w:lineRule="atLeast"/>
        <w:ind w:firstLine="480" w:firstLineChars="200"/>
        <w:rPr>
          <w:color w:val="auto"/>
          <w:sz w:val="24"/>
          <w:szCs w:val="24"/>
          <w:highlight w:val="none"/>
        </w:rPr>
      </w:pPr>
      <w:r>
        <w:rPr>
          <w:rFonts w:hint="eastAsia"/>
          <w:color w:val="auto"/>
          <w:sz w:val="24"/>
          <w:szCs w:val="24"/>
          <w:highlight w:val="none"/>
        </w:rPr>
        <w:t>④</w:t>
      </w:r>
      <w:r>
        <w:rPr>
          <w:color w:val="auto"/>
          <w:sz w:val="24"/>
          <w:szCs w:val="24"/>
          <w:highlight w:val="none"/>
        </w:rPr>
        <w:t>总价金额与按单价汇总金额不一致的，以单价金额计算结果为准</w:t>
      </w:r>
      <w:r>
        <w:rPr>
          <w:rFonts w:hint="eastAsia"/>
          <w:color w:val="auto"/>
          <w:sz w:val="24"/>
          <w:szCs w:val="24"/>
          <w:highlight w:val="none"/>
        </w:rPr>
        <w:t>。</w:t>
      </w:r>
    </w:p>
    <w:p w14:paraId="3693B7FC">
      <w:pPr>
        <w:spacing w:before="120" w:line="320" w:lineRule="atLeast"/>
        <w:ind w:firstLine="480" w:firstLineChars="200"/>
        <w:rPr>
          <w:color w:val="auto"/>
          <w:sz w:val="24"/>
          <w:szCs w:val="24"/>
          <w:highlight w:val="none"/>
        </w:rPr>
      </w:pPr>
      <w:r>
        <w:rPr>
          <w:rFonts w:hint="eastAsia"/>
          <w:color w:val="auto"/>
          <w:sz w:val="24"/>
          <w:szCs w:val="24"/>
          <w:highlight w:val="none"/>
        </w:rPr>
        <w:t>同时出现两种以上不一致的，按照上述</w:t>
      </w:r>
      <w:r>
        <w:rPr>
          <w:rFonts w:hint="eastAsia" w:ascii="宋体" w:hAnsi="宋体"/>
          <w:color w:val="auto"/>
          <w:sz w:val="24"/>
          <w:szCs w:val="24"/>
          <w:highlight w:val="none"/>
        </w:rPr>
        <w:t>①-</w:t>
      </w:r>
      <w:r>
        <w:rPr>
          <w:rFonts w:hint="eastAsia"/>
          <w:color w:val="auto"/>
          <w:sz w:val="24"/>
          <w:szCs w:val="24"/>
          <w:highlight w:val="none"/>
        </w:rPr>
        <w:t>④顺序修正。修正后的报价按照上述“</w:t>
      </w:r>
      <w:r>
        <w:rPr>
          <w:color w:val="auto"/>
          <w:sz w:val="24"/>
          <w:szCs w:val="24"/>
          <w:highlight w:val="none"/>
        </w:rPr>
        <w:t>6.3.3</w:t>
      </w:r>
      <w:r>
        <w:rPr>
          <w:rFonts w:hint="eastAsia"/>
          <w:color w:val="auto"/>
          <w:sz w:val="24"/>
          <w:szCs w:val="24"/>
          <w:highlight w:val="none"/>
        </w:rPr>
        <w:t>澄清、说明或补正”的规定经供应商确认后产生约束力，供应商不确认的，其响应无效。</w:t>
      </w:r>
    </w:p>
    <w:p w14:paraId="5C061F47">
      <w:pPr>
        <w:spacing w:before="120" w:line="320" w:lineRule="atLeast"/>
        <w:ind w:firstLine="480" w:firstLineChars="200"/>
        <w:rPr>
          <w:color w:val="auto"/>
          <w:sz w:val="24"/>
          <w:szCs w:val="24"/>
          <w:highlight w:val="none"/>
        </w:rPr>
      </w:pPr>
      <w:r>
        <w:rPr>
          <w:rFonts w:hint="eastAsia"/>
          <w:color w:val="auto"/>
          <w:sz w:val="24"/>
          <w:szCs w:val="24"/>
          <w:highlight w:val="none"/>
        </w:rPr>
        <w:t>（</w:t>
      </w:r>
      <w:r>
        <w:rPr>
          <w:color w:val="auto"/>
          <w:sz w:val="24"/>
          <w:szCs w:val="24"/>
          <w:highlight w:val="none"/>
        </w:rPr>
        <w:t>2</w:t>
      </w:r>
      <w:r>
        <w:rPr>
          <w:rFonts w:hint="eastAsia"/>
          <w:color w:val="auto"/>
          <w:sz w:val="24"/>
          <w:szCs w:val="24"/>
          <w:highlight w:val="none"/>
        </w:rPr>
        <w:t>）经供应商确认修正后的报价若超过采购预算金额或者最高限价，其响应文件作无效响应处理。</w:t>
      </w:r>
    </w:p>
    <w:p w14:paraId="71EAD3BC">
      <w:pPr>
        <w:spacing w:before="120" w:line="320" w:lineRule="atLeast"/>
        <w:ind w:firstLine="480" w:firstLineChars="200"/>
        <w:rPr>
          <w:color w:val="auto"/>
          <w:sz w:val="24"/>
          <w:szCs w:val="24"/>
          <w:highlight w:val="none"/>
        </w:rPr>
      </w:pPr>
      <w:r>
        <w:rPr>
          <w:rFonts w:hint="eastAsia"/>
          <w:color w:val="auto"/>
          <w:sz w:val="24"/>
          <w:szCs w:val="24"/>
          <w:highlight w:val="none"/>
        </w:rPr>
        <w:t>（</w:t>
      </w:r>
      <w:r>
        <w:rPr>
          <w:color w:val="auto"/>
          <w:sz w:val="24"/>
          <w:szCs w:val="24"/>
          <w:highlight w:val="none"/>
        </w:rPr>
        <w:t>3</w:t>
      </w:r>
      <w:r>
        <w:rPr>
          <w:rFonts w:hint="eastAsia"/>
          <w:color w:val="auto"/>
          <w:sz w:val="24"/>
          <w:szCs w:val="24"/>
          <w:highlight w:val="none"/>
        </w:rPr>
        <w:t>）经供应商确认修正后的报价作为签订合同的依据，并以此报价计算价格分。</w:t>
      </w:r>
    </w:p>
    <w:p w14:paraId="58C9D78B">
      <w:pPr>
        <w:spacing w:before="120" w:line="320" w:lineRule="atLeast"/>
        <w:ind w:firstLine="480" w:firstLineChars="200"/>
        <w:rPr>
          <w:color w:val="auto"/>
          <w:sz w:val="24"/>
          <w:szCs w:val="24"/>
          <w:highlight w:val="none"/>
        </w:rPr>
      </w:pPr>
      <w:r>
        <w:rPr>
          <w:rFonts w:hint="eastAsia"/>
          <w:color w:val="auto"/>
          <w:sz w:val="24"/>
          <w:szCs w:val="24"/>
          <w:highlight w:val="none"/>
        </w:rPr>
        <w:t>（</w:t>
      </w:r>
      <w:r>
        <w:rPr>
          <w:color w:val="auto"/>
          <w:sz w:val="24"/>
          <w:szCs w:val="24"/>
          <w:highlight w:val="none"/>
        </w:rPr>
        <w:t>4</w:t>
      </w:r>
      <w:r>
        <w:rPr>
          <w:rFonts w:hint="eastAsia"/>
          <w:color w:val="auto"/>
          <w:sz w:val="24"/>
          <w:szCs w:val="24"/>
          <w:highlight w:val="none"/>
        </w:rPr>
        <w:t>）如磋商过程中有多轮报价的，磋商小组在每一轮报价均应按上述规则修正报价。</w:t>
      </w:r>
    </w:p>
    <w:bookmarkEnd w:id="28"/>
    <w:bookmarkEnd w:id="58"/>
    <w:bookmarkEnd w:id="59"/>
    <w:bookmarkEnd w:id="63"/>
    <w:p w14:paraId="071A89F1">
      <w:pPr>
        <w:spacing w:before="120" w:line="320" w:lineRule="atLeast"/>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6.3.5异常低价审查</w:t>
      </w:r>
    </w:p>
    <w:p w14:paraId="7D87C11E">
      <w:pPr>
        <w:spacing w:before="120" w:line="320" w:lineRule="atLeast"/>
        <w:ind w:firstLine="480" w:firstLineChars="200"/>
        <w:rPr>
          <w:color w:val="auto"/>
          <w:sz w:val="24"/>
          <w:szCs w:val="24"/>
          <w:highlight w:val="none"/>
        </w:rPr>
      </w:pPr>
      <w:r>
        <w:rPr>
          <w:color w:val="auto"/>
          <w:sz w:val="24"/>
          <w:szCs w:val="24"/>
          <w:highlight w:val="none"/>
        </w:rPr>
        <w:t>本项目</w:t>
      </w:r>
      <w:r>
        <w:rPr>
          <w:rFonts w:hint="eastAsia"/>
          <w:color w:val="auto"/>
          <w:sz w:val="24"/>
          <w:szCs w:val="24"/>
          <w:highlight w:val="none"/>
          <w:lang w:val="en-US" w:eastAsia="zh-CN"/>
        </w:rPr>
        <w:t>异常低价审查情形见</w:t>
      </w:r>
      <w:r>
        <w:rPr>
          <w:color w:val="auto"/>
          <w:sz w:val="24"/>
          <w:szCs w:val="24"/>
          <w:highlight w:val="none"/>
        </w:rPr>
        <w:t>“</w:t>
      </w:r>
      <w:r>
        <w:rPr>
          <w:rFonts w:hint="eastAsia"/>
          <w:color w:val="auto"/>
          <w:sz w:val="24"/>
          <w:szCs w:val="24"/>
          <w:highlight w:val="none"/>
          <w:lang w:val="en-US" w:eastAsia="zh-CN"/>
        </w:rPr>
        <w:t>供应商</w:t>
      </w:r>
      <w:r>
        <w:rPr>
          <w:rFonts w:hint="eastAsia"/>
          <w:color w:val="auto"/>
          <w:sz w:val="24"/>
          <w:szCs w:val="24"/>
          <w:highlight w:val="none"/>
          <w:lang w:eastAsia="zh-CN"/>
        </w:rPr>
        <w:t>须知</w:t>
      </w:r>
      <w:r>
        <w:rPr>
          <w:color w:val="auto"/>
          <w:sz w:val="24"/>
          <w:szCs w:val="24"/>
          <w:highlight w:val="none"/>
        </w:rPr>
        <w:t>前附表”规定。</w:t>
      </w:r>
    </w:p>
    <w:p w14:paraId="1B74F1FB">
      <w:pPr>
        <w:numPr>
          <w:ilvl w:val="0"/>
          <w:numId w:val="0"/>
        </w:numPr>
        <w:spacing w:before="120" w:line="320" w:lineRule="atLeast"/>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评审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53DA1FC">
      <w:pPr>
        <w:numPr>
          <w:ilvl w:val="0"/>
          <w:numId w:val="0"/>
        </w:numPr>
        <w:spacing w:before="120" w:line="320" w:lineRule="atLeast"/>
        <w:ind w:firstLine="480" w:firstLineChars="200"/>
        <w:rPr>
          <w:rFonts w:hint="eastAsia"/>
          <w:strike/>
          <w:dstrike w:val="0"/>
          <w:color w:val="auto"/>
          <w:sz w:val="24"/>
          <w:szCs w:val="24"/>
          <w:highlight w:val="none"/>
          <w:lang w:val="en-US" w:eastAsia="zh-CN"/>
        </w:rPr>
      </w:pPr>
      <w:r>
        <w:rPr>
          <w:rFonts w:hint="eastAsia"/>
          <w:color w:val="auto"/>
          <w:sz w:val="24"/>
          <w:szCs w:val="24"/>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w:t>
      </w:r>
      <w:r>
        <w:rPr>
          <w:rFonts w:hint="eastAsia"/>
          <w:strike w:val="0"/>
          <w:dstrike w:val="0"/>
          <w:color w:val="auto"/>
          <w:sz w:val="24"/>
          <w:szCs w:val="24"/>
          <w:highlight w:val="none"/>
          <w:lang w:val="en-US" w:eastAsia="zh-CN"/>
        </w:rPr>
        <w:t>投标（响应）供应商不能提供书面说明、证明材料，或者提供的书面说明、证明材料不能证明其报价合理性的，评审委员会应当将其作为无效投标（响应）处理。</w:t>
      </w:r>
    </w:p>
    <w:p w14:paraId="17799896">
      <w:pPr>
        <w:numPr>
          <w:ilvl w:val="0"/>
          <w:numId w:val="0"/>
        </w:numPr>
        <w:spacing w:before="120" w:line="320" w:lineRule="atLeast"/>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F9E5517">
      <w:pPr>
        <w:numPr>
          <w:ilvl w:val="0"/>
          <w:numId w:val="0"/>
        </w:numPr>
        <w:spacing w:before="120" w:line="320" w:lineRule="atLeast"/>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异常低价响应审查的启动原因、审查意见和审查结果应当在评审报告中记录，并随供应商提供的相关书面说明及证明材料，以及评审委员会有关互联网浏览、查询历史一并归档。</w:t>
      </w:r>
    </w:p>
    <w:p w14:paraId="530DC1B7">
      <w:pPr>
        <w:numPr>
          <w:ilvl w:val="0"/>
          <w:numId w:val="0"/>
        </w:numPr>
        <w:spacing w:before="120" w:line="320" w:lineRule="atLeast"/>
        <w:ind w:firstLine="480" w:firstLineChars="200"/>
        <w:rPr>
          <w:rFonts w:hint="eastAsia"/>
          <w:color w:val="auto"/>
          <w:sz w:val="24"/>
          <w:szCs w:val="24"/>
          <w:highlight w:val="none"/>
        </w:rPr>
      </w:pPr>
      <w:r>
        <w:rPr>
          <w:rFonts w:hint="eastAsia"/>
          <w:color w:val="auto"/>
          <w:sz w:val="24"/>
          <w:szCs w:val="24"/>
          <w:highlight w:val="none"/>
        </w:rPr>
        <w:t>书面证明应当按照上述“</w:t>
      </w:r>
      <w:r>
        <w:rPr>
          <w:color w:val="auto"/>
          <w:sz w:val="24"/>
          <w:szCs w:val="24"/>
          <w:highlight w:val="none"/>
        </w:rPr>
        <w:t>6.3.3</w:t>
      </w:r>
      <w:r>
        <w:rPr>
          <w:rFonts w:hint="eastAsia"/>
          <w:color w:val="auto"/>
          <w:sz w:val="24"/>
          <w:szCs w:val="24"/>
          <w:highlight w:val="none"/>
        </w:rPr>
        <w:t>澄清、说明或补正”的规定提交</w:t>
      </w:r>
      <w:r>
        <w:rPr>
          <w:rFonts w:hint="eastAsia"/>
          <w:color w:val="auto"/>
          <w:sz w:val="24"/>
          <w:szCs w:val="24"/>
          <w:highlight w:val="none"/>
          <w:lang w:val="en-US" w:eastAsia="zh-CN"/>
        </w:rPr>
        <w:t>。</w:t>
      </w:r>
    </w:p>
    <w:p w14:paraId="0BC11918">
      <w:pPr>
        <w:spacing w:before="120" w:line="320" w:lineRule="atLeast"/>
        <w:ind w:firstLine="480" w:firstLineChars="200"/>
        <w:rPr>
          <w:color w:val="auto"/>
          <w:sz w:val="24"/>
          <w:szCs w:val="24"/>
          <w:highlight w:val="none"/>
        </w:rPr>
      </w:pPr>
      <w:r>
        <w:rPr>
          <w:rFonts w:hint="eastAsia"/>
          <w:color w:val="auto"/>
          <w:sz w:val="24"/>
          <w:szCs w:val="24"/>
          <w:highlight w:val="none"/>
        </w:rPr>
        <w:t>6</w:t>
      </w:r>
      <w:r>
        <w:rPr>
          <w:color w:val="auto"/>
          <w:sz w:val="24"/>
          <w:szCs w:val="24"/>
          <w:highlight w:val="none"/>
        </w:rPr>
        <w:t>.3.</w:t>
      </w:r>
      <w:r>
        <w:rPr>
          <w:rFonts w:hint="eastAsia"/>
          <w:color w:val="auto"/>
          <w:sz w:val="24"/>
          <w:szCs w:val="24"/>
          <w:highlight w:val="none"/>
          <w:lang w:val="en-US" w:eastAsia="zh-CN"/>
        </w:rPr>
        <w:t>6</w:t>
      </w:r>
      <w:r>
        <w:rPr>
          <w:rFonts w:hint="eastAsia"/>
          <w:color w:val="auto"/>
          <w:sz w:val="24"/>
          <w:szCs w:val="24"/>
          <w:highlight w:val="none"/>
        </w:rPr>
        <w:t>相同品牌认定（仅适用于货物采购项目）</w:t>
      </w:r>
    </w:p>
    <w:p w14:paraId="26F08C09">
      <w:pPr>
        <w:spacing w:before="120" w:line="320" w:lineRule="atLeast"/>
        <w:ind w:firstLine="480" w:firstLineChars="200"/>
        <w:rPr>
          <w:color w:val="auto"/>
          <w:sz w:val="24"/>
          <w:szCs w:val="24"/>
          <w:highlight w:val="none"/>
        </w:rPr>
      </w:pPr>
      <w:r>
        <w:rPr>
          <w:rFonts w:hint="eastAsia"/>
          <w:color w:val="auto"/>
          <w:sz w:val="24"/>
          <w:szCs w:val="24"/>
          <w:highlight w:val="none"/>
        </w:rPr>
        <w:t>（1）单一产品采购项目，</w:t>
      </w:r>
      <w:r>
        <w:rPr>
          <w:color w:val="auto"/>
          <w:sz w:val="24"/>
          <w:highlight w:val="none"/>
        </w:rPr>
        <w:t>不同供应商提供的产品品牌相同时，</w:t>
      </w:r>
      <w:r>
        <w:rPr>
          <w:rFonts w:hint="eastAsia"/>
          <w:color w:val="auto"/>
          <w:sz w:val="24"/>
          <w:highlight w:val="none"/>
        </w:rPr>
        <w:t>按以下</w:t>
      </w:r>
      <w:r>
        <w:rPr>
          <w:color w:val="auto"/>
          <w:sz w:val="24"/>
          <w:highlight w:val="none"/>
        </w:rPr>
        <w:t>规定</w:t>
      </w:r>
      <w:r>
        <w:rPr>
          <w:rFonts w:hint="eastAsia"/>
          <w:color w:val="auto"/>
          <w:sz w:val="24"/>
          <w:highlight w:val="none"/>
        </w:rPr>
        <w:t>确定</w:t>
      </w:r>
      <w:r>
        <w:rPr>
          <w:bCs/>
          <w:color w:val="auto"/>
          <w:kern w:val="0"/>
          <w:sz w:val="24"/>
          <w:szCs w:val="24"/>
          <w:highlight w:val="none"/>
        </w:rPr>
        <w:t>相同品牌的响应有效性</w:t>
      </w:r>
      <w:r>
        <w:rPr>
          <w:color w:val="auto"/>
          <w:sz w:val="24"/>
          <w:highlight w:val="none"/>
        </w:rPr>
        <w:t>。</w:t>
      </w:r>
    </w:p>
    <w:p w14:paraId="059C851C">
      <w:pPr>
        <w:spacing w:before="120" w:line="320" w:lineRule="atLeast"/>
        <w:ind w:firstLine="480" w:firstLineChars="200"/>
        <w:rPr>
          <w:color w:val="auto"/>
          <w:sz w:val="24"/>
          <w:szCs w:val="24"/>
          <w:highlight w:val="none"/>
        </w:rPr>
      </w:pPr>
      <w:r>
        <w:rPr>
          <w:rFonts w:hint="eastAsia"/>
          <w:color w:val="auto"/>
          <w:sz w:val="24"/>
          <w:szCs w:val="24"/>
          <w:highlight w:val="none"/>
        </w:rPr>
        <w:t>提供相同品牌产品且通过资格审查、符合性审查的不同供应商参加同一合同项下响应的，按一家供应商计算，评审后得分最高的同品牌供应商获得中标人推荐资格；评审得分相同的，由采购人或者采购人委托磋商小组按照采购文件规定的方式确定一个供应商获得成交供应商推荐资格，采购文件未规定的采取随机抽取方式确定，其他同品牌供应商不作为成交候选人。</w:t>
      </w:r>
    </w:p>
    <w:p w14:paraId="07CD8172">
      <w:pPr>
        <w:spacing w:before="120" w:line="320" w:lineRule="atLeast"/>
        <w:ind w:firstLine="480" w:firstLineChars="200"/>
        <w:rPr>
          <w:color w:val="auto"/>
          <w:sz w:val="24"/>
          <w:szCs w:val="24"/>
          <w:highlight w:val="none"/>
        </w:rPr>
      </w:pPr>
      <w:r>
        <w:rPr>
          <w:rFonts w:hint="eastAsia"/>
          <w:color w:val="auto"/>
          <w:sz w:val="24"/>
          <w:szCs w:val="24"/>
          <w:highlight w:val="none"/>
        </w:rPr>
        <w:t>（2）非单一产品采购项目，</w:t>
      </w:r>
      <w:r>
        <w:rPr>
          <w:color w:val="auto"/>
          <w:sz w:val="24"/>
          <w:szCs w:val="24"/>
          <w:highlight w:val="none"/>
        </w:rPr>
        <w:t>采购人应当确定核心产品，并在采购文件中载明。</w:t>
      </w:r>
      <w:r>
        <w:rPr>
          <w:rFonts w:hint="eastAsia"/>
          <w:color w:val="auto"/>
          <w:sz w:val="24"/>
          <w:szCs w:val="24"/>
          <w:highlight w:val="none"/>
        </w:rPr>
        <w:t>不同</w:t>
      </w:r>
      <w:r>
        <w:rPr>
          <w:color w:val="auto"/>
          <w:sz w:val="24"/>
          <w:szCs w:val="24"/>
          <w:highlight w:val="none"/>
        </w:rPr>
        <w:t>供应商提供的核心产品品牌相同的，按上述规定处理。核心产品</w:t>
      </w:r>
      <w:r>
        <w:rPr>
          <w:rFonts w:hint="eastAsia"/>
          <w:color w:val="auto"/>
          <w:sz w:val="24"/>
          <w:szCs w:val="24"/>
          <w:highlight w:val="none"/>
        </w:rPr>
        <w:t>在第二章</w:t>
      </w:r>
      <w:r>
        <w:rPr>
          <w:color w:val="auto"/>
          <w:sz w:val="24"/>
          <w:szCs w:val="24"/>
          <w:highlight w:val="none"/>
        </w:rPr>
        <w:t>采购需求规定。</w:t>
      </w:r>
    </w:p>
    <w:p w14:paraId="57502CCD">
      <w:pPr>
        <w:spacing w:before="120" w:line="320" w:lineRule="atLeast"/>
        <w:ind w:firstLine="480" w:firstLineChars="200"/>
        <w:rPr>
          <w:rFonts w:hint="eastAsia"/>
          <w:color w:val="auto"/>
          <w:sz w:val="24"/>
          <w:highlight w:val="none"/>
        </w:rPr>
      </w:pPr>
      <w:r>
        <w:rPr>
          <w:color w:val="auto"/>
          <w:sz w:val="24"/>
          <w:highlight w:val="none"/>
        </w:rPr>
        <w:t>6.3.</w:t>
      </w:r>
      <w:r>
        <w:rPr>
          <w:rFonts w:hint="eastAsia"/>
          <w:color w:val="auto"/>
          <w:sz w:val="24"/>
          <w:highlight w:val="none"/>
          <w:lang w:val="en-US" w:eastAsia="zh-CN"/>
        </w:rPr>
        <w:t>7</w:t>
      </w:r>
      <w:r>
        <w:rPr>
          <w:rFonts w:hint="eastAsia"/>
          <w:color w:val="auto"/>
          <w:sz w:val="24"/>
          <w:highlight w:val="none"/>
        </w:rPr>
        <w:t>磋商</w:t>
      </w:r>
    </w:p>
    <w:p w14:paraId="214EC589">
      <w:pPr>
        <w:spacing w:before="120" w:line="320" w:lineRule="atLeast"/>
        <w:ind w:firstLine="480" w:firstLineChars="200"/>
        <w:rPr>
          <w:rFonts w:hint="eastAsia"/>
          <w:color w:val="auto"/>
          <w:sz w:val="24"/>
          <w:highlight w:val="none"/>
        </w:rPr>
      </w:pPr>
      <w:r>
        <w:rPr>
          <w:rFonts w:hint="eastAsia"/>
          <w:color w:val="auto"/>
          <w:sz w:val="24"/>
          <w:highlight w:val="none"/>
        </w:rPr>
        <w:t>（1）磋商小组按照“供应商须知前附表” 确定的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639D4F1A">
      <w:pPr>
        <w:spacing w:before="120" w:line="320" w:lineRule="atLeast"/>
        <w:ind w:firstLine="480" w:firstLineChars="200"/>
        <w:rPr>
          <w:color w:val="auto"/>
          <w:sz w:val="24"/>
          <w:highlight w:val="none"/>
        </w:rPr>
      </w:pPr>
      <w:r>
        <w:rPr>
          <w:rFonts w:hint="eastAsia"/>
          <w:color w:val="auto"/>
          <w:sz w:val="24"/>
          <w:highlight w:val="none"/>
        </w:rPr>
        <w:t>（2）在磋商过程中，磋商小组可以根据采购文件和磋商情况实质性变动采购需求中的技术、服务要求以及合同草案条款，但不得变动采购文件中的其他内容。实质性变动的内容，须经采购人代表确认。</w:t>
      </w:r>
    </w:p>
    <w:p w14:paraId="0B37B905">
      <w:pPr>
        <w:spacing w:before="120" w:line="320" w:lineRule="atLeast"/>
        <w:ind w:firstLine="480" w:firstLineChars="200"/>
        <w:rPr>
          <w:color w:val="auto"/>
          <w:sz w:val="24"/>
          <w:highlight w:val="none"/>
        </w:rPr>
      </w:pPr>
      <w:r>
        <w:rPr>
          <w:rFonts w:hint="eastAsia"/>
          <w:color w:val="auto"/>
          <w:sz w:val="24"/>
          <w:highlight w:val="none"/>
        </w:rPr>
        <w:t>对采购文件作出的实质性变动是采购文件的有效组成部分，由磋商小组通过</w:t>
      </w:r>
      <w:r>
        <w:rPr>
          <w:rFonts w:hint="eastAsia"/>
          <w:color w:val="auto"/>
          <w:sz w:val="24"/>
          <w:szCs w:val="24"/>
          <w:highlight w:val="none"/>
        </w:rPr>
        <w:t>广西政府采购云平台</w:t>
      </w:r>
      <w:r>
        <w:rPr>
          <w:rFonts w:hint="eastAsia"/>
          <w:color w:val="auto"/>
          <w:sz w:val="24"/>
          <w:highlight w:val="none"/>
        </w:rPr>
        <w:t>以书面形式同时通知所有参加磋商的供应商。</w:t>
      </w:r>
    </w:p>
    <w:p w14:paraId="5A6F04DB">
      <w:pPr>
        <w:spacing w:before="120" w:line="320" w:lineRule="atLeast"/>
        <w:ind w:firstLine="480" w:firstLineChars="200"/>
        <w:rPr>
          <w:rFonts w:hint="eastAsia"/>
          <w:color w:val="auto"/>
          <w:sz w:val="24"/>
          <w:highlight w:val="none"/>
        </w:rPr>
      </w:pPr>
      <w:r>
        <w:rPr>
          <w:rFonts w:hint="eastAsia"/>
          <w:color w:val="auto"/>
          <w:sz w:val="24"/>
          <w:highlight w:val="none"/>
        </w:rPr>
        <w:t>（3）供应商必须按照采购文件的变动情况和磋商小组的要求重新提交响应文件，并在</w:t>
      </w:r>
      <w:r>
        <w:rPr>
          <w:rFonts w:hint="eastAsia"/>
          <w:color w:val="auto"/>
          <w:sz w:val="24"/>
          <w:szCs w:val="24"/>
          <w:highlight w:val="none"/>
        </w:rPr>
        <w:t>广西政府采购云平台</w:t>
      </w:r>
      <w:r>
        <w:rPr>
          <w:rFonts w:hint="eastAsia"/>
          <w:color w:val="auto"/>
          <w:sz w:val="24"/>
          <w:highlight w:val="none"/>
        </w:rPr>
        <w:t>在线编辑或上传PDF格式，使用电子签章后提交至磋商小组。参加磋商的供应商未在规定时间内重新提交响应文件的，视同退出磋商。</w:t>
      </w:r>
    </w:p>
    <w:p w14:paraId="4545595A">
      <w:pPr>
        <w:spacing w:before="120" w:line="320" w:lineRule="atLeast"/>
        <w:ind w:firstLine="480" w:firstLineChars="200"/>
        <w:rPr>
          <w:color w:val="auto"/>
          <w:sz w:val="24"/>
          <w:highlight w:val="none"/>
        </w:rPr>
      </w:pPr>
      <w:r>
        <w:rPr>
          <w:rFonts w:hint="eastAsia"/>
          <w:color w:val="auto"/>
          <w:sz w:val="24"/>
          <w:highlight w:val="none"/>
        </w:rPr>
        <w:t>（4）供应商的法定代表人或其授权代表无须到现场参加磋商，提问及回答/响应均通过</w:t>
      </w:r>
      <w:r>
        <w:rPr>
          <w:rFonts w:hint="eastAsia"/>
          <w:color w:val="auto"/>
          <w:sz w:val="24"/>
          <w:szCs w:val="24"/>
          <w:highlight w:val="none"/>
        </w:rPr>
        <w:t>广西政府采购云平台</w:t>
      </w:r>
      <w:r>
        <w:rPr>
          <w:rFonts w:hint="eastAsia"/>
          <w:color w:val="auto"/>
          <w:sz w:val="24"/>
          <w:highlight w:val="none"/>
        </w:rPr>
        <w:t>进行。磋商过程中使用的电子签章应为供应商上传响应文件的同一签章。</w:t>
      </w:r>
    </w:p>
    <w:p w14:paraId="0CB37DA9">
      <w:pPr>
        <w:spacing w:before="120" w:line="320" w:lineRule="atLeast"/>
        <w:ind w:firstLine="480" w:firstLineChars="200"/>
        <w:rPr>
          <w:color w:val="auto"/>
          <w:sz w:val="24"/>
          <w:highlight w:val="none"/>
        </w:rPr>
      </w:pPr>
      <w:r>
        <w:rPr>
          <w:rFonts w:hint="eastAsia"/>
          <w:color w:val="auto"/>
          <w:sz w:val="24"/>
          <w:highlight w:val="none"/>
        </w:rPr>
        <w:t>6</w:t>
      </w:r>
      <w:r>
        <w:rPr>
          <w:color w:val="auto"/>
          <w:sz w:val="24"/>
          <w:highlight w:val="none"/>
        </w:rPr>
        <w:t>.3.</w:t>
      </w:r>
      <w:r>
        <w:rPr>
          <w:rFonts w:hint="eastAsia"/>
          <w:color w:val="auto"/>
          <w:sz w:val="24"/>
          <w:highlight w:val="none"/>
          <w:lang w:val="en-US" w:eastAsia="zh-CN"/>
        </w:rPr>
        <w:t>8</w:t>
      </w:r>
      <w:r>
        <w:rPr>
          <w:rFonts w:hint="eastAsia"/>
          <w:color w:val="auto"/>
          <w:sz w:val="24"/>
          <w:highlight w:val="none"/>
        </w:rPr>
        <w:t>最后报价</w:t>
      </w:r>
    </w:p>
    <w:p w14:paraId="035C3EA4">
      <w:pPr>
        <w:spacing w:before="120" w:line="320" w:lineRule="atLeast"/>
        <w:ind w:firstLine="480" w:firstLineChars="200"/>
        <w:rPr>
          <w:rFonts w:hint="eastAsia"/>
          <w:color w:val="auto"/>
          <w:sz w:val="24"/>
          <w:highlight w:val="none"/>
        </w:rPr>
      </w:pPr>
      <w:r>
        <w:rPr>
          <w:rFonts w:hint="eastAsia"/>
          <w:color w:val="auto"/>
          <w:sz w:val="24"/>
          <w:highlight w:val="none"/>
        </w:rPr>
        <w:t xml:space="preserve">（1）采购文件能够详细列明采购标的的技术、服务要求的，磋商结束后，磋商小组应当要求所有实质性响应的供应商在规定时间内提交最后报价，提交最后报价的供应商不得少于3家。 </w:t>
      </w:r>
    </w:p>
    <w:p w14:paraId="54E29FBC">
      <w:pPr>
        <w:spacing w:before="120" w:line="320" w:lineRule="atLeast"/>
        <w:ind w:firstLine="480" w:firstLineChars="200"/>
        <w:rPr>
          <w:rFonts w:hint="eastAsia"/>
          <w:color w:val="auto"/>
          <w:sz w:val="24"/>
          <w:highlight w:val="none"/>
        </w:rPr>
      </w:pPr>
      <w:r>
        <w:rPr>
          <w:rFonts w:hint="eastAsia"/>
          <w:color w:val="auto"/>
          <w:sz w:val="24"/>
          <w:highlight w:val="none"/>
        </w:rPr>
        <w:t>采购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0393D299">
      <w:pPr>
        <w:spacing w:before="120" w:line="320" w:lineRule="atLeast"/>
        <w:ind w:firstLine="480" w:firstLineChars="200"/>
        <w:rPr>
          <w:rFonts w:hint="eastAsia"/>
          <w:color w:val="auto"/>
          <w:sz w:val="24"/>
          <w:highlight w:val="none"/>
        </w:rPr>
      </w:pPr>
      <w:r>
        <w:rPr>
          <w:rFonts w:hint="eastAsia"/>
          <w:color w:val="auto"/>
          <w:sz w:val="24"/>
          <w:highlight w:val="none"/>
        </w:rPr>
        <w:t>最后报价是供应商响应文件的有效组成部分。</w:t>
      </w:r>
    </w:p>
    <w:p w14:paraId="64E4C0D8">
      <w:pPr>
        <w:spacing w:before="120" w:line="320" w:lineRule="atLeast"/>
        <w:ind w:firstLine="480" w:firstLineChars="200"/>
        <w:rPr>
          <w:rFonts w:hint="eastAsia"/>
          <w:color w:val="auto"/>
          <w:sz w:val="24"/>
          <w:highlight w:val="none"/>
        </w:rPr>
      </w:pPr>
      <w:r>
        <w:rPr>
          <w:rFonts w:hint="eastAsia"/>
          <w:color w:val="auto"/>
          <w:sz w:val="24"/>
          <w:highlight w:val="none"/>
        </w:rPr>
        <w:t>（2）如符合“市场竞争不充分的科研项目、需要扶持的科技成果转化项目、政府购买服务项目（含政府和社会资本合作项目）的，提交最后报价的供应商可以为2家。</w:t>
      </w:r>
    </w:p>
    <w:p w14:paraId="020A48D8">
      <w:pPr>
        <w:spacing w:before="120" w:line="320" w:lineRule="atLeast"/>
        <w:ind w:firstLine="480" w:firstLineChars="200"/>
        <w:rPr>
          <w:color w:val="auto"/>
          <w:sz w:val="24"/>
          <w:highlight w:val="none"/>
        </w:rPr>
      </w:pPr>
      <w:r>
        <w:rPr>
          <w:rFonts w:hint="eastAsia"/>
          <w:color w:val="auto"/>
          <w:sz w:val="24"/>
          <w:highlight w:val="none"/>
        </w:rPr>
        <w:t>（</w:t>
      </w:r>
      <w:r>
        <w:rPr>
          <w:rFonts w:hint="eastAsia"/>
          <w:color w:val="auto"/>
          <w:sz w:val="24"/>
          <w:highlight w:val="none"/>
          <w:lang w:val="en-US" w:eastAsia="zh-CN"/>
        </w:rPr>
        <w:t>3</w:t>
      </w:r>
      <w:r>
        <w:rPr>
          <w:rFonts w:hint="eastAsia"/>
          <w:color w:val="auto"/>
          <w:sz w:val="24"/>
          <w:highlight w:val="none"/>
        </w:rPr>
        <w:t>）最后报价要求通过</w:t>
      </w:r>
      <w:r>
        <w:rPr>
          <w:rFonts w:hint="eastAsia"/>
          <w:color w:val="auto"/>
          <w:sz w:val="24"/>
          <w:szCs w:val="24"/>
          <w:highlight w:val="none"/>
        </w:rPr>
        <w:t>广西政府采购云平台</w:t>
      </w:r>
      <w:r>
        <w:rPr>
          <w:rFonts w:hint="eastAsia"/>
          <w:color w:val="auto"/>
          <w:sz w:val="24"/>
          <w:highlight w:val="none"/>
        </w:rPr>
        <w:t>发出，供应商需在</w:t>
      </w:r>
      <w:r>
        <w:rPr>
          <w:rFonts w:hint="eastAsia"/>
          <w:color w:val="auto"/>
          <w:sz w:val="24"/>
          <w:szCs w:val="24"/>
          <w:highlight w:val="none"/>
        </w:rPr>
        <w:t>广西政府采购云平台</w:t>
      </w:r>
      <w:r>
        <w:rPr>
          <w:rFonts w:hint="eastAsia"/>
          <w:color w:val="auto"/>
          <w:sz w:val="24"/>
          <w:highlight w:val="none"/>
        </w:rPr>
        <w:t>设置的时间内报价，最后报价不得超过采购预算金额且具有唯一性，否则否决其响应。</w:t>
      </w:r>
    </w:p>
    <w:p w14:paraId="0CAAF31C">
      <w:pPr>
        <w:spacing w:before="120" w:line="320" w:lineRule="atLeast"/>
        <w:ind w:firstLine="480" w:firstLineChars="200"/>
        <w:rPr>
          <w:rFonts w:hint="eastAsia"/>
          <w:color w:val="auto"/>
          <w:sz w:val="24"/>
          <w:szCs w:val="24"/>
          <w:highlight w:val="none"/>
        </w:rPr>
      </w:pPr>
      <w:r>
        <w:rPr>
          <w:rFonts w:hint="eastAsia"/>
          <w:color w:val="auto"/>
          <w:sz w:val="24"/>
          <w:szCs w:val="24"/>
          <w:highlight w:val="none"/>
        </w:rPr>
        <w:t>最后报价与首次报价相比有调整的：供应商提交的最后报价必须包含已标价的工程量清单，即最后报价是工程量清单全部工作内容的价格体现，具体包括供应商部分（分部分项工程量清单费用、措施项目清单费用、规费、税金、其它项目）和采购人部分（暂列金、材料购置费）（如有）等完成本工程并经验收合格至达到质量保修期限所需的费用、合理利润及风险。如采购文件或磋商过程中明确供应商应提供技术服务及其它服务的（如检测费、验收发生的费用），相应费用也应包括在最后报价中。最后报价不允许采用汇总后优惠、打折的形式，否则其报价无效并作无效响应处理。</w:t>
      </w:r>
    </w:p>
    <w:p w14:paraId="44DB0C82">
      <w:pPr>
        <w:spacing w:before="120" w:line="320" w:lineRule="atLeast"/>
        <w:ind w:firstLine="480" w:firstLineChars="200"/>
        <w:rPr>
          <w:rFonts w:hint="eastAsia"/>
          <w:color w:val="auto"/>
          <w:sz w:val="24"/>
          <w:highlight w:val="none"/>
        </w:rPr>
      </w:pPr>
      <w:r>
        <w:rPr>
          <w:rFonts w:hint="eastAsia"/>
          <w:color w:val="auto"/>
          <w:sz w:val="24"/>
          <w:highlight w:val="none"/>
        </w:rPr>
        <w:t>（</w:t>
      </w:r>
      <w:r>
        <w:rPr>
          <w:rFonts w:hint="eastAsia"/>
          <w:color w:val="auto"/>
          <w:sz w:val="24"/>
          <w:highlight w:val="none"/>
          <w:lang w:val="en-US" w:eastAsia="zh-CN"/>
        </w:rPr>
        <w:t>4</w:t>
      </w:r>
      <w:r>
        <w:rPr>
          <w:rFonts w:hint="eastAsia"/>
          <w:color w:val="auto"/>
          <w:sz w:val="24"/>
          <w:highlight w:val="none"/>
        </w:rPr>
        <w:t>）已提交响应文件的供应商，在提交最后报价之前，可以根据磋商情况退出磋商</w:t>
      </w:r>
      <w:r>
        <w:rPr>
          <w:rFonts w:hint="eastAsia"/>
          <w:color w:val="auto"/>
          <w:sz w:val="24"/>
          <w:highlight w:val="none"/>
          <w:lang w:eastAsia="zh-CN"/>
        </w:rPr>
        <w:t>，</w:t>
      </w:r>
      <w:r>
        <w:rPr>
          <w:rFonts w:hint="eastAsia"/>
          <w:color w:val="auto"/>
          <w:sz w:val="24"/>
          <w:highlight w:val="none"/>
        </w:rPr>
        <w:t>退出磋商的供应商的响应文件无效。退出磋商的说明须经签字扫描后以电子邮件方式发送至采购代理机构，并及时通知项目负责人。磋商小组在评审报告中注明退出磋商的供应商名单。采购人、采购代理机构应当退还退出磋商的供应商的磋商保证金。</w:t>
      </w:r>
    </w:p>
    <w:p w14:paraId="181FD6E8">
      <w:pPr>
        <w:spacing w:before="120" w:line="320" w:lineRule="atLeas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）供应商未在规定时间内提交最后报价的，视同退出磋商。</w:t>
      </w:r>
    </w:p>
    <w:p w14:paraId="739B4F81">
      <w:pPr>
        <w:spacing w:before="120" w:line="320" w:lineRule="atLeast"/>
        <w:ind w:firstLine="480" w:firstLineChars="200"/>
        <w:rPr>
          <w:rFonts w:hint="eastAsia"/>
          <w:color w:val="auto"/>
          <w:sz w:val="24"/>
          <w:highlight w:val="none"/>
        </w:rPr>
      </w:pP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）最后报价结束后，磋商小组不得再与供应商进行任何形式的商谈。</w:t>
      </w:r>
    </w:p>
    <w:p w14:paraId="5D4574C1">
      <w:pPr>
        <w:spacing w:before="120" w:line="320" w:lineRule="atLeast"/>
        <w:ind w:firstLine="480" w:firstLineChars="200"/>
        <w:rPr>
          <w:color w:val="auto"/>
          <w:sz w:val="24"/>
          <w:szCs w:val="24"/>
          <w:highlight w:val="none"/>
        </w:rPr>
      </w:pPr>
      <w:r>
        <w:rPr>
          <w:color w:val="auto"/>
          <w:sz w:val="24"/>
          <w:szCs w:val="24"/>
          <w:highlight w:val="none"/>
        </w:rPr>
        <w:t>6.3.</w:t>
      </w:r>
      <w:r>
        <w:rPr>
          <w:rFonts w:hint="eastAsia"/>
          <w:color w:val="auto"/>
          <w:sz w:val="24"/>
          <w:szCs w:val="24"/>
          <w:highlight w:val="none"/>
          <w:lang w:val="en-US" w:eastAsia="zh-CN"/>
        </w:rPr>
        <w:t>9</w:t>
      </w:r>
      <w:r>
        <w:rPr>
          <w:color w:val="auto"/>
          <w:sz w:val="24"/>
          <w:szCs w:val="24"/>
          <w:highlight w:val="none"/>
        </w:rPr>
        <w:t>串通投标认定</w:t>
      </w:r>
    </w:p>
    <w:p w14:paraId="58FB5017">
      <w:pPr>
        <w:spacing w:before="120" w:line="320" w:lineRule="atLeast"/>
        <w:ind w:firstLine="480" w:firstLineChars="200"/>
        <w:rPr>
          <w:color w:val="auto"/>
          <w:sz w:val="24"/>
          <w:highlight w:val="none"/>
        </w:rPr>
      </w:pPr>
      <w:r>
        <w:rPr>
          <w:color w:val="auto"/>
          <w:sz w:val="24"/>
          <w:szCs w:val="24"/>
          <w:highlight w:val="none"/>
        </w:rPr>
        <w:t>磋商小组须根据</w:t>
      </w:r>
      <w:r>
        <w:rPr>
          <w:rFonts w:hint="eastAsia"/>
          <w:color w:val="auto"/>
          <w:sz w:val="24"/>
          <w:szCs w:val="24"/>
          <w:highlight w:val="none"/>
        </w:rPr>
        <w:t>以下</w:t>
      </w:r>
      <w:r>
        <w:rPr>
          <w:color w:val="auto"/>
          <w:sz w:val="24"/>
          <w:szCs w:val="24"/>
          <w:highlight w:val="none"/>
        </w:rPr>
        <w:t>规定</w:t>
      </w:r>
      <w:r>
        <w:rPr>
          <w:rFonts w:hint="eastAsia"/>
          <w:color w:val="auto"/>
          <w:sz w:val="24"/>
          <w:szCs w:val="24"/>
          <w:highlight w:val="none"/>
        </w:rPr>
        <w:t>认定</w:t>
      </w:r>
      <w:r>
        <w:rPr>
          <w:color w:val="auto"/>
          <w:sz w:val="24"/>
          <w:szCs w:val="24"/>
          <w:highlight w:val="none"/>
        </w:rPr>
        <w:t>供应商是否有</w:t>
      </w:r>
      <w:r>
        <w:rPr>
          <w:bCs/>
          <w:color w:val="auto"/>
          <w:kern w:val="0"/>
          <w:sz w:val="24"/>
          <w:szCs w:val="24"/>
          <w:highlight w:val="none"/>
        </w:rPr>
        <w:t>串通投标的行为</w:t>
      </w:r>
      <w:r>
        <w:rPr>
          <w:color w:val="auto"/>
          <w:sz w:val="24"/>
          <w:highlight w:val="none"/>
        </w:rPr>
        <w:t>。</w:t>
      </w:r>
    </w:p>
    <w:p w14:paraId="1C1332CD">
      <w:pPr>
        <w:spacing w:before="120" w:line="320" w:lineRule="atLeast"/>
        <w:ind w:firstLine="480" w:firstLineChars="200"/>
        <w:rPr>
          <w:color w:val="auto"/>
          <w:sz w:val="24"/>
          <w:szCs w:val="24"/>
          <w:highlight w:val="none"/>
        </w:rPr>
      </w:pPr>
      <w:bookmarkStart w:id="64" w:name="_Hlk19122026"/>
      <w:r>
        <w:rPr>
          <w:rFonts w:hint="eastAsia"/>
          <w:color w:val="auto"/>
          <w:sz w:val="24"/>
          <w:szCs w:val="24"/>
          <w:highlight w:val="none"/>
        </w:rPr>
        <w:t>（1）</w:t>
      </w:r>
      <w:bookmarkEnd w:id="64"/>
      <w:r>
        <w:rPr>
          <w:color w:val="auto"/>
          <w:sz w:val="24"/>
          <w:szCs w:val="24"/>
          <w:highlight w:val="none"/>
        </w:rPr>
        <w:t>根据《关于防治政府采购招标中串通投标行为的通知》</w:t>
      </w:r>
      <w:r>
        <w:rPr>
          <w:rFonts w:hint="eastAsia"/>
          <w:color w:val="auto"/>
          <w:sz w:val="24"/>
          <w:szCs w:val="24"/>
          <w:highlight w:val="none"/>
        </w:rPr>
        <w:t>（</w:t>
      </w:r>
      <w:r>
        <w:rPr>
          <w:color w:val="auto"/>
          <w:sz w:val="24"/>
          <w:szCs w:val="24"/>
          <w:highlight w:val="none"/>
        </w:rPr>
        <w:t>桂财采</w:t>
      </w:r>
      <w:r>
        <w:rPr>
          <w:rFonts w:hint="eastAsia"/>
          <w:color w:val="auto"/>
          <w:sz w:val="24"/>
          <w:szCs w:val="24"/>
          <w:highlight w:val="none"/>
          <w:lang w:eastAsia="zh-CN"/>
        </w:rPr>
        <w:t>〔2016〕</w:t>
      </w:r>
      <w:r>
        <w:rPr>
          <w:color w:val="auto"/>
          <w:sz w:val="24"/>
          <w:szCs w:val="24"/>
          <w:highlight w:val="none"/>
        </w:rPr>
        <w:t>42号</w:t>
      </w:r>
      <w:r>
        <w:rPr>
          <w:rFonts w:hint="eastAsia"/>
          <w:color w:val="auto"/>
          <w:sz w:val="24"/>
          <w:szCs w:val="24"/>
          <w:highlight w:val="none"/>
        </w:rPr>
        <w:t>）</w:t>
      </w:r>
      <w:r>
        <w:rPr>
          <w:color w:val="auto"/>
          <w:sz w:val="24"/>
          <w:szCs w:val="24"/>
          <w:highlight w:val="none"/>
        </w:rPr>
        <w:t>规定，出现下述情况的，相关供应商的投标作无效投标处理。</w:t>
      </w:r>
    </w:p>
    <w:p w14:paraId="241AD590">
      <w:pPr>
        <w:spacing w:before="120" w:line="320" w:lineRule="atLeast"/>
        <w:ind w:firstLine="480" w:firstLineChars="200"/>
        <w:rPr>
          <w:color w:val="auto"/>
          <w:sz w:val="24"/>
          <w:szCs w:val="24"/>
          <w:highlight w:val="none"/>
        </w:rPr>
      </w:pPr>
      <w:bookmarkStart w:id="65" w:name="_Hlk19122039"/>
      <w:r>
        <w:rPr>
          <w:rFonts w:hint="eastAsia" w:ascii="宋体" w:hAnsi="宋体" w:cs="宋体"/>
          <w:color w:val="auto"/>
          <w:sz w:val="24"/>
          <w:szCs w:val="24"/>
          <w:highlight w:val="none"/>
        </w:rPr>
        <w:t>①</w:t>
      </w:r>
      <w:r>
        <w:rPr>
          <w:color w:val="auto"/>
          <w:sz w:val="24"/>
          <w:szCs w:val="24"/>
          <w:highlight w:val="none"/>
        </w:rPr>
        <w:t>单位负责人为同一人或者存在直接控股、管理关系，参加同一合同项下政府采购活动的不同供应商。</w:t>
      </w:r>
    </w:p>
    <w:p w14:paraId="65832F89">
      <w:pPr>
        <w:spacing w:before="120" w:line="320" w:lineRule="atLeast"/>
        <w:ind w:firstLine="480" w:firstLineChars="200"/>
        <w:rPr>
          <w:color w:val="auto"/>
          <w:sz w:val="24"/>
          <w:szCs w:val="24"/>
          <w:highlight w:val="none"/>
        </w:rPr>
      </w:pPr>
      <w:r>
        <w:rPr>
          <w:rFonts w:hint="eastAsia"/>
          <w:color w:val="auto"/>
          <w:sz w:val="24"/>
          <w:szCs w:val="24"/>
          <w:highlight w:val="none"/>
        </w:rPr>
        <w:t>②</w:t>
      </w:r>
      <w:r>
        <w:rPr>
          <w:color w:val="auto"/>
          <w:sz w:val="24"/>
          <w:szCs w:val="24"/>
          <w:highlight w:val="none"/>
        </w:rPr>
        <w:t>授权给供应商后参加同一合同项（分标、分包）投标的生产厂商。</w:t>
      </w:r>
    </w:p>
    <w:p w14:paraId="18131CA3">
      <w:pPr>
        <w:spacing w:before="120" w:line="320" w:lineRule="atLeast"/>
        <w:ind w:firstLine="480" w:firstLineChars="200"/>
        <w:rPr>
          <w:color w:val="auto"/>
          <w:sz w:val="24"/>
          <w:szCs w:val="24"/>
          <w:highlight w:val="none"/>
        </w:rPr>
      </w:pPr>
      <w:r>
        <w:rPr>
          <w:rFonts w:hint="eastAsia"/>
          <w:color w:val="auto"/>
          <w:sz w:val="24"/>
          <w:szCs w:val="24"/>
          <w:highlight w:val="none"/>
        </w:rPr>
        <w:t>③</w:t>
      </w:r>
      <w:r>
        <w:rPr>
          <w:color w:val="auto"/>
          <w:sz w:val="24"/>
          <w:szCs w:val="24"/>
          <w:highlight w:val="none"/>
        </w:rPr>
        <w:t>视为或被认定为串通投标的相关供应商。</w:t>
      </w:r>
    </w:p>
    <w:bookmarkEnd w:id="65"/>
    <w:p w14:paraId="750D88BD">
      <w:pPr>
        <w:spacing w:before="120" w:line="320" w:lineRule="atLeast"/>
        <w:ind w:firstLine="480" w:firstLineChars="200"/>
        <w:rPr>
          <w:color w:val="auto"/>
          <w:sz w:val="24"/>
          <w:szCs w:val="24"/>
          <w:highlight w:val="none"/>
        </w:rPr>
      </w:pPr>
      <w:bookmarkStart w:id="66" w:name="_Hlk19122058"/>
      <w:r>
        <w:rPr>
          <w:rFonts w:hint="eastAsia"/>
          <w:color w:val="auto"/>
          <w:sz w:val="24"/>
          <w:szCs w:val="24"/>
          <w:highlight w:val="none"/>
        </w:rPr>
        <w:t>（2）</w:t>
      </w:r>
      <w:bookmarkEnd w:id="66"/>
      <w:r>
        <w:rPr>
          <w:color w:val="auto"/>
          <w:sz w:val="24"/>
          <w:szCs w:val="24"/>
          <w:highlight w:val="none"/>
        </w:rPr>
        <w:t>根据《关于防治政府采购招标中串通投标行为的通知》</w:t>
      </w:r>
      <w:r>
        <w:rPr>
          <w:rFonts w:hint="eastAsia"/>
          <w:color w:val="auto"/>
          <w:sz w:val="24"/>
          <w:szCs w:val="24"/>
          <w:highlight w:val="none"/>
        </w:rPr>
        <w:t>（</w:t>
      </w:r>
      <w:r>
        <w:rPr>
          <w:color w:val="auto"/>
          <w:sz w:val="24"/>
          <w:szCs w:val="24"/>
          <w:highlight w:val="none"/>
        </w:rPr>
        <w:t>桂财采</w:t>
      </w:r>
      <w:r>
        <w:rPr>
          <w:rFonts w:hint="eastAsia"/>
          <w:color w:val="auto"/>
          <w:sz w:val="24"/>
          <w:szCs w:val="24"/>
          <w:highlight w:val="none"/>
          <w:lang w:eastAsia="zh-CN"/>
        </w:rPr>
        <w:t>〔2016〕</w:t>
      </w:r>
      <w:r>
        <w:rPr>
          <w:color w:val="auto"/>
          <w:sz w:val="24"/>
          <w:szCs w:val="24"/>
          <w:highlight w:val="none"/>
        </w:rPr>
        <w:t>42号</w:t>
      </w:r>
      <w:r>
        <w:rPr>
          <w:rFonts w:hint="eastAsia"/>
          <w:color w:val="auto"/>
          <w:sz w:val="24"/>
          <w:szCs w:val="24"/>
          <w:highlight w:val="none"/>
        </w:rPr>
        <w:t>）</w:t>
      </w:r>
      <w:r>
        <w:rPr>
          <w:color w:val="auto"/>
          <w:sz w:val="24"/>
          <w:szCs w:val="24"/>
          <w:highlight w:val="none"/>
        </w:rPr>
        <w:t>规定，有下列情形之一的视为供应商相互串通投标，响应文件将被视为无效。</w:t>
      </w:r>
    </w:p>
    <w:p w14:paraId="6EACB2BC">
      <w:pPr>
        <w:spacing w:before="120" w:line="320" w:lineRule="atLeast"/>
        <w:ind w:firstLine="480" w:firstLineChars="200"/>
        <w:rPr>
          <w:color w:val="auto"/>
          <w:sz w:val="24"/>
          <w:szCs w:val="24"/>
          <w:highlight w:val="none"/>
        </w:rPr>
      </w:pPr>
      <w:bookmarkStart w:id="67" w:name="_Hlk19122048"/>
      <w:r>
        <w:rPr>
          <w:rFonts w:hint="eastAsia" w:ascii="宋体" w:hAnsi="宋体" w:cs="宋体"/>
          <w:color w:val="auto"/>
          <w:sz w:val="24"/>
          <w:szCs w:val="24"/>
          <w:highlight w:val="none"/>
        </w:rPr>
        <w:t>①</w:t>
      </w:r>
      <w:r>
        <w:rPr>
          <w:color w:val="auto"/>
          <w:sz w:val="24"/>
          <w:szCs w:val="24"/>
          <w:highlight w:val="none"/>
        </w:rPr>
        <w:t>不同供应商的响应文件由同一单位或者个人编制；或不同供应商报名的IP地址一致的；</w:t>
      </w:r>
    </w:p>
    <w:p w14:paraId="2F2A11FB">
      <w:pPr>
        <w:spacing w:before="120" w:line="320" w:lineRule="atLeast"/>
        <w:ind w:firstLine="480" w:firstLineChars="200"/>
        <w:rPr>
          <w:color w:val="auto"/>
          <w:sz w:val="24"/>
          <w:szCs w:val="24"/>
          <w:highlight w:val="none"/>
        </w:rPr>
      </w:pPr>
      <w:r>
        <w:rPr>
          <w:rFonts w:hint="eastAsia"/>
          <w:color w:val="auto"/>
          <w:sz w:val="24"/>
          <w:szCs w:val="24"/>
          <w:highlight w:val="none"/>
        </w:rPr>
        <w:t>②</w:t>
      </w:r>
      <w:r>
        <w:rPr>
          <w:color w:val="auto"/>
          <w:sz w:val="24"/>
          <w:szCs w:val="24"/>
          <w:highlight w:val="none"/>
        </w:rPr>
        <w:t>不同供应商委托同一单位或者个人办理投标事宜；</w:t>
      </w:r>
    </w:p>
    <w:p w14:paraId="484E46A0">
      <w:pPr>
        <w:spacing w:before="120" w:line="320" w:lineRule="atLeast"/>
        <w:ind w:firstLine="480" w:firstLineChars="200"/>
        <w:rPr>
          <w:color w:val="auto"/>
          <w:sz w:val="24"/>
          <w:szCs w:val="24"/>
          <w:highlight w:val="none"/>
        </w:rPr>
      </w:pPr>
      <w:r>
        <w:rPr>
          <w:rFonts w:hint="eastAsia"/>
          <w:color w:val="auto"/>
          <w:sz w:val="24"/>
          <w:szCs w:val="24"/>
          <w:highlight w:val="none"/>
        </w:rPr>
        <w:t>③</w:t>
      </w:r>
      <w:r>
        <w:rPr>
          <w:color w:val="auto"/>
          <w:sz w:val="24"/>
          <w:szCs w:val="24"/>
          <w:highlight w:val="none"/>
        </w:rPr>
        <w:t>不同的供应商的响应文件载明的项目管理员为同一个人；</w:t>
      </w:r>
    </w:p>
    <w:p w14:paraId="259DDBEE">
      <w:pPr>
        <w:spacing w:before="120" w:line="320" w:lineRule="atLeast"/>
        <w:ind w:firstLine="480" w:firstLineChars="200"/>
        <w:rPr>
          <w:color w:val="auto"/>
          <w:sz w:val="24"/>
          <w:szCs w:val="24"/>
          <w:highlight w:val="none"/>
        </w:rPr>
      </w:pPr>
      <w:r>
        <w:rPr>
          <w:rFonts w:hint="eastAsia"/>
          <w:color w:val="auto"/>
          <w:sz w:val="24"/>
          <w:szCs w:val="24"/>
          <w:highlight w:val="none"/>
        </w:rPr>
        <w:t>④</w:t>
      </w:r>
      <w:r>
        <w:rPr>
          <w:color w:val="auto"/>
          <w:sz w:val="24"/>
          <w:szCs w:val="24"/>
          <w:highlight w:val="none"/>
        </w:rPr>
        <w:t>不同供应商的响应文件异常一致或投标报价呈规律性差异；</w:t>
      </w:r>
    </w:p>
    <w:p w14:paraId="68175982">
      <w:pPr>
        <w:spacing w:before="120" w:line="320" w:lineRule="atLeast"/>
        <w:ind w:firstLine="480" w:firstLineChars="200"/>
        <w:rPr>
          <w:color w:val="auto"/>
          <w:sz w:val="24"/>
          <w:szCs w:val="24"/>
          <w:highlight w:val="none"/>
        </w:rPr>
      </w:pPr>
      <w:r>
        <w:rPr>
          <w:rFonts w:hint="eastAsia"/>
          <w:color w:val="auto"/>
          <w:sz w:val="24"/>
          <w:szCs w:val="24"/>
          <w:highlight w:val="none"/>
        </w:rPr>
        <w:t>⑤</w:t>
      </w:r>
      <w:r>
        <w:rPr>
          <w:color w:val="auto"/>
          <w:sz w:val="24"/>
          <w:szCs w:val="24"/>
          <w:highlight w:val="none"/>
        </w:rPr>
        <w:t>不同供应商的响应文件相互混装；</w:t>
      </w:r>
    </w:p>
    <w:p w14:paraId="4EE3B233">
      <w:pPr>
        <w:spacing w:before="120" w:line="320" w:lineRule="atLeast"/>
        <w:ind w:firstLine="480" w:firstLineChars="200"/>
        <w:rPr>
          <w:color w:val="auto"/>
          <w:sz w:val="24"/>
          <w:szCs w:val="24"/>
          <w:highlight w:val="none"/>
        </w:rPr>
      </w:pPr>
      <w:r>
        <w:rPr>
          <w:rFonts w:hint="eastAsia"/>
          <w:color w:val="auto"/>
          <w:sz w:val="24"/>
          <w:szCs w:val="24"/>
          <w:highlight w:val="none"/>
        </w:rPr>
        <w:t>⑥</w:t>
      </w:r>
      <w:r>
        <w:rPr>
          <w:color w:val="auto"/>
          <w:sz w:val="24"/>
          <w:szCs w:val="24"/>
          <w:highlight w:val="none"/>
        </w:rPr>
        <w:t>不同供应商的保证金从同一单位或者个人账户转出。</w:t>
      </w:r>
    </w:p>
    <w:bookmarkEnd w:id="67"/>
    <w:p w14:paraId="73442A66">
      <w:pPr>
        <w:spacing w:before="120" w:line="320" w:lineRule="atLeast"/>
        <w:ind w:firstLine="480" w:firstLineChars="200"/>
        <w:rPr>
          <w:color w:val="auto"/>
          <w:sz w:val="24"/>
          <w:szCs w:val="24"/>
          <w:highlight w:val="none"/>
        </w:rPr>
      </w:pPr>
      <w:bookmarkStart w:id="68" w:name="_Hlk19122102"/>
      <w:r>
        <w:rPr>
          <w:rFonts w:hint="eastAsia"/>
          <w:color w:val="auto"/>
          <w:sz w:val="24"/>
          <w:szCs w:val="24"/>
          <w:highlight w:val="none"/>
        </w:rPr>
        <w:t>（3）</w:t>
      </w:r>
      <w:bookmarkEnd w:id="68"/>
      <w:r>
        <w:rPr>
          <w:color w:val="auto"/>
          <w:sz w:val="24"/>
          <w:szCs w:val="24"/>
          <w:highlight w:val="none"/>
        </w:rPr>
        <w:t>根据《关于防治政府采购招标中串通投标行为的通知》</w:t>
      </w:r>
      <w:r>
        <w:rPr>
          <w:rFonts w:hint="eastAsia"/>
          <w:color w:val="auto"/>
          <w:sz w:val="24"/>
          <w:szCs w:val="24"/>
          <w:highlight w:val="none"/>
        </w:rPr>
        <w:t>（</w:t>
      </w:r>
      <w:r>
        <w:rPr>
          <w:color w:val="auto"/>
          <w:sz w:val="24"/>
          <w:szCs w:val="24"/>
          <w:highlight w:val="none"/>
        </w:rPr>
        <w:t>桂财采[2016]42号</w:t>
      </w:r>
      <w:r>
        <w:rPr>
          <w:rFonts w:hint="eastAsia"/>
          <w:color w:val="auto"/>
          <w:sz w:val="24"/>
          <w:szCs w:val="24"/>
          <w:highlight w:val="none"/>
        </w:rPr>
        <w:t>）</w:t>
      </w:r>
      <w:r>
        <w:rPr>
          <w:color w:val="auto"/>
          <w:sz w:val="24"/>
          <w:szCs w:val="24"/>
          <w:highlight w:val="none"/>
        </w:rPr>
        <w:t>规定，供应商有下列情形之一的，属于恶意串通行为，响应文件将被视为无效。</w:t>
      </w:r>
    </w:p>
    <w:p w14:paraId="2A0475EC">
      <w:pPr>
        <w:spacing w:before="120" w:line="320" w:lineRule="atLeast"/>
        <w:ind w:firstLine="480" w:firstLineChars="200"/>
        <w:rPr>
          <w:color w:val="auto"/>
          <w:sz w:val="24"/>
          <w:szCs w:val="24"/>
          <w:highlight w:val="none"/>
        </w:rPr>
      </w:pPr>
      <w:bookmarkStart w:id="69" w:name="_Hlk19122095"/>
      <w:r>
        <w:rPr>
          <w:rFonts w:hint="eastAsia"/>
          <w:color w:val="auto"/>
          <w:sz w:val="24"/>
          <w:szCs w:val="24"/>
          <w:highlight w:val="none"/>
        </w:rPr>
        <w:t>①</w:t>
      </w:r>
      <w:r>
        <w:rPr>
          <w:color w:val="auto"/>
          <w:sz w:val="24"/>
          <w:szCs w:val="24"/>
          <w:highlight w:val="none"/>
        </w:rPr>
        <w:t>供应商直接或者间接从采购人或者采购代理机构处获得其他供应商的相关信息并修改其响应文件或者响应文件；</w:t>
      </w:r>
    </w:p>
    <w:p w14:paraId="3994F448">
      <w:pPr>
        <w:spacing w:before="120" w:line="320" w:lineRule="atLeast"/>
        <w:ind w:firstLine="480" w:firstLineChars="200"/>
        <w:rPr>
          <w:color w:val="auto"/>
          <w:sz w:val="24"/>
          <w:szCs w:val="24"/>
          <w:highlight w:val="none"/>
        </w:rPr>
      </w:pPr>
      <w:r>
        <w:rPr>
          <w:rFonts w:hint="eastAsia"/>
          <w:color w:val="auto"/>
          <w:sz w:val="24"/>
          <w:szCs w:val="24"/>
          <w:highlight w:val="none"/>
        </w:rPr>
        <w:t>②</w:t>
      </w:r>
      <w:r>
        <w:rPr>
          <w:color w:val="auto"/>
          <w:sz w:val="24"/>
          <w:szCs w:val="24"/>
          <w:highlight w:val="none"/>
        </w:rPr>
        <w:t>供应商按照采购人或者采购代理机构的授意撤换、修改响应文件或者响应文件;；</w:t>
      </w:r>
    </w:p>
    <w:p w14:paraId="2114D6F5">
      <w:pPr>
        <w:spacing w:before="120" w:line="320" w:lineRule="atLeast"/>
        <w:ind w:firstLine="480" w:firstLineChars="200"/>
        <w:rPr>
          <w:color w:val="auto"/>
          <w:sz w:val="24"/>
          <w:szCs w:val="24"/>
          <w:highlight w:val="none"/>
        </w:rPr>
      </w:pPr>
      <w:r>
        <w:rPr>
          <w:rFonts w:hint="eastAsia"/>
          <w:color w:val="auto"/>
          <w:sz w:val="24"/>
          <w:szCs w:val="24"/>
          <w:highlight w:val="none"/>
        </w:rPr>
        <w:t>③</w:t>
      </w:r>
      <w:r>
        <w:rPr>
          <w:color w:val="auto"/>
          <w:sz w:val="24"/>
          <w:szCs w:val="24"/>
          <w:highlight w:val="none"/>
        </w:rPr>
        <w:t>供应商之间协商报价、技术方案等响应文件或者响应文件的实质性内容；</w:t>
      </w:r>
    </w:p>
    <w:p w14:paraId="1BD68A9D">
      <w:pPr>
        <w:spacing w:before="120" w:line="320" w:lineRule="atLeast"/>
        <w:ind w:firstLine="480" w:firstLineChars="200"/>
        <w:rPr>
          <w:color w:val="auto"/>
          <w:sz w:val="24"/>
          <w:szCs w:val="24"/>
          <w:highlight w:val="none"/>
        </w:rPr>
      </w:pPr>
      <w:r>
        <w:rPr>
          <w:rFonts w:hint="eastAsia"/>
          <w:color w:val="auto"/>
          <w:sz w:val="24"/>
          <w:szCs w:val="24"/>
          <w:highlight w:val="none"/>
        </w:rPr>
        <w:t>④</w:t>
      </w:r>
      <w:r>
        <w:rPr>
          <w:color w:val="auto"/>
          <w:sz w:val="24"/>
          <w:szCs w:val="24"/>
          <w:highlight w:val="none"/>
        </w:rPr>
        <w:t>属于同一集团、协会、商会等组织成员的供应商按照该组织要求协同参加政府采购活动；</w:t>
      </w:r>
    </w:p>
    <w:p w14:paraId="0C85327B">
      <w:pPr>
        <w:spacing w:before="120" w:line="320" w:lineRule="atLeast"/>
        <w:ind w:firstLine="480" w:firstLineChars="200"/>
        <w:rPr>
          <w:color w:val="auto"/>
          <w:sz w:val="24"/>
          <w:szCs w:val="24"/>
          <w:highlight w:val="none"/>
        </w:rPr>
      </w:pPr>
      <w:r>
        <w:rPr>
          <w:rFonts w:hint="eastAsia"/>
          <w:color w:val="auto"/>
          <w:sz w:val="24"/>
          <w:szCs w:val="24"/>
          <w:highlight w:val="none"/>
        </w:rPr>
        <w:t>⑤</w:t>
      </w:r>
      <w:r>
        <w:rPr>
          <w:color w:val="auto"/>
          <w:sz w:val="24"/>
          <w:szCs w:val="24"/>
          <w:highlight w:val="none"/>
        </w:rPr>
        <w:t>供应商之间事先约定一致抬高或者压低投标报价，或者在招标项目中事先约定轮流以高价位或者低价位中标，或者事先约定由某一特定供应商中标，然后再参加投标；</w:t>
      </w:r>
    </w:p>
    <w:p w14:paraId="17769E6E">
      <w:pPr>
        <w:spacing w:before="120" w:line="320" w:lineRule="atLeast"/>
        <w:ind w:firstLine="480" w:firstLineChars="200"/>
        <w:rPr>
          <w:color w:val="auto"/>
          <w:sz w:val="24"/>
          <w:szCs w:val="24"/>
          <w:highlight w:val="none"/>
        </w:rPr>
      </w:pPr>
      <w:r>
        <w:rPr>
          <w:rFonts w:hint="eastAsia"/>
          <w:color w:val="auto"/>
          <w:sz w:val="24"/>
          <w:szCs w:val="24"/>
          <w:highlight w:val="none"/>
        </w:rPr>
        <w:t>⑥</w:t>
      </w:r>
      <w:r>
        <w:rPr>
          <w:color w:val="auto"/>
          <w:sz w:val="24"/>
          <w:szCs w:val="24"/>
          <w:highlight w:val="none"/>
        </w:rPr>
        <w:t>供应商之间商定部分供应商放弃参加政府采购活动或者放弃中标；</w:t>
      </w:r>
    </w:p>
    <w:p w14:paraId="245A95F2">
      <w:pPr>
        <w:spacing w:before="120" w:line="320" w:lineRule="atLeast"/>
        <w:ind w:firstLine="480" w:firstLineChars="200"/>
        <w:rPr>
          <w:color w:val="auto"/>
          <w:sz w:val="24"/>
          <w:szCs w:val="24"/>
          <w:highlight w:val="none"/>
        </w:rPr>
      </w:pPr>
      <w:r>
        <w:rPr>
          <w:rFonts w:hint="eastAsia"/>
          <w:color w:val="auto"/>
          <w:sz w:val="24"/>
          <w:szCs w:val="24"/>
          <w:highlight w:val="none"/>
        </w:rPr>
        <w:t>⑦</w:t>
      </w:r>
      <w:r>
        <w:rPr>
          <w:color w:val="auto"/>
          <w:sz w:val="24"/>
          <w:szCs w:val="24"/>
          <w:highlight w:val="none"/>
        </w:rPr>
        <w:t>供应商与采购人或者采购代理机构之间、供应商相互之间，为谋求特定供应商中标或者排斥其他供应商的其他串通行为。</w:t>
      </w:r>
    </w:p>
    <w:bookmarkEnd w:id="69"/>
    <w:p w14:paraId="239D35EB">
      <w:pPr>
        <w:spacing w:before="120" w:line="320" w:lineRule="atLeast"/>
        <w:ind w:firstLine="480" w:firstLineChars="200"/>
        <w:rPr>
          <w:color w:val="auto"/>
          <w:sz w:val="24"/>
          <w:szCs w:val="24"/>
          <w:highlight w:val="none"/>
        </w:rPr>
      </w:pPr>
      <w:r>
        <w:rPr>
          <w:color w:val="auto"/>
          <w:sz w:val="24"/>
          <w:szCs w:val="24"/>
          <w:highlight w:val="none"/>
        </w:rPr>
        <w:t>6.3.</w:t>
      </w:r>
      <w:r>
        <w:rPr>
          <w:rFonts w:hint="eastAsia"/>
          <w:color w:val="auto"/>
          <w:sz w:val="24"/>
          <w:szCs w:val="24"/>
          <w:highlight w:val="none"/>
          <w:lang w:val="en-US" w:eastAsia="zh-CN"/>
        </w:rPr>
        <w:t>10</w:t>
      </w:r>
      <w:r>
        <w:rPr>
          <w:color w:val="auto"/>
          <w:sz w:val="24"/>
          <w:szCs w:val="24"/>
          <w:highlight w:val="none"/>
        </w:rPr>
        <w:t>响应</w:t>
      </w:r>
      <w:r>
        <w:rPr>
          <w:rFonts w:hint="eastAsia"/>
          <w:color w:val="auto"/>
          <w:sz w:val="24"/>
          <w:szCs w:val="24"/>
          <w:highlight w:val="none"/>
        </w:rPr>
        <w:t>无效</w:t>
      </w:r>
      <w:r>
        <w:rPr>
          <w:color w:val="auto"/>
          <w:sz w:val="24"/>
          <w:szCs w:val="24"/>
          <w:highlight w:val="none"/>
        </w:rPr>
        <w:t>认定</w:t>
      </w:r>
    </w:p>
    <w:p w14:paraId="12C22E05">
      <w:pPr>
        <w:spacing w:before="120" w:line="320" w:lineRule="atLeast"/>
        <w:ind w:firstLine="480" w:firstLineChars="200"/>
        <w:rPr>
          <w:color w:val="auto"/>
          <w:sz w:val="24"/>
          <w:szCs w:val="24"/>
          <w:highlight w:val="none"/>
        </w:rPr>
      </w:pPr>
      <w:r>
        <w:rPr>
          <w:rFonts w:hint="eastAsia"/>
          <w:color w:val="auto"/>
          <w:sz w:val="24"/>
          <w:szCs w:val="24"/>
          <w:highlight w:val="none"/>
        </w:rPr>
        <w:t>（</w:t>
      </w:r>
      <w:r>
        <w:rPr>
          <w:color w:val="auto"/>
          <w:sz w:val="24"/>
          <w:szCs w:val="24"/>
          <w:highlight w:val="none"/>
        </w:rPr>
        <w:t>1）在</w:t>
      </w:r>
      <w:r>
        <w:rPr>
          <w:rFonts w:hint="eastAsia"/>
          <w:color w:val="auto"/>
          <w:sz w:val="24"/>
          <w:szCs w:val="24"/>
          <w:highlight w:val="none"/>
        </w:rPr>
        <w:t>评审过程中</w:t>
      </w:r>
      <w:r>
        <w:rPr>
          <w:color w:val="auto"/>
          <w:sz w:val="24"/>
          <w:szCs w:val="24"/>
          <w:highlight w:val="none"/>
        </w:rPr>
        <w:t>如发现下列情形之一的，响应文件将被视为无效：</w:t>
      </w:r>
    </w:p>
    <w:p w14:paraId="5BE83B31">
      <w:pPr>
        <w:spacing w:before="120" w:line="320" w:lineRule="atLeast"/>
        <w:ind w:firstLine="480" w:firstLineChars="200"/>
        <w:rPr>
          <w:color w:val="auto"/>
          <w:sz w:val="24"/>
          <w:highlight w:val="none"/>
        </w:rPr>
      </w:pPr>
      <w:r>
        <w:rPr>
          <w:rFonts w:hint="eastAsia"/>
          <w:color w:val="auto"/>
          <w:sz w:val="24"/>
          <w:szCs w:val="24"/>
          <w:highlight w:val="none"/>
        </w:rPr>
        <w:t>①</w:t>
      </w:r>
      <w:r>
        <w:rPr>
          <w:color w:val="auto"/>
          <w:sz w:val="24"/>
          <w:szCs w:val="24"/>
          <w:highlight w:val="none"/>
        </w:rPr>
        <w:t>响应文件</w:t>
      </w:r>
      <w:r>
        <w:rPr>
          <w:rFonts w:hint="eastAsia"/>
          <w:color w:val="auto"/>
          <w:sz w:val="24"/>
          <w:szCs w:val="24"/>
          <w:highlight w:val="none"/>
        </w:rPr>
        <w:t>存在法律、法规及监督部门有关文件规定的无效情形</w:t>
      </w:r>
      <w:r>
        <w:rPr>
          <w:color w:val="auto"/>
          <w:sz w:val="24"/>
          <w:szCs w:val="24"/>
          <w:highlight w:val="none"/>
        </w:rPr>
        <w:t>。</w:t>
      </w:r>
    </w:p>
    <w:p w14:paraId="0E850A75">
      <w:pPr>
        <w:spacing w:before="120" w:line="320" w:lineRule="atLeast"/>
        <w:ind w:firstLine="480" w:firstLineChars="200"/>
        <w:rPr>
          <w:color w:val="auto"/>
          <w:sz w:val="24"/>
          <w:szCs w:val="24"/>
          <w:highlight w:val="none"/>
        </w:rPr>
      </w:pPr>
      <w:r>
        <w:rPr>
          <w:rFonts w:hint="eastAsia"/>
          <w:color w:val="auto"/>
          <w:sz w:val="24"/>
          <w:szCs w:val="24"/>
          <w:highlight w:val="none"/>
        </w:rPr>
        <w:t>②</w:t>
      </w:r>
      <w:r>
        <w:rPr>
          <w:color w:val="auto"/>
          <w:sz w:val="24"/>
          <w:szCs w:val="24"/>
          <w:highlight w:val="none"/>
        </w:rPr>
        <w:t>响应文件</w:t>
      </w:r>
      <w:r>
        <w:rPr>
          <w:rFonts w:hint="eastAsia"/>
          <w:color w:val="auto"/>
          <w:sz w:val="24"/>
          <w:szCs w:val="24"/>
          <w:highlight w:val="none"/>
        </w:rPr>
        <w:t>存在采购文件规定的无效情形。</w:t>
      </w:r>
    </w:p>
    <w:p w14:paraId="2A46B8AA">
      <w:pPr>
        <w:spacing w:before="120" w:line="320" w:lineRule="atLeast"/>
        <w:ind w:firstLine="480" w:firstLineChars="200"/>
        <w:rPr>
          <w:color w:val="auto"/>
          <w:sz w:val="24"/>
          <w:szCs w:val="24"/>
          <w:highlight w:val="none"/>
        </w:rPr>
      </w:pPr>
      <w:bookmarkStart w:id="70" w:name="_Hlk19113313"/>
      <w:r>
        <w:rPr>
          <w:rFonts w:hint="eastAsia"/>
          <w:color w:val="auto"/>
          <w:sz w:val="24"/>
          <w:szCs w:val="24"/>
          <w:highlight w:val="none"/>
        </w:rPr>
        <w:t>（2）根据</w:t>
      </w:r>
      <w:r>
        <w:rPr>
          <w:color w:val="auto"/>
          <w:sz w:val="24"/>
          <w:szCs w:val="24"/>
          <w:highlight w:val="none"/>
        </w:rPr>
        <w:t>财库</w:t>
      </w:r>
      <w:r>
        <w:rPr>
          <w:rFonts w:hint="eastAsia"/>
          <w:color w:val="auto"/>
          <w:sz w:val="24"/>
          <w:szCs w:val="24"/>
          <w:highlight w:val="none"/>
        </w:rPr>
        <w:t>《</w:t>
      </w:r>
      <w:r>
        <w:rPr>
          <w:color w:val="auto"/>
          <w:sz w:val="24"/>
          <w:szCs w:val="24"/>
          <w:highlight w:val="none"/>
        </w:rPr>
        <w:t>关于促进政府采购公平竞争优化营商环境的通知</w:t>
      </w:r>
      <w:r>
        <w:rPr>
          <w:rFonts w:hint="eastAsia"/>
          <w:color w:val="auto"/>
          <w:sz w:val="24"/>
          <w:szCs w:val="24"/>
          <w:highlight w:val="none"/>
        </w:rPr>
        <w:t>》（</w:t>
      </w:r>
      <w:r>
        <w:rPr>
          <w:color w:val="auto"/>
          <w:sz w:val="24"/>
          <w:szCs w:val="24"/>
          <w:highlight w:val="none"/>
        </w:rPr>
        <w:t>〔2019〕38号</w:t>
      </w:r>
      <w:r>
        <w:rPr>
          <w:rFonts w:hint="eastAsia"/>
          <w:color w:val="auto"/>
          <w:sz w:val="24"/>
          <w:szCs w:val="24"/>
          <w:highlight w:val="none"/>
        </w:rPr>
        <w:t>）以及《广西壮族自治区财政厅转发财政部关于促进政府采购公平竞争优化营商环境的通知》（桂财采〔2019〕41号）规定，磋商小组不得因装订、纸张、文件排序等非实质性的格式、形式问题认定投标无效或否决投标，从而限制和影响供应商投标（响应）。</w:t>
      </w:r>
    </w:p>
    <w:bookmarkEnd w:id="70"/>
    <w:p w14:paraId="6FC69DC0">
      <w:pPr>
        <w:spacing w:before="120" w:line="320" w:lineRule="atLeast"/>
        <w:ind w:firstLine="480" w:firstLineChars="200"/>
        <w:rPr>
          <w:color w:val="auto"/>
          <w:sz w:val="24"/>
          <w:szCs w:val="24"/>
          <w:highlight w:val="none"/>
        </w:rPr>
      </w:pPr>
      <w:bookmarkStart w:id="71" w:name="_Hlk19113363"/>
      <w:r>
        <w:rPr>
          <w:color w:val="auto"/>
          <w:sz w:val="24"/>
          <w:szCs w:val="24"/>
          <w:highlight w:val="none"/>
        </w:rPr>
        <w:t>6.3.1</w:t>
      </w:r>
      <w:r>
        <w:rPr>
          <w:rFonts w:hint="eastAsia"/>
          <w:color w:val="auto"/>
          <w:sz w:val="24"/>
          <w:szCs w:val="24"/>
          <w:highlight w:val="none"/>
          <w:lang w:val="en-US" w:eastAsia="zh-CN"/>
        </w:rPr>
        <w:t>1</w:t>
      </w:r>
      <w:r>
        <w:rPr>
          <w:color w:val="auto"/>
          <w:sz w:val="24"/>
          <w:szCs w:val="24"/>
          <w:highlight w:val="none"/>
        </w:rPr>
        <w:t>比较与评价</w:t>
      </w:r>
    </w:p>
    <w:p w14:paraId="31C2CAB0">
      <w:pPr>
        <w:spacing w:before="120" w:line="320" w:lineRule="atLeast"/>
        <w:ind w:firstLine="480" w:firstLineChars="200"/>
        <w:rPr>
          <w:color w:val="auto"/>
          <w:sz w:val="24"/>
          <w:szCs w:val="24"/>
          <w:highlight w:val="none"/>
        </w:rPr>
      </w:pPr>
      <w:r>
        <w:rPr>
          <w:rFonts w:hint="eastAsia"/>
          <w:color w:val="auto"/>
          <w:sz w:val="24"/>
          <w:szCs w:val="24"/>
          <w:highlight w:val="none"/>
        </w:rPr>
        <w:t>（1）磋商小组</w:t>
      </w:r>
      <w:r>
        <w:rPr>
          <w:color w:val="auto"/>
          <w:sz w:val="24"/>
          <w:szCs w:val="24"/>
          <w:highlight w:val="none"/>
        </w:rPr>
        <w:t>按采购文件中规定的评审方法和标准，</w:t>
      </w:r>
      <w:r>
        <w:rPr>
          <w:rFonts w:hint="eastAsia"/>
          <w:color w:val="auto"/>
          <w:sz w:val="24"/>
          <w:szCs w:val="24"/>
          <w:highlight w:val="none"/>
        </w:rPr>
        <w:t>对提交最后报价的供应商的响应文件和最后报价进行综合评分。</w:t>
      </w:r>
    </w:p>
    <w:p w14:paraId="5A44FF6D">
      <w:pPr>
        <w:spacing w:before="120" w:line="320" w:lineRule="atLeast"/>
        <w:ind w:firstLine="480" w:firstLineChars="200"/>
        <w:rPr>
          <w:color w:val="auto"/>
          <w:sz w:val="24"/>
          <w:szCs w:val="24"/>
          <w:highlight w:val="none"/>
        </w:rPr>
      </w:pPr>
      <w:r>
        <w:rPr>
          <w:rFonts w:hint="eastAsia"/>
          <w:color w:val="auto"/>
          <w:sz w:val="24"/>
          <w:szCs w:val="24"/>
          <w:highlight w:val="none"/>
        </w:rPr>
        <w:t>（2）</w:t>
      </w:r>
      <w:r>
        <w:rPr>
          <w:color w:val="auto"/>
          <w:sz w:val="24"/>
          <w:szCs w:val="24"/>
          <w:highlight w:val="none"/>
        </w:rPr>
        <w:t>磋商小组各成员独立对每个有效供应商的响应文件进行评价</w:t>
      </w:r>
      <w:r>
        <w:rPr>
          <w:rFonts w:hint="eastAsia"/>
          <w:color w:val="auto"/>
          <w:sz w:val="24"/>
          <w:szCs w:val="24"/>
          <w:highlight w:val="none"/>
        </w:rPr>
        <w:t>、打分。评价打分</w:t>
      </w:r>
      <w:r>
        <w:rPr>
          <w:color w:val="auto"/>
          <w:sz w:val="24"/>
          <w:szCs w:val="24"/>
          <w:highlight w:val="none"/>
        </w:rPr>
        <w:t>有误的应及时进行修正。</w:t>
      </w:r>
      <w:r>
        <w:rPr>
          <w:rFonts w:hint="eastAsia"/>
          <w:color w:val="auto"/>
          <w:sz w:val="24"/>
          <w:szCs w:val="24"/>
          <w:highlight w:val="none"/>
        </w:rPr>
        <w:t>评分</w:t>
      </w:r>
      <w:r>
        <w:rPr>
          <w:color w:val="auto"/>
          <w:sz w:val="24"/>
          <w:szCs w:val="24"/>
          <w:highlight w:val="none"/>
        </w:rPr>
        <w:t>标准如有客观分定义，磋商小组所有成员的客观分</w:t>
      </w:r>
      <w:r>
        <w:rPr>
          <w:rFonts w:hint="eastAsia"/>
          <w:color w:val="auto"/>
          <w:sz w:val="24"/>
          <w:szCs w:val="24"/>
          <w:highlight w:val="none"/>
        </w:rPr>
        <w:t>评分分值</w:t>
      </w:r>
      <w:r>
        <w:rPr>
          <w:color w:val="auto"/>
          <w:sz w:val="24"/>
          <w:szCs w:val="24"/>
          <w:highlight w:val="none"/>
        </w:rPr>
        <w:t>应当一致。</w:t>
      </w:r>
    </w:p>
    <w:p w14:paraId="65933993">
      <w:pPr>
        <w:spacing w:before="120" w:line="320" w:lineRule="atLeast"/>
        <w:ind w:firstLine="480" w:firstLineChars="200"/>
        <w:rPr>
          <w:rFonts w:hint="eastAsia"/>
          <w:color w:val="auto"/>
          <w:sz w:val="24"/>
          <w:szCs w:val="24"/>
          <w:highlight w:val="none"/>
        </w:rPr>
      </w:pPr>
      <w:r>
        <w:rPr>
          <w:rFonts w:hint="eastAsia"/>
          <w:color w:val="auto"/>
          <w:sz w:val="24"/>
          <w:szCs w:val="24"/>
          <w:highlight w:val="none"/>
        </w:rPr>
        <w:t>（3）磋商小组</w:t>
      </w:r>
      <w:r>
        <w:rPr>
          <w:color w:val="auto"/>
          <w:sz w:val="24"/>
          <w:szCs w:val="24"/>
          <w:highlight w:val="none"/>
        </w:rPr>
        <w:t>按</w:t>
      </w:r>
      <w:r>
        <w:rPr>
          <w:rFonts w:hint="eastAsia"/>
          <w:color w:val="auto"/>
          <w:sz w:val="24"/>
          <w:szCs w:val="24"/>
          <w:highlight w:val="none"/>
        </w:rPr>
        <w:t>综合评</w:t>
      </w:r>
      <w:r>
        <w:rPr>
          <w:color w:val="auto"/>
          <w:sz w:val="24"/>
          <w:szCs w:val="24"/>
          <w:highlight w:val="none"/>
        </w:rPr>
        <w:t>分由高到低的排列顺序</w:t>
      </w:r>
      <w:r>
        <w:rPr>
          <w:rFonts w:hint="eastAsia"/>
          <w:color w:val="auto"/>
          <w:sz w:val="24"/>
          <w:szCs w:val="24"/>
          <w:highlight w:val="none"/>
        </w:rPr>
        <w:t>推荐</w:t>
      </w:r>
      <w:r>
        <w:rPr>
          <w:color w:val="auto"/>
          <w:sz w:val="24"/>
          <w:szCs w:val="24"/>
          <w:highlight w:val="none"/>
        </w:rPr>
        <w:t>3</w:t>
      </w:r>
      <w:r>
        <w:rPr>
          <w:rFonts w:hint="eastAsia"/>
          <w:color w:val="auto"/>
          <w:sz w:val="24"/>
          <w:szCs w:val="24"/>
          <w:highlight w:val="none"/>
        </w:rPr>
        <w:t>名以上成交候选供应商，</w:t>
      </w:r>
      <w:r>
        <w:rPr>
          <w:color w:val="auto"/>
          <w:sz w:val="24"/>
          <w:szCs w:val="24"/>
          <w:highlight w:val="none"/>
        </w:rPr>
        <w:t>综合</w:t>
      </w:r>
      <w:r>
        <w:rPr>
          <w:rFonts w:hint="eastAsia"/>
          <w:color w:val="auto"/>
          <w:sz w:val="24"/>
          <w:szCs w:val="24"/>
          <w:highlight w:val="none"/>
        </w:rPr>
        <w:t>评</w:t>
      </w:r>
      <w:r>
        <w:rPr>
          <w:color w:val="auto"/>
          <w:sz w:val="24"/>
          <w:szCs w:val="24"/>
          <w:highlight w:val="none"/>
        </w:rPr>
        <w:t>分排名第一的为第一</w:t>
      </w:r>
      <w:r>
        <w:rPr>
          <w:rFonts w:hint="eastAsia"/>
          <w:color w:val="auto"/>
          <w:sz w:val="24"/>
          <w:szCs w:val="24"/>
          <w:highlight w:val="none"/>
        </w:rPr>
        <w:t>成交</w:t>
      </w:r>
      <w:r>
        <w:rPr>
          <w:color w:val="auto"/>
          <w:sz w:val="24"/>
          <w:szCs w:val="24"/>
          <w:highlight w:val="none"/>
        </w:rPr>
        <w:t>候选</w:t>
      </w:r>
      <w:r>
        <w:rPr>
          <w:rFonts w:hint="eastAsia"/>
          <w:color w:val="auto"/>
          <w:sz w:val="24"/>
          <w:szCs w:val="24"/>
          <w:highlight w:val="none"/>
        </w:rPr>
        <w:t>供应商</w:t>
      </w:r>
      <w:r>
        <w:rPr>
          <w:color w:val="auto"/>
          <w:sz w:val="24"/>
          <w:szCs w:val="24"/>
          <w:highlight w:val="none"/>
        </w:rPr>
        <w:t>。若</w:t>
      </w:r>
      <w:r>
        <w:rPr>
          <w:rFonts w:hint="eastAsia"/>
          <w:color w:val="auto"/>
          <w:sz w:val="24"/>
          <w:szCs w:val="24"/>
          <w:highlight w:val="none"/>
        </w:rPr>
        <w:t>成交</w:t>
      </w:r>
      <w:r>
        <w:rPr>
          <w:color w:val="auto"/>
          <w:sz w:val="24"/>
          <w:szCs w:val="24"/>
          <w:highlight w:val="none"/>
        </w:rPr>
        <w:t>候选人综合</w:t>
      </w:r>
      <w:r>
        <w:rPr>
          <w:rFonts w:hint="eastAsia"/>
          <w:color w:val="auto"/>
          <w:sz w:val="24"/>
          <w:szCs w:val="24"/>
          <w:highlight w:val="none"/>
        </w:rPr>
        <w:t>评</w:t>
      </w:r>
      <w:r>
        <w:rPr>
          <w:color w:val="auto"/>
          <w:sz w:val="24"/>
          <w:szCs w:val="24"/>
          <w:highlight w:val="none"/>
        </w:rPr>
        <w:t>分相同的，按</w:t>
      </w:r>
      <w:r>
        <w:rPr>
          <w:rFonts w:hint="eastAsia"/>
          <w:color w:val="auto"/>
          <w:sz w:val="24"/>
          <w:szCs w:val="24"/>
          <w:highlight w:val="none"/>
        </w:rPr>
        <w:t>最后</w:t>
      </w:r>
      <w:r>
        <w:rPr>
          <w:color w:val="auto"/>
          <w:sz w:val="24"/>
          <w:szCs w:val="24"/>
          <w:highlight w:val="none"/>
        </w:rPr>
        <w:t>报价由低到高顺序排列；综合</w:t>
      </w:r>
      <w:r>
        <w:rPr>
          <w:rFonts w:hint="eastAsia"/>
          <w:color w:val="auto"/>
          <w:sz w:val="24"/>
          <w:szCs w:val="24"/>
          <w:highlight w:val="none"/>
        </w:rPr>
        <w:t>评</w:t>
      </w:r>
      <w:r>
        <w:rPr>
          <w:color w:val="auto"/>
          <w:sz w:val="24"/>
          <w:szCs w:val="24"/>
          <w:highlight w:val="none"/>
        </w:rPr>
        <w:t>分且</w:t>
      </w:r>
      <w:r>
        <w:rPr>
          <w:rFonts w:hint="eastAsia"/>
          <w:color w:val="auto"/>
          <w:sz w:val="24"/>
          <w:szCs w:val="24"/>
          <w:highlight w:val="none"/>
        </w:rPr>
        <w:t>最后</w:t>
      </w:r>
      <w:r>
        <w:rPr>
          <w:color w:val="auto"/>
          <w:sz w:val="24"/>
          <w:szCs w:val="24"/>
          <w:highlight w:val="none"/>
        </w:rPr>
        <w:t>报价相同的</w:t>
      </w:r>
      <w:r>
        <w:rPr>
          <w:color w:val="auto"/>
          <w:sz w:val="24"/>
          <w:highlight w:val="none"/>
        </w:rPr>
        <w:t>并列</w:t>
      </w:r>
      <w:r>
        <w:rPr>
          <w:color w:val="auto"/>
          <w:sz w:val="24"/>
          <w:szCs w:val="24"/>
          <w:highlight w:val="none"/>
        </w:rPr>
        <w:t>；</w:t>
      </w:r>
      <w:r>
        <w:rPr>
          <w:rFonts w:hint="eastAsia"/>
          <w:color w:val="auto"/>
          <w:sz w:val="24"/>
          <w:szCs w:val="24"/>
          <w:highlight w:val="none"/>
        </w:rPr>
        <w:t>成交</w:t>
      </w:r>
      <w:r>
        <w:rPr>
          <w:color w:val="auto"/>
          <w:sz w:val="24"/>
          <w:szCs w:val="24"/>
          <w:highlight w:val="none"/>
        </w:rPr>
        <w:t>候选人并列的，按技术部分</w:t>
      </w:r>
      <w:r>
        <w:rPr>
          <w:rFonts w:hint="eastAsia"/>
          <w:color w:val="auto"/>
          <w:sz w:val="24"/>
          <w:szCs w:val="24"/>
          <w:highlight w:val="none"/>
        </w:rPr>
        <w:t>评</w:t>
      </w:r>
      <w:r>
        <w:rPr>
          <w:color w:val="auto"/>
          <w:sz w:val="24"/>
          <w:szCs w:val="24"/>
          <w:highlight w:val="none"/>
        </w:rPr>
        <w:t>分由高到低顺序排列，若综合评分、</w:t>
      </w:r>
      <w:r>
        <w:rPr>
          <w:rFonts w:hint="eastAsia"/>
          <w:color w:val="auto"/>
          <w:sz w:val="24"/>
          <w:szCs w:val="24"/>
          <w:highlight w:val="none"/>
        </w:rPr>
        <w:t>最后</w:t>
      </w:r>
      <w:r>
        <w:rPr>
          <w:color w:val="auto"/>
          <w:sz w:val="24"/>
          <w:szCs w:val="24"/>
          <w:highlight w:val="none"/>
        </w:rPr>
        <w:t>报价、技术部分</w:t>
      </w:r>
      <w:r>
        <w:rPr>
          <w:rFonts w:hint="eastAsia"/>
          <w:color w:val="auto"/>
          <w:sz w:val="24"/>
          <w:szCs w:val="24"/>
          <w:highlight w:val="none"/>
        </w:rPr>
        <w:t>评分</w:t>
      </w:r>
      <w:r>
        <w:rPr>
          <w:color w:val="auto"/>
          <w:sz w:val="24"/>
          <w:szCs w:val="24"/>
          <w:highlight w:val="none"/>
        </w:rPr>
        <w:t>均相同的，按商务</w:t>
      </w:r>
      <w:r>
        <w:rPr>
          <w:rFonts w:hint="eastAsia"/>
          <w:color w:val="auto"/>
          <w:sz w:val="24"/>
          <w:szCs w:val="24"/>
          <w:highlight w:val="none"/>
        </w:rPr>
        <w:t>资信</w:t>
      </w:r>
      <w:r>
        <w:rPr>
          <w:color w:val="auto"/>
          <w:sz w:val="24"/>
          <w:szCs w:val="24"/>
          <w:highlight w:val="none"/>
        </w:rPr>
        <w:t>部分</w:t>
      </w:r>
      <w:r>
        <w:rPr>
          <w:rFonts w:hint="eastAsia"/>
          <w:color w:val="auto"/>
          <w:sz w:val="24"/>
          <w:szCs w:val="24"/>
          <w:highlight w:val="none"/>
        </w:rPr>
        <w:t>评</w:t>
      </w:r>
      <w:r>
        <w:rPr>
          <w:color w:val="auto"/>
          <w:sz w:val="24"/>
          <w:szCs w:val="24"/>
          <w:highlight w:val="none"/>
        </w:rPr>
        <w:t>分由高到低顺序排列。</w:t>
      </w:r>
      <w:r>
        <w:rPr>
          <w:rFonts w:hint="eastAsia"/>
          <w:color w:val="auto"/>
          <w:sz w:val="24"/>
          <w:szCs w:val="24"/>
          <w:highlight w:val="none"/>
        </w:rPr>
        <w:t>若综合评分、最后报价、技术部分评分、商务资信部分评分均相同的，由采购人自行决定。</w:t>
      </w:r>
    </w:p>
    <w:p w14:paraId="2036F646">
      <w:pPr>
        <w:spacing w:before="120" w:line="320" w:lineRule="atLeast"/>
        <w:ind w:firstLine="480" w:firstLineChars="200"/>
        <w:rPr>
          <w:color w:val="auto"/>
          <w:sz w:val="24"/>
          <w:highlight w:val="none"/>
        </w:rPr>
      </w:pPr>
      <w:r>
        <w:rPr>
          <w:rFonts w:hint="eastAsia"/>
          <w:color w:val="auto"/>
          <w:sz w:val="24"/>
          <w:szCs w:val="24"/>
          <w:highlight w:val="none"/>
        </w:rPr>
        <w:t>（</w:t>
      </w:r>
      <w:r>
        <w:rPr>
          <w:color w:val="auto"/>
          <w:sz w:val="24"/>
          <w:szCs w:val="24"/>
          <w:highlight w:val="none"/>
        </w:rPr>
        <w:t>4</w:t>
      </w:r>
      <w:r>
        <w:rPr>
          <w:rFonts w:hint="eastAsia"/>
          <w:color w:val="auto"/>
          <w:sz w:val="24"/>
          <w:szCs w:val="24"/>
          <w:highlight w:val="none"/>
        </w:rPr>
        <w:t>）磋商小组根据评审记录及评审结果编写评审报告，磋商小组成员均应当在评审报告上签字，对自己的评审意见承担法律责任。</w:t>
      </w:r>
      <w:r>
        <w:rPr>
          <w:color w:val="auto"/>
          <w:sz w:val="24"/>
          <w:highlight w:val="none"/>
        </w:rPr>
        <w:t>评审报告签署前，经复核发现存在以</w:t>
      </w:r>
      <w:r>
        <w:rPr>
          <w:rFonts w:hint="eastAsia"/>
          <w:color w:val="auto"/>
          <w:sz w:val="24"/>
          <w:highlight w:val="none"/>
        </w:rPr>
        <w:t>下</w:t>
      </w:r>
      <w:r>
        <w:rPr>
          <w:color w:val="auto"/>
          <w:sz w:val="24"/>
          <w:highlight w:val="none"/>
        </w:rPr>
        <w:t>情形之一的，磋商小组应当当场修改评审结果，并在评审报告中记载；评审报告签署后，采购人或者采购代理机构发现存在以</w:t>
      </w:r>
      <w:r>
        <w:rPr>
          <w:rFonts w:hint="eastAsia"/>
          <w:color w:val="auto"/>
          <w:sz w:val="24"/>
          <w:highlight w:val="none"/>
        </w:rPr>
        <w:t>下</w:t>
      </w:r>
      <w:r>
        <w:rPr>
          <w:color w:val="auto"/>
          <w:sz w:val="24"/>
          <w:highlight w:val="none"/>
        </w:rPr>
        <w:t>情形之一的，应当组织原磋商小组进行重新评审。</w:t>
      </w:r>
    </w:p>
    <w:p w14:paraId="64386097">
      <w:pPr>
        <w:spacing w:before="120" w:line="320" w:lineRule="atLeast"/>
        <w:ind w:firstLine="480" w:firstLineChars="200"/>
        <w:rPr>
          <w:color w:val="auto"/>
          <w:sz w:val="24"/>
          <w:highlight w:val="none"/>
        </w:rPr>
      </w:pPr>
      <w:r>
        <w:rPr>
          <w:rFonts w:hint="eastAsia"/>
          <w:color w:val="auto"/>
          <w:sz w:val="24"/>
          <w:highlight w:val="none"/>
        </w:rPr>
        <w:t>资格性检查认定错误、分值汇总计算错误、分项评分超出评分标准范围、客观分评分不一致、经磋商小组一致认定评分畸高、畸低。</w:t>
      </w:r>
    </w:p>
    <w:bookmarkEnd w:id="71"/>
    <w:p w14:paraId="2D4191AC">
      <w:pPr>
        <w:spacing w:before="120" w:line="320" w:lineRule="atLeast"/>
        <w:ind w:firstLine="482" w:firstLineChars="200"/>
        <w:outlineLvl w:val="2"/>
        <w:rPr>
          <w:b/>
          <w:bCs/>
          <w:color w:val="auto"/>
          <w:kern w:val="0"/>
          <w:sz w:val="24"/>
          <w:szCs w:val="24"/>
          <w:highlight w:val="none"/>
        </w:rPr>
      </w:pPr>
      <w:r>
        <w:rPr>
          <w:b/>
          <w:bCs/>
          <w:color w:val="auto"/>
          <w:kern w:val="0"/>
          <w:sz w:val="24"/>
          <w:szCs w:val="24"/>
          <w:highlight w:val="none"/>
        </w:rPr>
        <w:t>6.4确定成交供应商</w:t>
      </w:r>
    </w:p>
    <w:p w14:paraId="6E13407C">
      <w:pPr>
        <w:spacing w:before="120" w:line="276" w:lineRule="auto"/>
        <w:ind w:firstLine="480" w:firstLineChars="200"/>
        <w:rPr>
          <w:color w:val="auto"/>
          <w:sz w:val="24"/>
          <w:szCs w:val="24"/>
          <w:highlight w:val="none"/>
        </w:rPr>
      </w:pPr>
      <w:r>
        <w:rPr>
          <w:rFonts w:hint="eastAsia"/>
          <w:color w:val="auto"/>
          <w:sz w:val="24"/>
          <w:szCs w:val="24"/>
          <w:highlight w:val="none"/>
        </w:rPr>
        <w:t>6.4</w:t>
      </w:r>
      <w:r>
        <w:rPr>
          <w:color w:val="auto"/>
          <w:sz w:val="24"/>
          <w:szCs w:val="24"/>
          <w:highlight w:val="none"/>
        </w:rPr>
        <w:t>.1采购代理机构在评审结束后2个工作日内将评审报告送采购人，采购人在5个工作日内按照评审报告中推荐的成交候选供应商顺序确定成交供应商。</w:t>
      </w:r>
    </w:p>
    <w:p w14:paraId="5603C43F">
      <w:pPr>
        <w:spacing w:before="120" w:line="276" w:lineRule="auto"/>
        <w:ind w:firstLine="480" w:firstLineChars="200"/>
        <w:rPr>
          <w:color w:val="auto"/>
          <w:sz w:val="24"/>
          <w:szCs w:val="24"/>
          <w:highlight w:val="none"/>
        </w:rPr>
      </w:pPr>
      <w:r>
        <w:rPr>
          <w:color w:val="auto"/>
          <w:sz w:val="24"/>
          <w:szCs w:val="24"/>
          <w:highlight w:val="none"/>
        </w:rPr>
        <w:t>6.4.2</w:t>
      </w:r>
      <w:r>
        <w:rPr>
          <w:rFonts w:hint="eastAsia"/>
          <w:color w:val="auto"/>
          <w:sz w:val="24"/>
          <w:szCs w:val="24"/>
          <w:highlight w:val="none"/>
        </w:rPr>
        <w:t>采购人、采购代理机构认为供应商对采购过程、成交结果提出的质疑成立且影响或者可能影响成交结果的，合格供应商符合法定数量时，可以从合格的成交候选供应商中另行确定成交供应商的，应当依法另行确定成交供应商；否则应当重新开展采购活动。</w:t>
      </w:r>
    </w:p>
    <w:p w14:paraId="526A6EA5">
      <w:pPr>
        <w:spacing w:before="120" w:line="320" w:lineRule="atLeast"/>
        <w:ind w:firstLine="482" w:firstLineChars="200"/>
        <w:outlineLvl w:val="2"/>
        <w:rPr>
          <w:b/>
          <w:bCs/>
          <w:color w:val="auto"/>
          <w:kern w:val="0"/>
          <w:sz w:val="24"/>
          <w:szCs w:val="24"/>
          <w:highlight w:val="none"/>
        </w:rPr>
      </w:pPr>
      <w:r>
        <w:rPr>
          <w:b/>
          <w:bCs/>
          <w:color w:val="auto"/>
          <w:kern w:val="0"/>
          <w:sz w:val="24"/>
          <w:szCs w:val="24"/>
          <w:highlight w:val="none"/>
        </w:rPr>
        <w:t>6.5</w:t>
      </w:r>
      <w:r>
        <w:rPr>
          <w:rFonts w:hint="eastAsia"/>
          <w:b/>
          <w:bCs/>
          <w:color w:val="auto"/>
          <w:kern w:val="0"/>
          <w:sz w:val="24"/>
          <w:szCs w:val="24"/>
          <w:highlight w:val="none"/>
        </w:rPr>
        <w:t>结果公告</w:t>
      </w:r>
    </w:p>
    <w:p w14:paraId="15129F25">
      <w:pPr>
        <w:spacing w:before="120" w:line="320" w:lineRule="atLeast"/>
        <w:ind w:firstLine="480" w:firstLineChars="200"/>
        <w:rPr>
          <w:color w:val="auto"/>
          <w:sz w:val="24"/>
          <w:szCs w:val="24"/>
          <w:highlight w:val="none"/>
        </w:rPr>
      </w:pPr>
      <w:r>
        <w:rPr>
          <w:rFonts w:hint="eastAsia"/>
          <w:color w:val="auto"/>
          <w:sz w:val="24"/>
          <w:szCs w:val="24"/>
          <w:highlight w:val="none"/>
        </w:rPr>
        <w:t>6</w:t>
      </w:r>
      <w:r>
        <w:rPr>
          <w:color w:val="auto"/>
          <w:sz w:val="24"/>
          <w:szCs w:val="24"/>
          <w:highlight w:val="none"/>
        </w:rPr>
        <w:t>.5.1自成交供应商确定后2个工作日内，采购代理机构</w:t>
      </w:r>
      <w:r>
        <w:rPr>
          <w:rFonts w:hint="eastAsia"/>
          <w:color w:val="auto"/>
          <w:sz w:val="24"/>
          <w:szCs w:val="24"/>
          <w:highlight w:val="none"/>
        </w:rPr>
        <w:t>按照供应商须知</w:t>
      </w:r>
      <w:r>
        <w:rPr>
          <w:rFonts w:hint="eastAsia"/>
          <w:color w:val="auto"/>
          <w:kern w:val="0"/>
          <w:sz w:val="24"/>
          <w:szCs w:val="24"/>
          <w:highlight w:val="none"/>
        </w:rPr>
        <w:t>前附表的规定</w:t>
      </w:r>
      <w:r>
        <w:rPr>
          <w:color w:val="auto"/>
          <w:kern w:val="0"/>
          <w:sz w:val="24"/>
          <w:szCs w:val="24"/>
          <w:highlight w:val="none"/>
        </w:rPr>
        <w:t>公告</w:t>
      </w:r>
      <w:r>
        <w:rPr>
          <w:color w:val="auto"/>
          <w:sz w:val="24"/>
          <w:szCs w:val="24"/>
          <w:highlight w:val="none"/>
        </w:rPr>
        <w:t>成交结果</w:t>
      </w:r>
      <w:r>
        <w:rPr>
          <w:rFonts w:hint="eastAsia"/>
          <w:color w:val="auto"/>
          <w:sz w:val="24"/>
          <w:szCs w:val="24"/>
          <w:highlight w:val="none"/>
          <w:lang w:eastAsia="zh-CN"/>
        </w:rPr>
        <w:t>，成交</w:t>
      </w:r>
      <w:r>
        <w:rPr>
          <w:rFonts w:hint="eastAsia"/>
          <w:color w:val="auto"/>
          <w:sz w:val="24"/>
          <w:szCs w:val="24"/>
          <w:highlight w:val="none"/>
        </w:rPr>
        <w:t>结果公告期限为1个工作日</w:t>
      </w:r>
      <w:r>
        <w:rPr>
          <w:rFonts w:hint="eastAsia"/>
          <w:color w:val="auto"/>
          <w:sz w:val="24"/>
          <w:szCs w:val="24"/>
          <w:highlight w:val="none"/>
          <w:lang w:eastAsia="zh-CN"/>
        </w:rPr>
        <w:t>，</w:t>
      </w:r>
      <w:r>
        <w:rPr>
          <w:rFonts w:hint="eastAsia"/>
          <w:color w:val="auto"/>
          <w:sz w:val="24"/>
          <w:szCs w:val="24"/>
          <w:highlight w:val="none"/>
        </w:rPr>
        <w:t>发布</w:t>
      </w:r>
      <w:r>
        <w:rPr>
          <w:rFonts w:hint="eastAsia"/>
          <w:color w:val="auto"/>
          <w:sz w:val="24"/>
          <w:szCs w:val="24"/>
          <w:highlight w:val="none"/>
          <w:lang w:eastAsia="zh-CN"/>
        </w:rPr>
        <w:t>成交</w:t>
      </w:r>
      <w:r>
        <w:rPr>
          <w:rFonts w:hint="eastAsia"/>
          <w:color w:val="auto"/>
          <w:sz w:val="24"/>
          <w:szCs w:val="24"/>
          <w:highlight w:val="none"/>
        </w:rPr>
        <w:t>结果公告的同时向</w:t>
      </w:r>
      <w:r>
        <w:rPr>
          <w:rFonts w:hint="eastAsia"/>
          <w:color w:val="auto"/>
          <w:sz w:val="24"/>
          <w:szCs w:val="24"/>
          <w:highlight w:val="none"/>
          <w:lang w:eastAsia="zh-CN"/>
        </w:rPr>
        <w:t>成交</w:t>
      </w:r>
      <w:r>
        <w:rPr>
          <w:rFonts w:hint="eastAsia"/>
          <w:color w:val="auto"/>
          <w:sz w:val="24"/>
          <w:szCs w:val="24"/>
          <w:highlight w:val="none"/>
        </w:rPr>
        <w:t>供应商发出</w:t>
      </w:r>
      <w:r>
        <w:rPr>
          <w:rFonts w:hint="eastAsia"/>
          <w:color w:val="auto"/>
          <w:sz w:val="24"/>
          <w:szCs w:val="24"/>
          <w:highlight w:val="none"/>
          <w:lang w:eastAsia="zh-CN"/>
        </w:rPr>
        <w:t>成交</w:t>
      </w:r>
      <w:r>
        <w:rPr>
          <w:rFonts w:hint="eastAsia"/>
          <w:color w:val="auto"/>
          <w:sz w:val="24"/>
          <w:szCs w:val="24"/>
          <w:highlight w:val="none"/>
        </w:rPr>
        <w:t>通知书。采购代理机构发出</w:t>
      </w:r>
      <w:r>
        <w:rPr>
          <w:rFonts w:hint="eastAsia"/>
          <w:color w:val="auto"/>
          <w:sz w:val="24"/>
          <w:szCs w:val="24"/>
          <w:highlight w:val="none"/>
          <w:lang w:eastAsia="zh-CN"/>
        </w:rPr>
        <w:t>成交</w:t>
      </w:r>
      <w:r>
        <w:rPr>
          <w:rFonts w:hint="eastAsia"/>
          <w:color w:val="auto"/>
          <w:sz w:val="24"/>
          <w:szCs w:val="24"/>
          <w:highlight w:val="none"/>
        </w:rPr>
        <w:t>通知书前，应当对</w:t>
      </w:r>
      <w:r>
        <w:rPr>
          <w:rFonts w:hint="eastAsia"/>
          <w:color w:val="auto"/>
          <w:sz w:val="24"/>
          <w:szCs w:val="24"/>
          <w:highlight w:val="none"/>
          <w:lang w:eastAsia="zh-CN"/>
        </w:rPr>
        <w:t>成交</w:t>
      </w:r>
      <w:r>
        <w:rPr>
          <w:rFonts w:hint="eastAsia"/>
          <w:color w:val="auto"/>
          <w:sz w:val="24"/>
          <w:szCs w:val="24"/>
          <w:highlight w:val="none"/>
          <w:lang w:val="en-US" w:eastAsia="zh-CN"/>
        </w:rPr>
        <w:t>供应商</w:t>
      </w:r>
      <w:r>
        <w:rPr>
          <w:rFonts w:hint="eastAsia"/>
          <w:color w:val="auto"/>
          <w:sz w:val="24"/>
          <w:szCs w:val="24"/>
          <w:highlight w:val="none"/>
        </w:rPr>
        <w:t>信用进行核实，对列入失信被执行人、</w:t>
      </w:r>
      <w:r>
        <w:rPr>
          <w:color w:val="auto"/>
          <w:kern w:val="0"/>
          <w:sz w:val="24"/>
          <w:szCs w:val="24"/>
          <w:highlight w:val="none"/>
        </w:rPr>
        <w:t>重大税收违法失信主体</w:t>
      </w:r>
      <w:r>
        <w:rPr>
          <w:rFonts w:hint="eastAsia"/>
          <w:color w:val="auto"/>
          <w:sz w:val="24"/>
          <w:szCs w:val="24"/>
          <w:highlight w:val="none"/>
        </w:rPr>
        <w:t>、政府采购严重违法失信行为记录名单及其他不符合《中华人民共和国政府采购法》第二十二条规定条件的</w:t>
      </w:r>
      <w:r>
        <w:rPr>
          <w:rFonts w:hint="eastAsia"/>
          <w:color w:val="auto"/>
          <w:sz w:val="24"/>
          <w:szCs w:val="24"/>
          <w:highlight w:val="none"/>
          <w:lang w:val="en-US" w:eastAsia="zh-CN"/>
        </w:rPr>
        <w:t>供应商</w:t>
      </w:r>
      <w:r>
        <w:rPr>
          <w:rFonts w:hint="eastAsia"/>
          <w:color w:val="auto"/>
          <w:sz w:val="24"/>
          <w:szCs w:val="24"/>
          <w:highlight w:val="none"/>
        </w:rPr>
        <w:t>，取消其</w:t>
      </w:r>
      <w:r>
        <w:rPr>
          <w:rFonts w:hint="eastAsia"/>
          <w:color w:val="auto"/>
          <w:sz w:val="24"/>
          <w:szCs w:val="24"/>
          <w:highlight w:val="none"/>
          <w:lang w:eastAsia="zh-CN"/>
        </w:rPr>
        <w:t>成交</w:t>
      </w:r>
      <w:r>
        <w:rPr>
          <w:rFonts w:hint="eastAsia"/>
          <w:color w:val="auto"/>
          <w:sz w:val="24"/>
          <w:szCs w:val="24"/>
          <w:highlight w:val="none"/>
        </w:rPr>
        <w:t>资格，并确定排名第二的</w:t>
      </w:r>
      <w:r>
        <w:rPr>
          <w:rFonts w:hint="eastAsia"/>
          <w:color w:val="auto"/>
          <w:sz w:val="24"/>
          <w:szCs w:val="24"/>
          <w:highlight w:val="none"/>
          <w:lang w:eastAsia="zh-CN"/>
        </w:rPr>
        <w:t>成交</w:t>
      </w:r>
      <w:r>
        <w:rPr>
          <w:rFonts w:hint="eastAsia"/>
          <w:color w:val="auto"/>
          <w:sz w:val="24"/>
          <w:szCs w:val="24"/>
          <w:highlight w:val="none"/>
        </w:rPr>
        <w:t>候选人为</w:t>
      </w:r>
      <w:r>
        <w:rPr>
          <w:rFonts w:hint="eastAsia"/>
          <w:color w:val="auto"/>
          <w:sz w:val="24"/>
          <w:szCs w:val="24"/>
          <w:highlight w:val="none"/>
          <w:lang w:eastAsia="zh-CN"/>
        </w:rPr>
        <w:t>成交</w:t>
      </w:r>
      <w:r>
        <w:rPr>
          <w:rFonts w:hint="eastAsia"/>
          <w:color w:val="auto"/>
          <w:sz w:val="24"/>
          <w:szCs w:val="24"/>
          <w:highlight w:val="none"/>
          <w:lang w:val="en-US" w:eastAsia="zh-CN"/>
        </w:rPr>
        <w:t>供应商</w:t>
      </w:r>
      <w:r>
        <w:rPr>
          <w:rFonts w:hint="eastAsia"/>
          <w:color w:val="auto"/>
          <w:sz w:val="24"/>
          <w:szCs w:val="24"/>
          <w:highlight w:val="none"/>
        </w:rPr>
        <w:t>。排名第二的</w:t>
      </w:r>
      <w:r>
        <w:rPr>
          <w:rFonts w:hint="eastAsia"/>
          <w:color w:val="auto"/>
          <w:sz w:val="24"/>
          <w:szCs w:val="24"/>
          <w:highlight w:val="none"/>
          <w:lang w:eastAsia="zh-CN"/>
        </w:rPr>
        <w:t>成交</w:t>
      </w:r>
      <w:r>
        <w:rPr>
          <w:rFonts w:hint="eastAsia"/>
          <w:color w:val="auto"/>
          <w:sz w:val="24"/>
          <w:szCs w:val="24"/>
          <w:highlight w:val="none"/>
        </w:rPr>
        <w:t>候选人因前款规定的同样原因被取消</w:t>
      </w:r>
      <w:r>
        <w:rPr>
          <w:rFonts w:hint="eastAsia"/>
          <w:color w:val="auto"/>
          <w:sz w:val="24"/>
          <w:szCs w:val="24"/>
          <w:highlight w:val="none"/>
          <w:lang w:eastAsia="zh-CN"/>
        </w:rPr>
        <w:t>成交</w:t>
      </w:r>
      <w:r>
        <w:rPr>
          <w:rFonts w:hint="eastAsia"/>
          <w:color w:val="auto"/>
          <w:sz w:val="24"/>
          <w:szCs w:val="24"/>
          <w:highlight w:val="none"/>
        </w:rPr>
        <w:t>资格的，</w:t>
      </w:r>
      <w:r>
        <w:rPr>
          <w:rFonts w:hint="eastAsia"/>
          <w:color w:val="auto"/>
          <w:sz w:val="24"/>
          <w:szCs w:val="24"/>
          <w:highlight w:val="none"/>
          <w:lang w:val="en-US" w:eastAsia="zh-CN"/>
        </w:rPr>
        <w:t>采购人</w:t>
      </w:r>
      <w:r>
        <w:rPr>
          <w:rFonts w:hint="eastAsia"/>
          <w:color w:val="auto"/>
          <w:sz w:val="24"/>
          <w:szCs w:val="24"/>
          <w:highlight w:val="none"/>
        </w:rPr>
        <w:t>可以确定排名第三的</w:t>
      </w:r>
      <w:r>
        <w:rPr>
          <w:rFonts w:hint="eastAsia"/>
          <w:color w:val="auto"/>
          <w:sz w:val="24"/>
          <w:szCs w:val="24"/>
          <w:highlight w:val="none"/>
          <w:lang w:eastAsia="zh-CN"/>
        </w:rPr>
        <w:t>成交</w:t>
      </w:r>
      <w:r>
        <w:rPr>
          <w:rFonts w:hint="eastAsia"/>
          <w:color w:val="auto"/>
          <w:sz w:val="24"/>
          <w:szCs w:val="24"/>
          <w:highlight w:val="none"/>
        </w:rPr>
        <w:t>候选人为</w:t>
      </w:r>
      <w:r>
        <w:rPr>
          <w:rFonts w:hint="eastAsia"/>
          <w:color w:val="auto"/>
          <w:sz w:val="24"/>
          <w:szCs w:val="24"/>
          <w:highlight w:val="none"/>
          <w:lang w:eastAsia="zh-CN"/>
        </w:rPr>
        <w:t>成交</w:t>
      </w:r>
      <w:r>
        <w:rPr>
          <w:rFonts w:hint="eastAsia"/>
          <w:color w:val="auto"/>
          <w:sz w:val="24"/>
          <w:szCs w:val="24"/>
          <w:highlight w:val="none"/>
          <w:lang w:val="en-US" w:eastAsia="zh-CN"/>
        </w:rPr>
        <w:t>供应商</w:t>
      </w:r>
      <w:r>
        <w:rPr>
          <w:rFonts w:hint="eastAsia"/>
          <w:color w:val="auto"/>
          <w:sz w:val="24"/>
          <w:szCs w:val="24"/>
          <w:highlight w:val="none"/>
        </w:rPr>
        <w:t>，以此类推。以上信息查询记录及相关证据与采购文件一并保存。</w:t>
      </w:r>
    </w:p>
    <w:p w14:paraId="5A31563D">
      <w:pPr>
        <w:spacing w:before="120" w:line="320" w:lineRule="atLeast"/>
        <w:ind w:firstLine="480" w:firstLineChars="200"/>
        <w:rPr>
          <w:color w:val="auto"/>
          <w:sz w:val="24"/>
          <w:szCs w:val="24"/>
          <w:highlight w:val="none"/>
        </w:rPr>
      </w:pPr>
      <w:r>
        <w:rPr>
          <w:rFonts w:hint="eastAsia"/>
          <w:color w:val="auto"/>
          <w:sz w:val="24"/>
          <w:szCs w:val="24"/>
          <w:highlight w:val="none"/>
        </w:rPr>
        <w:t>6</w:t>
      </w:r>
      <w:r>
        <w:rPr>
          <w:color w:val="auto"/>
          <w:sz w:val="24"/>
          <w:szCs w:val="24"/>
          <w:highlight w:val="none"/>
        </w:rPr>
        <w:t>.5.2在发布</w:t>
      </w:r>
      <w:r>
        <w:rPr>
          <w:rFonts w:hint="eastAsia"/>
          <w:color w:val="auto"/>
          <w:sz w:val="24"/>
          <w:szCs w:val="24"/>
          <w:highlight w:val="none"/>
        </w:rPr>
        <w:t>结果</w:t>
      </w:r>
      <w:r>
        <w:rPr>
          <w:color w:val="auto"/>
          <w:sz w:val="24"/>
          <w:szCs w:val="24"/>
          <w:highlight w:val="none"/>
        </w:rPr>
        <w:t>公告的同时，采购代理机构以供应商须知前附表规定的形式向成交供应商发出成交通知书。成交通知书发出后，采购人改变成交结果，或者成交供应商放弃成交，应当承担相应的法律责任。</w:t>
      </w:r>
    </w:p>
    <w:p w14:paraId="5EE78AA2">
      <w:pPr>
        <w:suppressAutoHyphens/>
        <w:spacing w:before="120" w:line="320" w:lineRule="atLeast"/>
        <w:ind w:firstLine="482" w:firstLineChars="200"/>
        <w:outlineLvl w:val="2"/>
        <w:rPr>
          <w:b/>
          <w:bCs/>
          <w:color w:val="auto"/>
          <w:kern w:val="0"/>
          <w:sz w:val="24"/>
          <w:szCs w:val="24"/>
          <w:highlight w:val="none"/>
        </w:rPr>
      </w:pPr>
      <w:r>
        <w:rPr>
          <w:b/>
          <w:bCs/>
          <w:color w:val="auto"/>
          <w:kern w:val="0"/>
          <w:sz w:val="24"/>
          <w:szCs w:val="24"/>
          <w:highlight w:val="none"/>
        </w:rPr>
        <w:t>6.6</w:t>
      </w:r>
      <w:r>
        <w:rPr>
          <w:rFonts w:hint="eastAsia"/>
          <w:b/>
          <w:bCs/>
          <w:color w:val="auto"/>
          <w:kern w:val="0"/>
          <w:sz w:val="24"/>
          <w:szCs w:val="24"/>
          <w:highlight w:val="none"/>
        </w:rPr>
        <w:t>废标</w:t>
      </w:r>
    </w:p>
    <w:p w14:paraId="72752EC1">
      <w:pPr>
        <w:spacing w:before="120" w:line="320" w:lineRule="atLeast"/>
        <w:ind w:firstLine="480" w:firstLineChars="200"/>
        <w:rPr>
          <w:color w:val="auto"/>
          <w:kern w:val="1"/>
          <w:sz w:val="24"/>
          <w:szCs w:val="24"/>
          <w:highlight w:val="none"/>
        </w:rPr>
      </w:pPr>
      <w:r>
        <w:rPr>
          <w:color w:val="auto"/>
          <w:kern w:val="1"/>
          <w:sz w:val="24"/>
          <w:szCs w:val="24"/>
          <w:highlight w:val="none"/>
        </w:rPr>
        <w:t>6.6.1</w:t>
      </w:r>
      <w:r>
        <w:rPr>
          <w:rFonts w:hint="eastAsia"/>
          <w:color w:val="auto"/>
          <w:kern w:val="1"/>
          <w:sz w:val="24"/>
          <w:szCs w:val="24"/>
          <w:highlight w:val="none"/>
        </w:rPr>
        <w:t xml:space="preserve">出现下列情形之一，将导致项目废标： </w:t>
      </w:r>
    </w:p>
    <w:p w14:paraId="705856BE">
      <w:pPr>
        <w:spacing w:before="120" w:line="320" w:lineRule="atLeast"/>
        <w:ind w:firstLine="480" w:firstLineChars="200"/>
        <w:rPr>
          <w:color w:val="auto"/>
          <w:sz w:val="24"/>
          <w:szCs w:val="24"/>
          <w:highlight w:val="none"/>
        </w:rPr>
      </w:pPr>
      <w:r>
        <w:rPr>
          <w:rFonts w:hint="eastAsia"/>
          <w:color w:val="auto"/>
          <w:kern w:val="1"/>
          <w:sz w:val="24"/>
          <w:szCs w:val="24"/>
          <w:highlight w:val="none"/>
        </w:rPr>
        <w:t>（1</w:t>
      </w:r>
      <w:r>
        <w:rPr>
          <w:rFonts w:hint="eastAsia"/>
          <w:color w:val="auto"/>
          <w:sz w:val="24"/>
          <w:szCs w:val="24"/>
          <w:highlight w:val="none"/>
        </w:rPr>
        <w:t>）符合专业条件的供应商或者对采购文件做实质性响应的供应商不足三家；</w:t>
      </w:r>
    </w:p>
    <w:p w14:paraId="6C0D7F58">
      <w:pPr>
        <w:spacing w:before="120" w:line="320" w:lineRule="atLeast"/>
        <w:ind w:firstLine="480" w:firstLineChars="200"/>
        <w:rPr>
          <w:color w:val="auto"/>
          <w:sz w:val="24"/>
          <w:szCs w:val="24"/>
          <w:highlight w:val="none"/>
        </w:rPr>
      </w:pPr>
      <w:r>
        <w:rPr>
          <w:rFonts w:hint="eastAsia"/>
          <w:color w:val="auto"/>
          <w:sz w:val="24"/>
          <w:szCs w:val="24"/>
          <w:highlight w:val="none"/>
        </w:rPr>
        <w:t>（2）出现影响采购公正的违法、违规行为的；</w:t>
      </w:r>
    </w:p>
    <w:p w14:paraId="1B744F79">
      <w:pPr>
        <w:spacing w:before="120" w:line="320" w:lineRule="atLeast"/>
        <w:ind w:firstLine="480" w:firstLineChars="200"/>
        <w:rPr>
          <w:color w:val="auto"/>
          <w:sz w:val="24"/>
          <w:szCs w:val="24"/>
          <w:highlight w:val="none"/>
        </w:rPr>
      </w:pPr>
      <w:r>
        <w:rPr>
          <w:rFonts w:hint="eastAsia"/>
          <w:color w:val="auto"/>
          <w:sz w:val="24"/>
          <w:szCs w:val="24"/>
          <w:highlight w:val="none"/>
        </w:rPr>
        <w:t>（3）供应商的报价均超过了采购预算，采购人不能支付的；</w:t>
      </w:r>
    </w:p>
    <w:p w14:paraId="3D2CBF6D">
      <w:pPr>
        <w:spacing w:before="120" w:line="320" w:lineRule="atLeast"/>
        <w:ind w:firstLine="480" w:firstLineChars="200"/>
        <w:rPr>
          <w:color w:val="auto"/>
          <w:sz w:val="24"/>
          <w:highlight w:val="none"/>
        </w:rPr>
      </w:pPr>
      <w:r>
        <w:rPr>
          <w:rFonts w:hint="eastAsia"/>
          <w:color w:val="auto"/>
          <w:sz w:val="24"/>
          <w:szCs w:val="24"/>
          <w:highlight w:val="none"/>
        </w:rPr>
        <w:t>（4）</w:t>
      </w:r>
      <w:r>
        <w:rPr>
          <w:rFonts w:hint="eastAsia"/>
          <w:color w:val="auto"/>
          <w:sz w:val="24"/>
          <w:highlight w:val="none"/>
        </w:rPr>
        <w:t>因发生重大变故或采购任务取消的。</w:t>
      </w:r>
    </w:p>
    <w:p w14:paraId="68410F15">
      <w:pPr>
        <w:spacing w:before="120" w:line="320" w:lineRule="atLeast"/>
        <w:ind w:firstLine="480" w:firstLineChars="200"/>
        <w:rPr>
          <w:rFonts w:hint="eastAsia"/>
          <w:color w:val="auto"/>
          <w:sz w:val="24"/>
          <w:szCs w:val="24"/>
          <w:highlight w:val="none"/>
        </w:rPr>
      </w:pPr>
      <w:r>
        <w:rPr>
          <w:color w:val="auto"/>
          <w:kern w:val="1"/>
          <w:sz w:val="24"/>
          <w:szCs w:val="24"/>
          <w:highlight w:val="none"/>
        </w:rPr>
        <w:t>6.6.2</w:t>
      </w:r>
      <w:r>
        <w:rPr>
          <w:rFonts w:hint="eastAsia"/>
          <w:color w:val="auto"/>
          <w:kern w:val="1"/>
          <w:sz w:val="24"/>
          <w:szCs w:val="24"/>
          <w:highlight w:val="none"/>
        </w:rPr>
        <w:t>废标后</w:t>
      </w:r>
      <w:r>
        <w:rPr>
          <w:rFonts w:hint="eastAsia"/>
          <w:color w:val="auto"/>
          <w:sz w:val="24"/>
          <w:szCs w:val="24"/>
          <w:highlight w:val="none"/>
        </w:rPr>
        <w:t>采购</w:t>
      </w:r>
      <w:r>
        <w:rPr>
          <w:rFonts w:hint="eastAsia"/>
          <w:color w:val="auto"/>
          <w:kern w:val="1"/>
          <w:sz w:val="24"/>
          <w:szCs w:val="24"/>
          <w:highlight w:val="none"/>
        </w:rPr>
        <w:t>代理机构将发布废标公告通知供应商。</w:t>
      </w:r>
    </w:p>
    <w:p w14:paraId="6371E764">
      <w:pPr>
        <w:spacing w:before="120" w:line="320" w:lineRule="atLeast"/>
        <w:ind w:left="2" w:leftChars="1" w:firstLine="482" w:firstLineChars="200"/>
        <w:outlineLvl w:val="1"/>
        <w:rPr>
          <w:b/>
          <w:bCs/>
          <w:color w:val="auto"/>
          <w:kern w:val="0"/>
          <w:sz w:val="24"/>
          <w:szCs w:val="24"/>
          <w:highlight w:val="none"/>
        </w:rPr>
      </w:pPr>
      <w:r>
        <w:rPr>
          <w:b/>
          <w:bCs/>
          <w:color w:val="auto"/>
          <w:kern w:val="0"/>
          <w:sz w:val="24"/>
          <w:szCs w:val="24"/>
          <w:highlight w:val="none"/>
        </w:rPr>
        <w:t>7．合同</w:t>
      </w:r>
    </w:p>
    <w:p w14:paraId="2EE6FBA6">
      <w:pPr>
        <w:spacing w:before="120" w:line="320" w:lineRule="atLeast"/>
        <w:ind w:firstLine="482" w:firstLineChars="200"/>
        <w:outlineLvl w:val="2"/>
        <w:rPr>
          <w:b/>
          <w:bCs/>
          <w:color w:val="auto"/>
          <w:kern w:val="0"/>
          <w:sz w:val="24"/>
          <w:szCs w:val="24"/>
          <w:highlight w:val="none"/>
        </w:rPr>
      </w:pPr>
      <w:r>
        <w:rPr>
          <w:b/>
          <w:bCs/>
          <w:color w:val="auto"/>
          <w:kern w:val="0"/>
          <w:sz w:val="24"/>
          <w:szCs w:val="24"/>
          <w:highlight w:val="none"/>
        </w:rPr>
        <w:t>7.1合同授予标准</w:t>
      </w:r>
    </w:p>
    <w:p w14:paraId="07FC8887">
      <w:pPr>
        <w:spacing w:before="120" w:line="320" w:lineRule="atLeast"/>
        <w:ind w:firstLine="480" w:firstLineChars="200"/>
        <w:rPr>
          <w:color w:val="auto"/>
          <w:sz w:val="24"/>
          <w:szCs w:val="24"/>
          <w:highlight w:val="none"/>
        </w:rPr>
      </w:pPr>
      <w:r>
        <w:rPr>
          <w:color w:val="auto"/>
          <w:sz w:val="24"/>
          <w:szCs w:val="24"/>
          <w:highlight w:val="none"/>
        </w:rPr>
        <w:t>合同将授予被确定实质上响应采购文件要求，具备履行合同能力，综合评分排名第一的供应商。在</w:t>
      </w:r>
      <w:r>
        <w:rPr>
          <w:rFonts w:hint="eastAsia"/>
          <w:color w:val="auto"/>
          <w:sz w:val="24"/>
          <w:szCs w:val="24"/>
          <w:highlight w:val="none"/>
        </w:rPr>
        <w:t>成交通知书</w:t>
      </w:r>
      <w:r>
        <w:rPr>
          <w:color w:val="auto"/>
          <w:sz w:val="24"/>
          <w:szCs w:val="24"/>
          <w:highlight w:val="none"/>
        </w:rPr>
        <w:t>发出前或签订合同前，如果</w:t>
      </w:r>
      <w:r>
        <w:rPr>
          <w:rFonts w:hint="eastAsia"/>
          <w:color w:val="auto"/>
          <w:sz w:val="24"/>
          <w:szCs w:val="24"/>
          <w:highlight w:val="none"/>
        </w:rPr>
        <w:t>成交供应商</w:t>
      </w:r>
      <w:r>
        <w:rPr>
          <w:color w:val="auto"/>
          <w:sz w:val="24"/>
          <w:szCs w:val="24"/>
          <w:highlight w:val="none"/>
        </w:rPr>
        <w:t>的组织机构</w:t>
      </w:r>
      <w:r>
        <w:rPr>
          <w:rFonts w:hint="eastAsia"/>
          <w:color w:val="auto"/>
          <w:sz w:val="24"/>
          <w:szCs w:val="24"/>
          <w:highlight w:val="none"/>
        </w:rPr>
        <w:t>、</w:t>
      </w:r>
      <w:r>
        <w:rPr>
          <w:color w:val="auto"/>
          <w:sz w:val="24"/>
          <w:szCs w:val="24"/>
          <w:highlight w:val="none"/>
        </w:rPr>
        <w:t>经营、财务状况发生较大变化，可能造成不能履行合同、无法按照</w:t>
      </w:r>
      <w:r>
        <w:rPr>
          <w:rFonts w:hint="eastAsia"/>
          <w:color w:val="auto"/>
          <w:sz w:val="24"/>
          <w:szCs w:val="24"/>
          <w:highlight w:val="none"/>
        </w:rPr>
        <w:t>采购文件</w:t>
      </w:r>
      <w:r>
        <w:rPr>
          <w:color w:val="auto"/>
          <w:sz w:val="24"/>
          <w:szCs w:val="24"/>
          <w:highlight w:val="none"/>
        </w:rPr>
        <w:t>要求提交履约保证金等情形，不符合</w:t>
      </w:r>
      <w:r>
        <w:rPr>
          <w:rFonts w:hint="eastAsia"/>
          <w:color w:val="auto"/>
          <w:sz w:val="24"/>
          <w:szCs w:val="24"/>
          <w:highlight w:val="none"/>
        </w:rPr>
        <w:t>成交</w:t>
      </w:r>
      <w:r>
        <w:rPr>
          <w:color w:val="auto"/>
          <w:sz w:val="24"/>
          <w:szCs w:val="24"/>
          <w:highlight w:val="none"/>
        </w:rPr>
        <w:t>条件或不满足供应商资格条件要求 ，应在</w:t>
      </w:r>
      <w:r>
        <w:rPr>
          <w:rFonts w:hint="eastAsia"/>
          <w:color w:val="auto"/>
          <w:sz w:val="24"/>
          <w:szCs w:val="24"/>
          <w:highlight w:val="none"/>
        </w:rPr>
        <w:t>成交通知书</w:t>
      </w:r>
      <w:r>
        <w:rPr>
          <w:color w:val="auto"/>
          <w:sz w:val="24"/>
          <w:szCs w:val="24"/>
          <w:highlight w:val="none"/>
        </w:rPr>
        <w:t>发出前或签订合同前及时书面告知采购人</w:t>
      </w:r>
      <w:r>
        <w:rPr>
          <w:rFonts w:hint="eastAsia"/>
          <w:color w:val="auto"/>
          <w:sz w:val="24"/>
          <w:szCs w:val="24"/>
          <w:highlight w:val="none"/>
        </w:rPr>
        <w:t>，</w:t>
      </w:r>
      <w:r>
        <w:rPr>
          <w:color w:val="auto"/>
          <w:sz w:val="24"/>
          <w:szCs w:val="24"/>
          <w:highlight w:val="none"/>
        </w:rPr>
        <w:t>未主动告知</w:t>
      </w:r>
      <w:r>
        <w:rPr>
          <w:rFonts w:hint="eastAsia"/>
          <w:color w:val="auto"/>
          <w:sz w:val="24"/>
          <w:szCs w:val="24"/>
          <w:highlight w:val="none"/>
        </w:rPr>
        <w:t>，</w:t>
      </w:r>
      <w:r>
        <w:rPr>
          <w:color w:val="auto"/>
          <w:sz w:val="24"/>
          <w:szCs w:val="24"/>
          <w:highlight w:val="none"/>
        </w:rPr>
        <w:t>给采购人造成损失的</w:t>
      </w:r>
      <w:r>
        <w:rPr>
          <w:rFonts w:hint="eastAsia"/>
          <w:color w:val="auto"/>
          <w:sz w:val="24"/>
          <w:szCs w:val="24"/>
          <w:highlight w:val="none"/>
        </w:rPr>
        <w:t>，</w:t>
      </w:r>
      <w:r>
        <w:rPr>
          <w:color w:val="auto"/>
          <w:sz w:val="24"/>
          <w:szCs w:val="24"/>
          <w:highlight w:val="none"/>
        </w:rPr>
        <w:t>采购人有权</w:t>
      </w:r>
      <w:r>
        <w:rPr>
          <w:rFonts w:hint="eastAsia"/>
          <w:color w:val="auto"/>
          <w:sz w:val="24"/>
          <w:szCs w:val="24"/>
          <w:highlight w:val="none"/>
        </w:rPr>
        <w:t>取消其成交资格并</w:t>
      </w:r>
      <w:r>
        <w:rPr>
          <w:color w:val="auto"/>
          <w:sz w:val="24"/>
          <w:szCs w:val="24"/>
          <w:highlight w:val="none"/>
        </w:rPr>
        <w:t>没收磋商保证金</w:t>
      </w:r>
      <w:r>
        <w:rPr>
          <w:rFonts w:hint="eastAsia"/>
          <w:color w:val="auto"/>
          <w:sz w:val="24"/>
          <w:szCs w:val="24"/>
          <w:highlight w:val="none"/>
        </w:rPr>
        <w:t>。</w:t>
      </w:r>
    </w:p>
    <w:p w14:paraId="3C1CD463">
      <w:pPr>
        <w:spacing w:before="120" w:line="320" w:lineRule="atLeast"/>
        <w:ind w:firstLine="482" w:firstLineChars="200"/>
        <w:outlineLvl w:val="2"/>
        <w:rPr>
          <w:b/>
          <w:bCs/>
          <w:color w:val="auto"/>
          <w:kern w:val="0"/>
          <w:sz w:val="24"/>
          <w:szCs w:val="24"/>
          <w:highlight w:val="none"/>
        </w:rPr>
      </w:pPr>
      <w:r>
        <w:rPr>
          <w:b/>
          <w:bCs/>
          <w:color w:val="auto"/>
          <w:kern w:val="0"/>
          <w:sz w:val="24"/>
          <w:szCs w:val="24"/>
          <w:highlight w:val="none"/>
        </w:rPr>
        <w:t>7.2签订合同</w:t>
      </w:r>
    </w:p>
    <w:p w14:paraId="59F74710">
      <w:pPr>
        <w:spacing w:before="120" w:line="320" w:lineRule="atLeast"/>
        <w:ind w:firstLine="480" w:firstLineChars="200"/>
        <w:rPr>
          <w:color w:val="auto"/>
          <w:sz w:val="24"/>
          <w:szCs w:val="24"/>
          <w:highlight w:val="none"/>
        </w:rPr>
      </w:pPr>
      <w:r>
        <w:rPr>
          <w:color w:val="auto"/>
          <w:sz w:val="24"/>
          <w:szCs w:val="24"/>
          <w:highlight w:val="none"/>
        </w:rPr>
        <w:t>7.2.1如</w:t>
      </w:r>
      <w:r>
        <w:rPr>
          <w:rFonts w:hint="eastAsia"/>
          <w:color w:val="auto"/>
          <w:sz w:val="24"/>
          <w:szCs w:val="24"/>
          <w:highlight w:val="none"/>
        </w:rPr>
        <w:t>采购文件</w:t>
      </w:r>
      <w:r>
        <w:rPr>
          <w:color w:val="auto"/>
          <w:sz w:val="24"/>
          <w:szCs w:val="24"/>
          <w:highlight w:val="none"/>
        </w:rPr>
        <w:t>无</w:t>
      </w:r>
      <w:r>
        <w:rPr>
          <w:rFonts w:hint="eastAsia"/>
          <w:color w:val="auto"/>
          <w:sz w:val="24"/>
          <w:szCs w:val="24"/>
          <w:highlight w:val="none"/>
        </w:rPr>
        <w:t>特别</w:t>
      </w:r>
      <w:r>
        <w:rPr>
          <w:color w:val="auto"/>
          <w:sz w:val="24"/>
          <w:szCs w:val="24"/>
          <w:highlight w:val="none"/>
        </w:rPr>
        <w:t>规定，</w:t>
      </w:r>
      <w:r>
        <w:rPr>
          <w:rFonts w:hint="eastAsia"/>
          <w:color w:val="auto"/>
          <w:sz w:val="24"/>
          <w:szCs w:val="24"/>
          <w:highlight w:val="none"/>
        </w:rPr>
        <w:t>成交供应商按采购文件确定的事项签订政府采购合同。</w:t>
      </w:r>
    </w:p>
    <w:p w14:paraId="4AF53D6A">
      <w:pPr>
        <w:spacing w:before="120" w:line="320" w:lineRule="atLeast"/>
        <w:ind w:firstLine="480" w:firstLineChars="200"/>
        <w:rPr>
          <w:color w:val="auto"/>
          <w:sz w:val="24"/>
          <w:szCs w:val="24"/>
          <w:highlight w:val="none"/>
        </w:rPr>
      </w:pPr>
      <w:r>
        <w:rPr>
          <w:color w:val="auto"/>
          <w:sz w:val="24"/>
          <w:szCs w:val="24"/>
          <w:highlight w:val="none"/>
        </w:rPr>
        <w:t>7.2.2</w:t>
      </w:r>
      <w:r>
        <w:rPr>
          <w:rFonts w:hint="eastAsia"/>
          <w:color w:val="auto"/>
          <w:sz w:val="24"/>
          <w:szCs w:val="24"/>
          <w:highlight w:val="none"/>
        </w:rPr>
        <w:t>政府采购合同应当包括采购人与成交供应商的名称和住所、标的、数量、质量、价款或者报酬、履行期限及地点和方式、验收要求、违约责任、解决争议的方法等内容。</w:t>
      </w:r>
      <w:r>
        <w:rPr>
          <w:color w:val="auto"/>
          <w:sz w:val="24"/>
          <w:szCs w:val="24"/>
          <w:highlight w:val="none"/>
        </w:rPr>
        <w:t>采购文件、成交供应商的响应文件及澄清文件等，均为签订政府采购合同的依据。</w:t>
      </w:r>
    </w:p>
    <w:p w14:paraId="6A0B16AC">
      <w:pPr>
        <w:spacing w:before="120" w:line="320" w:lineRule="atLeast"/>
        <w:ind w:firstLine="480" w:firstLineChars="200"/>
        <w:rPr>
          <w:color w:val="auto"/>
          <w:sz w:val="24"/>
          <w:szCs w:val="24"/>
          <w:highlight w:val="none"/>
        </w:rPr>
      </w:pPr>
      <w:r>
        <w:rPr>
          <w:color w:val="auto"/>
          <w:sz w:val="24"/>
          <w:szCs w:val="24"/>
          <w:highlight w:val="none"/>
        </w:rPr>
        <w:t>7.2.3如成交供应商不按成交通知书的规定签订合同，</w:t>
      </w:r>
      <w:r>
        <w:rPr>
          <w:rFonts w:hint="eastAsia"/>
          <w:color w:val="auto"/>
          <w:sz w:val="24"/>
          <w:szCs w:val="24"/>
          <w:highlight w:val="none"/>
        </w:rPr>
        <w:t>其磋商保证金将不予退还，并报由同级政府采购监督管理部门处理。</w:t>
      </w:r>
    </w:p>
    <w:p w14:paraId="14EF2516">
      <w:pPr>
        <w:spacing w:before="120" w:line="320" w:lineRule="atLeast"/>
        <w:ind w:firstLine="480" w:firstLineChars="200"/>
        <w:rPr>
          <w:color w:val="auto"/>
          <w:sz w:val="24"/>
          <w:szCs w:val="24"/>
          <w:highlight w:val="none"/>
        </w:rPr>
      </w:pPr>
      <w:r>
        <w:rPr>
          <w:rFonts w:hint="eastAsia"/>
          <w:color w:val="auto"/>
          <w:sz w:val="24"/>
          <w:szCs w:val="24"/>
          <w:highlight w:val="none"/>
        </w:rPr>
        <w:t>7</w:t>
      </w:r>
      <w:r>
        <w:rPr>
          <w:color w:val="auto"/>
          <w:sz w:val="24"/>
          <w:szCs w:val="24"/>
          <w:highlight w:val="none"/>
        </w:rPr>
        <w:t>.2.4</w:t>
      </w:r>
      <w:r>
        <w:rPr>
          <w:rFonts w:hint="eastAsia"/>
          <w:color w:val="auto"/>
          <w:sz w:val="24"/>
          <w:szCs w:val="24"/>
          <w:highlight w:val="none"/>
        </w:rPr>
        <w:t xml:space="preserve">成交供应商拒绝与采购人签订合同的，采购人可以按照评审报告推荐的成交候选人名单排序，确定下一候选人为成交供应商，也可以重新开展政府采购活动。 </w:t>
      </w:r>
    </w:p>
    <w:p w14:paraId="138A2387">
      <w:pPr>
        <w:spacing w:before="120" w:beforeLines="0" w:afterLines="0" w:line="320" w:lineRule="atLeast"/>
        <w:ind w:firstLine="480" w:firstLineChars="200"/>
        <w:rPr>
          <w:rFonts w:hint="default"/>
          <w:color w:val="auto"/>
          <w:sz w:val="24"/>
          <w:szCs w:val="24"/>
          <w:highlight w:val="none"/>
        </w:rPr>
      </w:pPr>
      <w:bookmarkStart w:id="72" w:name="_Hlk155170999"/>
      <w:r>
        <w:rPr>
          <w:rFonts w:hint="eastAsia"/>
          <w:color w:val="auto"/>
          <w:sz w:val="24"/>
          <w:szCs w:val="24"/>
          <w:highlight w:val="none"/>
        </w:rPr>
        <w:t>7</w:t>
      </w:r>
      <w:r>
        <w:rPr>
          <w:color w:val="auto"/>
          <w:sz w:val="24"/>
          <w:szCs w:val="24"/>
          <w:highlight w:val="none"/>
        </w:rPr>
        <w:t>.2.5</w:t>
      </w:r>
      <w:r>
        <w:rPr>
          <w:rFonts w:hint="eastAsia"/>
          <w:color w:val="auto"/>
          <w:sz w:val="24"/>
          <w:szCs w:val="24"/>
          <w:highlight w:val="none"/>
        </w:rPr>
        <w:t>采购人因不可抗力原因迟延签订合同的，</w:t>
      </w:r>
      <w:bookmarkEnd w:id="72"/>
      <w:r>
        <w:rPr>
          <w:rFonts w:hint="eastAsia"/>
          <w:color w:val="auto"/>
          <w:sz w:val="24"/>
          <w:szCs w:val="24"/>
          <w:highlight w:val="none"/>
        </w:rPr>
        <w:t>应当自不可抗力事由消除之日起5个工作日内完成合同签订事宜。</w:t>
      </w:r>
    </w:p>
    <w:p w14:paraId="3B70E72E">
      <w:pPr>
        <w:spacing w:before="120" w:line="320" w:lineRule="atLeast"/>
        <w:ind w:firstLine="480" w:firstLineChars="200"/>
        <w:rPr>
          <w:color w:val="auto"/>
          <w:sz w:val="24"/>
          <w:szCs w:val="24"/>
          <w:highlight w:val="none"/>
        </w:rPr>
      </w:pPr>
    </w:p>
    <w:p w14:paraId="37C1C6F4">
      <w:pPr>
        <w:spacing w:before="120" w:line="320" w:lineRule="atLeast"/>
        <w:ind w:firstLine="482" w:firstLineChars="200"/>
        <w:outlineLvl w:val="2"/>
        <w:rPr>
          <w:b/>
          <w:bCs/>
          <w:color w:val="auto"/>
          <w:kern w:val="0"/>
          <w:sz w:val="24"/>
          <w:szCs w:val="24"/>
          <w:highlight w:val="none"/>
        </w:rPr>
      </w:pPr>
      <w:r>
        <w:rPr>
          <w:b/>
          <w:bCs/>
          <w:color w:val="auto"/>
          <w:kern w:val="0"/>
          <w:sz w:val="24"/>
          <w:szCs w:val="24"/>
          <w:highlight w:val="none"/>
        </w:rPr>
        <w:t>7.3合同公告</w:t>
      </w:r>
    </w:p>
    <w:p w14:paraId="58B12754">
      <w:pPr>
        <w:spacing w:before="120" w:line="320" w:lineRule="atLeast"/>
        <w:ind w:firstLine="480" w:firstLineChars="200"/>
        <w:rPr>
          <w:color w:val="auto"/>
          <w:sz w:val="24"/>
          <w:szCs w:val="24"/>
          <w:highlight w:val="none"/>
        </w:rPr>
      </w:pPr>
      <w:r>
        <w:rPr>
          <w:color w:val="auto"/>
          <w:sz w:val="24"/>
          <w:szCs w:val="24"/>
          <w:highlight w:val="none"/>
        </w:rPr>
        <w:t>7.3.1如</w:t>
      </w:r>
      <w:r>
        <w:rPr>
          <w:rFonts w:hint="eastAsia"/>
          <w:color w:val="auto"/>
          <w:sz w:val="24"/>
          <w:szCs w:val="24"/>
          <w:highlight w:val="none"/>
        </w:rPr>
        <w:t>采购文件</w:t>
      </w:r>
      <w:r>
        <w:rPr>
          <w:color w:val="auto"/>
          <w:sz w:val="24"/>
          <w:szCs w:val="24"/>
          <w:highlight w:val="none"/>
        </w:rPr>
        <w:t>无特殊规定</w:t>
      </w:r>
      <w:r>
        <w:rPr>
          <w:rFonts w:hint="eastAsia"/>
          <w:color w:val="auto"/>
          <w:sz w:val="24"/>
          <w:szCs w:val="24"/>
          <w:highlight w:val="none"/>
        </w:rPr>
        <w:t>，</w:t>
      </w:r>
      <w:r>
        <w:rPr>
          <w:color w:val="auto"/>
          <w:sz w:val="24"/>
          <w:szCs w:val="24"/>
          <w:highlight w:val="none"/>
        </w:rPr>
        <w:t>成交供应商应在签订合同后1个工作日内，将政府采购合同副本送采购代理机构</w:t>
      </w:r>
      <w:r>
        <w:rPr>
          <w:rFonts w:hint="eastAsia"/>
          <w:color w:val="auto"/>
          <w:sz w:val="24"/>
          <w:szCs w:val="24"/>
          <w:highlight w:val="none"/>
        </w:rPr>
        <w:t>存档</w:t>
      </w:r>
      <w:r>
        <w:rPr>
          <w:color w:val="auto"/>
          <w:sz w:val="24"/>
          <w:szCs w:val="24"/>
          <w:highlight w:val="none"/>
        </w:rPr>
        <w:t>。</w:t>
      </w:r>
    </w:p>
    <w:p w14:paraId="2392023F">
      <w:pPr>
        <w:spacing w:before="120" w:line="320" w:lineRule="atLeast"/>
        <w:ind w:firstLine="480" w:firstLineChars="200"/>
        <w:rPr>
          <w:color w:val="auto"/>
          <w:sz w:val="24"/>
          <w:szCs w:val="24"/>
          <w:highlight w:val="none"/>
        </w:rPr>
      </w:pPr>
      <w:r>
        <w:rPr>
          <w:color w:val="auto"/>
          <w:sz w:val="24"/>
          <w:szCs w:val="24"/>
          <w:highlight w:val="none"/>
        </w:rPr>
        <w:t>7.3.2采购人应当自政府采购合同签订之日起2个工作日内，将政府采购合同在省级以上人民政府财政部门指定的媒体上公告，但政府采购合同中涉及国家秘密、商业秘密的内容除外。</w:t>
      </w:r>
    </w:p>
    <w:p w14:paraId="33D12175">
      <w:pPr>
        <w:spacing w:before="120" w:line="320" w:lineRule="atLeast"/>
        <w:ind w:firstLine="480" w:firstLineChars="200"/>
        <w:rPr>
          <w:rFonts w:hint="eastAsia"/>
          <w:color w:val="auto"/>
          <w:sz w:val="24"/>
          <w:szCs w:val="24"/>
          <w:highlight w:val="none"/>
        </w:rPr>
      </w:pPr>
      <w:bookmarkStart w:id="73" w:name="_Hlk155171014"/>
      <w:r>
        <w:rPr>
          <w:rFonts w:hint="eastAsia"/>
          <w:color w:val="auto"/>
          <w:sz w:val="24"/>
          <w:szCs w:val="24"/>
          <w:highlight w:val="none"/>
        </w:rPr>
        <w:t>7</w:t>
      </w:r>
      <w:r>
        <w:rPr>
          <w:color w:val="auto"/>
          <w:sz w:val="24"/>
          <w:szCs w:val="24"/>
          <w:highlight w:val="none"/>
        </w:rPr>
        <w:t xml:space="preserve">.3.3 </w:t>
      </w:r>
      <w:r>
        <w:rPr>
          <w:rFonts w:hint="eastAsia"/>
          <w:color w:val="auto"/>
          <w:sz w:val="24"/>
          <w:szCs w:val="24"/>
          <w:highlight w:val="none"/>
        </w:rPr>
        <w:t>政府采购合同双方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bookmarkEnd w:id="73"/>
    </w:p>
    <w:p w14:paraId="7175176D">
      <w:pPr>
        <w:spacing w:before="120" w:line="320" w:lineRule="atLeast"/>
        <w:ind w:firstLine="482" w:firstLineChars="200"/>
        <w:outlineLvl w:val="2"/>
        <w:rPr>
          <w:b/>
          <w:bCs/>
          <w:color w:val="auto"/>
          <w:kern w:val="0"/>
          <w:sz w:val="24"/>
          <w:szCs w:val="24"/>
          <w:highlight w:val="none"/>
        </w:rPr>
      </w:pPr>
      <w:r>
        <w:rPr>
          <w:b/>
          <w:bCs/>
          <w:color w:val="auto"/>
          <w:kern w:val="0"/>
          <w:sz w:val="24"/>
          <w:szCs w:val="24"/>
          <w:highlight w:val="none"/>
        </w:rPr>
        <w:t>7.4 履行合同</w:t>
      </w:r>
    </w:p>
    <w:p w14:paraId="0BDE6EF3">
      <w:pPr>
        <w:spacing w:before="120" w:line="320" w:lineRule="atLeast"/>
        <w:ind w:firstLine="480" w:firstLineChars="200"/>
        <w:rPr>
          <w:color w:val="auto"/>
          <w:sz w:val="24"/>
          <w:szCs w:val="24"/>
          <w:highlight w:val="none"/>
        </w:rPr>
      </w:pPr>
      <w:bookmarkStart w:id="74" w:name="_Toc308164814"/>
      <w:bookmarkStart w:id="75" w:name="_Toc217446070"/>
      <w:r>
        <w:rPr>
          <w:color w:val="auto"/>
          <w:sz w:val="24"/>
          <w:szCs w:val="24"/>
          <w:highlight w:val="none"/>
        </w:rPr>
        <w:t>7.4.1</w:t>
      </w:r>
      <w:r>
        <w:rPr>
          <w:rFonts w:hint="eastAsia"/>
          <w:color w:val="auto"/>
          <w:sz w:val="24"/>
          <w:szCs w:val="24"/>
          <w:highlight w:val="none"/>
        </w:rPr>
        <w:t>采购人与成交供应商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p w14:paraId="6ED5D60B">
      <w:pPr>
        <w:spacing w:before="120" w:line="320" w:lineRule="atLeast"/>
        <w:ind w:firstLine="482" w:firstLineChars="200"/>
        <w:rPr>
          <w:b/>
          <w:bCs/>
          <w:color w:val="auto"/>
          <w:kern w:val="0"/>
          <w:sz w:val="24"/>
          <w:szCs w:val="24"/>
          <w:highlight w:val="none"/>
        </w:rPr>
      </w:pPr>
      <w:r>
        <w:rPr>
          <w:b/>
          <w:bCs/>
          <w:color w:val="auto"/>
          <w:kern w:val="0"/>
          <w:sz w:val="24"/>
          <w:szCs w:val="24"/>
          <w:highlight w:val="none"/>
        </w:rPr>
        <w:t>7.5履约验收</w:t>
      </w:r>
      <w:bookmarkEnd w:id="74"/>
      <w:bookmarkEnd w:id="75"/>
    </w:p>
    <w:p w14:paraId="1335EA9F">
      <w:pPr>
        <w:spacing w:before="120" w:line="320" w:lineRule="atLeast"/>
        <w:ind w:firstLine="480" w:firstLineChars="200"/>
        <w:rPr>
          <w:color w:val="auto"/>
          <w:sz w:val="24"/>
          <w:szCs w:val="24"/>
          <w:highlight w:val="none"/>
        </w:rPr>
      </w:pPr>
      <w:r>
        <w:rPr>
          <w:color w:val="auto"/>
          <w:sz w:val="24"/>
          <w:szCs w:val="24"/>
          <w:highlight w:val="none"/>
        </w:rPr>
        <w:t>7.5.1采购人可以根据政府采购项目具体情况自行组织验收，或者委托政府采购代理机构、国家认可的质量检测机构开展采购项目履约验收工作。</w:t>
      </w:r>
    </w:p>
    <w:p w14:paraId="68DF3AF6">
      <w:pPr>
        <w:spacing w:before="120" w:line="320" w:lineRule="atLeast"/>
        <w:ind w:firstLine="480" w:firstLineChars="200"/>
        <w:rPr>
          <w:color w:val="auto"/>
          <w:sz w:val="24"/>
          <w:szCs w:val="24"/>
          <w:highlight w:val="none"/>
        </w:rPr>
      </w:pPr>
      <w:r>
        <w:rPr>
          <w:color w:val="auto"/>
          <w:sz w:val="24"/>
          <w:szCs w:val="24"/>
          <w:highlight w:val="none"/>
        </w:rPr>
        <w:t>7.5.2验收结果合格的，成交供应商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0F60B35D">
      <w:pPr>
        <w:spacing w:before="120" w:line="320" w:lineRule="atLeast"/>
        <w:ind w:firstLine="480" w:firstLineChars="200"/>
        <w:rPr>
          <w:color w:val="auto"/>
          <w:sz w:val="24"/>
          <w:szCs w:val="24"/>
          <w:highlight w:val="none"/>
        </w:rPr>
      </w:pPr>
      <w:r>
        <w:rPr>
          <w:color w:val="auto"/>
          <w:sz w:val="24"/>
          <w:szCs w:val="24"/>
          <w:highlight w:val="none"/>
        </w:rPr>
        <w:t>7.5.3采购合同项目完成验收后，采购人应当将验收原始记录、验收书等资料作为该采购项目档案妥善保管，不得伪造、变造、隐匿或者销毁，验收资料保存期为采购结束之日起至少保存15年。</w:t>
      </w:r>
    </w:p>
    <w:p w14:paraId="4B716258">
      <w:pPr>
        <w:spacing w:before="120" w:line="320" w:lineRule="atLeast"/>
        <w:ind w:firstLine="480" w:firstLineChars="200"/>
        <w:rPr>
          <w:color w:val="auto"/>
          <w:sz w:val="24"/>
          <w:szCs w:val="24"/>
          <w:highlight w:val="none"/>
        </w:rPr>
      </w:pPr>
      <w:r>
        <w:rPr>
          <w:color w:val="auto"/>
          <w:sz w:val="24"/>
          <w:szCs w:val="24"/>
          <w:highlight w:val="none"/>
        </w:rPr>
        <w:t>7.5.4本项目将严格按照本采购文件及合同有关规定进行合同履约验收。采购文件或合同未规定的按财政部关于进一步加强政府采购需求和履约验收管理的指导意见（财库〔2016〕205号）以及《广西壮族自治区政府采购项目履约验收管理办法》（桂财采〔2015〕22号）的规定执行。</w:t>
      </w:r>
    </w:p>
    <w:p w14:paraId="3D34EEC5">
      <w:pPr>
        <w:spacing w:before="120" w:line="320" w:lineRule="atLeast"/>
        <w:ind w:left="2" w:leftChars="1" w:firstLine="482" w:firstLineChars="200"/>
        <w:outlineLvl w:val="1"/>
        <w:rPr>
          <w:b/>
          <w:bCs/>
          <w:color w:val="auto"/>
          <w:kern w:val="0"/>
          <w:sz w:val="24"/>
          <w:szCs w:val="24"/>
          <w:highlight w:val="none"/>
        </w:rPr>
      </w:pPr>
      <w:bookmarkStart w:id="76" w:name="_Toc254970533"/>
      <w:bookmarkStart w:id="77" w:name="_Toc254970674"/>
      <w:r>
        <w:rPr>
          <w:b/>
          <w:bCs/>
          <w:color w:val="auto"/>
          <w:kern w:val="0"/>
          <w:sz w:val="24"/>
          <w:szCs w:val="24"/>
          <w:highlight w:val="none"/>
        </w:rPr>
        <w:t>8．质疑和投诉</w:t>
      </w:r>
      <w:bookmarkEnd w:id="76"/>
      <w:bookmarkEnd w:id="77"/>
    </w:p>
    <w:p w14:paraId="7EE2F4CE">
      <w:pPr>
        <w:spacing w:before="120" w:line="320" w:lineRule="atLeast"/>
        <w:ind w:firstLine="482" w:firstLineChars="200"/>
        <w:outlineLvl w:val="2"/>
        <w:rPr>
          <w:b/>
          <w:bCs/>
          <w:color w:val="auto"/>
          <w:kern w:val="0"/>
          <w:sz w:val="24"/>
          <w:szCs w:val="24"/>
          <w:highlight w:val="none"/>
        </w:rPr>
      </w:pPr>
      <w:r>
        <w:rPr>
          <w:b/>
          <w:bCs/>
          <w:color w:val="auto"/>
          <w:kern w:val="0"/>
          <w:sz w:val="24"/>
          <w:szCs w:val="24"/>
          <w:highlight w:val="none"/>
        </w:rPr>
        <w:t>8.1质疑</w:t>
      </w:r>
    </w:p>
    <w:p w14:paraId="0C2519F5">
      <w:pPr>
        <w:spacing w:before="120" w:line="320" w:lineRule="atLeast"/>
        <w:ind w:firstLine="480" w:firstLineChars="200"/>
        <w:rPr>
          <w:color w:val="auto"/>
          <w:sz w:val="24"/>
          <w:szCs w:val="24"/>
          <w:highlight w:val="none"/>
        </w:rPr>
      </w:pPr>
      <w:r>
        <w:rPr>
          <w:color w:val="auto"/>
          <w:sz w:val="24"/>
          <w:szCs w:val="24"/>
          <w:highlight w:val="none"/>
        </w:rPr>
        <w:t>8.1.1质疑内容、时限</w:t>
      </w:r>
    </w:p>
    <w:p w14:paraId="369D4422">
      <w:pPr>
        <w:spacing w:before="120" w:line="320" w:lineRule="atLeast"/>
        <w:ind w:firstLine="480" w:firstLineChars="200"/>
        <w:rPr>
          <w:color w:val="auto"/>
          <w:sz w:val="24"/>
          <w:szCs w:val="24"/>
          <w:highlight w:val="none"/>
        </w:rPr>
      </w:pPr>
      <w:r>
        <w:rPr>
          <w:rFonts w:hint="eastAsia"/>
          <w:color w:val="auto"/>
          <w:sz w:val="24"/>
          <w:szCs w:val="24"/>
          <w:highlight w:val="none"/>
        </w:rPr>
        <w:t>（1）供应商对政府采购活动有疑问的，可以向采购人或采购代理机构提出询问。采购人或者采购代理机构应当在3个工作日内对供应商依法提出的询问作出答复。</w:t>
      </w:r>
    </w:p>
    <w:p w14:paraId="175948BD">
      <w:pPr>
        <w:spacing w:before="120" w:line="320" w:lineRule="atLeast"/>
        <w:ind w:firstLine="480" w:firstLineChars="200"/>
        <w:rPr>
          <w:color w:val="auto"/>
          <w:sz w:val="24"/>
          <w:szCs w:val="24"/>
          <w:highlight w:val="none"/>
        </w:rPr>
      </w:pPr>
      <w:r>
        <w:rPr>
          <w:rFonts w:hint="eastAsia"/>
          <w:color w:val="auto"/>
          <w:sz w:val="24"/>
          <w:szCs w:val="24"/>
          <w:highlight w:val="none"/>
        </w:rPr>
        <w:t>（2）供应商认为采购文件、采购过程、中标或者成交结果使自己的权益受到损害的，可以在知道或者应知其权益受到损害之日起7个工作日内向采购人或采购代理机构提出质疑。采购人或</w:t>
      </w:r>
      <w:r>
        <w:rPr>
          <w:color w:val="auto"/>
          <w:sz w:val="24"/>
          <w:szCs w:val="24"/>
          <w:highlight w:val="none"/>
        </w:rPr>
        <w:t>采购代理机构在收到供应商书面质疑后7个工作日内，对质疑内容作出答复。</w:t>
      </w:r>
    </w:p>
    <w:p w14:paraId="7F737C11">
      <w:pPr>
        <w:spacing w:before="120" w:line="320" w:lineRule="atLeast"/>
        <w:ind w:firstLine="480" w:firstLineChars="200"/>
        <w:rPr>
          <w:color w:val="auto"/>
          <w:sz w:val="24"/>
          <w:szCs w:val="24"/>
          <w:highlight w:val="none"/>
        </w:rPr>
      </w:pPr>
      <w:r>
        <w:rPr>
          <w:color w:val="auto"/>
          <w:sz w:val="24"/>
          <w:szCs w:val="24"/>
          <w:highlight w:val="none"/>
        </w:rPr>
        <w:t>8.1.2质疑形式</w:t>
      </w:r>
    </w:p>
    <w:p w14:paraId="60B1D21A">
      <w:pPr>
        <w:spacing w:before="120" w:line="320" w:lineRule="atLeast"/>
        <w:ind w:firstLine="480" w:firstLineChars="200"/>
        <w:rPr>
          <w:color w:val="auto"/>
          <w:sz w:val="24"/>
          <w:szCs w:val="24"/>
          <w:highlight w:val="none"/>
        </w:rPr>
      </w:pPr>
      <w:r>
        <w:rPr>
          <w:color w:val="auto"/>
          <w:sz w:val="24"/>
          <w:szCs w:val="24"/>
          <w:highlight w:val="none"/>
        </w:rPr>
        <w:t>质疑应当采用</w:t>
      </w:r>
      <w:r>
        <w:rPr>
          <w:rFonts w:hint="eastAsia"/>
          <w:color w:val="auto"/>
          <w:sz w:val="24"/>
          <w:szCs w:val="24"/>
          <w:highlight w:val="none"/>
        </w:rPr>
        <w:t>供应商</w:t>
      </w:r>
      <w:r>
        <w:rPr>
          <w:color w:val="auto"/>
          <w:sz w:val="24"/>
          <w:szCs w:val="24"/>
          <w:highlight w:val="none"/>
        </w:rPr>
        <w:t>须知前附表所规定的形式，质疑书应明确阐述</w:t>
      </w:r>
      <w:r>
        <w:rPr>
          <w:rFonts w:hint="eastAsia"/>
          <w:color w:val="auto"/>
          <w:sz w:val="24"/>
          <w:szCs w:val="24"/>
          <w:highlight w:val="none"/>
        </w:rPr>
        <w:t>采购文件</w:t>
      </w:r>
      <w:r>
        <w:rPr>
          <w:color w:val="auto"/>
          <w:sz w:val="24"/>
          <w:szCs w:val="24"/>
          <w:highlight w:val="none"/>
        </w:rPr>
        <w:t>、</w:t>
      </w:r>
      <w:r>
        <w:rPr>
          <w:rFonts w:hint="eastAsia"/>
          <w:color w:val="auto"/>
          <w:sz w:val="24"/>
          <w:szCs w:val="24"/>
          <w:highlight w:val="none"/>
        </w:rPr>
        <w:t>采购</w:t>
      </w:r>
      <w:r>
        <w:rPr>
          <w:color w:val="auto"/>
          <w:sz w:val="24"/>
          <w:szCs w:val="24"/>
          <w:highlight w:val="none"/>
        </w:rPr>
        <w:t>过程或</w:t>
      </w:r>
      <w:r>
        <w:rPr>
          <w:rFonts w:hint="eastAsia"/>
          <w:color w:val="auto"/>
          <w:sz w:val="24"/>
          <w:szCs w:val="24"/>
          <w:highlight w:val="none"/>
        </w:rPr>
        <w:t>成交</w:t>
      </w:r>
      <w:r>
        <w:rPr>
          <w:color w:val="auto"/>
          <w:sz w:val="24"/>
          <w:szCs w:val="24"/>
          <w:highlight w:val="none"/>
        </w:rPr>
        <w:t>结果中使自己合法权益受到损害的实质性内容，提供相关事实、依据和证据及其来源或线索，便于有关单位调查、答复和处理。</w:t>
      </w:r>
    </w:p>
    <w:p w14:paraId="2D4F140A">
      <w:pPr>
        <w:spacing w:before="120" w:line="320" w:lineRule="atLeast"/>
        <w:ind w:firstLine="480" w:firstLineChars="200"/>
        <w:rPr>
          <w:color w:val="auto"/>
          <w:sz w:val="24"/>
          <w:szCs w:val="24"/>
          <w:highlight w:val="none"/>
        </w:rPr>
      </w:pPr>
      <w:r>
        <w:rPr>
          <w:rFonts w:hint="eastAsia"/>
          <w:color w:val="auto"/>
          <w:sz w:val="24"/>
          <w:szCs w:val="24"/>
          <w:highlight w:val="none"/>
        </w:rPr>
        <w:t>8</w:t>
      </w:r>
      <w:r>
        <w:rPr>
          <w:color w:val="auto"/>
          <w:sz w:val="24"/>
          <w:szCs w:val="24"/>
          <w:highlight w:val="none"/>
        </w:rPr>
        <w:t>.1.3</w:t>
      </w:r>
      <w:r>
        <w:rPr>
          <w:rFonts w:hint="eastAsia"/>
          <w:color w:val="auto"/>
          <w:sz w:val="24"/>
          <w:highlight w:val="none"/>
        </w:rPr>
        <w:t xml:space="preserve"> </w:t>
      </w:r>
      <w:r>
        <w:rPr>
          <w:rFonts w:hint="eastAsia"/>
          <w:color w:val="auto"/>
          <w:sz w:val="24"/>
          <w:szCs w:val="24"/>
          <w:highlight w:val="none"/>
        </w:rPr>
        <w:t>供应商提出质疑应当提交质疑函和必要的证明材料。质疑函应当包括下列内容：</w:t>
      </w:r>
    </w:p>
    <w:p w14:paraId="13C7EEED">
      <w:pPr>
        <w:spacing w:before="120" w:line="320" w:lineRule="atLeast"/>
        <w:ind w:firstLine="480" w:firstLineChars="200"/>
        <w:rPr>
          <w:color w:val="auto"/>
          <w:sz w:val="24"/>
          <w:szCs w:val="24"/>
          <w:highlight w:val="none"/>
        </w:rPr>
      </w:pPr>
      <w:r>
        <w:rPr>
          <w:rFonts w:hint="eastAsia"/>
          <w:color w:val="auto"/>
          <w:sz w:val="24"/>
          <w:szCs w:val="24"/>
          <w:highlight w:val="none"/>
        </w:rPr>
        <w:t>（1）供应商的姓名或者名称、地址、邮编、联系人及联系电话；</w:t>
      </w:r>
    </w:p>
    <w:p w14:paraId="1DC01D09">
      <w:pPr>
        <w:spacing w:before="120" w:line="320" w:lineRule="atLeast"/>
        <w:ind w:firstLine="480" w:firstLineChars="200"/>
        <w:rPr>
          <w:color w:val="auto"/>
          <w:sz w:val="24"/>
          <w:szCs w:val="24"/>
          <w:highlight w:val="none"/>
        </w:rPr>
      </w:pPr>
      <w:r>
        <w:rPr>
          <w:rFonts w:hint="eastAsia"/>
          <w:color w:val="auto"/>
          <w:sz w:val="24"/>
          <w:szCs w:val="24"/>
          <w:highlight w:val="none"/>
        </w:rPr>
        <w:t>（2）质疑项目的名称、编号；</w:t>
      </w:r>
    </w:p>
    <w:p w14:paraId="5B8451BB">
      <w:pPr>
        <w:spacing w:before="120" w:line="320" w:lineRule="atLeast"/>
        <w:ind w:firstLine="480" w:firstLineChars="200"/>
        <w:rPr>
          <w:color w:val="auto"/>
          <w:sz w:val="24"/>
          <w:szCs w:val="24"/>
          <w:highlight w:val="none"/>
        </w:rPr>
      </w:pPr>
      <w:r>
        <w:rPr>
          <w:rFonts w:hint="eastAsia"/>
          <w:color w:val="auto"/>
          <w:sz w:val="24"/>
          <w:szCs w:val="24"/>
          <w:highlight w:val="none"/>
        </w:rPr>
        <w:t>（3）具体、明确的质疑事项和与质疑事项相关的请求；</w:t>
      </w:r>
    </w:p>
    <w:p w14:paraId="26A7AFD3">
      <w:pPr>
        <w:spacing w:before="120" w:line="320" w:lineRule="atLeast"/>
        <w:ind w:firstLine="480" w:firstLineChars="200"/>
        <w:rPr>
          <w:color w:val="auto"/>
          <w:sz w:val="24"/>
          <w:szCs w:val="24"/>
          <w:highlight w:val="none"/>
        </w:rPr>
      </w:pPr>
      <w:r>
        <w:rPr>
          <w:rFonts w:hint="eastAsia"/>
          <w:color w:val="auto"/>
          <w:sz w:val="24"/>
          <w:szCs w:val="24"/>
          <w:highlight w:val="none"/>
        </w:rPr>
        <w:t>（4）事实依据；</w:t>
      </w:r>
    </w:p>
    <w:p w14:paraId="0159B827">
      <w:pPr>
        <w:spacing w:before="120" w:line="320" w:lineRule="atLeast"/>
        <w:ind w:firstLine="480" w:firstLineChars="200"/>
        <w:rPr>
          <w:color w:val="auto"/>
          <w:sz w:val="24"/>
          <w:szCs w:val="24"/>
          <w:highlight w:val="none"/>
        </w:rPr>
      </w:pPr>
      <w:r>
        <w:rPr>
          <w:rFonts w:hint="eastAsia"/>
          <w:color w:val="auto"/>
          <w:sz w:val="24"/>
          <w:szCs w:val="24"/>
          <w:highlight w:val="none"/>
        </w:rPr>
        <w:t>（5）必要的法律依据；</w:t>
      </w:r>
    </w:p>
    <w:p w14:paraId="50162EF4">
      <w:pPr>
        <w:spacing w:before="120" w:line="320" w:lineRule="atLeast"/>
        <w:ind w:firstLine="480" w:firstLineChars="200"/>
        <w:rPr>
          <w:color w:val="auto"/>
          <w:sz w:val="24"/>
          <w:szCs w:val="24"/>
          <w:highlight w:val="none"/>
        </w:rPr>
      </w:pPr>
      <w:r>
        <w:rPr>
          <w:rFonts w:hint="eastAsia"/>
          <w:color w:val="auto"/>
          <w:sz w:val="24"/>
          <w:szCs w:val="24"/>
          <w:highlight w:val="none"/>
        </w:rPr>
        <w:t>（6）提出质疑的日期。</w:t>
      </w:r>
    </w:p>
    <w:p w14:paraId="65643EBC">
      <w:pPr>
        <w:spacing w:before="120" w:line="320" w:lineRule="atLeast"/>
        <w:ind w:firstLine="480" w:firstLineChars="200"/>
        <w:rPr>
          <w:color w:val="auto"/>
          <w:sz w:val="24"/>
          <w:szCs w:val="24"/>
          <w:highlight w:val="none"/>
        </w:rPr>
      </w:pPr>
      <w:r>
        <w:rPr>
          <w:rFonts w:hint="eastAsia"/>
          <w:color w:val="auto"/>
          <w:sz w:val="24"/>
          <w:szCs w:val="24"/>
          <w:highlight w:val="none"/>
        </w:rPr>
        <w:t>供应商为自然人的，应当由本人签字；供应商为法人或者其他组织的，应当由法定代表人、主要负责人，或者其授权代表签字或者盖章，并加盖公章。</w:t>
      </w:r>
      <w:r>
        <w:rPr>
          <w:color w:val="auto"/>
          <w:sz w:val="24"/>
          <w:szCs w:val="24"/>
          <w:highlight w:val="none"/>
        </w:rPr>
        <w:t xml:space="preserve"> </w:t>
      </w:r>
    </w:p>
    <w:p w14:paraId="4F7B30B6">
      <w:pPr>
        <w:spacing w:before="120" w:line="320" w:lineRule="atLeast"/>
        <w:ind w:firstLine="482" w:firstLineChars="200"/>
        <w:outlineLvl w:val="2"/>
        <w:rPr>
          <w:b/>
          <w:bCs/>
          <w:color w:val="auto"/>
          <w:kern w:val="0"/>
          <w:sz w:val="24"/>
          <w:szCs w:val="24"/>
          <w:highlight w:val="none"/>
        </w:rPr>
      </w:pPr>
      <w:r>
        <w:rPr>
          <w:b/>
          <w:bCs/>
          <w:color w:val="auto"/>
          <w:kern w:val="0"/>
          <w:sz w:val="24"/>
          <w:szCs w:val="24"/>
          <w:highlight w:val="none"/>
        </w:rPr>
        <w:t>8.2投诉</w:t>
      </w:r>
    </w:p>
    <w:p w14:paraId="3A1DFEE7">
      <w:pPr>
        <w:spacing w:before="120" w:line="320" w:lineRule="atLeast"/>
        <w:ind w:firstLine="480" w:firstLineChars="200"/>
        <w:rPr>
          <w:color w:val="auto"/>
          <w:sz w:val="24"/>
          <w:szCs w:val="24"/>
          <w:highlight w:val="none"/>
        </w:rPr>
      </w:pPr>
      <w:r>
        <w:rPr>
          <w:color w:val="auto"/>
          <w:sz w:val="24"/>
          <w:szCs w:val="24"/>
          <w:highlight w:val="none"/>
        </w:rPr>
        <w:t>8.2.1供应商对采购人、采购代理机构的答复不满意，或者采购人、采购代理机构未在规定时间内答复的，可在答复期满后15个工作日内按有关规定，向同级财政部门投诉。</w:t>
      </w:r>
    </w:p>
    <w:p w14:paraId="663D2D7D">
      <w:pPr>
        <w:spacing w:before="120" w:line="320" w:lineRule="atLeast"/>
        <w:ind w:firstLine="480" w:firstLineChars="200"/>
        <w:rPr>
          <w:color w:val="auto"/>
          <w:sz w:val="24"/>
          <w:szCs w:val="24"/>
          <w:highlight w:val="none"/>
        </w:rPr>
      </w:pPr>
      <w:r>
        <w:rPr>
          <w:color w:val="auto"/>
          <w:sz w:val="24"/>
          <w:szCs w:val="24"/>
          <w:highlight w:val="none"/>
        </w:rPr>
        <w:t>8.2.</w:t>
      </w:r>
      <w:r>
        <w:rPr>
          <w:rFonts w:hint="eastAsia"/>
          <w:color w:val="auto"/>
          <w:sz w:val="24"/>
          <w:szCs w:val="24"/>
          <w:highlight w:val="none"/>
        </w:rPr>
        <w:t>2投诉</w:t>
      </w:r>
      <w:r>
        <w:rPr>
          <w:color w:val="auto"/>
          <w:sz w:val="24"/>
          <w:szCs w:val="24"/>
          <w:highlight w:val="none"/>
        </w:rPr>
        <w:t>书应使用财政部发布的</w:t>
      </w:r>
      <w:r>
        <w:rPr>
          <w:rFonts w:hint="eastAsia"/>
          <w:color w:val="auto"/>
          <w:sz w:val="24"/>
          <w:szCs w:val="24"/>
          <w:highlight w:val="none"/>
        </w:rPr>
        <w:t>政府采购供应投诉书范本，并应按照“投诉书制作说明”进行编写。</w:t>
      </w:r>
    </w:p>
    <w:p w14:paraId="36945D40">
      <w:pPr>
        <w:spacing w:before="120" w:line="320" w:lineRule="atLeast"/>
        <w:ind w:left="2" w:leftChars="1" w:firstLine="482" w:firstLineChars="200"/>
        <w:outlineLvl w:val="1"/>
        <w:rPr>
          <w:b/>
          <w:bCs/>
          <w:color w:val="auto"/>
          <w:kern w:val="0"/>
          <w:sz w:val="24"/>
          <w:szCs w:val="24"/>
          <w:highlight w:val="none"/>
        </w:rPr>
      </w:pPr>
      <w:r>
        <w:rPr>
          <w:b/>
          <w:bCs/>
          <w:color w:val="auto"/>
          <w:kern w:val="0"/>
          <w:sz w:val="24"/>
          <w:szCs w:val="24"/>
          <w:highlight w:val="none"/>
        </w:rPr>
        <w:t>9．其他事项</w:t>
      </w:r>
    </w:p>
    <w:p w14:paraId="148B6337">
      <w:pPr>
        <w:spacing w:before="120" w:line="320" w:lineRule="atLeast"/>
        <w:ind w:firstLine="480" w:firstLineChars="200"/>
        <w:rPr>
          <w:color w:val="auto"/>
          <w:sz w:val="24"/>
          <w:szCs w:val="24"/>
          <w:highlight w:val="none"/>
        </w:rPr>
      </w:pPr>
      <w:r>
        <w:rPr>
          <w:color w:val="auto"/>
          <w:sz w:val="24"/>
          <w:szCs w:val="24"/>
          <w:highlight w:val="none"/>
        </w:rPr>
        <w:t>9.1代理服务收费由采购代理机构向成交供应商收取。签订合同前，成交供应商应向采购代理机构一次付清代理服务费。</w:t>
      </w:r>
    </w:p>
    <w:p w14:paraId="24859081">
      <w:pPr>
        <w:spacing w:before="120" w:line="276" w:lineRule="auto"/>
        <w:ind w:firstLine="480" w:firstLineChars="200"/>
        <w:rPr>
          <w:color w:val="auto"/>
          <w:sz w:val="24"/>
          <w:szCs w:val="24"/>
          <w:highlight w:val="none"/>
        </w:rPr>
      </w:pPr>
      <w:r>
        <w:rPr>
          <w:color w:val="auto"/>
          <w:sz w:val="24"/>
          <w:szCs w:val="24"/>
          <w:highlight w:val="none"/>
        </w:rPr>
        <w:t>9.2</w:t>
      </w:r>
      <w:r>
        <w:rPr>
          <w:rFonts w:hint="eastAsia"/>
          <w:color w:val="auto"/>
          <w:sz w:val="24"/>
          <w:szCs w:val="24"/>
          <w:highlight w:val="none"/>
        </w:rPr>
        <w:t>电子交易活动的中止。采购过程中出现以下情形，导致电子交易平台无法正常运行，或者无法保证电子交易的公平、公正和安全时，采购机构可中止电子交易活动：</w:t>
      </w:r>
    </w:p>
    <w:p w14:paraId="594B2063">
      <w:pPr>
        <w:spacing w:before="120" w:line="276" w:lineRule="auto"/>
        <w:ind w:firstLine="480" w:firstLineChars="200"/>
        <w:rPr>
          <w:color w:val="auto"/>
          <w:sz w:val="24"/>
          <w:szCs w:val="24"/>
          <w:highlight w:val="none"/>
        </w:rPr>
      </w:pPr>
      <w:r>
        <w:rPr>
          <w:rFonts w:hint="eastAsia"/>
          <w:color w:val="auto"/>
          <w:sz w:val="24"/>
          <w:szCs w:val="24"/>
          <w:highlight w:val="none"/>
        </w:rPr>
        <w:t xml:space="preserve">（1）电子交易平台发生故障而无法登录访问的； </w:t>
      </w:r>
    </w:p>
    <w:p w14:paraId="41C4D46D">
      <w:pPr>
        <w:spacing w:before="120" w:line="276" w:lineRule="auto"/>
        <w:ind w:firstLine="480" w:firstLineChars="200"/>
        <w:rPr>
          <w:color w:val="auto"/>
          <w:sz w:val="24"/>
          <w:szCs w:val="24"/>
          <w:highlight w:val="none"/>
        </w:rPr>
      </w:pPr>
      <w:r>
        <w:rPr>
          <w:rFonts w:hint="eastAsia"/>
          <w:color w:val="auto"/>
          <w:sz w:val="24"/>
          <w:szCs w:val="24"/>
          <w:highlight w:val="none"/>
        </w:rPr>
        <w:t>（2）电子交易平台应用或数据库出现错误，不能进行正常操作的；</w:t>
      </w:r>
    </w:p>
    <w:p w14:paraId="293EE072">
      <w:pPr>
        <w:spacing w:before="120" w:line="276" w:lineRule="auto"/>
        <w:ind w:firstLine="480" w:firstLineChars="200"/>
        <w:rPr>
          <w:color w:val="auto"/>
          <w:sz w:val="24"/>
          <w:szCs w:val="24"/>
          <w:highlight w:val="none"/>
        </w:rPr>
      </w:pPr>
      <w:r>
        <w:rPr>
          <w:rFonts w:hint="eastAsia"/>
          <w:color w:val="auto"/>
          <w:sz w:val="24"/>
          <w:szCs w:val="24"/>
          <w:highlight w:val="none"/>
        </w:rPr>
        <w:t>（3）电子交易平台发现严重安全漏洞，有潜在泄密危险的；</w:t>
      </w:r>
    </w:p>
    <w:p w14:paraId="6D104540">
      <w:pPr>
        <w:spacing w:before="120" w:line="276" w:lineRule="auto"/>
        <w:ind w:firstLine="480" w:firstLineChars="200"/>
        <w:rPr>
          <w:color w:val="auto"/>
          <w:sz w:val="24"/>
          <w:szCs w:val="24"/>
          <w:highlight w:val="none"/>
        </w:rPr>
      </w:pPr>
      <w:r>
        <w:rPr>
          <w:rFonts w:hint="eastAsia"/>
          <w:color w:val="auto"/>
          <w:sz w:val="24"/>
          <w:szCs w:val="24"/>
          <w:highlight w:val="none"/>
        </w:rPr>
        <w:t xml:space="preserve">（4）病毒发作导致不能进行正常操作的； </w:t>
      </w:r>
    </w:p>
    <w:p w14:paraId="5273469E">
      <w:pPr>
        <w:spacing w:before="120" w:line="276" w:lineRule="auto"/>
        <w:ind w:firstLine="480" w:firstLineChars="200"/>
        <w:rPr>
          <w:color w:val="auto"/>
          <w:sz w:val="24"/>
          <w:szCs w:val="24"/>
          <w:highlight w:val="none"/>
        </w:rPr>
      </w:pPr>
      <w:r>
        <w:rPr>
          <w:rFonts w:hint="eastAsia"/>
          <w:color w:val="auto"/>
          <w:sz w:val="24"/>
          <w:szCs w:val="24"/>
          <w:highlight w:val="none"/>
        </w:rPr>
        <w:t>（</w:t>
      </w:r>
      <w:r>
        <w:rPr>
          <w:color w:val="auto"/>
          <w:sz w:val="24"/>
          <w:szCs w:val="24"/>
          <w:highlight w:val="none"/>
        </w:rPr>
        <w:t>5</w:t>
      </w:r>
      <w:r>
        <w:rPr>
          <w:rFonts w:hint="eastAsia"/>
          <w:color w:val="auto"/>
          <w:sz w:val="24"/>
          <w:szCs w:val="24"/>
          <w:highlight w:val="none"/>
        </w:rPr>
        <w:t>）其他无法保证电子交易的公平、公正和安全的情况。</w:t>
      </w:r>
    </w:p>
    <w:p w14:paraId="731BC19C">
      <w:pPr>
        <w:tabs>
          <w:tab w:val="left" w:pos="4820"/>
        </w:tabs>
        <w:spacing w:before="120" w:line="360" w:lineRule="auto"/>
        <w:ind w:firstLine="480" w:firstLineChars="200"/>
        <w:rPr>
          <w:color w:val="auto"/>
          <w:sz w:val="24"/>
          <w:szCs w:val="24"/>
          <w:highlight w:val="none"/>
        </w:rPr>
      </w:pPr>
      <w:r>
        <w:rPr>
          <w:rFonts w:hint="eastAsia"/>
          <w:color w:val="auto"/>
          <w:sz w:val="24"/>
          <w:szCs w:val="24"/>
          <w:highlight w:val="none"/>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r>
        <w:rPr>
          <w:color w:val="auto"/>
          <w:sz w:val="24"/>
          <w:szCs w:val="24"/>
          <w:highlight w:val="none"/>
        </w:rPr>
        <w:t xml:space="preserve"> </w:t>
      </w:r>
    </w:p>
    <w:p w14:paraId="288ABDEA">
      <w:pPr>
        <w:spacing w:line="360" w:lineRule="auto"/>
        <w:ind w:firstLine="420"/>
        <w:rPr>
          <w:color w:val="auto"/>
          <w:sz w:val="24"/>
          <w:szCs w:val="24"/>
          <w:highlight w:val="none"/>
        </w:rPr>
      </w:pPr>
      <w:r>
        <w:rPr>
          <w:color w:val="auto"/>
          <w:sz w:val="24"/>
          <w:szCs w:val="24"/>
          <w:highlight w:val="none"/>
        </w:rPr>
        <w:t>9.3</w:t>
      </w:r>
      <w:r>
        <w:rPr>
          <w:rFonts w:hint="eastAsia"/>
          <w:color w:val="auto"/>
          <w:sz w:val="24"/>
          <w:szCs w:val="24"/>
          <w:highlight w:val="none"/>
        </w:rPr>
        <w:t>本项目的其他事项</w:t>
      </w:r>
      <w:r>
        <w:rPr>
          <w:color w:val="auto"/>
          <w:sz w:val="24"/>
          <w:szCs w:val="24"/>
          <w:highlight w:val="none"/>
        </w:rPr>
        <w:t>详见供应商须知前附表</w:t>
      </w:r>
      <w:r>
        <w:rPr>
          <w:rFonts w:hint="eastAsia"/>
          <w:color w:val="auto"/>
          <w:sz w:val="24"/>
          <w:szCs w:val="24"/>
          <w:highlight w:val="none"/>
        </w:rPr>
        <w:t>。</w:t>
      </w:r>
    </w:p>
    <w:p w14:paraId="78A6E821">
      <w:pPr>
        <w:spacing w:before="120" w:line="320" w:lineRule="atLeast"/>
        <w:ind w:left="2" w:leftChars="1" w:firstLine="482" w:firstLineChars="200"/>
        <w:outlineLvl w:val="1"/>
        <w:rPr>
          <w:b/>
          <w:bCs/>
          <w:color w:val="auto"/>
          <w:kern w:val="0"/>
          <w:sz w:val="24"/>
          <w:szCs w:val="24"/>
          <w:highlight w:val="none"/>
        </w:rPr>
      </w:pPr>
      <w:r>
        <w:rPr>
          <w:b/>
          <w:bCs/>
          <w:color w:val="auto"/>
          <w:kern w:val="0"/>
          <w:sz w:val="24"/>
          <w:szCs w:val="24"/>
          <w:highlight w:val="none"/>
        </w:rPr>
        <w:t>10．</w:t>
      </w:r>
      <w:r>
        <w:rPr>
          <w:rFonts w:hint="eastAsia"/>
          <w:b/>
          <w:bCs/>
          <w:color w:val="auto"/>
          <w:kern w:val="0"/>
          <w:sz w:val="24"/>
          <w:szCs w:val="24"/>
          <w:highlight w:val="none"/>
        </w:rPr>
        <w:t>其他说明</w:t>
      </w:r>
    </w:p>
    <w:p w14:paraId="3B42EAC7">
      <w:pPr>
        <w:spacing w:before="120" w:line="320" w:lineRule="atLeast"/>
        <w:ind w:left="2" w:leftChars="1" w:firstLine="480" w:firstLineChars="200"/>
        <w:rPr>
          <w:color w:val="auto"/>
          <w:kern w:val="0"/>
          <w:sz w:val="24"/>
          <w:szCs w:val="24"/>
          <w:highlight w:val="none"/>
        </w:rPr>
      </w:pPr>
      <w:r>
        <w:rPr>
          <w:rFonts w:hint="eastAsia"/>
          <w:color w:val="auto"/>
          <w:sz w:val="24"/>
          <w:szCs w:val="24"/>
          <w:highlight w:val="none"/>
        </w:rPr>
        <w:t>1</w:t>
      </w:r>
      <w:r>
        <w:rPr>
          <w:color w:val="auto"/>
          <w:sz w:val="24"/>
          <w:szCs w:val="24"/>
          <w:highlight w:val="none"/>
        </w:rPr>
        <w:t>0.1</w:t>
      </w:r>
      <w:r>
        <w:rPr>
          <w:rFonts w:hint="eastAsia"/>
          <w:color w:val="auto"/>
          <w:sz w:val="24"/>
          <w:szCs w:val="24"/>
          <w:highlight w:val="none"/>
        </w:rPr>
        <w:t>其余</w:t>
      </w:r>
      <w:r>
        <w:rPr>
          <w:rFonts w:hint="eastAsia"/>
          <w:color w:val="auto"/>
          <w:kern w:val="0"/>
          <w:sz w:val="24"/>
          <w:szCs w:val="24"/>
          <w:highlight w:val="none"/>
        </w:rPr>
        <w:t>未尽事宜按</w:t>
      </w:r>
      <w:r>
        <w:rPr>
          <w:color w:val="auto"/>
          <w:kern w:val="0"/>
          <w:sz w:val="24"/>
          <w:szCs w:val="24"/>
          <w:highlight w:val="none"/>
        </w:rPr>
        <w:t>《中华人民共和国政府采购法》、《中华人民共和国政府采购法实施条例》</w:t>
      </w:r>
      <w:r>
        <w:rPr>
          <w:rFonts w:hint="eastAsia"/>
          <w:color w:val="auto"/>
          <w:kern w:val="0"/>
          <w:sz w:val="24"/>
          <w:szCs w:val="24"/>
          <w:highlight w:val="none"/>
        </w:rPr>
        <w:t>的相关规定执行。</w:t>
      </w:r>
    </w:p>
    <w:p w14:paraId="687AB509">
      <w:pPr>
        <w:spacing w:before="120" w:line="320" w:lineRule="atLeast"/>
        <w:ind w:left="2" w:leftChars="1" w:firstLine="480" w:firstLineChars="200"/>
        <w:rPr>
          <w:color w:val="auto"/>
          <w:sz w:val="24"/>
          <w:szCs w:val="24"/>
          <w:highlight w:val="none"/>
        </w:rPr>
        <w:sectPr>
          <w:headerReference r:id="rId13" w:type="first"/>
          <w:headerReference r:id="rId12" w:type="default"/>
          <w:pgSz w:w="11906" w:h="16838"/>
          <w:pgMar w:top="1417" w:right="1133" w:bottom="1246" w:left="1418" w:header="851" w:footer="992" w:gutter="0"/>
          <w:cols w:space="720" w:num="1"/>
          <w:titlePg/>
          <w:docGrid w:linePitch="312" w:charSpace="0"/>
        </w:sectPr>
      </w:pPr>
      <w:r>
        <w:rPr>
          <w:color w:val="auto"/>
          <w:sz w:val="24"/>
          <w:szCs w:val="24"/>
          <w:highlight w:val="none"/>
        </w:rPr>
        <w:t>10.2</w:t>
      </w:r>
      <w:r>
        <w:rPr>
          <w:rFonts w:hint="eastAsia"/>
          <w:color w:val="auto"/>
          <w:sz w:val="24"/>
          <w:szCs w:val="24"/>
          <w:highlight w:val="none"/>
        </w:rPr>
        <w:t>本</w:t>
      </w:r>
      <w:r>
        <w:rPr>
          <w:color w:val="auto"/>
          <w:sz w:val="24"/>
          <w:szCs w:val="24"/>
          <w:highlight w:val="none"/>
        </w:rPr>
        <w:t>采购文件</w:t>
      </w:r>
      <w:r>
        <w:rPr>
          <w:color w:val="auto"/>
          <w:sz w:val="24"/>
          <w:highlight w:val="none"/>
        </w:rPr>
        <w:t>是根据国家有关法律及有关政策、法规和参照国际惯例编制，解释权属采购代理机构。</w:t>
      </w:r>
    </w:p>
    <w:p w14:paraId="4FC8BA9C">
      <w:pPr>
        <w:pStyle w:val="27"/>
        <w:snapToGrid w:val="0"/>
        <w:spacing w:before="120" w:after="120" w:line="320" w:lineRule="exact"/>
        <w:jc w:val="center"/>
        <w:outlineLvl w:val="0"/>
        <w:rPr>
          <w:rFonts w:ascii="Times New Roman" w:hAnsi="Times New Roman" w:cs="Times New Roman"/>
          <w:color w:val="auto"/>
          <w:sz w:val="24"/>
          <w:szCs w:val="24"/>
          <w:highlight w:val="none"/>
        </w:rPr>
      </w:pPr>
      <w:bookmarkStart w:id="78" w:name="_Toc15587"/>
      <w:bookmarkStart w:id="79" w:name="_Toc254970690"/>
      <w:bookmarkStart w:id="80" w:name="_Toc254970549"/>
      <w:r>
        <w:rPr>
          <w:rFonts w:ascii="Times New Roman" w:hAnsi="Times New Roman" w:cs="Times New Roman"/>
          <w:color w:val="auto"/>
          <w:sz w:val="24"/>
          <w:szCs w:val="24"/>
          <w:highlight w:val="none"/>
        </w:rPr>
        <w:t>第</w:t>
      </w:r>
      <w:r>
        <w:rPr>
          <w:rFonts w:hint="eastAsia" w:ascii="Times New Roman" w:hAnsi="Times New Roman" w:cs="Times New Roman"/>
          <w:color w:val="auto"/>
          <w:sz w:val="24"/>
          <w:szCs w:val="24"/>
          <w:highlight w:val="none"/>
        </w:rPr>
        <w:t>四</w:t>
      </w:r>
      <w:r>
        <w:rPr>
          <w:rFonts w:ascii="Times New Roman" w:hAnsi="Times New Roman" w:cs="Times New Roman"/>
          <w:color w:val="auto"/>
          <w:sz w:val="24"/>
          <w:szCs w:val="24"/>
          <w:highlight w:val="none"/>
        </w:rPr>
        <w:t>章  评审方法及标准</w:t>
      </w:r>
      <w:bookmarkEnd w:id="78"/>
    </w:p>
    <w:p w14:paraId="62ABD739">
      <w:pPr>
        <w:spacing w:before="120" w:line="320" w:lineRule="atLeast"/>
        <w:ind w:firstLine="472" w:firstLineChars="196"/>
        <w:outlineLvl w:val="1"/>
        <w:rPr>
          <w:b/>
          <w:bCs/>
          <w:color w:val="auto"/>
          <w:kern w:val="0"/>
          <w:sz w:val="24"/>
          <w:szCs w:val="24"/>
          <w:highlight w:val="none"/>
        </w:rPr>
      </w:pPr>
      <w:r>
        <w:rPr>
          <w:rFonts w:hint="eastAsia"/>
          <w:b/>
          <w:bCs/>
          <w:color w:val="auto"/>
          <w:kern w:val="0"/>
          <w:sz w:val="24"/>
          <w:szCs w:val="24"/>
          <w:highlight w:val="none"/>
        </w:rPr>
        <w:t>1.</w:t>
      </w:r>
      <w:r>
        <w:rPr>
          <w:b/>
          <w:bCs/>
          <w:color w:val="auto"/>
          <w:kern w:val="0"/>
          <w:sz w:val="24"/>
          <w:szCs w:val="24"/>
          <w:highlight w:val="none"/>
        </w:rPr>
        <w:t>评审</w:t>
      </w:r>
      <w:r>
        <w:rPr>
          <w:rFonts w:hint="eastAsia"/>
          <w:b/>
          <w:bCs/>
          <w:color w:val="auto"/>
          <w:kern w:val="0"/>
          <w:sz w:val="24"/>
          <w:szCs w:val="24"/>
          <w:highlight w:val="none"/>
        </w:rPr>
        <w:t>方法</w:t>
      </w:r>
    </w:p>
    <w:p w14:paraId="756C9CC4">
      <w:pPr>
        <w:suppressAutoHyphens/>
        <w:spacing w:before="120" w:line="320" w:lineRule="atLeast"/>
        <w:ind w:firstLine="480" w:firstLineChars="200"/>
        <w:rPr>
          <w:color w:val="auto"/>
          <w:kern w:val="1"/>
          <w:sz w:val="24"/>
          <w:szCs w:val="24"/>
          <w:highlight w:val="none"/>
        </w:rPr>
      </w:pPr>
      <w:r>
        <w:rPr>
          <w:color w:val="auto"/>
          <w:sz w:val="24"/>
          <w:szCs w:val="24"/>
          <w:highlight w:val="none"/>
        </w:rPr>
        <w:t>本项目采用</w:t>
      </w:r>
      <w:r>
        <w:rPr>
          <w:bCs/>
          <w:color w:val="auto"/>
          <w:kern w:val="1"/>
          <w:sz w:val="24"/>
          <w:szCs w:val="24"/>
          <w:highlight w:val="none"/>
        </w:rPr>
        <w:t>综合评分法</w:t>
      </w:r>
      <w:r>
        <w:rPr>
          <w:color w:val="auto"/>
          <w:sz w:val="24"/>
          <w:szCs w:val="24"/>
          <w:highlight w:val="none"/>
        </w:rPr>
        <w:t>进行评审</w:t>
      </w:r>
      <w:r>
        <w:rPr>
          <w:bCs/>
          <w:color w:val="auto"/>
          <w:kern w:val="1"/>
          <w:sz w:val="24"/>
          <w:szCs w:val="24"/>
          <w:highlight w:val="none"/>
        </w:rPr>
        <w:t>。</w:t>
      </w:r>
      <w:r>
        <w:rPr>
          <w:color w:val="auto"/>
          <w:sz w:val="24"/>
          <w:szCs w:val="24"/>
          <w:highlight w:val="none"/>
        </w:rPr>
        <w:t>综合评分法，是指响应文件满足采购文件全部实质性要求且按照评审因素的量化指标评审得分最高的</w:t>
      </w:r>
      <w:r>
        <w:rPr>
          <w:rFonts w:hint="eastAsia"/>
          <w:color w:val="auto"/>
          <w:sz w:val="24"/>
          <w:szCs w:val="24"/>
          <w:highlight w:val="none"/>
        </w:rPr>
        <w:t>供应商</w:t>
      </w:r>
      <w:r>
        <w:rPr>
          <w:color w:val="auto"/>
          <w:sz w:val="24"/>
          <w:szCs w:val="24"/>
          <w:highlight w:val="none"/>
        </w:rPr>
        <w:t>为</w:t>
      </w:r>
      <w:r>
        <w:rPr>
          <w:rFonts w:hint="eastAsia"/>
          <w:color w:val="auto"/>
          <w:sz w:val="24"/>
          <w:szCs w:val="24"/>
          <w:highlight w:val="none"/>
        </w:rPr>
        <w:t>成交</w:t>
      </w:r>
      <w:r>
        <w:rPr>
          <w:color w:val="auto"/>
          <w:sz w:val="24"/>
          <w:szCs w:val="24"/>
          <w:highlight w:val="none"/>
        </w:rPr>
        <w:t>候选人的评审方法。</w:t>
      </w:r>
    </w:p>
    <w:p w14:paraId="62C6FD18">
      <w:pPr>
        <w:suppressAutoHyphens/>
        <w:spacing w:before="120" w:line="320" w:lineRule="atLeast"/>
        <w:ind w:firstLine="480" w:firstLineChars="200"/>
        <w:rPr>
          <w:color w:val="auto"/>
          <w:kern w:val="1"/>
          <w:sz w:val="24"/>
          <w:szCs w:val="24"/>
          <w:highlight w:val="none"/>
        </w:rPr>
      </w:pPr>
      <w:r>
        <w:rPr>
          <w:rFonts w:hint="eastAsia"/>
          <w:color w:val="auto"/>
          <w:kern w:val="1"/>
          <w:sz w:val="24"/>
          <w:szCs w:val="24"/>
          <w:highlight w:val="none"/>
        </w:rPr>
        <w:t>本项目评审的其他详细规定在第三章供应商须知中规定。</w:t>
      </w:r>
    </w:p>
    <w:p w14:paraId="06E85F28">
      <w:pPr>
        <w:spacing w:before="120" w:line="320" w:lineRule="atLeast"/>
        <w:ind w:firstLine="472" w:firstLineChars="196"/>
        <w:outlineLvl w:val="1"/>
        <w:rPr>
          <w:b/>
          <w:bCs/>
          <w:color w:val="auto"/>
          <w:kern w:val="0"/>
          <w:sz w:val="24"/>
          <w:szCs w:val="24"/>
          <w:highlight w:val="none"/>
        </w:rPr>
      </w:pPr>
      <w:r>
        <w:rPr>
          <w:b/>
          <w:color w:val="auto"/>
          <w:kern w:val="0"/>
          <w:sz w:val="24"/>
          <w:szCs w:val="24"/>
          <w:highlight w:val="none"/>
        </w:rPr>
        <w:t>2</w:t>
      </w:r>
      <w:r>
        <w:rPr>
          <w:rFonts w:hint="eastAsia"/>
          <w:b/>
          <w:color w:val="auto"/>
          <w:kern w:val="0"/>
          <w:sz w:val="24"/>
          <w:szCs w:val="24"/>
          <w:highlight w:val="none"/>
        </w:rPr>
        <w:t>.资格审查标准</w:t>
      </w:r>
      <w:r>
        <w:rPr>
          <w:rFonts w:hint="eastAsia"/>
          <w:b/>
          <w:bCs/>
          <w:color w:val="auto"/>
          <w:kern w:val="0"/>
          <w:sz w:val="24"/>
          <w:szCs w:val="24"/>
          <w:highlight w:val="none"/>
        </w:rPr>
        <w:t>（不满足任何一项审查内容要求，资格审查即为不合格</w:t>
      </w:r>
      <w:bookmarkStart w:id="81" w:name="_Hlk160731834"/>
      <w:r>
        <w:rPr>
          <w:rFonts w:hint="eastAsia"/>
          <w:b/>
          <w:bCs/>
          <w:color w:val="auto"/>
          <w:kern w:val="0"/>
          <w:sz w:val="24"/>
          <w:szCs w:val="24"/>
          <w:highlight w:val="none"/>
        </w:rPr>
        <w:t>；联合体响应的，联合体各方均应提交第一项基本资格要求的资格证明文件</w:t>
      </w:r>
      <w:bookmarkEnd w:id="81"/>
      <w:r>
        <w:rPr>
          <w:rFonts w:hint="eastAsia"/>
          <w:b/>
          <w:bCs/>
          <w:color w:val="auto"/>
          <w:kern w:val="0"/>
          <w:sz w:val="24"/>
          <w:szCs w:val="24"/>
          <w:highlight w:val="none"/>
        </w:rPr>
        <w:t>）</w:t>
      </w:r>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1461"/>
        <w:gridCol w:w="1266"/>
        <w:gridCol w:w="5517"/>
      </w:tblGrid>
      <w:tr w14:paraId="2065F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101" w:type="dxa"/>
            <w:vAlign w:val="center"/>
          </w:tcPr>
          <w:p w14:paraId="1B97486A">
            <w:pPr>
              <w:spacing w:line="240" w:lineRule="exact"/>
              <w:jc w:val="center"/>
              <w:rPr>
                <w:b/>
                <w:color w:val="auto"/>
                <w:kern w:val="0"/>
                <w:sz w:val="18"/>
                <w:szCs w:val="18"/>
                <w:highlight w:val="none"/>
              </w:rPr>
            </w:pPr>
            <w:r>
              <w:rPr>
                <w:rFonts w:hint="eastAsia"/>
                <w:b/>
                <w:color w:val="auto"/>
                <w:kern w:val="0"/>
                <w:sz w:val="18"/>
                <w:szCs w:val="18"/>
                <w:highlight w:val="none"/>
              </w:rPr>
              <w:t>审查</w:t>
            </w:r>
            <w:r>
              <w:rPr>
                <w:b/>
                <w:color w:val="auto"/>
                <w:kern w:val="0"/>
                <w:sz w:val="18"/>
                <w:szCs w:val="18"/>
                <w:highlight w:val="none"/>
              </w:rPr>
              <w:t>因素</w:t>
            </w:r>
          </w:p>
        </w:tc>
        <w:tc>
          <w:tcPr>
            <w:tcW w:w="2727" w:type="dxa"/>
            <w:gridSpan w:val="2"/>
            <w:vAlign w:val="center"/>
          </w:tcPr>
          <w:p w14:paraId="15C1DDE8">
            <w:pPr>
              <w:spacing w:line="240" w:lineRule="exact"/>
              <w:jc w:val="center"/>
              <w:rPr>
                <w:b/>
                <w:color w:val="auto"/>
                <w:kern w:val="0"/>
                <w:sz w:val="18"/>
                <w:szCs w:val="18"/>
                <w:highlight w:val="none"/>
              </w:rPr>
            </w:pPr>
            <w:r>
              <w:rPr>
                <w:rFonts w:hint="eastAsia"/>
                <w:b/>
                <w:color w:val="auto"/>
                <w:kern w:val="0"/>
                <w:sz w:val="18"/>
                <w:szCs w:val="18"/>
                <w:highlight w:val="none"/>
              </w:rPr>
              <w:t>审查</w:t>
            </w:r>
            <w:r>
              <w:rPr>
                <w:b/>
                <w:color w:val="auto"/>
                <w:kern w:val="0"/>
                <w:sz w:val="18"/>
                <w:szCs w:val="18"/>
                <w:highlight w:val="none"/>
              </w:rPr>
              <w:t>内容</w:t>
            </w:r>
          </w:p>
        </w:tc>
        <w:tc>
          <w:tcPr>
            <w:tcW w:w="0" w:type="auto"/>
            <w:vAlign w:val="center"/>
          </w:tcPr>
          <w:p w14:paraId="496AC720">
            <w:pPr>
              <w:spacing w:line="240" w:lineRule="exact"/>
              <w:jc w:val="center"/>
              <w:rPr>
                <w:b/>
                <w:color w:val="auto"/>
                <w:kern w:val="0"/>
                <w:sz w:val="18"/>
                <w:szCs w:val="18"/>
                <w:highlight w:val="none"/>
              </w:rPr>
            </w:pPr>
            <w:r>
              <w:rPr>
                <w:rFonts w:hint="eastAsia"/>
                <w:b/>
                <w:color w:val="auto"/>
                <w:kern w:val="0"/>
                <w:sz w:val="18"/>
                <w:szCs w:val="18"/>
                <w:highlight w:val="none"/>
              </w:rPr>
              <w:t>说明</w:t>
            </w:r>
          </w:p>
        </w:tc>
      </w:tr>
      <w:tr w14:paraId="0A8F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1101" w:type="dxa"/>
            <w:vMerge w:val="restart"/>
            <w:vAlign w:val="center"/>
          </w:tcPr>
          <w:p w14:paraId="031447E8">
            <w:pPr>
              <w:spacing w:line="240" w:lineRule="exact"/>
              <w:jc w:val="center"/>
              <w:rPr>
                <w:color w:val="auto"/>
                <w:sz w:val="18"/>
                <w:szCs w:val="18"/>
                <w:highlight w:val="none"/>
              </w:rPr>
            </w:pPr>
            <w:r>
              <w:rPr>
                <w:rFonts w:hint="eastAsia"/>
                <w:color w:val="auto"/>
                <w:sz w:val="18"/>
                <w:szCs w:val="18"/>
                <w:highlight w:val="none"/>
              </w:rPr>
              <w:t>供应商应符合的基本资格要求</w:t>
            </w:r>
          </w:p>
        </w:tc>
        <w:tc>
          <w:tcPr>
            <w:tcW w:w="2727" w:type="dxa"/>
            <w:gridSpan w:val="2"/>
            <w:vAlign w:val="center"/>
          </w:tcPr>
          <w:p w14:paraId="3C1730A0">
            <w:pPr>
              <w:spacing w:line="240" w:lineRule="exact"/>
              <w:rPr>
                <w:color w:val="auto"/>
                <w:sz w:val="18"/>
                <w:szCs w:val="18"/>
                <w:highlight w:val="none"/>
              </w:rPr>
            </w:pPr>
            <w:r>
              <w:rPr>
                <w:color w:val="auto"/>
                <w:sz w:val="18"/>
                <w:szCs w:val="18"/>
                <w:highlight w:val="none"/>
              </w:rPr>
              <w:t>（1）具有独立承担民事责任的能力</w:t>
            </w:r>
          </w:p>
        </w:tc>
        <w:tc>
          <w:tcPr>
            <w:tcW w:w="0" w:type="auto"/>
            <w:vAlign w:val="center"/>
          </w:tcPr>
          <w:p w14:paraId="60B13D72">
            <w:pPr>
              <w:spacing w:line="240" w:lineRule="exact"/>
              <w:rPr>
                <w:color w:val="auto"/>
                <w:sz w:val="18"/>
                <w:szCs w:val="18"/>
                <w:highlight w:val="none"/>
              </w:rPr>
            </w:pPr>
            <w:r>
              <w:rPr>
                <w:rFonts w:hint="eastAsia"/>
                <w:color w:val="auto"/>
                <w:sz w:val="18"/>
                <w:szCs w:val="18"/>
                <w:highlight w:val="none"/>
              </w:rPr>
              <w:t>审查供应商为法人或者其他组织的，提供营业执照等证明文件（如营业执照或者事业单位法人证书或者执业许可证等），供应商为自然人的，提供身份证扫描件。</w:t>
            </w:r>
          </w:p>
        </w:tc>
      </w:tr>
      <w:tr w14:paraId="46462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1" w:hRule="atLeast"/>
        </w:trPr>
        <w:tc>
          <w:tcPr>
            <w:tcW w:w="1101" w:type="dxa"/>
            <w:vMerge w:val="continue"/>
            <w:vAlign w:val="center"/>
          </w:tcPr>
          <w:p w14:paraId="31FDC09E">
            <w:pPr>
              <w:spacing w:line="240" w:lineRule="exact"/>
              <w:jc w:val="center"/>
              <w:rPr>
                <w:color w:val="auto"/>
                <w:sz w:val="18"/>
                <w:szCs w:val="18"/>
                <w:highlight w:val="none"/>
              </w:rPr>
            </w:pPr>
          </w:p>
        </w:tc>
        <w:tc>
          <w:tcPr>
            <w:tcW w:w="2727" w:type="dxa"/>
            <w:gridSpan w:val="2"/>
            <w:vAlign w:val="center"/>
          </w:tcPr>
          <w:p w14:paraId="6ED34237">
            <w:pPr>
              <w:spacing w:line="240" w:lineRule="exact"/>
              <w:rPr>
                <w:color w:val="auto"/>
                <w:sz w:val="18"/>
                <w:szCs w:val="18"/>
                <w:highlight w:val="none"/>
              </w:rPr>
            </w:pPr>
            <w:r>
              <w:rPr>
                <w:color w:val="auto"/>
                <w:sz w:val="18"/>
                <w:szCs w:val="18"/>
                <w:highlight w:val="none"/>
                <w:lang w:val="zh-CN"/>
              </w:rPr>
              <w:t>（2）</w:t>
            </w:r>
            <w:r>
              <w:rPr>
                <w:color w:val="auto"/>
                <w:sz w:val="18"/>
                <w:szCs w:val="18"/>
                <w:highlight w:val="none"/>
              </w:rPr>
              <w:t>具有良好的商业信誉和健全的财务会计制度</w:t>
            </w:r>
          </w:p>
        </w:tc>
        <w:tc>
          <w:tcPr>
            <w:tcW w:w="0" w:type="auto"/>
            <w:vAlign w:val="center"/>
          </w:tcPr>
          <w:p w14:paraId="39A0297F">
            <w:pPr>
              <w:spacing w:line="240" w:lineRule="exact"/>
              <w:rPr>
                <w:color w:val="auto"/>
                <w:sz w:val="18"/>
                <w:szCs w:val="18"/>
                <w:highlight w:val="none"/>
              </w:rPr>
            </w:pPr>
            <w:r>
              <w:rPr>
                <w:rFonts w:hint="eastAsia" w:ascii="宋体" w:hAnsi="宋体" w:cs="宋体"/>
                <w:color w:val="auto"/>
                <w:sz w:val="18"/>
                <w:szCs w:val="18"/>
                <w:highlight w:val="none"/>
              </w:rPr>
              <w:t>①</w:t>
            </w:r>
            <w:r>
              <w:rPr>
                <w:color w:val="auto"/>
                <w:sz w:val="18"/>
                <w:szCs w:val="18"/>
                <w:highlight w:val="none"/>
              </w:rPr>
              <w:t>审查商业信誉声明。须提供，格式见第</w:t>
            </w:r>
            <w:r>
              <w:rPr>
                <w:rFonts w:hint="eastAsia"/>
                <w:color w:val="auto"/>
                <w:sz w:val="18"/>
                <w:szCs w:val="18"/>
                <w:highlight w:val="none"/>
              </w:rPr>
              <w:t>六章</w:t>
            </w:r>
            <w:r>
              <w:rPr>
                <w:color w:val="auto"/>
                <w:sz w:val="18"/>
                <w:szCs w:val="18"/>
                <w:highlight w:val="none"/>
              </w:rPr>
              <w:t>响应文件格式“响应声明书”。</w:t>
            </w:r>
          </w:p>
          <w:p w14:paraId="5064CE2B">
            <w:pPr>
              <w:spacing w:line="240" w:lineRule="exact"/>
              <w:rPr>
                <w:color w:val="auto"/>
                <w:sz w:val="18"/>
                <w:szCs w:val="18"/>
                <w:highlight w:val="none"/>
              </w:rPr>
            </w:pPr>
            <w:r>
              <w:rPr>
                <w:rFonts w:hint="eastAsia" w:ascii="宋体" w:hAnsi="宋体" w:cs="宋体"/>
                <w:color w:val="auto"/>
                <w:sz w:val="18"/>
                <w:szCs w:val="18"/>
                <w:highlight w:val="none"/>
              </w:rPr>
              <w:t>②</w:t>
            </w:r>
            <w:r>
              <w:rPr>
                <w:color w:val="auto"/>
                <w:sz w:val="18"/>
                <w:szCs w:val="18"/>
                <w:highlight w:val="none"/>
              </w:rPr>
              <w:t>审查</w:t>
            </w:r>
            <w:r>
              <w:rPr>
                <w:rFonts w:hint="eastAsia"/>
                <w:color w:val="auto"/>
                <w:sz w:val="18"/>
                <w:szCs w:val="18"/>
                <w:highlight w:val="none"/>
              </w:rPr>
              <w:t>202</w:t>
            </w:r>
            <w:r>
              <w:rPr>
                <w:rFonts w:hint="eastAsia"/>
                <w:color w:val="auto"/>
                <w:sz w:val="18"/>
                <w:szCs w:val="18"/>
                <w:highlight w:val="none"/>
                <w:lang w:val="en-US" w:eastAsia="zh-CN"/>
              </w:rPr>
              <w:t>4</w:t>
            </w:r>
            <w:r>
              <w:rPr>
                <w:rFonts w:hint="eastAsia"/>
                <w:color w:val="auto"/>
                <w:sz w:val="18"/>
                <w:szCs w:val="18"/>
                <w:highlight w:val="none"/>
              </w:rPr>
              <w:t>或202</w:t>
            </w:r>
            <w:r>
              <w:rPr>
                <w:rFonts w:hint="eastAsia"/>
                <w:color w:val="auto"/>
                <w:sz w:val="18"/>
                <w:szCs w:val="18"/>
                <w:highlight w:val="none"/>
                <w:lang w:val="en-US" w:eastAsia="zh-CN"/>
              </w:rPr>
              <w:t>5</w:t>
            </w:r>
            <w:r>
              <w:rPr>
                <w:rFonts w:hint="eastAsia"/>
                <w:color w:val="auto"/>
                <w:sz w:val="18"/>
                <w:szCs w:val="18"/>
                <w:highlight w:val="none"/>
              </w:rPr>
              <w:t>年度</w:t>
            </w:r>
            <w:r>
              <w:rPr>
                <w:color w:val="auto"/>
                <w:sz w:val="18"/>
                <w:szCs w:val="18"/>
                <w:highlight w:val="none"/>
              </w:rPr>
              <w:t>财务状况报告（表）</w:t>
            </w:r>
            <w:r>
              <w:rPr>
                <w:rFonts w:hint="eastAsia"/>
                <w:color w:val="auto"/>
                <w:sz w:val="18"/>
                <w:szCs w:val="18"/>
                <w:highlight w:val="none"/>
              </w:rPr>
              <w:t>扫描件</w:t>
            </w:r>
            <w:r>
              <w:rPr>
                <w:color w:val="auto"/>
                <w:sz w:val="18"/>
                <w:szCs w:val="18"/>
                <w:highlight w:val="none"/>
              </w:rPr>
              <w:t>或银行出具的资信证明</w:t>
            </w:r>
            <w:r>
              <w:rPr>
                <w:rFonts w:hint="eastAsia"/>
                <w:color w:val="auto"/>
                <w:sz w:val="18"/>
                <w:szCs w:val="18"/>
                <w:highlight w:val="none"/>
              </w:rPr>
              <w:t>扫描件</w:t>
            </w:r>
            <w:r>
              <w:rPr>
                <w:color w:val="auto"/>
                <w:sz w:val="18"/>
                <w:szCs w:val="18"/>
                <w:highlight w:val="none"/>
              </w:rPr>
              <w:t>。对于从取得营业执照时间起到响应文件递交截止时间为止不足1年的供应商，只需提交响应文件递交截止时间前一个月的财务状况报告（表）</w:t>
            </w:r>
            <w:r>
              <w:rPr>
                <w:rFonts w:hint="eastAsia"/>
                <w:color w:val="auto"/>
                <w:sz w:val="18"/>
                <w:szCs w:val="18"/>
                <w:highlight w:val="none"/>
              </w:rPr>
              <w:t>扫描件</w:t>
            </w:r>
            <w:r>
              <w:rPr>
                <w:color w:val="auto"/>
                <w:sz w:val="18"/>
                <w:szCs w:val="18"/>
                <w:highlight w:val="none"/>
              </w:rPr>
              <w:t>。</w:t>
            </w:r>
          </w:p>
        </w:tc>
      </w:tr>
      <w:tr w14:paraId="387C7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3" w:hRule="atLeast"/>
        </w:trPr>
        <w:tc>
          <w:tcPr>
            <w:tcW w:w="1101" w:type="dxa"/>
            <w:vMerge w:val="continue"/>
            <w:vAlign w:val="center"/>
          </w:tcPr>
          <w:p w14:paraId="0CC90EAC">
            <w:pPr>
              <w:spacing w:line="240" w:lineRule="exact"/>
              <w:jc w:val="center"/>
              <w:rPr>
                <w:color w:val="auto"/>
                <w:sz w:val="18"/>
                <w:szCs w:val="18"/>
                <w:highlight w:val="none"/>
              </w:rPr>
            </w:pPr>
          </w:p>
        </w:tc>
        <w:tc>
          <w:tcPr>
            <w:tcW w:w="2727" w:type="dxa"/>
            <w:gridSpan w:val="2"/>
            <w:vAlign w:val="center"/>
          </w:tcPr>
          <w:p w14:paraId="184481F4">
            <w:pPr>
              <w:spacing w:line="240" w:lineRule="exact"/>
              <w:rPr>
                <w:color w:val="auto"/>
                <w:sz w:val="18"/>
                <w:szCs w:val="18"/>
                <w:highlight w:val="none"/>
                <w:lang w:val="zh-CN"/>
              </w:rPr>
            </w:pPr>
            <w:r>
              <w:rPr>
                <w:color w:val="auto"/>
                <w:sz w:val="18"/>
                <w:szCs w:val="18"/>
                <w:highlight w:val="none"/>
                <w:lang w:val="zh-CN"/>
              </w:rPr>
              <w:t>（3）具有履行合同所必需的设备和专业技术能力</w:t>
            </w:r>
          </w:p>
        </w:tc>
        <w:tc>
          <w:tcPr>
            <w:tcW w:w="0" w:type="auto"/>
            <w:vAlign w:val="center"/>
          </w:tcPr>
          <w:p w14:paraId="173A1A3A">
            <w:pPr>
              <w:spacing w:line="300" w:lineRule="exact"/>
              <w:rPr>
                <w:color w:val="auto"/>
                <w:sz w:val="18"/>
                <w:szCs w:val="18"/>
                <w:highlight w:val="none"/>
              </w:rPr>
            </w:pPr>
            <w:r>
              <w:rPr>
                <w:rFonts w:hint="eastAsia" w:ascii="宋体" w:hAnsi="宋体" w:cs="宋体"/>
                <w:color w:val="auto"/>
                <w:sz w:val="18"/>
                <w:szCs w:val="18"/>
                <w:highlight w:val="none"/>
              </w:rPr>
              <w:t>①</w:t>
            </w:r>
            <w:r>
              <w:rPr>
                <w:color w:val="auto"/>
                <w:sz w:val="18"/>
                <w:szCs w:val="18"/>
                <w:highlight w:val="none"/>
              </w:rPr>
              <w:t>提供拟投入施工机械设备证明材料、项目管理机构人员资格证件及在供应商单位依法缴纳社会保险的凭证等相关证明材料的</w:t>
            </w:r>
            <w:r>
              <w:rPr>
                <w:rFonts w:hint="eastAsia"/>
                <w:color w:val="auto"/>
                <w:sz w:val="18"/>
                <w:szCs w:val="18"/>
                <w:highlight w:val="none"/>
              </w:rPr>
              <w:t>扫描件</w:t>
            </w:r>
            <w:r>
              <w:rPr>
                <w:color w:val="auto"/>
                <w:sz w:val="18"/>
                <w:szCs w:val="18"/>
                <w:highlight w:val="none"/>
              </w:rPr>
              <w:t>。</w:t>
            </w:r>
          </w:p>
          <w:p w14:paraId="2B0CD978">
            <w:pPr>
              <w:spacing w:line="240" w:lineRule="exact"/>
              <w:rPr>
                <w:color w:val="auto"/>
                <w:sz w:val="18"/>
                <w:szCs w:val="18"/>
                <w:highlight w:val="none"/>
              </w:rPr>
            </w:pPr>
            <w:r>
              <w:rPr>
                <w:rFonts w:hint="eastAsia" w:ascii="宋体" w:hAnsi="宋体" w:cs="宋体"/>
                <w:color w:val="auto"/>
                <w:sz w:val="18"/>
                <w:szCs w:val="18"/>
                <w:highlight w:val="none"/>
              </w:rPr>
              <w:t>②</w:t>
            </w:r>
            <w:r>
              <w:rPr>
                <w:color w:val="auto"/>
                <w:sz w:val="18"/>
                <w:szCs w:val="18"/>
                <w:highlight w:val="none"/>
              </w:rPr>
              <w:t>审查书面声明。须提供，格式见第</w:t>
            </w:r>
            <w:r>
              <w:rPr>
                <w:rFonts w:hint="eastAsia"/>
                <w:color w:val="auto"/>
                <w:sz w:val="18"/>
                <w:szCs w:val="18"/>
                <w:highlight w:val="none"/>
              </w:rPr>
              <w:t>六章</w:t>
            </w:r>
            <w:r>
              <w:rPr>
                <w:color w:val="auto"/>
                <w:sz w:val="18"/>
                <w:szCs w:val="18"/>
                <w:highlight w:val="none"/>
              </w:rPr>
              <w:t>响应文件格式“</w:t>
            </w:r>
            <w:r>
              <w:rPr>
                <w:rFonts w:hint="eastAsia"/>
                <w:color w:val="auto"/>
                <w:sz w:val="18"/>
                <w:szCs w:val="18"/>
                <w:highlight w:val="none"/>
              </w:rPr>
              <w:t>响应</w:t>
            </w:r>
            <w:r>
              <w:rPr>
                <w:color w:val="auto"/>
                <w:sz w:val="18"/>
                <w:szCs w:val="18"/>
                <w:highlight w:val="none"/>
              </w:rPr>
              <w:t>声明书”。</w:t>
            </w:r>
          </w:p>
          <w:p w14:paraId="26FFA57D">
            <w:pPr>
              <w:spacing w:line="240" w:lineRule="exact"/>
              <w:rPr>
                <w:color w:val="auto"/>
                <w:sz w:val="18"/>
                <w:szCs w:val="18"/>
                <w:highlight w:val="none"/>
              </w:rPr>
            </w:pPr>
            <w:r>
              <w:rPr>
                <w:color w:val="auto"/>
                <w:sz w:val="18"/>
                <w:szCs w:val="18"/>
                <w:highlight w:val="none"/>
              </w:rPr>
              <w:t>审查</w:t>
            </w:r>
            <w:r>
              <w:rPr>
                <w:rFonts w:hint="eastAsia" w:ascii="宋体" w:hAnsi="宋体" w:cs="宋体"/>
                <w:color w:val="auto"/>
                <w:sz w:val="18"/>
                <w:szCs w:val="18"/>
                <w:highlight w:val="none"/>
              </w:rPr>
              <w:t>①</w:t>
            </w:r>
            <w:r>
              <w:rPr>
                <w:color w:val="auto"/>
                <w:sz w:val="18"/>
                <w:szCs w:val="18"/>
                <w:highlight w:val="none"/>
              </w:rPr>
              <w:t>或</w:t>
            </w:r>
            <w:r>
              <w:rPr>
                <w:rFonts w:hint="eastAsia" w:ascii="宋体" w:hAnsi="宋体" w:cs="宋体"/>
                <w:color w:val="auto"/>
                <w:sz w:val="18"/>
                <w:szCs w:val="18"/>
                <w:highlight w:val="none"/>
              </w:rPr>
              <w:t>②</w:t>
            </w:r>
            <w:r>
              <w:rPr>
                <w:color w:val="auto"/>
                <w:sz w:val="18"/>
                <w:szCs w:val="18"/>
                <w:highlight w:val="none"/>
              </w:rPr>
              <w:t>，满足其一，即为符合要求。</w:t>
            </w:r>
          </w:p>
        </w:tc>
      </w:tr>
      <w:tr w14:paraId="16465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6" w:hRule="atLeast"/>
        </w:trPr>
        <w:tc>
          <w:tcPr>
            <w:tcW w:w="1101" w:type="dxa"/>
            <w:vMerge w:val="continue"/>
            <w:vAlign w:val="center"/>
          </w:tcPr>
          <w:p w14:paraId="1B0F043F">
            <w:pPr>
              <w:spacing w:line="240" w:lineRule="exact"/>
              <w:jc w:val="center"/>
              <w:rPr>
                <w:color w:val="auto"/>
                <w:sz w:val="18"/>
                <w:szCs w:val="18"/>
                <w:highlight w:val="none"/>
              </w:rPr>
            </w:pPr>
          </w:p>
        </w:tc>
        <w:tc>
          <w:tcPr>
            <w:tcW w:w="2727" w:type="dxa"/>
            <w:gridSpan w:val="2"/>
            <w:vAlign w:val="center"/>
          </w:tcPr>
          <w:p w14:paraId="2A229A63">
            <w:pPr>
              <w:spacing w:line="240" w:lineRule="exact"/>
              <w:rPr>
                <w:color w:val="auto"/>
                <w:sz w:val="18"/>
                <w:szCs w:val="18"/>
                <w:highlight w:val="none"/>
                <w:lang w:val="zh-CN"/>
              </w:rPr>
            </w:pPr>
            <w:r>
              <w:rPr>
                <w:color w:val="auto"/>
                <w:sz w:val="18"/>
                <w:szCs w:val="18"/>
                <w:highlight w:val="none"/>
                <w:lang w:val="zh-CN"/>
              </w:rPr>
              <w:t>（4）有依法缴纳税收和社会保障金的良好记录</w:t>
            </w:r>
          </w:p>
        </w:tc>
        <w:tc>
          <w:tcPr>
            <w:tcW w:w="0" w:type="auto"/>
            <w:vAlign w:val="center"/>
          </w:tcPr>
          <w:p w14:paraId="0C8995F8">
            <w:pPr>
              <w:spacing w:line="240" w:lineRule="exact"/>
              <w:jc w:val="left"/>
              <w:rPr>
                <w:color w:val="auto"/>
                <w:sz w:val="18"/>
                <w:szCs w:val="18"/>
                <w:highlight w:val="none"/>
              </w:rPr>
            </w:pPr>
            <w:r>
              <w:rPr>
                <w:rFonts w:hint="eastAsia" w:ascii="宋体" w:hAnsi="宋体" w:cs="宋体"/>
                <w:color w:val="auto"/>
                <w:sz w:val="18"/>
                <w:szCs w:val="18"/>
                <w:highlight w:val="none"/>
              </w:rPr>
              <w:t>①</w:t>
            </w:r>
            <w:r>
              <w:rPr>
                <w:color w:val="auto"/>
                <w:sz w:val="18"/>
                <w:szCs w:val="18"/>
                <w:highlight w:val="none"/>
              </w:rPr>
              <w:t>审查</w:t>
            </w:r>
            <w:r>
              <w:rPr>
                <w:rFonts w:hint="eastAsia"/>
                <w:color w:val="auto"/>
                <w:sz w:val="18"/>
                <w:szCs w:val="18"/>
                <w:highlight w:val="none"/>
              </w:rPr>
              <w:t>响应</w:t>
            </w:r>
            <w:r>
              <w:rPr>
                <w:color w:val="auto"/>
                <w:sz w:val="18"/>
                <w:szCs w:val="18"/>
                <w:highlight w:val="none"/>
              </w:rPr>
              <w:t>截止时间前6个月内，</w:t>
            </w:r>
            <w:r>
              <w:rPr>
                <w:rFonts w:hint="eastAsia"/>
                <w:color w:val="auto"/>
                <w:sz w:val="18"/>
                <w:szCs w:val="18"/>
                <w:highlight w:val="none"/>
              </w:rPr>
              <w:t>供应商</w:t>
            </w:r>
            <w:r>
              <w:rPr>
                <w:color w:val="auto"/>
                <w:sz w:val="18"/>
                <w:szCs w:val="18"/>
                <w:highlight w:val="none"/>
              </w:rPr>
              <w:t>任意</w:t>
            </w:r>
            <w:r>
              <w:rPr>
                <w:rFonts w:hint="eastAsia"/>
                <w:color w:val="auto"/>
                <w:sz w:val="18"/>
                <w:szCs w:val="18"/>
                <w:highlight w:val="none"/>
              </w:rPr>
              <w:t>1个月</w:t>
            </w:r>
            <w:r>
              <w:rPr>
                <w:color w:val="auto"/>
                <w:sz w:val="18"/>
                <w:szCs w:val="18"/>
                <w:highlight w:val="none"/>
              </w:rPr>
              <w:t>依法缴纳税费证明</w:t>
            </w:r>
            <w:r>
              <w:rPr>
                <w:rFonts w:hint="eastAsia"/>
                <w:color w:val="auto"/>
                <w:sz w:val="18"/>
                <w:szCs w:val="18"/>
                <w:highlight w:val="none"/>
              </w:rPr>
              <w:t>扫描件</w:t>
            </w:r>
            <w:r>
              <w:rPr>
                <w:color w:val="auto"/>
                <w:sz w:val="18"/>
                <w:szCs w:val="18"/>
                <w:highlight w:val="none"/>
              </w:rPr>
              <w:t>加盖供应商</w:t>
            </w:r>
            <w:r>
              <w:rPr>
                <w:rFonts w:hint="eastAsia"/>
                <w:color w:val="auto"/>
                <w:sz w:val="18"/>
                <w:szCs w:val="18"/>
                <w:highlight w:val="none"/>
              </w:rPr>
              <w:t>电子签章</w:t>
            </w:r>
            <w:r>
              <w:rPr>
                <w:color w:val="auto"/>
                <w:sz w:val="18"/>
                <w:szCs w:val="18"/>
                <w:highlight w:val="none"/>
              </w:rPr>
              <w:t>。</w:t>
            </w:r>
          </w:p>
          <w:p w14:paraId="154B01F2">
            <w:pPr>
              <w:spacing w:line="240" w:lineRule="exact"/>
              <w:jc w:val="left"/>
              <w:rPr>
                <w:color w:val="auto"/>
                <w:sz w:val="18"/>
                <w:szCs w:val="18"/>
                <w:highlight w:val="none"/>
              </w:rPr>
            </w:pPr>
            <w:r>
              <w:rPr>
                <w:rFonts w:hint="eastAsia" w:ascii="宋体" w:hAnsi="宋体" w:cs="宋体"/>
                <w:color w:val="auto"/>
                <w:sz w:val="18"/>
                <w:szCs w:val="18"/>
                <w:highlight w:val="none"/>
              </w:rPr>
              <w:t>②</w:t>
            </w:r>
            <w:r>
              <w:rPr>
                <w:color w:val="auto"/>
                <w:sz w:val="18"/>
                <w:szCs w:val="18"/>
                <w:highlight w:val="none"/>
              </w:rPr>
              <w:t>审查</w:t>
            </w:r>
            <w:r>
              <w:rPr>
                <w:rFonts w:hint="eastAsia"/>
                <w:color w:val="auto"/>
                <w:sz w:val="18"/>
                <w:szCs w:val="18"/>
                <w:highlight w:val="none"/>
              </w:rPr>
              <w:t>响应</w:t>
            </w:r>
            <w:r>
              <w:rPr>
                <w:color w:val="auto"/>
                <w:sz w:val="18"/>
                <w:szCs w:val="18"/>
                <w:highlight w:val="none"/>
              </w:rPr>
              <w:t>截止时间前6个月内，</w:t>
            </w:r>
            <w:r>
              <w:rPr>
                <w:rFonts w:hint="eastAsia"/>
                <w:color w:val="auto"/>
                <w:sz w:val="18"/>
                <w:szCs w:val="18"/>
                <w:highlight w:val="none"/>
              </w:rPr>
              <w:t>供应商</w:t>
            </w:r>
            <w:r>
              <w:rPr>
                <w:color w:val="auto"/>
                <w:sz w:val="18"/>
                <w:szCs w:val="18"/>
                <w:highlight w:val="none"/>
              </w:rPr>
              <w:t>任意</w:t>
            </w:r>
            <w:r>
              <w:rPr>
                <w:rFonts w:hint="eastAsia"/>
                <w:color w:val="auto"/>
                <w:sz w:val="18"/>
                <w:szCs w:val="18"/>
                <w:highlight w:val="none"/>
              </w:rPr>
              <w:t>1个月</w:t>
            </w:r>
            <w:r>
              <w:rPr>
                <w:color w:val="auto"/>
                <w:sz w:val="18"/>
                <w:szCs w:val="18"/>
                <w:highlight w:val="none"/>
              </w:rPr>
              <w:t>的社保缴费证明记录</w:t>
            </w:r>
            <w:r>
              <w:rPr>
                <w:rFonts w:hint="eastAsia"/>
                <w:color w:val="auto"/>
                <w:sz w:val="18"/>
                <w:szCs w:val="18"/>
                <w:highlight w:val="none"/>
              </w:rPr>
              <w:t>扫描件</w:t>
            </w:r>
            <w:r>
              <w:rPr>
                <w:color w:val="auto"/>
                <w:sz w:val="18"/>
                <w:szCs w:val="18"/>
                <w:highlight w:val="none"/>
              </w:rPr>
              <w:t>加盖供应商</w:t>
            </w:r>
            <w:r>
              <w:rPr>
                <w:rFonts w:hint="eastAsia"/>
                <w:color w:val="auto"/>
                <w:sz w:val="18"/>
                <w:szCs w:val="18"/>
                <w:highlight w:val="none"/>
              </w:rPr>
              <w:t>电子签章</w:t>
            </w:r>
            <w:r>
              <w:rPr>
                <w:color w:val="auto"/>
                <w:sz w:val="18"/>
                <w:szCs w:val="18"/>
                <w:highlight w:val="none"/>
              </w:rPr>
              <w:t>。</w:t>
            </w:r>
          </w:p>
          <w:p w14:paraId="799652E3">
            <w:pPr>
              <w:spacing w:line="240" w:lineRule="exact"/>
              <w:jc w:val="left"/>
              <w:rPr>
                <w:color w:val="auto"/>
                <w:sz w:val="18"/>
                <w:szCs w:val="18"/>
                <w:highlight w:val="none"/>
              </w:rPr>
            </w:pPr>
            <w:r>
              <w:rPr>
                <w:color w:val="auto"/>
                <w:sz w:val="18"/>
                <w:szCs w:val="18"/>
                <w:highlight w:val="none"/>
              </w:rPr>
              <w:t>供应商成立不足</w:t>
            </w:r>
            <w:r>
              <w:rPr>
                <w:rFonts w:hint="eastAsia"/>
                <w:color w:val="auto"/>
                <w:sz w:val="18"/>
                <w:szCs w:val="18"/>
                <w:highlight w:val="none"/>
              </w:rPr>
              <w:t>1个月的，无须提供</w:t>
            </w:r>
            <w:r>
              <w:rPr>
                <w:color w:val="auto"/>
                <w:sz w:val="18"/>
                <w:szCs w:val="18"/>
                <w:highlight w:val="none"/>
              </w:rPr>
              <w:t>缴纳税费证明及社保缴费证明加盖供应商电子签章</w:t>
            </w:r>
            <w:r>
              <w:rPr>
                <w:rFonts w:hint="eastAsia"/>
                <w:color w:val="auto"/>
                <w:sz w:val="18"/>
                <w:szCs w:val="18"/>
                <w:highlight w:val="none"/>
              </w:rPr>
              <w:t>。</w:t>
            </w:r>
          </w:p>
          <w:p w14:paraId="16F6D497">
            <w:pPr>
              <w:spacing w:line="240" w:lineRule="exact"/>
              <w:rPr>
                <w:color w:val="auto"/>
                <w:sz w:val="18"/>
                <w:szCs w:val="18"/>
                <w:highlight w:val="none"/>
              </w:rPr>
            </w:pPr>
            <w:r>
              <w:rPr>
                <w:color w:val="auto"/>
                <w:sz w:val="18"/>
                <w:szCs w:val="18"/>
                <w:highlight w:val="none"/>
              </w:rPr>
              <w:t>依法免税或不需要缴纳社会保障资金的供应商，须提供相应文件证明其依法免税或不需要缴纳社会保障资金。</w:t>
            </w:r>
          </w:p>
        </w:tc>
      </w:tr>
      <w:tr w14:paraId="27A9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7" w:hRule="atLeast"/>
        </w:trPr>
        <w:tc>
          <w:tcPr>
            <w:tcW w:w="1101" w:type="dxa"/>
            <w:vMerge w:val="continue"/>
            <w:vAlign w:val="center"/>
          </w:tcPr>
          <w:p w14:paraId="24867D3E">
            <w:pPr>
              <w:spacing w:line="240" w:lineRule="exact"/>
              <w:jc w:val="center"/>
              <w:rPr>
                <w:color w:val="auto"/>
                <w:sz w:val="18"/>
                <w:szCs w:val="18"/>
                <w:highlight w:val="none"/>
              </w:rPr>
            </w:pPr>
          </w:p>
        </w:tc>
        <w:tc>
          <w:tcPr>
            <w:tcW w:w="2727" w:type="dxa"/>
            <w:gridSpan w:val="2"/>
            <w:vAlign w:val="center"/>
          </w:tcPr>
          <w:p w14:paraId="567F70BD">
            <w:pPr>
              <w:spacing w:line="240" w:lineRule="exact"/>
              <w:rPr>
                <w:color w:val="auto"/>
                <w:sz w:val="18"/>
                <w:szCs w:val="18"/>
                <w:highlight w:val="none"/>
                <w:lang w:val="zh-CN"/>
              </w:rPr>
            </w:pPr>
            <w:r>
              <w:rPr>
                <w:color w:val="auto"/>
                <w:sz w:val="18"/>
                <w:szCs w:val="18"/>
                <w:highlight w:val="none"/>
              </w:rPr>
              <w:t>（5）参加政府采购活动前三年内，在经营活动中没有重大违法记录</w:t>
            </w:r>
          </w:p>
        </w:tc>
        <w:tc>
          <w:tcPr>
            <w:tcW w:w="0" w:type="auto"/>
            <w:vAlign w:val="center"/>
          </w:tcPr>
          <w:p w14:paraId="7214EBDB">
            <w:pPr>
              <w:spacing w:line="240" w:lineRule="exact"/>
              <w:jc w:val="left"/>
              <w:rPr>
                <w:color w:val="auto"/>
                <w:sz w:val="18"/>
                <w:szCs w:val="18"/>
                <w:highlight w:val="none"/>
              </w:rPr>
            </w:pPr>
            <w:r>
              <w:rPr>
                <w:color w:val="auto"/>
                <w:sz w:val="18"/>
                <w:szCs w:val="18"/>
                <w:highlight w:val="none"/>
              </w:rPr>
              <w:t>审查无重大违法记录声明。须提供，格式见第</w:t>
            </w:r>
            <w:r>
              <w:rPr>
                <w:rFonts w:hint="eastAsia"/>
                <w:color w:val="auto"/>
                <w:sz w:val="18"/>
                <w:szCs w:val="18"/>
                <w:highlight w:val="none"/>
              </w:rPr>
              <w:t>六章</w:t>
            </w:r>
            <w:r>
              <w:rPr>
                <w:color w:val="auto"/>
                <w:sz w:val="18"/>
                <w:szCs w:val="18"/>
                <w:highlight w:val="none"/>
              </w:rPr>
              <w:t xml:space="preserve">响应文件格式“响应声明书”。 </w:t>
            </w:r>
          </w:p>
        </w:tc>
      </w:tr>
      <w:tr w14:paraId="28C9F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1101" w:type="dxa"/>
            <w:vMerge w:val="continue"/>
            <w:vAlign w:val="center"/>
          </w:tcPr>
          <w:p w14:paraId="20E2F909">
            <w:pPr>
              <w:spacing w:line="240" w:lineRule="exact"/>
              <w:jc w:val="center"/>
              <w:rPr>
                <w:color w:val="auto"/>
                <w:sz w:val="18"/>
                <w:szCs w:val="18"/>
                <w:highlight w:val="none"/>
              </w:rPr>
            </w:pPr>
          </w:p>
        </w:tc>
        <w:tc>
          <w:tcPr>
            <w:tcW w:w="2727" w:type="dxa"/>
            <w:gridSpan w:val="2"/>
            <w:vAlign w:val="center"/>
          </w:tcPr>
          <w:p w14:paraId="3E78A38A">
            <w:pPr>
              <w:spacing w:line="240" w:lineRule="exact"/>
              <w:rPr>
                <w:color w:val="auto"/>
                <w:sz w:val="18"/>
                <w:szCs w:val="18"/>
                <w:highlight w:val="none"/>
              </w:rPr>
            </w:pPr>
            <w:r>
              <w:rPr>
                <w:color w:val="auto"/>
                <w:sz w:val="18"/>
                <w:szCs w:val="18"/>
                <w:highlight w:val="none"/>
              </w:rPr>
              <w:t>（6）具备法律、行政法规规定的其他要求</w:t>
            </w:r>
          </w:p>
        </w:tc>
        <w:tc>
          <w:tcPr>
            <w:tcW w:w="0" w:type="auto"/>
            <w:vAlign w:val="center"/>
          </w:tcPr>
          <w:p w14:paraId="3526B3BC">
            <w:pPr>
              <w:spacing w:line="240" w:lineRule="exact"/>
              <w:rPr>
                <w:color w:val="auto"/>
                <w:sz w:val="18"/>
                <w:szCs w:val="18"/>
                <w:highlight w:val="none"/>
              </w:rPr>
            </w:pPr>
            <w:r>
              <w:rPr>
                <w:rFonts w:hint="eastAsia"/>
                <w:color w:val="auto"/>
                <w:sz w:val="18"/>
                <w:szCs w:val="18"/>
                <w:highlight w:val="none"/>
              </w:rPr>
              <w:t>无。</w:t>
            </w:r>
          </w:p>
        </w:tc>
      </w:tr>
      <w:tr w14:paraId="09824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1101" w:type="dxa"/>
            <w:vAlign w:val="center"/>
          </w:tcPr>
          <w:p w14:paraId="67C347C7">
            <w:pPr>
              <w:spacing w:line="240" w:lineRule="exact"/>
              <w:rPr>
                <w:color w:val="auto"/>
                <w:sz w:val="18"/>
                <w:szCs w:val="18"/>
                <w:highlight w:val="none"/>
                <w:lang w:val="zh-CN"/>
              </w:rPr>
            </w:pPr>
            <w:r>
              <w:rPr>
                <w:rFonts w:hint="eastAsia"/>
                <w:color w:val="auto"/>
                <w:kern w:val="0"/>
                <w:sz w:val="18"/>
                <w:szCs w:val="18"/>
                <w:highlight w:val="none"/>
              </w:rPr>
              <w:t>采购政策</w:t>
            </w:r>
          </w:p>
        </w:tc>
        <w:tc>
          <w:tcPr>
            <w:tcW w:w="2727" w:type="dxa"/>
            <w:gridSpan w:val="2"/>
            <w:vAlign w:val="center"/>
          </w:tcPr>
          <w:p w14:paraId="49A5800C">
            <w:pPr>
              <w:spacing w:line="240" w:lineRule="exact"/>
              <w:jc w:val="left"/>
              <w:rPr>
                <w:color w:val="auto"/>
                <w:sz w:val="18"/>
                <w:szCs w:val="18"/>
                <w:highlight w:val="none"/>
              </w:rPr>
            </w:pPr>
            <w:r>
              <w:rPr>
                <w:rFonts w:hint="eastAsia"/>
                <w:color w:val="auto"/>
                <w:sz w:val="18"/>
                <w:szCs w:val="18"/>
                <w:highlight w:val="none"/>
              </w:rPr>
              <w:t>落实政府采购政策需满足的资格要求</w:t>
            </w:r>
          </w:p>
        </w:tc>
        <w:tc>
          <w:tcPr>
            <w:tcW w:w="0" w:type="auto"/>
            <w:vAlign w:val="center"/>
          </w:tcPr>
          <w:p w14:paraId="6D2E35A2">
            <w:pPr>
              <w:spacing w:line="240" w:lineRule="exact"/>
              <w:rPr>
                <w:color w:val="auto"/>
                <w:sz w:val="18"/>
                <w:szCs w:val="18"/>
                <w:highlight w:val="none"/>
              </w:rPr>
            </w:pPr>
          </w:p>
          <w:p w14:paraId="20CC698F">
            <w:pPr>
              <w:spacing w:line="240" w:lineRule="exact"/>
              <w:rPr>
                <w:rFonts w:ascii="宋体" w:hAnsi="宋体" w:cs="宋体"/>
                <w:color w:val="auto"/>
                <w:sz w:val="18"/>
                <w:szCs w:val="18"/>
                <w:highlight w:val="none"/>
              </w:rPr>
            </w:pPr>
            <w:r>
              <w:rPr>
                <w:rFonts w:hint="eastAsia" w:ascii="宋体" w:hAnsi="宋体" w:cs="宋体"/>
                <w:color w:val="auto"/>
                <w:sz w:val="18"/>
                <w:szCs w:val="18"/>
                <w:highlight w:val="none"/>
              </w:rPr>
              <w:t>供应商独立</w:t>
            </w:r>
            <w:r>
              <w:rPr>
                <w:rFonts w:hint="eastAsia"/>
                <w:color w:val="auto"/>
                <w:sz w:val="18"/>
                <w:szCs w:val="18"/>
                <w:highlight w:val="none"/>
              </w:rPr>
              <w:t>响应</w:t>
            </w:r>
            <w:r>
              <w:rPr>
                <w:rFonts w:hint="eastAsia" w:ascii="宋体" w:hAnsi="宋体" w:cs="宋体"/>
                <w:color w:val="auto"/>
                <w:sz w:val="18"/>
                <w:szCs w:val="18"/>
                <w:highlight w:val="none"/>
              </w:rPr>
              <w:t>：</w:t>
            </w:r>
          </w:p>
          <w:p w14:paraId="37A032C0">
            <w:pPr>
              <w:spacing w:line="240" w:lineRule="exact"/>
              <w:rPr>
                <w:color w:val="auto"/>
                <w:sz w:val="18"/>
                <w:szCs w:val="18"/>
                <w:highlight w:val="none"/>
              </w:rPr>
            </w:pPr>
            <w:r>
              <w:rPr>
                <w:rFonts w:hint="eastAsia" w:ascii="宋体" w:hAnsi="宋体" w:cs="宋体"/>
                <w:color w:val="auto"/>
                <w:sz w:val="18"/>
                <w:szCs w:val="18"/>
                <w:highlight w:val="none"/>
              </w:rPr>
              <w:t>提供</w:t>
            </w:r>
            <w:r>
              <w:rPr>
                <w:rFonts w:hint="eastAsia"/>
                <w:color w:val="auto"/>
                <w:sz w:val="18"/>
                <w:szCs w:val="18"/>
                <w:highlight w:val="none"/>
              </w:rPr>
              <w:t>《中小企业声明函》</w:t>
            </w:r>
            <w:r>
              <w:rPr>
                <w:rFonts w:hint="eastAsia" w:ascii="宋体" w:hAnsi="宋体" w:cs="宋体"/>
                <w:color w:val="auto"/>
                <w:sz w:val="18"/>
                <w:szCs w:val="18"/>
                <w:highlight w:val="none"/>
              </w:rPr>
              <w:t>，符合承建</w:t>
            </w:r>
            <w:r>
              <w:rPr>
                <w:rFonts w:hint="eastAsia"/>
                <w:color w:val="auto"/>
                <w:sz w:val="18"/>
                <w:szCs w:val="18"/>
                <w:highlight w:val="none"/>
              </w:rPr>
              <w:t>采购文件标明所属行业的标的物的工程施工单位应全部为中型或小型或微型企业</w:t>
            </w:r>
            <w:r>
              <w:rPr>
                <w:rFonts w:hint="eastAsia" w:ascii="宋体" w:hAnsi="宋体" w:cs="宋体"/>
                <w:color w:val="auto"/>
                <w:sz w:val="18"/>
                <w:szCs w:val="18"/>
                <w:highlight w:val="none"/>
              </w:rPr>
              <w:t>的条件</w:t>
            </w:r>
            <w:r>
              <w:rPr>
                <w:rFonts w:hint="eastAsia"/>
                <w:color w:val="auto"/>
                <w:sz w:val="18"/>
                <w:szCs w:val="18"/>
                <w:highlight w:val="none"/>
              </w:rPr>
              <w:t>。</w:t>
            </w:r>
          </w:p>
          <w:p w14:paraId="17C7C851">
            <w:pPr>
              <w:spacing w:line="240" w:lineRule="exact"/>
              <w:jc w:val="left"/>
              <w:rPr>
                <w:rFonts w:ascii="宋体" w:hAnsi="宋体" w:cs="宋体"/>
                <w:color w:val="auto"/>
                <w:sz w:val="18"/>
                <w:szCs w:val="18"/>
                <w:highlight w:val="none"/>
              </w:rPr>
            </w:pPr>
            <w:r>
              <w:rPr>
                <w:rFonts w:hint="eastAsia"/>
                <w:color w:val="auto"/>
                <w:sz w:val="18"/>
                <w:szCs w:val="18"/>
                <w:highlight w:val="none"/>
              </w:rPr>
              <w:t>注：1、符合</w:t>
            </w:r>
            <w:r>
              <w:rPr>
                <w:rFonts w:hint="eastAsia" w:ascii="宋体" w:hAnsi="宋体" w:cs="宋体"/>
                <w:color w:val="auto"/>
                <w:sz w:val="18"/>
                <w:szCs w:val="18"/>
                <w:highlight w:val="none"/>
              </w:rPr>
              <w:t>监狱企业出具监狱企业证明文件的、符合残疾人福利性单位出具《残疾人福利性单位声明函》的视同中小企业。</w:t>
            </w:r>
          </w:p>
          <w:p w14:paraId="665C99B9">
            <w:pPr>
              <w:spacing w:line="240" w:lineRule="exact"/>
              <w:jc w:val="left"/>
              <w:rPr>
                <w:color w:val="auto"/>
                <w:sz w:val="18"/>
                <w:szCs w:val="18"/>
                <w:highlight w:val="none"/>
              </w:rPr>
            </w:pPr>
            <w:r>
              <w:rPr>
                <w:color w:val="auto"/>
                <w:sz w:val="18"/>
                <w:szCs w:val="18"/>
                <w:highlight w:val="none"/>
              </w:rPr>
              <w:t>2</w:t>
            </w:r>
            <w:r>
              <w:rPr>
                <w:rFonts w:hint="eastAsia"/>
                <w:color w:val="auto"/>
                <w:sz w:val="18"/>
                <w:szCs w:val="18"/>
                <w:highlight w:val="none"/>
              </w:rPr>
              <w:t>、律师事务所、司法鉴定机构不适用《中小企业划型标准规定》，不享受中小企业发展政策。</w:t>
            </w:r>
          </w:p>
        </w:tc>
      </w:tr>
      <w:tr w14:paraId="3532A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101" w:type="dxa"/>
            <w:vMerge w:val="restart"/>
            <w:vAlign w:val="center"/>
          </w:tcPr>
          <w:p w14:paraId="65F5D01A">
            <w:pPr>
              <w:spacing w:line="240" w:lineRule="exact"/>
              <w:jc w:val="center"/>
              <w:rPr>
                <w:color w:val="auto"/>
                <w:sz w:val="18"/>
                <w:szCs w:val="18"/>
                <w:highlight w:val="none"/>
              </w:rPr>
            </w:pPr>
            <w:r>
              <w:rPr>
                <w:color w:val="auto"/>
                <w:sz w:val="18"/>
                <w:szCs w:val="18"/>
                <w:highlight w:val="none"/>
                <w:lang w:val="zh-CN"/>
              </w:rPr>
              <w:t>供应商应符合的</w:t>
            </w:r>
            <w:r>
              <w:rPr>
                <w:color w:val="auto"/>
                <w:sz w:val="18"/>
                <w:szCs w:val="18"/>
                <w:highlight w:val="none"/>
              </w:rPr>
              <w:t>特定资格条件</w:t>
            </w:r>
          </w:p>
        </w:tc>
        <w:tc>
          <w:tcPr>
            <w:tcW w:w="2727" w:type="dxa"/>
            <w:gridSpan w:val="2"/>
            <w:vAlign w:val="center"/>
          </w:tcPr>
          <w:p w14:paraId="223D56B4">
            <w:pPr>
              <w:spacing w:line="240" w:lineRule="exact"/>
              <w:jc w:val="left"/>
              <w:rPr>
                <w:color w:val="auto"/>
                <w:sz w:val="18"/>
                <w:szCs w:val="18"/>
                <w:highlight w:val="none"/>
              </w:rPr>
            </w:pPr>
            <w:r>
              <w:rPr>
                <w:color w:val="auto"/>
                <w:sz w:val="18"/>
                <w:szCs w:val="18"/>
                <w:highlight w:val="none"/>
              </w:rPr>
              <w:t>（1）资质</w:t>
            </w:r>
            <w:r>
              <w:rPr>
                <w:rFonts w:hint="eastAsia"/>
                <w:color w:val="auto"/>
                <w:sz w:val="18"/>
                <w:szCs w:val="18"/>
                <w:highlight w:val="none"/>
              </w:rPr>
              <w:t>要求</w:t>
            </w:r>
          </w:p>
        </w:tc>
        <w:tc>
          <w:tcPr>
            <w:tcW w:w="0" w:type="auto"/>
            <w:vAlign w:val="center"/>
          </w:tcPr>
          <w:p w14:paraId="26340864">
            <w:pPr>
              <w:spacing w:line="240" w:lineRule="exact"/>
              <w:rPr>
                <w:color w:val="auto"/>
                <w:sz w:val="18"/>
                <w:szCs w:val="18"/>
                <w:highlight w:val="none"/>
              </w:rPr>
            </w:pPr>
            <w:r>
              <w:rPr>
                <w:color w:val="auto"/>
                <w:sz w:val="18"/>
                <w:szCs w:val="18"/>
                <w:highlight w:val="none"/>
              </w:rPr>
              <w:t>须符合</w:t>
            </w:r>
            <w:r>
              <w:rPr>
                <w:rFonts w:hint="eastAsia"/>
                <w:color w:val="auto"/>
                <w:sz w:val="18"/>
                <w:szCs w:val="18"/>
                <w:highlight w:val="none"/>
              </w:rPr>
              <w:t>“磋商公告”</w:t>
            </w:r>
            <w:r>
              <w:rPr>
                <w:color w:val="auto"/>
                <w:sz w:val="18"/>
                <w:szCs w:val="18"/>
                <w:highlight w:val="none"/>
              </w:rPr>
              <w:t>要求</w:t>
            </w:r>
            <w:r>
              <w:rPr>
                <w:rFonts w:hint="eastAsia"/>
                <w:color w:val="auto"/>
                <w:sz w:val="18"/>
                <w:szCs w:val="18"/>
                <w:highlight w:val="none"/>
              </w:rPr>
              <w:t>。</w:t>
            </w:r>
          </w:p>
        </w:tc>
      </w:tr>
      <w:tr w14:paraId="4D8BE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0" w:hRule="atLeast"/>
        </w:trPr>
        <w:tc>
          <w:tcPr>
            <w:tcW w:w="1101" w:type="dxa"/>
            <w:vMerge w:val="continue"/>
            <w:vAlign w:val="center"/>
          </w:tcPr>
          <w:p w14:paraId="72FED419">
            <w:pPr>
              <w:spacing w:line="240" w:lineRule="exact"/>
              <w:jc w:val="center"/>
              <w:rPr>
                <w:color w:val="auto"/>
                <w:sz w:val="18"/>
                <w:szCs w:val="18"/>
                <w:highlight w:val="none"/>
              </w:rPr>
            </w:pPr>
          </w:p>
        </w:tc>
        <w:tc>
          <w:tcPr>
            <w:tcW w:w="1461" w:type="dxa"/>
            <w:vMerge w:val="restart"/>
            <w:vAlign w:val="center"/>
          </w:tcPr>
          <w:p w14:paraId="351BB1D4">
            <w:pPr>
              <w:spacing w:line="240" w:lineRule="exact"/>
              <w:rPr>
                <w:color w:val="auto"/>
                <w:sz w:val="18"/>
                <w:szCs w:val="18"/>
                <w:highlight w:val="none"/>
              </w:rPr>
            </w:pPr>
            <w:r>
              <w:rPr>
                <w:rFonts w:hint="eastAsia"/>
                <w:color w:val="auto"/>
                <w:sz w:val="18"/>
                <w:szCs w:val="18"/>
                <w:highlight w:val="none"/>
              </w:rPr>
              <w:t>（2）人员要求</w:t>
            </w:r>
          </w:p>
        </w:tc>
        <w:tc>
          <w:tcPr>
            <w:tcW w:w="0" w:type="auto"/>
            <w:vAlign w:val="center"/>
          </w:tcPr>
          <w:p w14:paraId="0281D77A">
            <w:pPr>
              <w:spacing w:line="240" w:lineRule="exact"/>
              <w:jc w:val="left"/>
              <w:rPr>
                <w:color w:val="auto"/>
                <w:sz w:val="18"/>
                <w:szCs w:val="18"/>
                <w:highlight w:val="none"/>
              </w:rPr>
            </w:pPr>
            <w:r>
              <w:rPr>
                <w:rFonts w:hint="eastAsia"/>
                <w:color w:val="auto"/>
                <w:sz w:val="18"/>
                <w:szCs w:val="18"/>
                <w:highlight w:val="none"/>
              </w:rPr>
              <w:t>项目经理</w:t>
            </w:r>
          </w:p>
        </w:tc>
        <w:tc>
          <w:tcPr>
            <w:tcW w:w="0" w:type="auto"/>
            <w:vAlign w:val="center"/>
          </w:tcPr>
          <w:p w14:paraId="4A342568">
            <w:pPr>
              <w:spacing w:line="240" w:lineRule="exact"/>
              <w:rPr>
                <w:color w:val="auto"/>
                <w:sz w:val="18"/>
                <w:szCs w:val="18"/>
                <w:highlight w:val="none"/>
              </w:rPr>
            </w:pPr>
            <w:r>
              <w:rPr>
                <w:color w:val="auto"/>
                <w:sz w:val="18"/>
                <w:szCs w:val="18"/>
                <w:highlight w:val="none"/>
              </w:rPr>
              <w:t>须符合</w:t>
            </w:r>
            <w:r>
              <w:rPr>
                <w:rFonts w:hint="eastAsia"/>
                <w:color w:val="auto"/>
                <w:sz w:val="18"/>
                <w:szCs w:val="18"/>
                <w:highlight w:val="none"/>
              </w:rPr>
              <w:t>“磋商公告”</w:t>
            </w:r>
            <w:r>
              <w:rPr>
                <w:color w:val="auto"/>
                <w:sz w:val="18"/>
                <w:szCs w:val="18"/>
                <w:highlight w:val="none"/>
              </w:rPr>
              <w:t>要求</w:t>
            </w:r>
            <w:r>
              <w:rPr>
                <w:rFonts w:hint="eastAsia"/>
                <w:color w:val="auto"/>
                <w:sz w:val="18"/>
                <w:szCs w:val="18"/>
                <w:highlight w:val="none"/>
              </w:rPr>
              <w:t>。须提供在响应文件递交</w:t>
            </w:r>
            <w:r>
              <w:rPr>
                <w:color w:val="auto"/>
                <w:sz w:val="18"/>
                <w:szCs w:val="18"/>
                <w:highlight w:val="none"/>
              </w:rPr>
              <w:t>截止时间前6个月内</w:t>
            </w:r>
            <w:r>
              <w:rPr>
                <w:rFonts w:hint="eastAsia"/>
                <w:color w:val="auto"/>
                <w:sz w:val="18"/>
                <w:szCs w:val="18"/>
                <w:highlight w:val="none"/>
              </w:rPr>
              <w:t>任意1</w:t>
            </w:r>
            <w:r>
              <w:rPr>
                <w:color w:val="auto"/>
                <w:sz w:val="18"/>
                <w:szCs w:val="18"/>
                <w:highlight w:val="none"/>
              </w:rPr>
              <w:t>个月在现任职单位依法缴纳社会保险的</w:t>
            </w:r>
            <w:r>
              <w:rPr>
                <w:rFonts w:hint="eastAsia"/>
                <w:color w:val="auto"/>
                <w:sz w:val="18"/>
                <w:szCs w:val="18"/>
                <w:highlight w:val="none"/>
              </w:rPr>
              <w:t>证明材料扫描件。</w:t>
            </w:r>
          </w:p>
        </w:tc>
      </w:tr>
      <w:tr w14:paraId="591BA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trPr>
        <w:tc>
          <w:tcPr>
            <w:tcW w:w="1101" w:type="dxa"/>
            <w:vMerge w:val="continue"/>
            <w:vAlign w:val="center"/>
          </w:tcPr>
          <w:p w14:paraId="0B65CEBB">
            <w:pPr>
              <w:spacing w:line="240" w:lineRule="exact"/>
              <w:jc w:val="center"/>
              <w:rPr>
                <w:color w:val="auto"/>
                <w:sz w:val="18"/>
                <w:szCs w:val="18"/>
                <w:highlight w:val="none"/>
              </w:rPr>
            </w:pPr>
          </w:p>
        </w:tc>
        <w:tc>
          <w:tcPr>
            <w:tcW w:w="1461" w:type="dxa"/>
            <w:vMerge w:val="continue"/>
          </w:tcPr>
          <w:p w14:paraId="5BB89D6B">
            <w:pPr>
              <w:spacing w:line="240" w:lineRule="exact"/>
              <w:jc w:val="left"/>
              <w:rPr>
                <w:color w:val="auto"/>
                <w:sz w:val="18"/>
                <w:szCs w:val="18"/>
                <w:highlight w:val="none"/>
              </w:rPr>
            </w:pPr>
          </w:p>
        </w:tc>
        <w:tc>
          <w:tcPr>
            <w:tcW w:w="0" w:type="auto"/>
            <w:vAlign w:val="center"/>
          </w:tcPr>
          <w:p w14:paraId="547C08A2">
            <w:pPr>
              <w:spacing w:line="240" w:lineRule="exact"/>
              <w:jc w:val="left"/>
              <w:rPr>
                <w:color w:val="auto"/>
                <w:sz w:val="18"/>
                <w:szCs w:val="18"/>
                <w:highlight w:val="none"/>
              </w:rPr>
            </w:pPr>
            <w:r>
              <w:rPr>
                <w:rFonts w:hint="eastAsia"/>
                <w:color w:val="auto"/>
                <w:sz w:val="18"/>
                <w:szCs w:val="18"/>
                <w:highlight w:val="none"/>
              </w:rPr>
              <w:t>技术负责人</w:t>
            </w:r>
          </w:p>
        </w:tc>
        <w:tc>
          <w:tcPr>
            <w:tcW w:w="0" w:type="auto"/>
            <w:vAlign w:val="center"/>
          </w:tcPr>
          <w:p w14:paraId="356404DF">
            <w:pPr>
              <w:spacing w:line="240" w:lineRule="exact"/>
              <w:rPr>
                <w:color w:val="auto"/>
                <w:sz w:val="18"/>
                <w:szCs w:val="18"/>
                <w:highlight w:val="none"/>
              </w:rPr>
            </w:pPr>
            <w:r>
              <w:rPr>
                <w:color w:val="auto"/>
                <w:sz w:val="18"/>
                <w:szCs w:val="18"/>
                <w:highlight w:val="none"/>
              </w:rPr>
              <w:t>须符合</w:t>
            </w:r>
            <w:r>
              <w:rPr>
                <w:rFonts w:hint="eastAsia"/>
                <w:color w:val="auto"/>
                <w:sz w:val="18"/>
                <w:szCs w:val="18"/>
                <w:highlight w:val="none"/>
              </w:rPr>
              <w:t>“磋商公告”</w:t>
            </w:r>
            <w:r>
              <w:rPr>
                <w:color w:val="auto"/>
                <w:sz w:val="18"/>
                <w:szCs w:val="18"/>
                <w:highlight w:val="none"/>
              </w:rPr>
              <w:t>要求</w:t>
            </w:r>
            <w:r>
              <w:rPr>
                <w:rFonts w:hint="eastAsia"/>
                <w:color w:val="auto"/>
                <w:sz w:val="18"/>
                <w:szCs w:val="18"/>
                <w:highlight w:val="none"/>
              </w:rPr>
              <w:t>。须提供在响应文件递交</w:t>
            </w:r>
            <w:r>
              <w:rPr>
                <w:color w:val="auto"/>
                <w:sz w:val="18"/>
                <w:szCs w:val="18"/>
                <w:highlight w:val="none"/>
              </w:rPr>
              <w:t>截止时间前6个月内</w:t>
            </w:r>
            <w:r>
              <w:rPr>
                <w:rFonts w:hint="eastAsia"/>
                <w:color w:val="auto"/>
                <w:sz w:val="18"/>
                <w:szCs w:val="18"/>
                <w:highlight w:val="none"/>
              </w:rPr>
              <w:t>任意1</w:t>
            </w:r>
            <w:r>
              <w:rPr>
                <w:color w:val="auto"/>
                <w:sz w:val="18"/>
                <w:szCs w:val="18"/>
                <w:highlight w:val="none"/>
              </w:rPr>
              <w:t>个月在现任职单位依法缴纳社会保险的</w:t>
            </w:r>
            <w:r>
              <w:rPr>
                <w:rFonts w:hint="eastAsia"/>
                <w:color w:val="auto"/>
                <w:sz w:val="18"/>
                <w:szCs w:val="18"/>
                <w:highlight w:val="none"/>
              </w:rPr>
              <w:t>证明材料扫描件。</w:t>
            </w:r>
          </w:p>
        </w:tc>
      </w:tr>
      <w:tr w14:paraId="347A6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8" w:hRule="atLeast"/>
        </w:trPr>
        <w:tc>
          <w:tcPr>
            <w:tcW w:w="1101" w:type="dxa"/>
            <w:vMerge w:val="continue"/>
            <w:vAlign w:val="center"/>
          </w:tcPr>
          <w:p w14:paraId="14D1F46D">
            <w:pPr>
              <w:spacing w:line="240" w:lineRule="exact"/>
              <w:jc w:val="center"/>
              <w:rPr>
                <w:color w:val="auto"/>
                <w:sz w:val="18"/>
                <w:szCs w:val="18"/>
                <w:highlight w:val="none"/>
              </w:rPr>
            </w:pPr>
          </w:p>
        </w:tc>
        <w:tc>
          <w:tcPr>
            <w:tcW w:w="1461" w:type="dxa"/>
            <w:vMerge w:val="continue"/>
          </w:tcPr>
          <w:p w14:paraId="559AB4B7">
            <w:pPr>
              <w:spacing w:line="240" w:lineRule="exact"/>
              <w:jc w:val="left"/>
              <w:rPr>
                <w:color w:val="auto"/>
                <w:sz w:val="18"/>
                <w:szCs w:val="18"/>
                <w:highlight w:val="none"/>
              </w:rPr>
            </w:pPr>
          </w:p>
        </w:tc>
        <w:tc>
          <w:tcPr>
            <w:tcW w:w="0" w:type="auto"/>
            <w:vAlign w:val="center"/>
          </w:tcPr>
          <w:p w14:paraId="2B13B662">
            <w:pPr>
              <w:spacing w:line="240" w:lineRule="exact"/>
              <w:jc w:val="left"/>
              <w:rPr>
                <w:color w:val="auto"/>
                <w:sz w:val="18"/>
                <w:szCs w:val="18"/>
                <w:highlight w:val="none"/>
              </w:rPr>
            </w:pPr>
            <w:r>
              <w:rPr>
                <w:rFonts w:hint="eastAsia"/>
                <w:color w:val="auto"/>
                <w:sz w:val="18"/>
                <w:szCs w:val="18"/>
                <w:highlight w:val="none"/>
              </w:rPr>
              <w:t>专职安全员</w:t>
            </w:r>
          </w:p>
        </w:tc>
        <w:tc>
          <w:tcPr>
            <w:tcW w:w="0" w:type="auto"/>
            <w:vAlign w:val="center"/>
          </w:tcPr>
          <w:p w14:paraId="2E48A8A4">
            <w:pPr>
              <w:spacing w:line="240" w:lineRule="exact"/>
              <w:rPr>
                <w:color w:val="auto"/>
                <w:sz w:val="18"/>
                <w:szCs w:val="18"/>
                <w:highlight w:val="none"/>
              </w:rPr>
            </w:pPr>
            <w:r>
              <w:rPr>
                <w:color w:val="auto"/>
                <w:sz w:val="18"/>
                <w:szCs w:val="18"/>
                <w:highlight w:val="none"/>
              </w:rPr>
              <w:t>须符合</w:t>
            </w:r>
            <w:r>
              <w:rPr>
                <w:rFonts w:hint="eastAsia"/>
                <w:color w:val="auto"/>
                <w:sz w:val="18"/>
                <w:szCs w:val="18"/>
                <w:highlight w:val="none"/>
              </w:rPr>
              <w:t>“磋商公告”</w:t>
            </w:r>
            <w:r>
              <w:rPr>
                <w:color w:val="auto"/>
                <w:sz w:val="18"/>
                <w:szCs w:val="18"/>
                <w:highlight w:val="none"/>
              </w:rPr>
              <w:t>要求</w:t>
            </w:r>
            <w:r>
              <w:rPr>
                <w:rFonts w:hint="eastAsia"/>
                <w:color w:val="auto"/>
                <w:sz w:val="18"/>
                <w:szCs w:val="18"/>
                <w:highlight w:val="none"/>
              </w:rPr>
              <w:t>。须提供在响应文件递交</w:t>
            </w:r>
            <w:r>
              <w:rPr>
                <w:color w:val="auto"/>
                <w:sz w:val="18"/>
                <w:szCs w:val="18"/>
                <w:highlight w:val="none"/>
              </w:rPr>
              <w:t>截止时间前6个月内</w:t>
            </w:r>
            <w:r>
              <w:rPr>
                <w:rFonts w:hint="eastAsia"/>
                <w:color w:val="auto"/>
                <w:sz w:val="18"/>
                <w:szCs w:val="18"/>
                <w:highlight w:val="none"/>
              </w:rPr>
              <w:t>任意1</w:t>
            </w:r>
            <w:r>
              <w:rPr>
                <w:color w:val="auto"/>
                <w:sz w:val="18"/>
                <w:szCs w:val="18"/>
                <w:highlight w:val="none"/>
              </w:rPr>
              <w:t>个月在现任职单位依法缴纳社会保险的</w:t>
            </w:r>
            <w:r>
              <w:rPr>
                <w:rFonts w:hint="eastAsia"/>
                <w:color w:val="auto"/>
                <w:sz w:val="18"/>
                <w:szCs w:val="18"/>
                <w:highlight w:val="none"/>
              </w:rPr>
              <w:t>证明材料扫描件。</w:t>
            </w:r>
          </w:p>
        </w:tc>
      </w:tr>
      <w:tr w14:paraId="17C82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101" w:type="dxa"/>
            <w:vMerge w:val="continue"/>
            <w:vAlign w:val="center"/>
          </w:tcPr>
          <w:p w14:paraId="57340FD9">
            <w:pPr>
              <w:spacing w:line="240" w:lineRule="exact"/>
              <w:jc w:val="center"/>
              <w:rPr>
                <w:color w:val="auto"/>
                <w:sz w:val="18"/>
                <w:szCs w:val="18"/>
                <w:highlight w:val="none"/>
              </w:rPr>
            </w:pPr>
          </w:p>
        </w:tc>
        <w:tc>
          <w:tcPr>
            <w:tcW w:w="2727" w:type="dxa"/>
            <w:gridSpan w:val="2"/>
            <w:vAlign w:val="center"/>
          </w:tcPr>
          <w:p w14:paraId="0350CC0E">
            <w:pPr>
              <w:spacing w:line="240" w:lineRule="exact"/>
              <w:jc w:val="left"/>
              <w:rPr>
                <w:color w:val="auto"/>
                <w:sz w:val="18"/>
                <w:szCs w:val="18"/>
                <w:highlight w:val="none"/>
              </w:rPr>
            </w:pPr>
            <w:r>
              <w:rPr>
                <w:color w:val="auto"/>
                <w:sz w:val="18"/>
                <w:szCs w:val="18"/>
                <w:highlight w:val="none"/>
              </w:rPr>
              <w:t>（3）业绩要求</w:t>
            </w:r>
          </w:p>
        </w:tc>
        <w:tc>
          <w:tcPr>
            <w:tcW w:w="0" w:type="auto"/>
            <w:vAlign w:val="center"/>
          </w:tcPr>
          <w:p w14:paraId="4DB0EEDB">
            <w:pPr>
              <w:spacing w:line="240" w:lineRule="exact"/>
              <w:jc w:val="left"/>
              <w:rPr>
                <w:color w:val="auto"/>
                <w:sz w:val="18"/>
                <w:szCs w:val="18"/>
                <w:highlight w:val="none"/>
              </w:rPr>
            </w:pPr>
            <w:r>
              <w:rPr>
                <w:color w:val="auto"/>
                <w:sz w:val="18"/>
                <w:szCs w:val="18"/>
                <w:highlight w:val="none"/>
              </w:rPr>
              <w:t>须符合</w:t>
            </w:r>
            <w:r>
              <w:rPr>
                <w:rFonts w:hint="eastAsia"/>
                <w:color w:val="auto"/>
                <w:sz w:val="18"/>
                <w:szCs w:val="18"/>
                <w:highlight w:val="none"/>
              </w:rPr>
              <w:t>“磋商公告”</w:t>
            </w:r>
            <w:r>
              <w:rPr>
                <w:color w:val="auto"/>
                <w:sz w:val="18"/>
                <w:szCs w:val="18"/>
                <w:highlight w:val="none"/>
              </w:rPr>
              <w:t>要求</w:t>
            </w:r>
            <w:r>
              <w:rPr>
                <w:rFonts w:hint="eastAsia"/>
                <w:color w:val="auto"/>
                <w:sz w:val="18"/>
                <w:szCs w:val="18"/>
                <w:highlight w:val="none"/>
              </w:rPr>
              <w:t>。</w:t>
            </w:r>
          </w:p>
        </w:tc>
      </w:tr>
      <w:tr w14:paraId="55D6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4" w:hRule="atLeast"/>
        </w:trPr>
        <w:tc>
          <w:tcPr>
            <w:tcW w:w="1101" w:type="dxa"/>
            <w:vMerge w:val="continue"/>
            <w:vAlign w:val="center"/>
          </w:tcPr>
          <w:p w14:paraId="73F84BC1">
            <w:pPr>
              <w:spacing w:line="240" w:lineRule="exact"/>
              <w:jc w:val="center"/>
              <w:rPr>
                <w:color w:val="auto"/>
                <w:sz w:val="18"/>
                <w:szCs w:val="18"/>
                <w:highlight w:val="none"/>
              </w:rPr>
            </w:pPr>
          </w:p>
        </w:tc>
        <w:tc>
          <w:tcPr>
            <w:tcW w:w="2727" w:type="dxa"/>
            <w:gridSpan w:val="2"/>
            <w:vAlign w:val="center"/>
          </w:tcPr>
          <w:p w14:paraId="177F0FBF">
            <w:pPr>
              <w:spacing w:line="240" w:lineRule="exact"/>
              <w:rPr>
                <w:color w:val="auto"/>
                <w:sz w:val="18"/>
                <w:szCs w:val="18"/>
                <w:highlight w:val="none"/>
              </w:rPr>
            </w:pPr>
            <w:r>
              <w:rPr>
                <w:color w:val="auto"/>
                <w:kern w:val="0"/>
                <w:sz w:val="18"/>
                <w:szCs w:val="18"/>
                <w:highlight w:val="none"/>
              </w:rPr>
              <w:t>（4）</w:t>
            </w:r>
            <w:r>
              <w:rPr>
                <w:rFonts w:hint="eastAsia"/>
                <w:color w:val="auto"/>
                <w:kern w:val="0"/>
                <w:sz w:val="18"/>
                <w:szCs w:val="18"/>
                <w:highlight w:val="none"/>
              </w:rPr>
              <w:t>供应商不得参加响应的情形</w:t>
            </w:r>
          </w:p>
        </w:tc>
        <w:tc>
          <w:tcPr>
            <w:tcW w:w="0" w:type="auto"/>
            <w:vAlign w:val="center"/>
          </w:tcPr>
          <w:p w14:paraId="008BC3C5">
            <w:pPr>
              <w:spacing w:line="240" w:lineRule="exact"/>
              <w:jc w:val="left"/>
              <w:rPr>
                <w:color w:val="auto"/>
                <w:kern w:val="0"/>
                <w:sz w:val="18"/>
                <w:szCs w:val="18"/>
                <w:highlight w:val="none"/>
              </w:rPr>
            </w:pPr>
            <w:r>
              <w:rPr>
                <w:color w:val="auto"/>
                <w:kern w:val="0"/>
                <w:sz w:val="18"/>
                <w:szCs w:val="18"/>
                <w:highlight w:val="none"/>
              </w:rPr>
              <w:t>单位负责人为同一人或者存在直接控股、管理关系的不同供应商，不得参加本项目同一合同项下的政府采购活动。为本项目提供整体设计、规范编制或者项目管理、监理、检测等服务的供应商，不得再参加</w:t>
            </w:r>
            <w:r>
              <w:rPr>
                <w:rFonts w:hint="eastAsia"/>
                <w:color w:val="auto"/>
                <w:kern w:val="0"/>
                <w:sz w:val="18"/>
                <w:szCs w:val="18"/>
                <w:highlight w:val="none"/>
              </w:rPr>
              <w:t>本</w:t>
            </w:r>
            <w:r>
              <w:rPr>
                <w:color w:val="auto"/>
                <w:kern w:val="0"/>
                <w:sz w:val="18"/>
                <w:szCs w:val="18"/>
                <w:highlight w:val="none"/>
              </w:rPr>
              <w:t>项目的采购活动。</w:t>
            </w:r>
          </w:p>
          <w:p w14:paraId="0CE20495">
            <w:pPr>
              <w:spacing w:line="240" w:lineRule="exact"/>
              <w:jc w:val="left"/>
              <w:rPr>
                <w:color w:val="auto"/>
                <w:sz w:val="18"/>
                <w:szCs w:val="18"/>
                <w:highlight w:val="none"/>
              </w:rPr>
            </w:pPr>
            <w:r>
              <w:rPr>
                <w:color w:val="auto"/>
                <w:sz w:val="18"/>
                <w:szCs w:val="18"/>
                <w:highlight w:val="none"/>
              </w:rPr>
              <w:t>须提供，格式见第六章</w:t>
            </w:r>
            <w:r>
              <w:rPr>
                <w:rFonts w:hint="eastAsia"/>
                <w:color w:val="auto"/>
                <w:sz w:val="18"/>
                <w:szCs w:val="18"/>
                <w:highlight w:val="none"/>
              </w:rPr>
              <w:t>响应</w:t>
            </w:r>
            <w:r>
              <w:rPr>
                <w:color w:val="auto"/>
                <w:sz w:val="18"/>
                <w:szCs w:val="18"/>
                <w:highlight w:val="none"/>
              </w:rPr>
              <w:t>文件格式“</w:t>
            </w:r>
            <w:r>
              <w:rPr>
                <w:rFonts w:hint="eastAsia"/>
                <w:color w:val="auto"/>
                <w:sz w:val="18"/>
                <w:szCs w:val="18"/>
                <w:highlight w:val="none"/>
              </w:rPr>
              <w:t>供应商直接控股股东、管理关系信息表</w:t>
            </w:r>
            <w:r>
              <w:rPr>
                <w:color w:val="auto"/>
                <w:sz w:val="18"/>
                <w:szCs w:val="18"/>
                <w:highlight w:val="none"/>
              </w:rPr>
              <w:t>”。</w:t>
            </w:r>
          </w:p>
        </w:tc>
      </w:tr>
      <w:tr w14:paraId="3EE7C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1101" w:type="dxa"/>
            <w:vMerge w:val="continue"/>
            <w:vAlign w:val="center"/>
          </w:tcPr>
          <w:p w14:paraId="204B06BE">
            <w:pPr>
              <w:spacing w:line="240" w:lineRule="exact"/>
              <w:jc w:val="center"/>
              <w:rPr>
                <w:color w:val="auto"/>
                <w:sz w:val="18"/>
                <w:szCs w:val="18"/>
                <w:highlight w:val="none"/>
              </w:rPr>
            </w:pPr>
          </w:p>
        </w:tc>
        <w:tc>
          <w:tcPr>
            <w:tcW w:w="2727" w:type="dxa"/>
            <w:gridSpan w:val="2"/>
            <w:vAlign w:val="center"/>
          </w:tcPr>
          <w:p w14:paraId="794E70E6">
            <w:pPr>
              <w:spacing w:line="240" w:lineRule="exact"/>
              <w:rPr>
                <w:color w:val="auto"/>
                <w:sz w:val="18"/>
                <w:szCs w:val="18"/>
                <w:highlight w:val="none"/>
              </w:rPr>
            </w:pPr>
            <w:r>
              <w:rPr>
                <w:color w:val="auto"/>
                <w:sz w:val="18"/>
                <w:szCs w:val="18"/>
                <w:highlight w:val="none"/>
              </w:rPr>
              <w:t>（5）诚信要求</w:t>
            </w:r>
          </w:p>
        </w:tc>
        <w:tc>
          <w:tcPr>
            <w:tcW w:w="0" w:type="auto"/>
          </w:tcPr>
          <w:p w14:paraId="514E2B81">
            <w:pPr>
              <w:spacing w:line="240" w:lineRule="exact"/>
              <w:jc w:val="left"/>
              <w:rPr>
                <w:color w:val="auto"/>
                <w:sz w:val="18"/>
                <w:szCs w:val="18"/>
                <w:highlight w:val="none"/>
              </w:rPr>
            </w:pPr>
            <w:r>
              <w:rPr>
                <w:rFonts w:hint="eastAsia"/>
                <w:color w:val="auto"/>
                <w:sz w:val="18"/>
                <w:szCs w:val="18"/>
                <w:highlight w:val="none"/>
              </w:rPr>
              <w:t>未被列入失信被执行人、</w:t>
            </w:r>
            <w:r>
              <w:rPr>
                <w:color w:val="auto"/>
                <w:kern w:val="0"/>
                <w:sz w:val="18"/>
                <w:szCs w:val="18"/>
                <w:highlight w:val="none"/>
              </w:rPr>
              <w:t>重大税收违法失信主体</w:t>
            </w:r>
            <w:r>
              <w:rPr>
                <w:color w:val="auto"/>
                <w:sz w:val="18"/>
                <w:szCs w:val="18"/>
                <w:highlight w:val="none"/>
              </w:rPr>
              <w:t>、政府采购严重违法失信行为记录名单</w:t>
            </w:r>
            <w:r>
              <w:rPr>
                <w:rFonts w:hint="eastAsia"/>
                <w:color w:val="auto"/>
                <w:sz w:val="18"/>
                <w:szCs w:val="18"/>
                <w:highlight w:val="none"/>
              </w:rPr>
              <w:t>。</w:t>
            </w:r>
          </w:p>
        </w:tc>
      </w:tr>
      <w:tr w14:paraId="7A5F2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1101" w:type="dxa"/>
            <w:vMerge w:val="continue"/>
            <w:vAlign w:val="center"/>
          </w:tcPr>
          <w:p w14:paraId="5D0D8C99">
            <w:pPr>
              <w:spacing w:line="240" w:lineRule="exact"/>
              <w:jc w:val="center"/>
              <w:rPr>
                <w:color w:val="auto"/>
                <w:sz w:val="18"/>
                <w:szCs w:val="18"/>
                <w:highlight w:val="none"/>
              </w:rPr>
            </w:pPr>
          </w:p>
        </w:tc>
        <w:tc>
          <w:tcPr>
            <w:tcW w:w="2727" w:type="dxa"/>
            <w:gridSpan w:val="2"/>
            <w:vAlign w:val="center"/>
          </w:tcPr>
          <w:p w14:paraId="6BD7A66A">
            <w:pPr>
              <w:rPr>
                <w:color w:val="auto"/>
                <w:sz w:val="18"/>
                <w:szCs w:val="18"/>
                <w:highlight w:val="none"/>
              </w:rPr>
            </w:pPr>
            <w:r>
              <w:rPr>
                <w:rFonts w:hint="eastAsia"/>
                <w:color w:val="auto"/>
                <w:sz w:val="18"/>
                <w:szCs w:val="18"/>
                <w:highlight w:val="none"/>
              </w:rPr>
              <w:t>（</w:t>
            </w:r>
            <w:r>
              <w:rPr>
                <w:color w:val="auto"/>
                <w:sz w:val="18"/>
                <w:szCs w:val="18"/>
                <w:highlight w:val="none"/>
              </w:rPr>
              <w:t>6</w:t>
            </w:r>
            <w:r>
              <w:rPr>
                <w:rFonts w:hint="eastAsia"/>
                <w:color w:val="auto"/>
                <w:sz w:val="18"/>
                <w:szCs w:val="18"/>
                <w:highlight w:val="none"/>
              </w:rPr>
              <w:t>）分包</w:t>
            </w:r>
          </w:p>
        </w:tc>
        <w:tc>
          <w:tcPr>
            <w:tcW w:w="0" w:type="auto"/>
            <w:vAlign w:val="center"/>
          </w:tcPr>
          <w:p w14:paraId="4B1832BC">
            <w:pPr>
              <w:rPr>
                <w:color w:val="auto"/>
                <w:sz w:val="18"/>
                <w:szCs w:val="18"/>
                <w:highlight w:val="none"/>
              </w:rPr>
            </w:pPr>
            <w:r>
              <w:rPr>
                <w:rFonts w:hint="eastAsia"/>
                <w:color w:val="auto"/>
                <w:sz w:val="18"/>
                <w:szCs w:val="18"/>
                <w:highlight w:val="none"/>
              </w:rPr>
              <w:t>须符合“磋商公告”的要求</w:t>
            </w:r>
          </w:p>
        </w:tc>
      </w:tr>
      <w:tr w14:paraId="04D24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1101" w:type="dxa"/>
            <w:vMerge w:val="continue"/>
            <w:vAlign w:val="center"/>
          </w:tcPr>
          <w:p w14:paraId="2F061490">
            <w:pPr>
              <w:spacing w:line="240" w:lineRule="exact"/>
              <w:jc w:val="center"/>
              <w:rPr>
                <w:color w:val="auto"/>
                <w:sz w:val="18"/>
                <w:szCs w:val="18"/>
                <w:highlight w:val="none"/>
              </w:rPr>
            </w:pPr>
          </w:p>
        </w:tc>
        <w:tc>
          <w:tcPr>
            <w:tcW w:w="2727" w:type="dxa"/>
            <w:gridSpan w:val="2"/>
            <w:vAlign w:val="center"/>
          </w:tcPr>
          <w:p w14:paraId="174FA890">
            <w:pPr>
              <w:rPr>
                <w:color w:val="auto"/>
                <w:sz w:val="18"/>
                <w:szCs w:val="18"/>
                <w:highlight w:val="none"/>
              </w:rPr>
            </w:pPr>
            <w:r>
              <w:rPr>
                <w:rFonts w:hint="eastAsia"/>
                <w:color w:val="auto"/>
                <w:sz w:val="18"/>
                <w:szCs w:val="18"/>
                <w:highlight w:val="none"/>
              </w:rPr>
              <w:t>（</w:t>
            </w:r>
            <w:r>
              <w:rPr>
                <w:color w:val="auto"/>
                <w:sz w:val="18"/>
                <w:szCs w:val="18"/>
                <w:highlight w:val="none"/>
              </w:rPr>
              <w:t>7</w:t>
            </w:r>
            <w:r>
              <w:rPr>
                <w:rFonts w:hint="eastAsia"/>
                <w:color w:val="auto"/>
                <w:sz w:val="18"/>
                <w:szCs w:val="18"/>
                <w:highlight w:val="none"/>
              </w:rPr>
              <w:t>）联合体</w:t>
            </w:r>
          </w:p>
        </w:tc>
        <w:tc>
          <w:tcPr>
            <w:tcW w:w="0" w:type="auto"/>
            <w:vAlign w:val="center"/>
          </w:tcPr>
          <w:p w14:paraId="66026464">
            <w:pPr>
              <w:rPr>
                <w:color w:val="auto"/>
                <w:sz w:val="18"/>
                <w:szCs w:val="18"/>
                <w:highlight w:val="none"/>
              </w:rPr>
            </w:pPr>
            <w:r>
              <w:rPr>
                <w:rFonts w:hint="eastAsia"/>
                <w:color w:val="auto"/>
                <w:sz w:val="18"/>
                <w:szCs w:val="18"/>
                <w:highlight w:val="none"/>
              </w:rPr>
              <w:t>须符合“磋商公告”的要求</w:t>
            </w:r>
          </w:p>
        </w:tc>
      </w:tr>
      <w:tr w14:paraId="4B3E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1101" w:type="dxa"/>
            <w:vMerge w:val="continue"/>
            <w:vAlign w:val="center"/>
          </w:tcPr>
          <w:p w14:paraId="11E71469">
            <w:pPr>
              <w:spacing w:line="240" w:lineRule="exact"/>
              <w:jc w:val="center"/>
              <w:rPr>
                <w:color w:val="auto"/>
                <w:sz w:val="18"/>
                <w:szCs w:val="18"/>
                <w:highlight w:val="none"/>
              </w:rPr>
            </w:pPr>
          </w:p>
        </w:tc>
        <w:tc>
          <w:tcPr>
            <w:tcW w:w="2727" w:type="dxa"/>
            <w:gridSpan w:val="2"/>
            <w:vAlign w:val="center"/>
          </w:tcPr>
          <w:p w14:paraId="6906C24E">
            <w:pPr>
              <w:spacing w:line="240" w:lineRule="exact"/>
              <w:jc w:val="left"/>
              <w:rPr>
                <w:color w:val="auto"/>
                <w:sz w:val="18"/>
                <w:szCs w:val="18"/>
                <w:highlight w:val="none"/>
              </w:rPr>
            </w:pPr>
            <w:r>
              <w:rPr>
                <w:rFonts w:hint="eastAsia"/>
                <w:color w:val="auto"/>
                <w:sz w:val="18"/>
                <w:szCs w:val="18"/>
                <w:highlight w:val="none"/>
              </w:rPr>
              <w:t>（</w:t>
            </w:r>
            <w:r>
              <w:rPr>
                <w:color w:val="auto"/>
                <w:sz w:val="18"/>
                <w:szCs w:val="18"/>
                <w:highlight w:val="none"/>
              </w:rPr>
              <w:t>8</w:t>
            </w:r>
            <w:r>
              <w:rPr>
                <w:rFonts w:hint="eastAsia"/>
                <w:color w:val="auto"/>
                <w:sz w:val="18"/>
                <w:szCs w:val="18"/>
                <w:highlight w:val="none"/>
              </w:rPr>
              <w:t>）其他要求</w:t>
            </w:r>
          </w:p>
        </w:tc>
        <w:tc>
          <w:tcPr>
            <w:tcW w:w="0" w:type="auto"/>
            <w:vAlign w:val="center"/>
          </w:tcPr>
          <w:p w14:paraId="43591316">
            <w:pPr>
              <w:spacing w:line="312" w:lineRule="auto"/>
              <w:rPr>
                <w:color w:val="auto"/>
                <w:kern w:val="0"/>
                <w:sz w:val="18"/>
                <w:szCs w:val="18"/>
                <w:highlight w:val="none"/>
              </w:rPr>
            </w:pPr>
            <w:r>
              <w:rPr>
                <w:rFonts w:hint="eastAsia"/>
                <w:color w:val="auto"/>
                <w:kern w:val="0"/>
                <w:sz w:val="18"/>
                <w:szCs w:val="18"/>
                <w:highlight w:val="none"/>
              </w:rPr>
              <w:t>无。</w:t>
            </w:r>
          </w:p>
        </w:tc>
      </w:tr>
    </w:tbl>
    <w:p w14:paraId="261D5D73">
      <w:pPr>
        <w:spacing w:before="120" w:line="320" w:lineRule="atLeast"/>
        <w:ind w:firstLine="354" w:firstLineChars="196"/>
        <w:outlineLvl w:val="1"/>
        <w:rPr>
          <w:color w:val="auto"/>
          <w:sz w:val="18"/>
          <w:szCs w:val="18"/>
          <w:highlight w:val="none"/>
        </w:rPr>
      </w:pPr>
      <w:r>
        <w:rPr>
          <w:b/>
          <w:bCs/>
          <w:color w:val="auto"/>
          <w:kern w:val="0"/>
          <w:sz w:val="18"/>
          <w:szCs w:val="18"/>
          <w:highlight w:val="none"/>
        </w:rPr>
        <w:t>3</w:t>
      </w:r>
      <w:r>
        <w:rPr>
          <w:rFonts w:hint="eastAsia"/>
          <w:b/>
          <w:bCs/>
          <w:color w:val="auto"/>
          <w:kern w:val="0"/>
          <w:sz w:val="18"/>
          <w:szCs w:val="18"/>
          <w:highlight w:val="none"/>
        </w:rPr>
        <w:t>.</w:t>
      </w:r>
      <w:r>
        <w:rPr>
          <w:b/>
          <w:bCs/>
          <w:color w:val="auto"/>
          <w:kern w:val="0"/>
          <w:sz w:val="18"/>
          <w:szCs w:val="18"/>
          <w:highlight w:val="none"/>
        </w:rPr>
        <w:t>符合性审查</w:t>
      </w:r>
      <w:r>
        <w:rPr>
          <w:rFonts w:hint="eastAsia"/>
          <w:b/>
          <w:bCs/>
          <w:color w:val="auto"/>
          <w:kern w:val="0"/>
          <w:sz w:val="18"/>
          <w:szCs w:val="18"/>
          <w:highlight w:val="none"/>
        </w:rPr>
        <w:t>标准（不满足任何一项审查内容要求，符合性审查即为不合格）</w:t>
      </w:r>
    </w:p>
    <w:bookmarkEnd w:id="79"/>
    <w:bookmarkEnd w:id="80"/>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1"/>
        <w:gridCol w:w="2632"/>
        <w:gridCol w:w="5632"/>
      </w:tblGrid>
      <w:tr w14:paraId="476B5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101" w:type="dxa"/>
            <w:vAlign w:val="center"/>
          </w:tcPr>
          <w:p w14:paraId="4F96D0D4">
            <w:pPr>
              <w:spacing w:line="240" w:lineRule="exact"/>
              <w:jc w:val="center"/>
              <w:rPr>
                <w:b/>
                <w:color w:val="auto"/>
                <w:kern w:val="0"/>
                <w:sz w:val="18"/>
                <w:szCs w:val="18"/>
                <w:highlight w:val="none"/>
              </w:rPr>
            </w:pPr>
            <w:r>
              <w:rPr>
                <w:rFonts w:hint="eastAsia"/>
                <w:b/>
                <w:color w:val="auto"/>
                <w:kern w:val="0"/>
                <w:sz w:val="18"/>
                <w:szCs w:val="18"/>
                <w:highlight w:val="none"/>
              </w:rPr>
              <w:t>审查</w:t>
            </w:r>
            <w:r>
              <w:rPr>
                <w:b/>
                <w:color w:val="auto"/>
                <w:kern w:val="0"/>
                <w:sz w:val="18"/>
                <w:szCs w:val="18"/>
                <w:highlight w:val="none"/>
              </w:rPr>
              <w:t>因素</w:t>
            </w:r>
          </w:p>
        </w:tc>
        <w:tc>
          <w:tcPr>
            <w:tcW w:w="2693" w:type="dxa"/>
            <w:vAlign w:val="center"/>
          </w:tcPr>
          <w:p w14:paraId="67D63CDD">
            <w:pPr>
              <w:spacing w:line="240" w:lineRule="exact"/>
              <w:jc w:val="center"/>
              <w:rPr>
                <w:b/>
                <w:color w:val="auto"/>
                <w:kern w:val="0"/>
                <w:sz w:val="18"/>
                <w:szCs w:val="18"/>
                <w:highlight w:val="none"/>
              </w:rPr>
            </w:pPr>
            <w:r>
              <w:rPr>
                <w:rFonts w:hint="eastAsia"/>
                <w:b/>
                <w:color w:val="auto"/>
                <w:kern w:val="0"/>
                <w:sz w:val="18"/>
                <w:szCs w:val="18"/>
                <w:highlight w:val="none"/>
              </w:rPr>
              <w:t>审查内容</w:t>
            </w:r>
          </w:p>
        </w:tc>
        <w:tc>
          <w:tcPr>
            <w:tcW w:w="5777" w:type="dxa"/>
            <w:vAlign w:val="center"/>
          </w:tcPr>
          <w:p w14:paraId="20E9E10C">
            <w:pPr>
              <w:spacing w:line="240" w:lineRule="exact"/>
              <w:jc w:val="center"/>
              <w:rPr>
                <w:b/>
                <w:color w:val="auto"/>
                <w:kern w:val="0"/>
                <w:sz w:val="18"/>
                <w:szCs w:val="18"/>
                <w:highlight w:val="none"/>
              </w:rPr>
            </w:pPr>
            <w:r>
              <w:rPr>
                <w:rFonts w:hint="eastAsia"/>
                <w:b/>
                <w:color w:val="auto"/>
                <w:kern w:val="0"/>
                <w:sz w:val="18"/>
                <w:szCs w:val="18"/>
                <w:highlight w:val="none"/>
              </w:rPr>
              <w:t>说明</w:t>
            </w:r>
          </w:p>
        </w:tc>
      </w:tr>
      <w:tr w14:paraId="14DE8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1101" w:type="dxa"/>
            <w:vMerge w:val="restart"/>
            <w:vAlign w:val="center"/>
          </w:tcPr>
          <w:p w14:paraId="7D36D3CB">
            <w:pPr>
              <w:spacing w:line="240" w:lineRule="exact"/>
              <w:jc w:val="center"/>
              <w:rPr>
                <w:color w:val="auto"/>
                <w:sz w:val="18"/>
                <w:szCs w:val="18"/>
                <w:highlight w:val="none"/>
              </w:rPr>
            </w:pPr>
            <w:r>
              <w:rPr>
                <w:rFonts w:hint="eastAsia"/>
                <w:color w:val="auto"/>
                <w:kern w:val="0"/>
                <w:sz w:val="18"/>
                <w:szCs w:val="18"/>
                <w:highlight w:val="none"/>
              </w:rPr>
              <w:t>商务资信</w:t>
            </w:r>
          </w:p>
        </w:tc>
        <w:tc>
          <w:tcPr>
            <w:tcW w:w="2693" w:type="dxa"/>
            <w:vAlign w:val="center"/>
          </w:tcPr>
          <w:p w14:paraId="3B67FE7E">
            <w:pPr>
              <w:spacing w:line="240" w:lineRule="exact"/>
              <w:rPr>
                <w:color w:val="auto"/>
                <w:sz w:val="18"/>
                <w:szCs w:val="18"/>
                <w:highlight w:val="none"/>
              </w:rPr>
            </w:pPr>
            <w:r>
              <w:rPr>
                <w:rFonts w:hint="eastAsia"/>
                <w:color w:val="auto"/>
                <w:sz w:val="18"/>
                <w:szCs w:val="18"/>
                <w:highlight w:val="none"/>
              </w:rPr>
              <w:t>法定代表人身份证明及授权委托书</w:t>
            </w:r>
          </w:p>
        </w:tc>
        <w:tc>
          <w:tcPr>
            <w:tcW w:w="5777" w:type="dxa"/>
            <w:vAlign w:val="center"/>
          </w:tcPr>
          <w:p w14:paraId="1F9B0968">
            <w:pPr>
              <w:spacing w:line="240" w:lineRule="exact"/>
              <w:rPr>
                <w:color w:val="auto"/>
                <w:sz w:val="18"/>
                <w:szCs w:val="18"/>
                <w:highlight w:val="none"/>
              </w:rPr>
            </w:pPr>
            <w:r>
              <w:rPr>
                <w:rFonts w:hint="eastAsia"/>
                <w:color w:val="auto"/>
                <w:sz w:val="18"/>
                <w:szCs w:val="18"/>
                <w:highlight w:val="none"/>
              </w:rPr>
              <w:t>授权</w:t>
            </w:r>
            <w:r>
              <w:rPr>
                <w:color w:val="auto"/>
                <w:sz w:val="18"/>
                <w:szCs w:val="18"/>
                <w:highlight w:val="none"/>
              </w:rPr>
              <w:t>代表</w:t>
            </w:r>
            <w:r>
              <w:rPr>
                <w:rFonts w:hint="eastAsia"/>
                <w:color w:val="auto"/>
                <w:sz w:val="18"/>
                <w:szCs w:val="18"/>
                <w:highlight w:val="none"/>
              </w:rPr>
              <w:t>参加响应</w:t>
            </w:r>
            <w:r>
              <w:rPr>
                <w:color w:val="auto"/>
                <w:sz w:val="18"/>
                <w:szCs w:val="18"/>
                <w:highlight w:val="none"/>
              </w:rPr>
              <w:t>时审查：</w:t>
            </w:r>
            <w:r>
              <w:rPr>
                <w:rFonts w:ascii="宋体" w:hAnsi="宋体"/>
                <w:color w:val="auto"/>
                <w:sz w:val="18"/>
                <w:szCs w:val="18"/>
                <w:highlight w:val="none"/>
              </w:rPr>
              <w:t>法定代表人授权委托书及附件</w:t>
            </w:r>
            <w:r>
              <w:rPr>
                <w:color w:val="auto"/>
                <w:sz w:val="18"/>
                <w:szCs w:val="18"/>
                <w:highlight w:val="none"/>
              </w:rPr>
              <w:t xml:space="preserve"> </w:t>
            </w:r>
          </w:p>
          <w:p w14:paraId="19C4A842">
            <w:pPr>
              <w:spacing w:line="240" w:lineRule="exact"/>
              <w:rPr>
                <w:rFonts w:ascii="宋体" w:hAnsi="宋体"/>
                <w:color w:val="auto"/>
                <w:sz w:val="18"/>
                <w:szCs w:val="18"/>
                <w:highlight w:val="none"/>
              </w:rPr>
            </w:pPr>
            <w:r>
              <w:rPr>
                <w:rFonts w:hint="eastAsia"/>
                <w:color w:val="auto"/>
                <w:sz w:val="18"/>
                <w:szCs w:val="18"/>
                <w:highlight w:val="none"/>
              </w:rPr>
              <w:t>法定代表人直接参加响应</w:t>
            </w:r>
            <w:r>
              <w:rPr>
                <w:color w:val="auto"/>
                <w:sz w:val="18"/>
                <w:szCs w:val="18"/>
                <w:highlight w:val="none"/>
              </w:rPr>
              <w:t>时审查：</w:t>
            </w:r>
            <w:r>
              <w:rPr>
                <w:rFonts w:ascii="宋体" w:hAnsi="宋体"/>
                <w:color w:val="auto"/>
                <w:sz w:val="18"/>
                <w:szCs w:val="18"/>
                <w:highlight w:val="none"/>
              </w:rPr>
              <w:t>法定代表人身份证明</w:t>
            </w:r>
            <w:r>
              <w:rPr>
                <w:rFonts w:hint="eastAsia" w:ascii="宋体" w:hAnsi="宋体"/>
                <w:color w:val="auto"/>
                <w:sz w:val="18"/>
                <w:szCs w:val="18"/>
                <w:highlight w:val="none"/>
              </w:rPr>
              <w:t>及</w:t>
            </w:r>
            <w:r>
              <w:rPr>
                <w:rFonts w:ascii="宋体" w:hAnsi="宋体"/>
                <w:color w:val="auto"/>
                <w:sz w:val="18"/>
                <w:szCs w:val="18"/>
                <w:highlight w:val="none"/>
              </w:rPr>
              <w:t>附件</w:t>
            </w:r>
          </w:p>
          <w:p w14:paraId="2877BEC6">
            <w:pPr>
              <w:spacing w:line="240" w:lineRule="exact"/>
              <w:rPr>
                <w:color w:val="auto"/>
                <w:sz w:val="18"/>
                <w:szCs w:val="18"/>
                <w:highlight w:val="none"/>
              </w:rPr>
            </w:pPr>
            <w:r>
              <w:rPr>
                <w:rFonts w:ascii="宋体" w:hAnsi="宋体"/>
                <w:color w:val="auto"/>
                <w:sz w:val="18"/>
                <w:szCs w:val="18"/>
                <w:highlight w:val="none"/>
              </w:rPr>
              <w:t>格式及附件见第六章响应文件格式要求</w:t>
            </w:r>
          </w:p>
        </w:tc>
      </w:tr>
      <w:tr w14:paraId="3905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01" w:type="dxa"/>
            <w:vMerge w:val="continue"/>
            <w:vAlign w:val="center"/>
          </w:tcPr>
          <w:p w14:paraId="36FE4940">
            <w:pPr>
              <w:spacing w:line="240" w:lineRule="exact"/>
              <w:jc w:val="center"/>
              <w:rPr>
                <w:color w:val="auto"/>
                <w:kern w:val="0"/>
                <w:sz w:val="18"/>
                <w:szCs w:val="18"/>
                <w:highlight w:val="none"/>
              </w:rPr>
            </w:pPr>
          </w:p>
        </w:tc>
        <w:tc>
          <w:tcPr>
            <w:tcW w:w="2693" w:type="dxa"/>
            <w:vAlign w:val="center"/>
          </w:tcPr>
          <w:p w14:paraId="544CED9F">
            <w:pPr>
              <w:spacing w:line="240" w:lineRule="exact"/>
              <w:rPr>
                <w:color w:val="auto"/>
                <w:sz w:val="18"/>
                <w:szCs w:val="18"/>
                <w:highlight w:val="none"/>
              </w:rPr>
            </w:pPr>
            <w:r>
              <w:rPr>
                <w:rFonts w:hint="eastAsia"/>
                <w:color w:val="auto"/>
                <w:sz w:val="18"/>
                <w:szCs w:val="18"/>
                <w:highlight w:val="none"/>
              </w:rPr>
              <w:t>实质性条款响应</w:t>
            </w:r>
          </w:p>
        </w:tc>
        <w:tc>
          <w:tcPr>
            <w:tcW w:w="5777" w:type="dxa"/>
            <w:vAlign w:val="center"/>
          </w:tcPr>
          <w:p w14:paraId="2644D0A5">
            <w:pPr>
              <w:spacing w:line="240" w:lineRule="exact"/>
              <w:rPr>
                <w:color w:val="auto"/>
                <w:sz w:val="18"/>
                <w:szCs w:val="18"/>
                <w:highlight w:val="none"/>
              </w:rPr>
            </w:pPr>
            <w:r>
              <w:rPr>
                <w:rFonts w:hint="eastAsia" w:ascii="宋体" w:hAnsi="宋体"/>
                <w:color w:val="auto"/>
                <w:sz w:val="18"/>
                <w:szCs w:val="18"/>
                <w:highlight w:val="none"/>
              </w:rPr>
              <w:t>采购文件实质性要求响应均无负偏离</w:t>
            </w:r>
          </w:p>
        </w:tc>
      </w:tr>
      <w:tr w14:paraId="4913E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101" w:type="dxa"/>
            <w:vMerge w:val="continue"/>
            <w:vAlign w:val="center"/>
          </w:tcPr>
          <w:p w14:paraId="10359B24">
            <w:pPr>
              <w:spacing w:line="240" w:lineRule="exact"/>
              <w:jc w:val="center"/>
              <w:rPr>
                <w:color w:val="auto"/>
                <w:kern w:val="0"/>
                <w:sz w:val="18"/>
                <w:szCs w:val="18"/>
                <w:highlight w:val="none"/>
              </w:rPr>
            </w:pPr>
          </w:p>
        </w:tc>
        <w:tc>
          <w:tcPr>
            <w:tcW w:w="2693" w:type="dxa"/>
            <w:vAlign w:val="center"/>
          </w:tcPr>
          <w:p w14:paraId="738D67C7">
            <w:pPr>
              <w:spacing w:line="240" w:lineRule="exact"/>
              <w:rPr>
                <w:color w:val="auto"/>
                <w:sz w:val="18"/>
                <w:szCs w:val="18"/>
                <w:highlight w:val="none"/>
              </w:rPr>
            </w:pPr>
            <w:r>
              <w:rPr>
                <w:rFonts w:hint="eastAsia"/>
                <w:color w:val="auto"/>
                <w:sz w:val="18"/>
                <w:szCs w:val="18"/>
                <w:highlight w:val="none"/>
              </w:rPr>
              <w:t>串通投标</w:t>
            </w:r>
          </w:p>
        </w:tc>
        <w:tc>
          <w:tcPr>
            <w:tcW w:w="5777" w:type="dxa"/>
            <w:vAlign w:val="center"/>
          </w:tcPr>
          <w:p w14:paraId="12D323DF">
            <w:pPr>
              <w:spacing w:line="240" w:lineRule="exact"/>
              <w:rPr>
                <w:color w:val="auto"/>
                <w:sz w:val="18"/>
                <w:szCs w:val="18"/>
                <w:highlight w:val="none"/>
              </w:rPr>
            </w:pPr>
            <w:r>
              <w:rPr>
                <w:rFonts w:hint="eastAsia" w:ascii="宋体" w:hAnsi="宋体"/>
                <w:color w:val="auto"/>
                <w:sz w:val="18"/>
                <w:szCs w:val="18"/>
                <w:highlight w:val="none"/>
              </w:rPr>
              <w:t>不属于供应商须知正文第</w:t>
            </w:r>
            <w:r>
              <w:rPr>
                <w:rFonts w:ascii="宋体" w:hAnsi="宋体"/>
                <w:color w:val="auto"/>
                <w:sz w:val="18"/>
                <w:szCs w:val="18"/>
                <w:highlight w:val="none"/>
              </w:rPr>
              <w:t>6</w:t>
            </w:r>
            <w:r>
              <w:rPr>
                <w:rFonts w:hint="eastAsia" w:ascii="宋体" w:hAnsi="宋体"/>
                <w:color w:val="auto"/>
                <w:sz w:val="18"/>
                <w:szCs w:val="18"/>
                <w:highlight w:val="none"/>
              </w:rPr>
              <w:t>.</w:t>
            </w:r>
            <w:r>
              <w:rPr>
                <w:rFonts w:ascii="宋体" w:hAnsi="宋体"/>
                <w:color w:val="auto"/>
                <w:sz w:val="18"/>
                <w:szCs w:val="18"/>
                <w:highlight w:val="none"/>
              </w:rPr>
              <w:t>3</w:t>
            </w:r>
            <w:r>
              <w:rPr>
                <w:rFonts w:hint="eastAsia" w:ascii="宋体" w:hAnsi="宋体"/>
                <w:color w:val="auto"/>
                <w:sz w:val="18"/>
                <w:szCs w:val="18"/>
                <w:highlight w:val="none"/>
              </w:rPr>
              <w:t>.</w:t>
            </w:r>
            <w:r>
              <w:rPr>
                <w:rFonts w:hint="eastAsia" w:ascii="宋体" w:hAnsi="宋体"/>
                <w:color w:val="auto"/>
                <w:sz w:val="18"/>
                <w:szCs w:val="18"/>
                <w:highlight w:val="none"/>
                <w:lang w:val="en-US" w:eastAsia="zh-CN"/>
              </w:rPr>
              <w:t>9</w:t>
            </w:r>
            <w:r>
              <w:rPr>
                <w:rFonts w:hint="eastAsia" w:ascii="宋体" w:hAnsi="宋体"/>
                <w:color w:val="auto"/>
                <w:sz w:val="18"/>
                <w:szCs w:val="18"/>
                <w:highlight w:val="none"/>
              </w:rPr>
              <w:t>规定的串通投标情形，见</w:t>
            </w:r>
            <w:r>
              <w:rPr>
                <w:rFonts w:ascii="宋体" w:hAnsi="宋体"/>
                <w:color w:val="auto"/>
                <w:sz w:val="18"/>
                <w:szCs w:val="18"/>
                <w:highlight w:val="none"/>
              </w:rPr>
              <w:t>第六章响应文件格式要求</w:t>
            </w:r>
          </w:p>
        </w:tc>
      </w:tr>
      <w:tr w14:paraId="456A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01" w:type="dxa"/>
            <w:vMerge w:val="restart"/>
            <w:vAlign w:val="center"/>
          </w:tcPr>
          <w:p w14:paraId="1CC901DB">
            <w:pPr>
              <w:spacing w:line="240" w:lineRule="exact"/>
              <w:jc w:val="center"/>
              <w:rPr>
                <w:color w:val="auto"/>
                <w:kern w:val="0"/>
                <w:sz w:val="18"/>
                <w:szCs w:val="18"/>
                <w:highlight w:val="none"/>
              </w:rPr>
            </w:pPr>
            <w:r>
              <w:rPr>
                <w:rFonts w:hint="eastAsia"/>
                <w:color w:val="auto"/>
                <w:kern w:val="0"/>
                <w:sz w:val="18"/>
                <w:szCs w:val="18"/>
                <w:highlight w:val="none"/>
              </w:rPr>
              <w:t>技术</w:t>
            </w:r>
          </w:p>
        </w:tc>
        <w:tc>
          <w:tcPr>
            <w:tcW w:w="2693" w:type="dxa"/>
            <w:vAlign w:val="center"/>
          </w:tcPr>
          <w:p w14:paraId="6658EBA0">
            <w:pPr>
              <w:spacing w:line="240" w:lineRule="exact"/>
              <w:rPr>
                <w:color w:val="auto"/>
                <w:sz w:val="18"/>
                <w:szCs w:val="18"/>
                <w:highlight w:val="none"/>
                <w:lang w:val="zh-CN"/>
              </w:rPr>
            </w:pPr>
            <w:r>
              <w:rPr>
                <w:color w:val="auto"/>
                <w:sz w:val="18"/>
                <w:szCs w:val="18"/>
                <w:highlight w:val="none"/>
                <w:lang w:val="zh-CN"/>
              </w:rPr>
              <w:t>工期</w:t>
            </w:r>
          </w:p>
        </w:tc>
        <w:tc>
          <w:tcPr>
            <w:tcW w:w="5777" w:type="dxa"/>
            <w:vAlign w:val="center"/>
          </w:tcPr>
          <w:p w14:paraId="7C543462">
            <w:pPr>
              <w:spacing w:line="240" w:lineRule="exact"/>
              <w:rPr>
                <w:color w:val="auto"/>
                <w:sz w:val="18"/>
                <w:szCs w:val="18"/>
                <w:highlight w:val="none"/>
                <w:lang w:val="zh-CN"/>
              </w:rPr>
            </w:pPr>
            <w:r>
              <w:rPr>
                <w:color w:val="auto"/>
                <w:sz w:val="18"/>
                <w:szCs w:val="18"/>
                <w:highlight w:val="none"/>
              </w:rPr>
              <w:t>满足</w:t>
            </w:r>
            <w:r>
              <w:rPr>
                <w:rFonts w:hint="eastAsia" w:ascii="宋体" w:hAnsi="宋体"/>
                <w:color w:val="auto"/>
                <w:sz w:val="18"/>
                <w:szCs w:val="18"/>
                <w:highlight w:val="none"/>
              </w:rPr>
              <w:t>采购</w:t>
            </w:r>
            <w:r>
              <w:rPr>
                <w:rFonts w:hint="eastAsia"/>
                <w:color w:val="auto"/>
                <w:sz w:val="18"/>
                <w:szCs w:val="18"/>
                <w:highlight w:val="none"/>
              </w:rPr>
              <w:t>文件</w:t>
            </w:r>
            <w:r>
              <w:rPr>
                <w:color w:val="auto"/>
                <w:sz w:val="18"/>
                <w:szCs w:val="18"/>
                <w:highlight w:val="none"/>
              </w:rPr>
              <w:t>规定</w:t>
            </w:r>
          </w:p>
        </w:tc>
      </w:tr>
      <w:tr w14:paraId="0A81C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01" w:type="dxa"/>
            <w:vMerge w:val="continue"/>
            <w:vAlign w:val="center"/>
          </w:tcPr>
          <w:p w14:paraId="2613C7CF">
            <w:pPr>
              <w:spacing w:line="240" w:lineRule="exact"/>
              <w:jc w:val="center"/>
              <w:rPr>
                <w:color w:val="auto"/>
                <w:kern w:val="0"/>
                <w:sz w:val="18"/>
                <w:szCs w:val="18"/>
                <w:highlight w:val="none"/>
              </w:rPr>
            </w:pPr>
          </w:p>
        </w:tc>
        <w:tc>
          <w:tcPr>
            <w:tcW w:w="2693" w:type="dxa"/>
            <w:vAlign w:val="center"/>
          </w:tcPr>
          <w:p w14:paraId="5FE50625">
            <w:pPr>
              <w:spacing w:line="240" w:lineRule="exact"/>
              <w:rPr>
                <w:color w:val="auto"/>
                <w:sz w:val="18"/>
                <w:szCs w:val="18"/>
                <w:highlight w:val="none"/>
                <w:lang w:val="zh-CN"/>
              </w:rPr>
            </w:pPr>
            <w:r>
              <w:rPr>
                <w:color w:val="auto"/>
                <w:sz w:val="18"/>
                <w:szCs w:val="18"/>
                <w:highlight w:val="none"/>
                <w:lang w:val="zh-CN"/>
              </w:rPr>
              <w:t>工程质量</w:t>
            </w:r>
          </w:p>
        </w:tc>
        <w:tc>
          <w:tcPr>
            <w:tcW w:w="5777" w:type="dxa"/>
            <w:vAlign w:val="center"/>
          </w:tcPr>
          <w:p w14:paraId="7029B140">
            <w:pPr>
              <w:spacing w:line="240" w:lineRule="exact"/>
              <w:rPr>
                <w:color w:val="auto"/>
                <w:sz w:val="18"/>
                <w:szCs w:val="18"/>
                <w:highlight w:val="none"/>
                <w:lang w:val="zh-CN"/>
              </w:rPr>
            </w:pPr>
            <w:r>
              <w:rPr>
                <w:color w:val="auto"/>
                <w:sz w:val="18"/>
                <w:szCs w:val="18"/>
                <w:highlight w:val="none"/>
              </w:rPr>
              <w:t>满足</w:t>
            </w:r>
            <w:r>
              <w:rPr>
                <w:rFonts w:hint="eastAsia" w:ascii="宋体" w:hAnsi="宋体"/>
                <w:color w:val="auto"/>
                <w:sz w:val="18"/>
                <w:szCs w:val="18"/>
                <w:highlight w:val="none"/>
              </w:rPr>
              <w:t>采购</w:t>
            </w:r>
            <w:r>
              <w:rPr>
                <w:rFonts w:hint="eastAsia"/>
                <w:color w:val="auto"/>
                <w:sz w:val="18"/>
                <w:szCs w:val="18"/>
                <w:highlight w:val="none"/>
              </w:rPr>
              <w:t>文件</w:t>
            </w:r>
            <w:r>
              <w:rPr>
                <w:color w:val="auto"/>
                <w:sz w:val="18"/>
                <w:szCs w:val="18"/>
                <w:highlight w:val="none"/>
              </w:rPr>
              <w:t>规定</w:t>
            </w:r>
          </w:p>
        </w:tc>
      </w:tr>
      <w:tr w14:paraId="45535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01" w:type="dxa"/>
            <w:vMerge w:val="continue"/>
            <w:vAlign w:val="center"/>
          </w:tcPr>
          <w:p w14:paraId="30F2CCD2">
            <w:pPr>
              <w:spacing w:line="240" w:lineRule="exact"/>
              <w:jc w:val="center"/>
              <w:rPr>
                <w:color w:val="auto"/>
                <w:kern w:val="0"/>
                <w:sz w:val="18"/>
                <w:szCs w:val="18"/>
                <w:highlight w:val="none"/>
              </w:rPr>
            </w:pPr>
          </w:p>
        </w:tc>
        <w:tc>
          <w:tcPr>
            <w:tcW w:w="2693" w:type="dxa"/>
            <w:vAlign w:val="center"/>
          </w:tcPr>
          <w:p w14:paraId="6DA86CDA">
            <w:pPr>
              <w:rPr>
                <w:color w:val="auto"/>
                <w:sz w:val="18"/>
                <w:szCs w:val="18"/>
                <w:highlight w:val="none"/>
              </w:rPr>
            </w:pPr>
            <w:r>
              <w:rPr>
                <w:rFonts w:hint="eastAsia"/>
                <w:color w:val="auto"/>
                <w:sz w:val="18"/>
                <w:szCs w:val="18"/>
                <w:highlight w:val="none"/>
              </w:rPr>
              <w:t>响应</w:t>
            </w:r>
            <w:r>
              <w:rPr>
                <w:color w:val="auto"/>
                <w:sz w:val="18"/>
                <w:szCs w:val="18"/>
                <w:highlight w:val="none"/>
              </w:rPr>
              <w:t>有效期</w:t>
            </w:r>
          </w:p>
        </w:tc>
        <w:tc>
          <w:tcPr>
            <w:tcW w:w="5777" w:type="dxa"/>
            <w:vAlign w:val="center"/>
          </w:tcPr>
          <w:p w14:paraId="7164DBDB">
            <w:pPr>
              <w:rPr>
                <w:color w:val="auto"/>
                <w:sz w:val="18"/>
                <w:szCs w:val="18"/>
                <w:highlight w:val="none"/>
              </w:rPr>
            </w:pPr>
            <w:r>
              <w:rPr>
                <w:color w:val="auto"/>
                <w:sz w:val="18"/>
                <w:szCs w:val="18"/>
                <w:highlight w:val="none"/>
              </w:rPr>
              <w:t>满足</w:t>
            </w:r>
            <w:r>
              <w:rPr>
                <w:rFonts w:hint="eastAsia" w:ascii="宋体" w:hAnsi="宋体"/>
                <w:color w:val="auto"/>
                <w:sz w:val="18"/>
                <w:szCs w:val="18"/>
                <w:highlight w:val="none"/>
              </w:rPr>
              <w:t>采购</w:t>
            </w:r>
            <w:r>
              <w:rPr>
                <w:color w:val="auto"/>
                <w:sz w:val="18"/>
                <w:szCs w:val="18"/>
                <w:highlight w:val="none"/>
              </w:rPr>
              <w:t>文件规定</w:t>
            </w:r>
          </w:p>
        </w:tc>
      </w:tr>
      <w:tr w14:paraId="1B71F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01" w:type="dxa"/>
            <w:vMerge w:val="continue"/>
            <w:vAlign w:val="center"/>
          </w:tcPr>
          <w:p w14:paraId="29A5B6BF">
            <w:pPr>
              <w:spacing w:line="240" w:lineRule="exact"/>
              <w:jc w:val="center"/>
              <w:rPr>
                <w:color w:val="auto"/>
                <w:kern w:val="0"/>
                <w:sz w:val="18"/>
                <w:szCs w:val="18"/>
                <w:highlight w:val="none"/>
              </w:rPr>
            </w:pPr>
          </w:p>
        </w:tc>
        <w:tc>
          <w:tcPr>
            <w:tcW w:w="2693" w:type="dxa"/>
            <w:vAlign w:val="center"/>
          </w:tcPr>
          <w:p w14:paraId="55607B20">
            <w:pPr>
              <w:rPr>
                <w:color w:val="auto"/>
                <w:sz w:val="18"/>
                <w:szCs w:val="18"/>
                <w:highlight w:val="none"/>
              </w:rPr>
            </w:pPr>
            <w:r>
              <w:rPr>
                <w:rFonts w:hint="eastAsia"/>
                <w:color w:val="auto"/>
                <w:sz w:val="18"/>
                <w:szCs w:val="18"/>
                <w:highlight w:val="none"/>
              </w:rPr>
              <w:t>技术标准和要求</w:t>
            </w:r>
          </w:p>
        </w:tc>
        <w:tc>
          <w:tcPr>
            <w:tcW w:w="5777" w:type="dxa"/>
            <w:vAlign w:val="center"/>
          </w:tcPr>
          <w:p w14:paraId="71606E3D">
            <w:pPr>
              <w:rPr>
                <w:color w:val="auto"/>
                <w:sz w:val="18"/>
                <w:szCs w:val="18"/>
                <w:highlight w:val="none"/>
              </w:rPr>
            </w:pPr>
            <w:r>
              <w:rPr>
                <w:color w:val="auto"/>
                <w:sz w:val="18"/>
                <w:szCs w:val="18"/>
                <w:highlight w:val="none"/>
              </w:rPr>
              <w:t>满足</w:t>
            </w:r>
            <w:r>
              <w:rPr>
                <w:rFonts w:hint="eastAsia" w:ascii="宋体" w:hAnsi="宋体"/>
                <w:color w:val="auto"/>
                <w:sz w:val="18"/>
                <w:szCs w:val="18"/>
                <w:highlight w:val="none"/>
              </w:rPr>
              <w:t>采购</w:t>
            </w:r>
            <w:r>
              <w:rPr>
                <w:color w:val="auto"/>
                <w:sz w:val="18"/>
                <w:szCs w:val="18"/>
                <w:highlight w:val="none"/>
              </w:rPr>
              <w:t>文件规定</w:t>
            </w:r>
          </w:p>
        </w:tc>
      </w:tr>
      <w:tr w14:paraId="017BD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01" w:type="dxa"/>
            <w:vMerge w:val="continue"/>
            <w:vAlign w:val="center"/>
          </w:tcPr>
          <w:p w14:paraId="7F3A03D8">
            <w:pPr>
              <w:spacing w:line="240" w:lineRule="exact"/>
              <w:jc w:val="center"/>
              <w:rPr>
                <w:color w:val="auto"/>
                <w:kern w:val="0"/>
                <w:sz w:val="18"/>
                <w:szCs w:val="18"/>
                <w:highlight w:val="none"/>
              </w:rPr>
            </w:pPr>
          </w:p>
        </w:tc>
        <w:tc>
          <w:tcPr>
            <w:tcW w:w="2693" w:type="dxa"/>
            <w:vAlign w:val="center"/>
          </w:tcPr>
          <w:p w14:paraId="6FB25F6A">
            <w:pPr>
              <w:rPr>
                <w:color w:val="auto"/>
                <w:sz w:val="18"/>
                <w:szCs w:val="18"/>
                <w:highlight w:val="none"/>
              </w:rPr>
            </w:pPr>
            <w:r>
              <w:rPr>
                <w:rFonts w:hint="eastAsia"/>
                <w:color w:val="auto"/>
                <w:sz w:val="18"/>
                <w:szCs w:val="18"/>
                <w:highlight w:val="none"/>
              </w:rPr>
              <w:t>分包计划（如有）</w:t>
            </w:r>
          </w:p>
        </w:tc>
        <w:tc>
          <w:tcPr>
            <w:tcW w:w="5777" w:type="dxa"/>
            <w:vAlign w:val="center"/>
          </w:tcPr>
          <w:p w14:paraId="29035FB8">
            <w:pPr>
              <w:rPr>
                <w:color w:val="auto"/>
                <w:sz w:val="18"/>
                <w:szCs w:val="18"/>
                <w:highlight w:val="none"/>
              </w:rPr>
            </w:pPr>
            <w:r>
              <w:rPr>
                <w:color w:val="auto"/>
                <w:sz w:val="18"/>
                <w:szCs w:val="18"/>
                <w:highlight w:val="none"/>
              </w:rPr>
              <w:t>满足</w:t>
            </w:r>
            <w:r>
              <w:rPr>
                <w:rFonts w:hint="eastAsia" w:ascii="宋体" w:hAnsi="宋体"/>
                <w:color w:val="auto"/>
                <w:sz w:val="18"/>
                <w:szCs w:val="18"/>
                <w:highlight w:val="none"/>
              </w:rPr>
              <w:t>采购</w:t>
            </w:r>
            <w:r>
              <w:rPr>
                <w:color w:val="auto"/>
                <w:sz w:val="18"/>
                <w:szCs w:val="18"/>
                <w:highlight w:val="none"/>
              </w:rPr>
              <w:t>文件规定</w:t>
            </w:r>
          </w:p>
        </w:tc>
      </w:tr>
      <w:tr w14:paraId="144B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01" w:type="dxa"/>
            <w:vMerge w:val="continue"/>
            <w:vAlign w:val="center"/>
          </w:tcPr>
          <w:p w14:paraId="06628F65">
            <w:pPr>
              <w:spacing w:line="240" w:lineRule="exact"/>
              <w:jc w:val="center"/>
              <w:rPr>
                <w:color w:val="auto"/>
                <w:kern w:val="0"/>
                <w:sz w:val="18"/>
                <w:szCs w:val="18"/>
                <w:highlight w:val="none"/>
              </w:rPr>
            </w:pPr>
          </w:p>
        </w:tc>
        <w:tc>
          <w:tcPr>
            <w:tcW w:w="2693" w:type="dxa"/>
            <w:vAlign w:val="center"/>
          </w:tcPr>
          <w:p w14:paraId="0E23C1D4">
            <w:pPr>
              <w:spacing w:line="240" w:lineRule="exact"/>
              <w:rPr>
                <w:color w:val="auto"/>
                <w:sz w:val="18"/>
                <w:szCs w:val="18"/>
                <w:highlight w:val="none"/>
                <w:lang w:val="zh-CN"/>
              </w:rPr>
            </w:pPr>
            <w:r>
              <w:rPr>
                <w:color w:val="auto"/>
                <w:sz w:val="18"/>
                <w:szCs w:val="18"/>
                <w:highlight w:val="none"/>
                <w:lang w:val="zh-CN"/>
              </w:rPr>
              <w:t>已标价工程量清单</w:t>
            </w:r>
          </w:p>
        </w:tc>
        <w:tc>
          <w:tcPr>
            <w:tcW w:w="5777" w:type="dxa"/>
            <w:vAlign w:val="center"/>
          </w:tcPr>
          <w:p w14:paraId="0CCFA078">
            <w:pPr>
              <w:spacing w:line="240" w:lineRule="exact"/>
              <w:rPr>
                <w:color w:val="auto"/>
                <w:sz w:val="18"/>
                <w:szCs w:val="18"/>
                <w:highlight w:val="none"/>
                <w:lang w:val="zh-CN"/>
              </w:rPr>
            </w:pPr>
            <w:r>
              <w:rPr>
                <w:color w:val="auto"/>
                <w:sz w:val="18"/>
                <w:szCs w:val="18"/>
                <w:highlight w:val="none"/>
                <w:lang w:val="zh-CN"/>
              </w:rPr>
              <w:t>符合</w:t>
            </w:r>
            <w:r>
              <w:rPr>
                <w:color w:val="auto"/>
                <w:sz w:val="18"/>
                <w:szCs w:val="18"/>
                <w:highlight w:val="none"/>
              </w:rPr>
              <w:t>第</w:t>
            </w:r>
            <w:r>
              <w:rPr>
                <w:rFonts w:hint="eastAsia"/>
                <w:color w:val="auto"/>
                <w:sz w:val="18"/>
                <w:szCs w:val="18"/>
                <w:highlight w:val="none"/>
              </w:rPr>
              <w:t>二</w:t>
            </w:r>
            <w:r>
              <w:rPr>
                <w:color w:val="auto"/>
                <w:sz w:val="18"/>
                <w:szCs w:val="18"/>
                <w:highlight w:val="none"/>
              </w:rPr>
              <w:t>章“工程量清单”及 “</w:t>
            </w:r>
            <w:r>
              <w:rPr>
                <w:rFonts w:hint="eastAsia"/>
                <w:color w:val="auto"/>
                <w:sz w:val="18"/>
                <w:szCs w:val="18"/>
                <w:highlight w:val="none"/>
              </w:rPr>
              <w:t>图纸</w:t>
            </w:r>
            <w:r>
              <w:rPr>
                <w:color w:val="auto"/>
                <w:sz w:val="18"/>
                <w:szCs w:val="18"/>
                <w:highlight w:val="none"/>
              </w:rPr>
              <w:t>”</w:t>
            </w:r>
            <w:r>
              <w:rPr>
                <w:color w:val="auto"/>
                <w:sz w:val="18"/>
                <w:szCs w:val="18"/>
                <w:highlight w:val="none"/>
                <w:lang w:val="zh-CN"/>
              </w:rPr>
              <w:t>给出的范围、数量及编制要求</w:t>
            </w:r>
          </w:p>
        </w:tc>
      </w:tr>
      <w:tr w14:paraId="0F5F8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101" w:type="dxa"/>
            <w:vMerge w:val="restart"/>
            <w:vAlign w:val="center"/>
          </w:tcPr>
          <w:p w14:paraId="39985329">
            <w:pPr>
              <w:spacing w:line="240" w:lineRule="exact"/>
              <w:jc w:val="center"/>
              <w:rPr>
                <w:color w:val="auto"/>
                <w:sz w:val="18"/>
                <w:szCs w:val="18"/>
                <w:highlight w:val="none"/>
              </w:rPr>
            </w:pPr>
            <w:r>
              <w:rPr>
                <w:rFonts w:hint="eastAsia"/>
                <w:color w:val="auto"/>
                <w:kern w:val="0"/>
                <w:sz w:val="18"/>
                <w:szCs w:val="18"/>
                <w:highlight w:val="none"/>
              </w:rPr>
              <w:t>报价</w:t>
            </w:r>
          </w:p>
        </w:tc>
        <w:tc>
          <w:tcPr>
            <w:tcW w:w="2693" w:type="dxa"/>
            <w:vAlign w:val="center"/>
          </w:tcPr>
          <w:p w14:paraId="23BB1E60">
            <w:pPr>
              <w:rPr>
                <w:color w:val="auto"/>
                <w:sz w:val="18"/>
                <w:szCs w:val="18"/>
                <w:highlight w:val="none"/>
              </w:rPr>
            </w:pPr>
            <w:r>
              <w:rPr>
                <w:rFonts w:hint="eastAsia"/>
                <w:color w:val="auto"/>
                <w:sz w:val="18"/>
                <w:szCs w:val="18"/>
                <w:highlight w:val="none"/>
              </w:rPr>
              <w:t>有效报价</w:t>
            </w:r>
          </w:p>
        </w:tc>
        <w:tc>
          <w:tcPr>
            <w:tcW w:w="5777" w:type="dxa"/>
            <w:vAlign w:val="center"/>
          </w:tcPr>
          <w:p w14:paraId="5C8903B1">
            <w:pPr>
              <w:rPr>
                <w:color w:val="auto"/>
                <w:sz w:val="18"/>
                <w:szCs w:val="18"/>
                <w:highlight w:val="none"/>
              </w:rPr>
            </w:pPr>
            <w:r>
              <w:rPr>
                <w:rFonts w:hint="eastAsia"/>
                <w:color w:val="auto"/>
                <w:sz w:val="18"/>
                <w:szCs w:val="18"/>
                <w:highlight w:val="none"/>
              </w:rPr>
              <w:t>最后报价未超出采购预算金额（包括分项预算），也未超出最高限价（如有）</w:t>
            </w:r>
          </w:p>
        </w:tc>
      </w:tr>
      <w:tr w14:paraId="37D14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101" w:type="dxa"/>
            <w:vMerge w:val="continue"/>
            <w:vAlign w:val="center"/>
          </w:tcPr>
          <w:p w14:paraId="5FCBAAD2">
            <w:pPr>
              <w:spacing w:line="240" w:lineRule="exact"/>
              <w:jc w:val="center"/>
              <w:rPr>
                <w:color w:val="auto"/>
                <w:sz w:val="18"/>
                <w:szCs w:val="18"/>
                <w:highlight w:val="none"/>
              </w:rPr>
            </w:pPr>
          </w:p>
        </w:tc>
        <w:tc>
          <w:tcPr>
            <w:tcW w:w="2693" w:type="dxa"/>
            <w:vAlign w:val="center"/>
          </w:tcPr>
          <w:p w14:paraId="23652D3B">
            <w:pPr>
              <w:rPr>
                <w:color w:val="auto"/>
                <w:sz w:val="18"/>
                <w:szCs w:val="18"/>
                <w:highlight w:val="none"/>
              </w:rPr>
            </w:pPr>
            <w:r>
              <w:rPr>
                <w:rFonts w:hint="eastAsia"/>
                <w:color w:val="auto"/>
                <w:sz w:val="18"/>
                <w:szCs w:val="18"/>
                <w:highlight w:val="none"/>
              </w:rPr>
              <w:t>漏项报价</w:t>
            </w:r>
          </w:p>
        </w:tc>
        <w:tc>
          <w:tcPr>
            <w:tcW w:w="5777" w:type="dxa"/>
            <w:vAlign w:val="center"/>
          </w:tcPr>
          <w:p w14:paraId="7B84FC55">
            <w:pPr>
              <w:rPr>
                <w:color w:val="auto"/>
                <w:sz w:val="18"/>
                <w:szCs w:val="18"/>
                <w:highlight w:val="none"/>
              </w:rPr>
            </w:pPr>
            <w:r>
              <w:rPr>
                <w:rFonts w:hint="eastAsia"/>
                <w:color w:val="auto"/>
                <w:sz w:val="18"/>
                <w:szCs w:val="18"/>
                <w:highlight w:val="none"/>
              </w:rPr>
              <w:t>未就所投分标进行报价或者存在漏项报价；</w:t>
            </w:r>
          </w:p>
        </w:tc>
      </w:tr>
      <w:tr w14:paraId="125F0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101" w:type="dxa"/>
            <w:vMerge w:val="continue"/>
            <w:vAlign w:val="center"/>
          </w:tcPr>
          <w:p w14:paraId="72F05C2B">
            <w:pPr>
              <w:spacing w:line="240" w:lineRule="exact"/>
              <w:jc w:val="center"/>
              <w:rPr>
                <w:color w:val="auto"/>
                <w:sz w:val="18"/>
                <w:szCs w:val="18"/>
                <w:highlight w:val="none"/>
              </w:rPr>
            </w:pPr>
          </w:p>
        </w:tc>
        <w:tc>
          <w:tcPr>
            <w:tcW w:w="2693" w:type="dxa"/>
            <w:vAlign w:val="center"/>
          </w:tcPr>
          <w:p w14:paraId="0A0CD942">
            <w:pPr>
              <w:rPr>
                <w:color w:val="auto"/>
                <w:sz w:val="18"/>
                <w:szCs w:val="18"/>
                <w:highlight w:val="none"/>
              </w:rPr>
            </w:pPr>
            <w:r>
              <w:rPr>
                <w:rFonts w:hint="eastAsia"/>
                <w:color w:val="auto"/>
                <w:sz w:val="18"/>
                <w:szCs w:val="18"/>
                <w:highlight w:val="none"/>
              </w:rPr>
              <w:t>响应报价唯一性</w:t>
            </w:r>
          </w:p>
        </w:tc>
        <w:tc>
          <w:tcPr>
            <w:tcW w:w="5777" w:type="dxa"/>
            <w:vAlign w:val="center"/>
          </w:tcPr>
          <w:p w14:paraId="29F7615D">
            <w:pPr>
              <w:rPr>
                <w:color w:val="auto"/>
                <w:sz w:val="18"/>
                <w:szCs w:val="18"/>
                <w:highlight w:val="none"/>
              </w:rPr>
            </w:pPr>
            <w:r>
              <w:rPr>
                <w:rFonts w:hint="eastAsia"/>
                <w:color w:val="auto"/>
                <w:sz w:val="18"/>
                <w:szCs w:val="18"/>
                <w:highlight w:val="none"/>
              </w:rPr>
              <w:t>不存在有选择、有条件的最后报价（采购文件允许有备选方案或者其他约定的除外）</w:t>
            </w:r>
          </w:p>
        </w:tc>
      </w:tr>
      <w:tr w14:paraId="3AC9D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101" w:type="dxa"/>
            <w:vMerge w:val="continue"/>
            <w:vAlign w:val="center"/>
          </w:tcPr>
          <w:p w14:paraId="62012022">
            <w:pPr>
              <w:spacing w:line="240" w:lineRule="exact"/>
              <w:jc w:val="center"/>
              <w:rPr>
                <w:color w:val="auto"/>
                <w:sz w:val="18"/>
                <w:szCs w:val="18"/>
                <w:highlight w:val="none"/>
              </w:rPr>
            </w:pPr>
          </w:p>
        </w:tc>
        <w:tc>
          <w:tcPr>
            <w:tcW w:w="2693" w:type="dxa"/>
            <w:vAlign w:val="center"/>
          </w:tcPr>
          <w:p w14:paraId="603A9BDB">
            <w:pPr>
              <w:rPr>
                <w:color w:val="auto"/>
                <w:sz w:val="18"/>
                <w:szCs w:val="18"/>
                <w:highlight w:val="none"/>
              </w:rPr>
            </w:pPr>
            <w:r>
              <w:rPr>
                <w:rFonts w:hint="eastAsia"/>
                <w:color w:val="auto"/>
                <w:sz w:val="18"/>
                <w:szCs w:val="18"/>
                <w:highlight w:val="none"/>
              </w:rPr>
              <w:t>响应有效期</w:t>
            </w:r>
          </w:p>
        </w:tc>
        <w:tc>
          <w:tcPr>
            <w:tcW w:w="5777" w:type="dxa"/>
            <w:vAlign w:val="center"/>
          </w:tcPr>
          <w:p w14:paraId="437A02CA">
            <w:pPr>
              <w:rPr>
                <w:color w:val="auto"/>
                <w:sz w:val="18"/>
                <w:szCs w:val="18"/>
                <w:highlight w:val="none"/>
              </w:rPr>
            </w:pPr>
            <w:r>
              <w:rPr>
                <w:rFonts w:hint="eastAsia"/>
                <w:color w:val="auto"/>
                <w:sz w:val="18"/>
                <w:szCs w:val="18"/>
                <w:highlight w:val="none"/>
              </w:rPr>
              <w:t>满足采购文件规定</w:t>
            </w:r>
          </w:p>
        </w:tc>
      </w:tr>
    </w:tbl>
    <w:p w14:paraId="6D5FC8B6">
      <w:pPr>
        <w:spacing w:before="120" w:line="320" w:lineRule="atLeast"/>
        <w:ind w:firstLine="472" w:firstLineChars="196"/>
        <w:outlineLvl w:val="1"/>
        <w:rPr>
          <w:b/>
          <w:bCs/>
          <w:color w:val="auto"/>
          <w:kern w:val="0"/>
          <w:sz w:val="24"/>
          <w:szCs w:val="24"/>
          <w:highlight w:val="none"/>
        </w:rPr>
      </w:pPr>
      <w:r>
        <w:rPr>
          <w:b/>
          <w:bCs/>
          <w:color w:val="auto"/>
          <w:kern w:val="0"/>
          <w:sz w:val="24"/>
          <w:szCs w:val="24"/>
          <w:highlight w:val="none"/>
        </w:rPr>
        <w:br w:type="page"/>
      </w:r>
      <w:r>
        <w:rPr>
          <w:b/>
          <w:bCs/>
          <w:color w:val="auto"/>
          <w:kern w:val="0"/>
          <w:sz w:val="24"/>
          <w:szCs w:val="24"/>
          <w:highlight w:val="none"/>
        </w:rPr>
        <w:t>4.</w:t>
      </w:r>
      <w:r>
        <w:rPr>
          <w:rFonts w:hint="eastAsia"/>
          <w:b/>
          <w:bCs/>
          <w:color w:val="auto"/>
          <w:kern w:val="0"/>
          <w:sz w:val="24"/>
          <w:szCs w:val="24"/>
          <w:highlight w:val="none"/>
        </w:rPr>
        <w:t>评审</w:t>
      </w:r>
      <w:r>
        <w:rPr>
          <w:b/>
          <w:bCs/>
          <w:color w:val="auto"/>
          <w:kern w:val="0"/>
          <w:sz w:val="24"/>
          <w:szCs w:val="24"/>
          <w:highlight w:val="none"/>
        </w:rPr>
        <w:t>标准</w:t>
      </w:r>
    </w:p>
    <w:p w14:paraId="0EA3E64E">
      <w:pPr>
        <w:ind w:firstLine="360" w:firstLineChars="200"/>
        <w:rPr>
          <w:color w:val="auto"/>
          <w:sz w:val="18"/>
          <w:szCs w:val="18"/>
          <w:highlight w:val="none"/>
        </w:rPr>
      </w:pPr>
      <w:r>
        <w:rPr>
          <w:rFonts w:hint="eastAsia"/>
          <w:color w:val="auto"/>
          <w:sz w:val="18"/>
          <w:szCs w:val="18"/>
          <w:highlight w:val="none"/>
        </w:rPr>
        <w:t>（1）技术及商务资信分</w:t>
      </w:r>
    </w:p>
    <w:tbl>
      <w:tblPr>
        <w:tblStyle w:val="5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5"/>
        <w:gridCol w:w="703"/>
        <w:gridCol w:w="856"/>
        <w:gridCol w:w="5697"/>
        <w:gridCol w:w="853"/>
        <w:gridCol w:w="731"/>
      </w:tblGrid>
      <w:tr w14:paraId="02659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270" w:type="pct"/>
            <w:vAlign w:val="center"/>
          </w:tcPr>
          <w:p w14:paraId="40C6FF4D">
            <w:pPr>
              <w:jc w:val="center"/>
              <w:rPr>
                <w:b/>
                <w:color w:val="auto"/>
                <w:sz w:val="18"/>
                <w:szCs w:val="18"/>
                <w:highlight w:val="none"/>
              </w:rPr>
            </w:pPr>
            <w:r>
              <w:rPr>
                <w:b/>
                <w:color w:val="auto"/>
                <w:sz w:val="18"/>
                <w:szCs w:val="18"/>
                <w:highlight w:val="none"/>
              </w:rPr>
              <w:t>序号</w:t>
            </w:r>
          </w:p>
        </w:tc>
        <w:tc>
          <w:tcPr>
            <w:tcW w:w="376" w:type="pct"/>
            <w:vAlign w:val="center"/>
          </w:tcPr>
          <w:p w14:paraId="2D3CF2F5">
            <w:pPr>
              <w:jc w:val="center"/>
              <w:rPr>
                <w:b/>
                <w:color w:val="auto"/>
                <w:sz w:val="18"/>
                <w:szCs w:val="18"/>
                <w:highlight w:val="none"/>
              </w:rPr>
            </w:pPr>
            <w:r>
              <w:rPr>
                <w:rFonts w:hint="eastAsia"/>
                <w:b/>
                <w:color w:val="auto"/>
                <w:sz w:val="18"/>
                <w:szCs w:val="18"/>
                <w:highlight w:val="none"/>
              </w:rPr>
              <w:t>类型</w:t>
            </w:r>
          </w:p>
        </w:tc>
        <w:tc>
          <w:tcPr>
            <w:tcW w:w="3505" w:type="pct"/>
            <w:gridSpan w:val="2"/>
          </w:tcPr>
          <w:p w14:paraId="16416D82">
            <w:pPr>
              <w:jc w:val="center"/>
              <w:rPr>
                <w:b/>
                <w:color w:val="auto"/>
                <w:sz w:val="18"/>
                <w:szCs w:val="18"/>
                <w:highlight w:val="none"/>
              </w:rPr>
            </w:pPr>
            <w:r>
              <w:rPr>
                <w:rFonts w:hint="eastAsia"/>
                <w:b/>
                <w:color w:val="auto"/>
                <w:sz w:val="18"/>
                <w:szCs w:val="18"/>
                <w:highlight w:val="none"/>
              </w:rPr>
              <w:t>评分标准</w:t>
            </w:r>
          </w:p>
        </w:tc>
        <w:tc>
          <w:tcPr>
            <w:tcW w:w="456" w:type="pct"/>
            <w:vAlign w:val="center"/>
          </w:tcPr>
          <w:p w14:paraId="6712D929">
            <w:pPr>
              <w:jc w:val="center"/>
              <w:rPr>
                <w:b/>
                <w:color w:val="auto"/>
                <w:sz w:val="18"/>
                <w:szCs w:val="18"/>
                <w:highlight w:val="none"/>
              </w:rPr>
            </w:pPr>
            <w:r>
              <w:rPr>
                <w:rFonts w:hint="eastAsia"/>
                <w:b/>
                <w:color w:val="auto"/>
                <w:sz w:val="18"/>
                <w:szCs w:val="18"/>
                <w:highlight w:val="none"/>
              </w:rPr>
              <w:t>分值权重</w:t>
            </w:r>
          </w:p>
        </w:tc>
        <w:tc>
          <w:tcPr>
            <w:tcW w:w="391" w:type="pct"/>
            <w:vAlign w:val="center"/>
          </w:tcPr>
          <w:p w14:paraId="5921D7EE">
            <w:pPr>
              <w:jc w:val="center"/>
              <w:rPr>
                <w:b/>
                <w:color w:val="auto"/>
                <w:sz w:val="18"/>
                <w:szCs w:val="18"/>
                <w:highlight w:val="none"/>
              </w:rPr>
            </w:pPr>
            <w:r>
              <w:rPr>
                <w:b/>
                <w:color w:val="auto"/>
                <w:sz w:val="18"/>
                <w:szCs w:val="18"/>
                <w:highlight w:val="none"/>
              </w:rPr>
              <w:t>说明</w:t>
            </w:r>
          </w:p>
        </w:tc>
      </w:tr>
      <w:tr w14:paraId="50423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270" w:type="pct"/>
            <w:vAlign w:val="center"/>
          </w:tcPr>
          <w:p w14:paraId="0F60C15D">
            <w:pPr>
              <w:jc w:val="center"/>
              <w:rPr>
                <w:b/>
                <w:color w:val="auto"/>
                <w:sz w:val="18"/>
                <w:szCs w:val="18"/>
                <w:highlight w:val="none"/>
              </w:rPr>
            </w:pPr>
            <w:r>
              <w:rPr>
                <w:rFonts w:hint="eastAsia"/>
                <w:b/>
                <w:color w:val="auto"/>
                <w:sz w:val="18"/>
                <w:szCs w:val="18"/>
                <w:highlight w:val="none"/>
              </w:rPr>
              <w:t>1</w:t>
            </w:r>
          </w:p>
        </w:tc>
        <w:tc>
          <w:tcPr>
            <w:tcW w:w="376" w:type="pct"/>
            <w:vAlign w:val="center"/>
          </w:tcPr>
          <w:p w14:paraId="0DE6C9A2">
            <w:pPr>
              <w:jc w:val="center"/>
              <w:rPr>
                <w:color w:val="auto"/>
                <w:sz w:val="18"/>
                <w:szCs w:val="18"/>
                <w:highlight w:val="none"/>
              </w:rPr>
            </w:pPr>
            <w:r>
              <w:rPr>
                <w:rFonts w:hint="eastAsia"/>
                <w:color w:val="auto"/>
                <w:sz w:val="18"/>
                <w:szCs w:val="18"/>
                <w:highlight w:val="none"/>
              </w:rPr>
              <w:t>技术分</w:t>
            </w:r>
          </w:p>
        </w:tc>
        <w:tc>
          <w:tcPr>
            <w:tcW w:w="458" w:type="pct"/>
            <w:vMerge w:val="restart"/>
            <w:vAlign w:val="center"/>
          </w:tcPr>
          <w:p w14:paraId="69D202D9">
            <w:pPr>
              <w:widowControl/>
              <w:spacing w:line="360" w:lineRule="auto"/>
              <w:jc w:val="center"/>
              <w:rPr>
                <w:rFonts w:cs="宋体"/>
                <w:color w:val="auto"/>
                <w:kern w:val="0"/>
                <w:sz w:val="18"/>
                <w:szCs w:val="18"/>
                <w:highlight w:val="none"/>
              </w:rPr>
            </w:pPr>
            <w:r>
              <w:rPr>
                <w:rFonts w:hint="eastAsia" w:cs="宋体"/>
                <w:color w:val="auto"/>
                <w:sz w:val="18"/>
                <w:szCs w:val="18"/>
                <w:highlight w:val="none"/>
              </w:rPr>
              <w:t>项目管理机构</w:t>
            </w:r>
          </w:p>
        </w:tc>
        <w:tc>
          <w:tcPr>
            <w:tcW w:w="3047" w:type="pct"/>
            <w:vAlign w:val="center"/>
          </w:tcPr>
          <w:p w14:paraId="38C4251C">
            <w:pPr>
              <w:widowControl/>
              <w:spacing w:line="360" w:lineRule="auto"/>
              <w:rPr>
                <w:rFonts w:cs="宋体"/>
                <w:color w:val="auto"/>
                <w:kern w:val="0"/>
                <w:sz w:val="18"/>
                <w:szCs w:val="18"/>
                <w:highlight w:val="none"/>
              </w:rPr>
            </w:pPr>
            <w:r>
              <w:rPr>
                <w:rFonts w:hint="eastAsia" w:cs="宋体"/>
                <w:color w:val="auto"/>
                <w:kern w:val="0"/>
                <w:sz w:val="18"/>
                <w:szCs w:val="18"/>
                <w:highlight w:val="none"/>
              </w:rPr>
              <w:t>1、拟投入的项目经理具有</w:t>
            </w:r>
            <w:r>
              <w:rPr>
                <w:rFonts w:hint="eastAsia" w:cs="宋体"/>
                <w:color w:val="auto"/>
                <w:kern w:val="0"/>
                <w:sz w:val="18"/>
                <w:szCs w:val="18"/>
                <w:highlight w:val="none"/>
                <w:lang w:val="en-US" w:eastAsia="zh-CN"/>
              </w:rPr>
              <w:t>机电</w:t>
            </w:r>
            <w:r>
              <w:rPr>
                <w:rFonts w:hint="eastAsia" w:cs="宋体"/>
                <w:color w:val="auto"/>
                <w:kern w:val="0"/>
                <w:sz w:val="18"/>
                <w:szCs w:val="18"/>
                <w:highlight w:val="none"/>
              </w:rPr>
              <w:t>工程专业中级（含）以上职称的得3分。</w:t>
            </w:r>
          </w:p>
          <w:p w14:paraId="57D07AB0">
            <w:pPr>
              <w:widowControl/>
              <w:spacing w:line="360" w:lineRule="auto"/>
              <w:rPr>
                <w:color w:val="auto"/>
                <w:sz w:val="18"/>
                <w:szCs w:val="18"/>
                <w:highlight w:val="none"/>
              </w:rPr>
            </w:pPr>
            <w:r>
              <w:rPr>
                <w:rFonts w:hint="eastAsia" w:cs="宋体"/>
                <w:color w:val="auto"/>
                <w:kern w:val="0"/>
                <w:sz w:val="18"/>
                <w:szCs w:val="18"/>
                <w:highlight w:val="none"/>
              </w:rPr>
              <w:t>2、拟投入的项目经理具有1个类似</w:t>
            </w:r>
            <w:r>
              <w:rPr>
                <w:rFonts w:hint="eastAsia" w:cs="宋体"/>
                <w:color w:val="auto"/>
                <w:kern w:val="0"/>
                <w:sz w:val="18"/>
                <w:szCs w:val="18"/>
                <w:highlight w:val="none"/>
                <w:lang w:val="en-US" w:eastAsia="zh-CN"/>
              </w:rPr>
              <w:t>消防系统整改</w:t>
            </w:r>
            <w:r>
              <w:rPr>
                <w:rFonts w:hint="eastAsia" w:cs="宋体"/>
                <w:color w:val="auto"/>
                <w:kern w:val="0"/>
                <w:sz w:val="18"/>
                <w:szCs w:val="18"/>
                <w:highlight w:val="none"/>
              </w:rPr>
              <w:t>项目业绩的得</w:t>
            </w:r>
            <w:r>
              <w:rPr>
                <w:rFonts w:hint="eastAsia" w:cs="宋体"/>
                <w:color w:val="auto"/>
                <w:kern w:val="0"/>
                <w:sz w:val="18"/>
                <w:szCs w:val="18"/>
                <w:highlight w:val="none"/>
                <w:lang w:val="en-US" w:eastAsia="zh-CN"/>
              </w:rPr>
              <w:t>2</w:t>
            </w:r>
            <w:r>
              <w:rPr>
                <w:rFonts w:hint="eastAsia" w:cs="宋体"/>
                <w:color w:val="auto"/>
                <w:kern w:val="0"/>
                <w:sz w:val="18"/>
                <w:szCs w:val="18"/>
                <w:highlight w:val="none"/>
              </w:rPr>
              <w:t>分，</w:t>
            </w:r>
            <w:r>
              <w:rPr>
                <w:rFonts w:hint="eastAsia"/>
                <w:color w:val="auto"/>
                <w:sz w:val="18"/>
                <w:szCs w:val="18"/>
                <w:highlight w:val="none"/>
              </w:rPr>
              <w:t xml:space="preserve">本项满分 </w:t>
            </w:r>
            <w:r>
              <w:rPr>
                <w:rFonts w:hint="eastAsia"/>
                <w:color w:val="auto"/>
                <w:sz w:val="18"/>
                <w:szCs w:val="18"/>
                <w:highlight w:val="none"/>
                <w:lang w:eastAsia="zh"/>
              </w:rPr>
              <w:t>2</w:t>
            </w:r>
            <w:r>
              <w:rPr>
                <w:rFonts w:hint="eastAsia"/>
                <w:color w:val="auto"/>
                <w:sz w:val="18"/>
                <w:szCs w:val="18"/>
                <w:highlight w:val="none"/>
              </w:rPr>
              <w:t xml:space="preserve"> 分。 </w:t>
            </w:r>
          </w:p>
          <w:p w14:paraId="73FF91C5">
            <w:pPr>
              <w:widowControl/>
              <w:spacing w:line="360" w:lineRule="auto"/>
              <w:rPr>
                <w:color w:val="auto"/>
                <w:sz w:val="18"/>
                <w:szCs w:val="18"/>
                <w:highlight w:val="none"/>
              </w:rPr>
            </w:pPr>
            <w:r>
              <w:rPr>
                <w:rFonts w:hint="eastAsia"/>
                <w:color w:val="auto"/>
                <w:sz w:val="18"/>
                <w:szCs w:val="18"/>
                <w:highlight w:val="none"/>
              </w:rPr>
              <w:t>注：提供证书复印件，并提供在现任职单位的近半年任意一个月（202</w:t>
            </w:r>
            <w:r>
              <w:rPr>
                <w:rFonts w:hint="eastAsia"/>
                <w:color w:val="auto"/>
                <w:sz w:val="18"/>
                <w:szCs w:val="18"/>
                <w:highlight w:val="none"/>
                <w:lang w:val="en-US" w:eastAsia="zh-CN"/>
              </w:rPr>
              <w:t>6</w:t>
            </w:r>
            <w:r>
              <w:rPr>
                <w:rFonts w:hint="eastAsia"/>
                <w:color w:val="auto"/>
                <w:sz w:val="18"/>
                <w:szCs w:val="18"/>
                <w:highlight w:val="none"/>
              </w:rPr>
              <w:t>年</w:t>
            </w:r>
            <w:r>
              <w:rPr>
                <w:rFonts w:hint="eastAsia"/>
                <w:color w:val="auto"/>
                <w:sz w:val="18"/>
                <w:szCs w:val="18"/>
                <w:highlight w:val="none"/>
                <w:lang w:val="en-US" w:eastAsia="zh-CN"/>
              </w:rPr>
              <w:t>2</w:t>
            </w:r>
            <w:r>
              <w:rPr>
                <w:rFonts w:hint="eastAsia"/>
                <w:color w:val="auto"/>
                <w:sz w:val="18"/>
                <w:szCs w:val="18"/>
                <w:highlight w:val="none"/>
              </w:rPr>
              <w:t>月至投标截止时间止任意一个月社保）社保缴纳证明材料复印件；</w:t>
            </w:r>
            <w:r>
              <w:rPr>
                <w:rFonts w:hint="eastAsia" w:ascii="Arial" w:hAnsi="Arial" w:cs="Arial"/>
                <w:color w:val="auto"/>
                <w:sz w:val="18"/>
                <w:szCs w:val="18"/>
                <w:highlight w:val="none"/>
              </w:rPr>
              <w:t>提供业绩合同</w:t>
            </w:r>
            <w:r>
              <w:rPr>
                <w:rFonts w:hint="eastAsia" w:ascii="Arial" w:hAnsi="Arial" w:cs="Arial"/>
                <w:color w:val="auto"/>
                <w:sz w:val="18"/>
                <w:szCs w:val="18"/>
                <w:highlight w:val="none"/>
                <w:lang w:eastAsia="zh"/>
              </w:rPr>
              <w:t>协议书</w:t>
            </w:r>
            <w:r>
              <w:rPr>
                <w:rFonts w:hint="eastAsia" w:ascii="Arial" w:hAnsi="Arial" w:cs="Arial"/>
                <w:color w:val="auto"/>
                <w:sz w:val="18"/>
                <w:szCs w:val="18"/>
                <w:highlight w:val="none"/>
              </w:rPr>
              <w:t>或三方以上验收证明的复印件加盖</w:t>
            </w:r>
            <w:r>
              <w:rPr>
                <w:rFonts w:hint="eastAsia" w:ascii="Arial" w:hAnsi="Arial" w:cs="Arial"/>
                <w:color w:val="auto"/>
                <w:sz w:val="18"/>
                <w:szCs w:val="18"/>
                <w:highlight w:val="none"/>
                <w:lang w:val="en-US" w:eastAsia="zh-CN"/>
              </w:rPr>
              <w:t>供应商</w:t>
            </w:r>
            <w:r>
              <w:rPr>
                <w:rFonts w:hint="eastAsia" w:ascii="Arial" w:hAnsi="Arial" w:cs="Arial"/>
                <w:color w:val="auto"/>
                <w:sz w:val="18"/>
                <w:szCs w:val="18"/>
                <w:highlight w:val="none"/>
              </w:rPr>
              <w:t>公章；</w:t>
            </w:r>
            <w:r>
              <w:rPr>
                <w:rFonts w:hint="eastAsia"/>
                <w:color w:val="auto"/>
                <w:sz w:val="18"/>
                <w:szCs w:val="18"/>
                <w:highlight w:val="none"/>
              </w:rPr>
              <w:t>否则不予计分。</w:t>
            </w:r>
          </w:p>
        </w:tc>
        <w:tc>
          <w:tcPr>
            <w:tcW w:w="456" w:type="pct"/>
            <w:vAlign w:val="center"/>
          </w:tcPr>
          <w:p w14:paraId="2E88189F">
            <w:pPr>
              <w:rPr>
                <w:color w:val="auto"/>
                <w:sz w:val="18"/>
                <w:szCs w:val="18"/>
                <w:highlight w:val="none"/>
              </w:rPr>
            </w:pPr>
            <w:r>
              <w:rPr>
                <w:color w:val="auto"/>
                <w:sz w:val="18"/>
                <w:szCs w:val="18"/>
                <w:highlight w:val="none"/>
              </w:rPr>
              <w:t>5</w:t>
            </w:r>
          </w:p>
        </w:tc>
        <w:tc>
          <w:tcPr>
            <w:tcW w:w="391" w:type="pct"/>
            <w:vAlign w:val="center"/>
          </w:tcPr>
          <w:p w14:paraId="36254E86">
            <w:pPr>
              <w:rPr>
                <w:color w:val="auto"/>
                <w:sz w:val="18"/>
                <w:szCs w:val="18"/>
                <w:highlight w:val="none"/>
              </w:rPr>
            </w:pPr>
          </w:p>
        </w:tc>
      </w:tr>
      <w:tr w14:paraId="5AA57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270" w:type="pct"/>
            <w:vAlign w:val="center"/>
          </w:tcPr>
          <w:p w14:paraId="18629E77">
            <w:pPr>
              <w:jc w:val="center"/>
              <w:rPr>
                <w:b/>
                <w:color w:val="auto"/>
                <w:sz w:val="18"/>
                <w:szCs w:val="18"/>
                <w:highlight w:val="none"/>
              </w:rPr>
            </w:pPr>
          </w:p>
        </w:tc>
        <w:tc>
          <w:tcPr>
            <w:tcW w:w="376" w:type="pct"/>
            <w:vAlign w:val="center"/>
          </w:tcPr>
          <w:p w14:paraId="1A660929">
            <w:pPr>
              <w:jc w:val="center"/>
              <w:rPr>
                <w:color w:val="auto"/>
                <w:sz w:val="18"/>
                <w:szCs w:val="18"/>
                <w:highlight w:val="none"/>
              </w:rPr>
            </w:pPr>
            <w:r>
              <w:rPr>
                <w:rFonts w:hint="eastAsia"/>
                <w:color w:val="auto"/>
                <w:sz w:val="18"/>
                <w:szCs w:val="18"/>
                <w:highlight w:val="none"/>
              </w:rPr>
              <w:t>技术分</w:t>
            </w:r>
          </w:p>
        </w:tc>
        <w:tc>
          <w:tcPr>
            <w:tcW w:w="458" w:type="pct"/>
            <w:vMerge w:val="continue"/>
          </w:tcPr>
          <w:p w14:paraId="577A19C6">
            <w:pPr>
              <w:widowControl/>
              <w:spacing w:line="360" w:lineRule="auto"/>
              <w:rPr>
                <w:rFonts w:cs="宋体"/>
                <w:color w:val="auto"/>
                <w:kern w:val="0"/>
                <w:sz w:val="18"/>
                <w:szCs w:val="18"/>
                <w:highlight w:val="none"/>
              </w:rPr>
            </w:pPr>
          </w:p>
        </w:tc>
        <w:tc>
          <w:tcPr>
            <w:tcW w:w="3047" w:type="pct"/>
            <w:vAlign w:val="center"/>
          </w:tcPr>
          <w:p w14:paraId="023B9D65">
            <w:pPr>
              <w:widowControl/>
              <w:spacing w:line="360" w:lineRule="auto"/>
              <w:rPr>
                <w:rFonts w:cs="宋体"/>
                <w:color w:val="auto"/>
                <w:kern w:val="0"/>
                <w:sz w:val="18"/>
                <w:szCs w:val="18"/>
                <w:highlight w:val="none"/>
              </w:rPr>
            </w:pPr>
            <w:r>
              <w:rPr>
                <w:rFonts w:hint="eastAsia" w:cs="宋体"/>
                <w:color w:val="auto"/>
                <w:kern w:val="0"/>
                <w:sz w:val="18"/>
                <w:szCs w:val="18"/>
                <w:highlight w:val="none"/>
              </w:rPr>
              <w:t>其他主要人员（</w:t>
            </w:r>
            <w:r>
              <w:rPr>
                <w:color w:val="auto"/>
                <w:kern w:val="0"/>
                <w:sz w:val="18"/>
                <w:szCs w:val="18"/>
                <w:highlight w:val="none"/>
              </w:rPr>
              <w:t>5</w:t>
            </w:r>
            <w:r>
              <w:rPr>
                <w:rFonts w:hint="eastAsia" w:cs="宋体"/>
                <w:color w:val="auto"/>
                <w:kern w:val="0"/>
                <w:sz w:val="18"/>
                <w:szCs w:val="18"/>
                <w:highlight w:val="none"/>
              </w:rPr>
              <w:t>分）</w:t>
            </w:r>
          </w:p>
          <w:p w14:paraId="4411E4B6">
            <w:pPr>
              <w:widowControl/>
              <w:spacing w:line="360" w:lineRule="auto"/>
              <w:rPr>
                <w:rFonts w:cs="宋体"/>
                <w:color w:val="auto"/>
                <w:kern w:val="0"/>
                <w:sz w:val="18"/>
                <w:szCs w:val="18"/>
                <w:highlight w:val="none"/>
              </w:rPr>
            </w:pPr>
            <w:r>
              <w:rPr>
                <w:rFonts w:hint="eastAsia" w:cs="宋体"/>
                <w:color w:val="auto"/>
                <w:kern w:val="0"/>
                <w:sz w:val="18"/>
                <w:szCs w:val="18"/>
                <w:highlight w:val="none"/>
              </w:rPr>
              <w:t>基本要求：人员齐备、专业配套应与资格审查提供的人员配备相一致，且具备相关施工现场专业人员职业培训合格证书（拟派驻本项目技术负责人应具有中级及以上</w:t>
            </w:r>
            <w:r>
              <w:rPr>
                <w:rFonts w:hint="eastAsia" w:cs="宋体"/>
                <w:color w:val="auto"/>
                <w:kern w:val="0"/>
                <w:sz w:val="18"/>
                <w:szCs w:val="18"/>
                <w:highlight w:val="none"/>
                <w:lang w:val="en-US" w:eastAsia="zh-CN"/>
              </w:rPr>
              <w:t>的</w:t>
            </w:r>
            <w:r>
              <w:rPr>
                <w:rFonts w:hint="eastAsia"/>
                <w:color w:val="auto"/>
                <w:kern w:val="0"/>
                <w:sz w:val="18"/>
                <w:szCs w:val="18"/>
                <w:highlight w:val="none"/>
              </w:rPr>
              <w:t>消防工程相关专业（机电工程、给排水、暖通、电气自动化等）</w:t>
            </w:r>
            <w:r>
              <w:rPr>
                <w:rFonts w:hint="eastAsia" w:cs="宋体"/>
                <w:color w:val="auto"/>
                <w:kern w:val="0"/>
                <w:sz w:val="18"/>
                <w:szCs w:val="18"/>
                <w:highlight w:val="none"/>
                <w:lang w:val="en-US" w:eastAsia="zh-CN"/>
              </w:rPr>
              <w:t>工程或相关专业的</w:t>
            </w:r>
            <w:r>
              <w:rPr>
                <w:rFonts w:hint="eastAsia" w:cs="宋体"/>
                <w:color w:val="auto"/>
                <w:kern w:val="0"/>
                <w:sz w:val="18"/>
                <w:szCs w:val="18"/>
                <w:highlight w:val="none"/>
              </w:rPr>
              <w:t>职称证件，施工员、质量员、材料员应具有有效的相应施工现场专业人员职业培训合格证书，专职安全生产管理人员需有有效建筑施工企业三类人员C证，且拟投入的项目管理人员符合国家及广西壮族自治区的规定）</w:t>
            </w:r>
          </w:p>
          <w:p w14:paraId="7D7FFCB9">
            <w:pPr>
              <w:widowControl/>
              <w:spacing w:line="360" w:lineRule="auto"/>
              <w:rPr>
                <w:rFonts w:cs="宋体"/>
                <w:color w:val="auto"/>
                <w:kern w:val="0"/>
                <w:sz w:val="18"/>
                <w:szCs w:val="18"/>
                <w:highlight w:val="none"/>
              </w:rPr>
            </w:pPr>
            <w:r>
              <w:rPr>
                <w:rFonts w:hint="eastAsia" w:cs="宋体"/>
                <w:color w:val="auto"/>
                <w:kern w:val="0"/>
                <w:sz w:val="18"/>
                <w:szCs w:val="18"/>
                <w:highlight w:val="none"/>
              </w:rPr>
              <w:t>评分内容：需要量化人员配备情况、人员经验情况、特殊项目其他专业技术人员设置要求等，由招标人根据项目需求调整。</w:t>
            </w:r>
          </w:p>
          <w:p w14:paraId="320F378C">
            <w:pPr>
              <w:widowControl/>
              <w:spacing w:line="360" w:lineRule="auto"/>
              <w:rPr>
                <w:rFonts w:cs="宋体"/>
                <w:color w:val="auto"/>
                <w:sz w:val="18"/>
                <w:szCs w:val="18"/>
                <w:highlight w:val="none"/>
              </w:rPr>
            </w:pPr>
            <w:r>
              <w:rPr>
                <w:rFonts w:hint="eastAsia" w:cs="宋体"/>
                <w:color w:val="auto"/>
                <w:kern w:val="0"/>
                <w:sz w:val="18"/>
                <w:szCs w:val="18"/>
                <w:highlight w:val="none"/>
              </w:rPr>
              <w:t xml:space="preserve">拟投入本工程管理人员中施工员 1人及以上得0.5分，满分0.5分；质量员 1人及以上得0.5分，满分0.5分；材料员 1 人及以上得0.5分，满分0.5分；专职安全生产管理人员 1人及以上得0.5分，满分0.5分；拟投入的管理人员中具有工程类中级或以上职称的人员1人得1分，满分3分。  </w:t>
            </w:r>
          </w:p>
        </w:tc>
        <w:tc>
          <w:tcPr>
            <w:tcW w:w="456" w:type="pct"/>
            <w:vAlign w:val="center"/>
          </w:tcPr>
          <w:p w14:paraId="0CD2D6E5">
            <w:pPr>
              <w:rPr>
                <w:color w:val="auto"/>
                <w:sz w:val="18"/>
                <w:szCs w:val="18"/>
                <w:highlight w:val="none"/>
              </w:rPr>
            </w:pPr>
            <w:r>
              <w:rPr>
                <w:color w:val="auto"/>
                <w:sz w:val="18"/>
                <w:szCs w:val="18"/>
                <w:highlight w:val="none"/>
              </w:rPr>
              <w:t>5</w:t>
            </w:r>
          </w:p>
        </w:tc>
        <w:tc>
          <w:tcPr>
            <w:tcW w:w="391" w:type="pct"/>
            <w:vAlign w:val="center"/>
          </w:tcPr>
          <w:p w14:paraId="0F8ACB4A">
            <w:pPr>
              <w:rPr>
                <w:color w:val="auto"/>
                <w:sz w:val="18"/>
                <w:szCs w:val="18"/>
                <w:highlight w:val="none"/>
              </w:rPr>
            </w:pPr>
          </w:p>
        </w:tc>
      </w:tr>
      <w:tr w14:paraId="126EE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270" w:type="pct"/>
            <w:vAlign w:val="center"/>
          </w:tcPr>
          <w:p w14:paraId="19B63591">
            <w:pPr>
              <w:jc w:val="center"/>
              <w:rPr>
                <w:b/>
                <w:color w:val="auto"/>
                <w:sz w:val="18"/>
                <w:szCs w:val="18"/>
                <w:highlight w:val="none"/>
              </w:rPr>
            </w:pPr>
          </w:p>
        </w:tc>
        <w:tc>
          <w:tcPr>
            <w:tcW w:w="376" w:type="pct"/>
            <w:vAlign w:val="center"/>
          </w:tcPr>
          <w:p w14:paraId="7E31A841">
            <w:pPr>
              <w:jc w:val="center"/>
              <w:rPr>
                <w:color w:val="auto"/>
                <w:sz w:val="18"/>
                <w:szCs w:val="18"/>
                <w:highlight w:val="none"/>
              </w:rPr>
            </w:pPr>
            <w:r>
              <w:rPr>
                <w:rFonts w:hint="eastAsia"/>
                <w:color w:val="auto"/>
                <w:sz w:val="18"/>
                <w:szCs w:val="18"/>
                <w:highlight w:val="none"/>
              </w:rPr>
              <w:t>技术分</w:t>
            </w:r>
          </w:p>
        </w:tc>
        <w:tc>
          <w:tcPr>
            <w:tcW w:w="458" w:type="pct"/>
            <w:vMerge w:val="restart"/>
            <w:vAlign w:val="center"/>
          </w:tcPr>
          <w:p w14:paraId="5210C8BD">
            <w:pPr>
              <w:jc w:val="center"/>
              <w:rPr>
                <w:color w:val="auto"/>
                <w:sz w:val="18"/>
                <w:szCs w:val="18"/>
                <w:highlight w:val="none"/>
              </w:rPr>
            </w:pPr>
            <w:r>
              <w:rPr>
                <w:rFonts w:hint="eastAsia" w:ascii="Arial" w:hAnsi="Arial" w:cs="Arial"/>
                <w:color w:val="auto"/>
                <w:sz w:val="18"/>
                <w:szCs w:val="18"/>
                <w:highlight w:val="none"/>
              </w:rPr>
              <w:t>施工组织设计</w:t>
            </w:r>
          </w:p>
        </w:tc>
        <w:tc>
          <w:tcPr>
            <w:tcW w:w="3047" w:type="pct"/>
            <w:vAlign w:val="center"/>
          </w:tcPr>
          <w:p w14:paraId="68F1CFB4">
            <w:pPr>
              <w:widowControl/>
              <w:spacing w:line="360" w:lineRule="auto"/>
              <w:rPr>
                <w:rFonts w:cs="宋体"/>
                <w:color w:val="auto"/>
                <w:kern w:val="0"/>
                <w:sz w:val="18"/>
                <w:szCs w:val="18"/>
                <w:highlight w:val="none"/>
              </w:rPr>
            </w:pPr>
            <w:r>
              <w:rPr>
                <w:rFonts w:hint="eastAsia" w:cs="宋体"/>
                <w:color w:val="auto"/>
                <w:kern w:val="0"/>
                <w:sz w:val="18"/>
                <w:szCs w:val="18"/>
                <w:highlight w:val="none"/>
              </w:rPr>
              <w:t>主要施工方法（10分）</w:t>
            </w:r>
          </w:p>
          <w:p w14:paraId="1FBA0C73">
            <w:pPr>
              <w:widowControl/>
              <w:spacing w:line="360" w:lineRule="auto"/>
              <w:rPr>
                <w:rFonts w:cs="宋体"/>
                <w:color w:val="auto"/>
                <w:kern w:val="0"/>
                <w:sz w:val="18"/>
                <w:szCs w:val="18"/>
                <w:highlight w:val="none"/>
              </w:rPr>
            </w:pPr>
            <w:r>
              <w:rPr>
                <w:rFonts w:hint="eastAsia" w:cs="宋体"/>
                <w:color w:val="auto"/>
                <w:kern w:val="0"/>
                <w:sz w:val="18"/>
                <w:szCs w:val="18"/>
                <w:highlight w:val="none"/>
              </w:rPr>
              <w:t>各主要分部施工方法符合项目实际，须有详尽的施工技术方案，工艺先进、方法科学合理、可行，能指导具体施工并确保安全。</w:t>
            </w:r>
          </w:p>
          <w:p w14:paraId="3F7C6C5F">
            <w:pPr>
              <w:widowControl/>
              <w:spacing w:line="360" w:lineRule="auto"/>
              <w:rPr>
                <w:rFonts w:cs="宋体"/>
                <w:color w:val="auto"/>
                <w:kern w:val="0"/>
                <w:sz w:val="18"/>
                <w:szCs w:val="18"/>
                <w:highlight w:val="none"/>
              </w:rPr>
            </w:pPr>
            <w:r>
              <w:rPr>
                <w:rFonts w:hint="eastAsia" w:cs="宋体"/>
                <w:color w:val="auto"/>
                <w:kern w:val="0"/>
                <w:sz w:val="18"/>
                <w:szCs w:val="18"/>
                <w:highlight w:val="none"/>
              </w:rPr>
              <w:t xml:space="preserve">一档（10分）：各主要分部施工方法符合项目实际，有详尽的施工技术方案，工艺先进、方法科学合理、可行，具有针对性，能详细指导具体施工并确保安全。  </w:t>
            </w:r>
          </w:p>
          <w:p w14:paraId="23565520">
            <w:pPr>
              <w:widowControl/>
              <w:spacing w:line="360" w:lineRule="auto"/>
              <w:rPr>
                <w:rFonts w:cs="宋体"/>
                <w:color w:val="auto"/>
                <w:kern w:val="0"/>
                <w:sz w:val="18"/>
                <w:szCs w:val="18"/>
                <w:highlight w:val="none"/>
              </w:rPr>
            </w:pPr>
            <w:r>
              <w:rPr>
                <w:rFonts w:hint="eastAsia" w:cs="宋体"/>
                <w:color w:val="auto"/>
                <w:kern w:val="0"/>
                <w:sz w:val="18"/>
                <w:szCs w:val="18"/>
                <w:highlight w:val="none"/>
              </w:rPr>
              <w:t xml:space="preserve">二档（5分）：各主要分部施工方法符合项目实际，有施工技术方案，工艺一般、方法基本可行，能指导具体施工并确保安全。 </w:t>
            </w:r>
          </w:p>
          <w:p w14:paraId="420C7395">
            <w:pPr>
              <w:widowControl/>
              <w:spacing w:line="360" w:lineRule="auto"/>
              <w:rPr>
                <w:rFonts w:cs="宋体"/>
                <w:color w:val="auto"/>
                <w:kern w:val="0"/>
                <w:sz w:val="18"/>
                <w:szCs w:val="18"/>
                <w:highlight w:val="none"/>
              </w:rPr>
            </w:pPr>
            <w:r>
              <w:rPr>
                <w:rFonts w:hint="eastAsia" w:cs="宋体"/>
                <w:color w:val="auto"/>
                <w:kern w:val="0"/>
                <w:sz w:val="18"/>
                <w:szCs w:val="18"/>
                <w:highlight w:val="none"/>
              </w:rPr>
              <w:t xml:space="preserve">三档（1 分）：各主要分部施工方法不符合项目实际，有施工技术方案，工艺、方法不合理，不能指导具体施工。 </w:t>
            </w:r>
          </w:p>
        </w:tc>
        <w:tc>
          <w:tcPr>
            <w:tcW w:w="456" w:type="pct"/>
            <w:vAlign w:val="center"/>
          </w:tcPr>
          <w:p w14:paraId="72BAF57D">
            <w:pPr>
              <w:rPr>
                <w:color w:val="auto"/>
                <w:sz w:val="18"/>
                <w:szCs w:val="18"/>
                <w:highlight w:val="none"/>
              </w:rPr>
            </w:pPr>
            <w:r>
              <w:rPr>
                <w:rFonts w:hint="eastAsia"/>
                <w:color w:val="auto"/>
                <w:sz w:val="18"/>
                <w:szCs w:val="18"/>
                <w:highlight w:val="none"/>
              </w:rPr>
              <w:t>10</w:t>
            </w:r>
          </w:p>
        </w:tc>
        <w:tc>
          <w:tcPr>
            <w:tcW w:w="391" w:type="pct"/>
            <w:vAlign w:val="center"/>
          </w:tcPr>
          <w:p w14:paraId="0968BEDD">
            <w:pPr>
              <w:rPr>
                <w:color w:val="auto"/>
                <w:sz w:val="18"/>
                <w:szCs w:val="18"/>
                <w:highlight w:val="none"/>
              </w:rPr>
            </w:pPr>
          </w:p>
        </w:tc>
      </w:tr>
      <w:tr w14:paraId="0BF4B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270" w:type="pct"/>
            <w:vAlign w:val="center"/>
          </w:tcPr>
          <w:p w14:paraId="42B6D5BC">
            <w:pPr>
              <w:jc w:val="center"/>
              <w:rPr>
                <w:b/>
                <w:color w:val="auto"/>
                <w:sz w:val="18"/>
                <w:szCs w:val="18"/>
                <w:highlight w:val="none"/>
              </w:rPr>
            </w:pPr>
          </w:p>
        </w:tc>
        <w:tc>
          <w:tcPr>
            <w:tcW w:w="376" w:type="pct"/>
            <w:vAlign w:val="center"/>
          </w:tcPr>
          <w:p w14:paraId="7B3262A3">
            <w:pPr>
              <w:jc w:val="center"/>
              <w:rPr>
                <w:color w:val="auto"/>
                <w:sz w:val="18"/>
                <w:szCs w:val="18"/>
                <w:highlight w:val="none"/>
              </w:rPr>
            </w:pPr>
            <w:r>
              <w:rPr>
                <w:rFonts w:hint="eastAsia"/>
                <w:color w:val="auto"/>
                <w:sz w:val="18"/>
                <w:szCs w:val="18"/>
                <w:highlight w:val="none"/>
              </w:rPr>
              <w:t>技术分</w:t>
            </w:r>
          </w:p>
        </w:tc>
        <w:tc>
          <w:tcPr>
            <w:tcW w:w="458" w:type="pct"/>
            <w:vMerge w:val="continue"/>
          </w:tcPr>
          <w:p w14:paraId="56FF0325">
            <w:pPr>
              <w:rPr>
                <w:color w:val="auto"/>
                <w:sz w:val="18"/>
                <w:szCs w:val="18"/>
                <w:highlight w:val="none"/>
              </w:rPr>
            </w:pPr>
          </w:p>
        </w:tc>
        <w:tc>
          <w:tcPr>
            <w:tcW w:w="3047" w:type="pct"/>
            <w:vAlign w:val="center"/>
          </w:tcPr>
          <w:p w14:paraId="10288D11">
            <w:pPr>
              <w:widowControl/>
              <w:spacing w:line="360" w:lineRule="auto"/>
              <w:rPr>
                <w:rFonts w:cs="宋体"/>
                <w:color w:val="auto"/>
                <w:kern w:val="0"/>
                <w:sz w:val="18"/>
                <w:szCs w:val="18"/>
                <w:highlight w:val="none"/>
              </w:rPr>
            </w:pPr>
            <w:r>
              <w:rPr>
                <w:rFonts w:hint="eastAsia" w:cs="宋体"/>
                <w:color w:val="auto"/>
                <w:kern w:val="0"/>
                <w:sz w:val="18"/>
                <w:szCs w:val="18"/>
                <w:highlight w:val="none"/>
              </w:rPr>
              <w:t>拟投入的主要物资计划（10分）</w:t>
            </w:r>
          </w:p>
          <w:p w14:paraId="7EB88ADB">
            <w:pPr>
              <w:widowControl/>
              <w:spacing w:line="360" w:lineRule="auto"/>
              <w:rPr>
                <w:rFonts w:cs="宋体"/>
                <w:color w:val="auto"/>
                <w:kern w:val="0"/>
                <w:sz w:val="18"/>
                <w:szCs w:val="18"/>
                <w:highlight w:val="none"/>
              </w:rPr>
            </w:pPr>
            <w:r>
              <w:rPr>
                <w:rFonts w:hint="eastAsia" w:cs="宋体"/>
                <w:color w:val="auto"/>
                <w:kern w:val="0"/>
                <w:sz w:val="18"/>
                <w:szCs w:val="18"/>
                <w:highlight w:val="none"/>
              </w:rPr>
              <w:t>投入的施工材料有详细的组织计划且计划周密，数量、选型配置、进场时间安排合理，满足施工需要。</w:t>
            </w:r>
          </w:p>
          <w:p w14:paraId="08B3F0EB">
            <w:pPr>
              <w:widowControl/>
              <w:spacing w:line="360" w:lineRule="auto"/>
              <w:rPr>
                <w:rFonts w:cs="宋体"/>
                <w:color w:val="auto"/>
                <w:kern w:val="0"/>
                <w:sz w:val="18"/>
                <w:szCs w:val="18"/>
                <w:highlight w:val="none"/>
              </w:rPr>
            </w:pPr>
            <w:r>
              <w:rPr>
                <w:rFonts w:hint="eastAsia" w:cs="宋体"/>
                <w:color w:val="auto"/>
                <w:kern w:val="0"/>
                <w:sz w:val="18"/>
                <w:szCs w:val="18"/>
                <w:highlight w:val="none"/>
              </w:rPr>
              <w:t xml:space="preserve">一档（10分）：投入的施工材料有详细的组织计划且计划周密，数量、选型配置、进场时间安排合理，满足施工需要。 </w:t>
            </w:r>
          </w:p>
          <w:p w14:paraId="7A2E167F">
            <w:pPr>
              <w:widowControl/>
              <w:spacing w:line="360" w:lineRule="auto"/>
              <w:rPr>
                <w:rFonts w:cs="宋体"/>
                <w:color w:val="auto"/>
                <w:kern w:val="0"/>
                <w:sz w:val="18"/>
                <w:szCs w:val="18"/>
                <w:highlight w:val="none"/>
              </w:rPr>
            </w:pPr>
            <w:r>
              <w:rPr>
                <w:rFonts w:hint="eastAsia" w:cs="宋体"/>
                <w:color w:val="auto"/>
                <w:kern w:val="0"/>
                <w:sz w:val="18"/>
                <w:szCs w:val="18"/>
                <w:highlight w:val="none"/>
              </w:rPr>
              <w:t xml:space="preserve">二档（5分）：投入的施工材料有组织计划，数量、选型配置、进场时间安排合理，基本满足施工需要。 </w:t>
            </w:r>
          </w:p>
          <w:p w14:paraId="55221001">
            <w:pPr>
              <w:widowControl/>
              <w:spacing w:line="360" w:lineRule="auto"/>
              <w:rPr>
                <w:rFonts w:cs="宋体"/>
                <w:color w:val="auto"/>
                <w:kern w:val="0"/>
                <w:sz w:val="18"/>
                <w:szCs w:val="18"/>
                <w:highlight w:val="none"/>
              </w:rPr>
            </w:pPr>
            <w:r>
              <w:rPr>
                <w:rFonts w:hint="eastAsia" w:cs="宋体"/>
                <w:color w:val="auto"/>
                <w:kern w:val="0"/>
                <w:sz w:val="18"/>
                <w:szCs w:val="18"/>
                <w:highlight w:val="none"/>
              </w:rPr>
              <w:t xml:space="preserve">三档（1分）：投入的施工材料有组织计划，与实际有一定偏差。 </w:t>
            </w:r>
          </w:p>
        </w:tc>
        <w:tc>
          <w:tcPr>
            <w:tcW w:w="456" w:type="pct"/>
            <w:vAlign w:val="center"/>
          </w:tcPr>
          <w:p w14:paraId="16CCD899">
            <w:pPr>
              <w:rPr>
                <w:color w:val="auto"/>
                <w:sz w:val="18"/>
                <w:szCs w:val="18"/>
                <w:highlight w:val="none"/>
              </w:rPr>
            </w:pPr>
            <w:r>
              <w:rPr>
                <w:rFonts w:hint="eastAsia"/>
                <w:color w:val="auto"/>
                <w:sz w:val="18"/>
                <w:szCs w:val="18"/>
                <w:highlight w:val="none"/>
              </w:rPr>
              <w:t>10</w:t>
            </w:r>
          </w:p>
        </w:tc>
        <w:tc>
          <w:tcPr>
            <w:tcW w:w="391" w:type="pct"/>
            <w:vAlign w:val="center"/>
          </w:tcPr>
          <w:p w14:paraId="4B9E1E14">
            <w:pPr>
              <w:rPr>
                <w:color w:val="auto"/>
                <w:sz w:val="18"/>
                <w:szCs w:val="18"/>
                <w:highlight w:val="none"/>
              </w:rPr>
            </w:pPr>
          </w:p>
        </w:tc>
      </w:tr>
      <w:tr w14:paraId="0758D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02" w:hRule="atLeast"/>
          <w:jc w:val="center"/>
        </w:trPr>
        <w:tc>
          <w:tcPr>
            <w:tcW w:w="270" w:type="pct"/>
            <w:vAlign w:val="center"/>
          </w:tcPr>
          <w:p w14:paraId="347D70DC">
            <w:pPr>
              <w:jc w:val="center"/>
              <w:rPr>
                <w:b/>
                <w:color w:val="auto"/>
                <w:sz w:val="18"/>
                <w:szCs w:val="18"/>
                <w:highlight w:val="none"/>
              </w:rPr>
            </w:pPr>
          </w:p>
        </w:tc>
        <w:tc>
          <w:tcPr>
            <w:tcW w:w="376" w:type="pct"/>
            <w:vAlign w:val="center"/>
          </w:tcPr>
          <w:p w14:paraId="4B5F84FC">
            <w:pPr>
              <w:jc w:val="center"/>
              <w:rPr>
                <w:color w:val="auto"/>
                <w:sz w:val="18"/>
                <w:szCs w:val="18"/>
                <w:highlight w:val="none"/>
              </w:rPr>
            </w:pPr>
            <w:r>
              <w:rPr>
                <w:rFonts w:hint="eastAsia"/>
                <w:color w:val="auto"/>
                <w:sz w:val="18"/>
                <w:szCs w:val="18"/>
                <w:highlight w:val="none"/>
              </w:rPr>
              <w:t>技术分</w:t>
            </w:r>
          </w:p>
        </w:tc>
        <w:tc>
          <w:tcPr>
            <w:tcW w:w="458" w:type="pct"/>
            <w:vMerge w:val="continue"/>
          </w:tcPr>
          <w:p w14:paraId="2A7D81F4">
            <w:pPr>
              <w:rPr>
                <w:color w:val="auto"/>
                <w:sz w:val="18"/>
                <w:szCs w:val="18"/>
                <w:highlight w:val="none"/>
              </w:rPr>
            </w:pPr>
          </w:p>
        </w:tc>
        <w:tc>
          <w:tcPr>
            <w:tcW w:w="3047" w:type="pct"/>
            <w:vAlign w:val="center"/>
          </w:tcPr>
          <w:p w14:paraId="2BEF2F48">
            <w:pPr>
              <w:widowControl/>
              <w:spacing w:line="360" w:lineRule="auto"/>
              <w:rPr>
                <w:rFonts w:cs="宋体"/>
                <w:color w:val="auto"/>
                <w:kern w:val="0"/>
                <w:sz w:val="18"/>
                <w:szCs w:val="18"/>
                <w:highlight w:val="none"/>
              </w:rPr>
            </w:pPr>
            <w:r>
              <w:rPr>
                <w:rFonts w:hint="eastAsia" w:cs="宋体"/>
                <w:color w:val="auto"/>
                <w:kern w:val="0"/>
                <w:sz w:val="18"/>
                <w:szCs w:val="18"/>
                <w:highlight w:val="none"/>
              </w:rPr>
              <w:t>劳动力安排计划（10分）</w:t>
            </w:r>
          </w:p>
          <w:p w14:paraId="11F59521">
            <w:pPr>
              <w:widowControl/>
              <w:spacing w:line="360" w:lineRule="auto"/>
              <w:rPr>
                <w:rFonts w:cs="宋体"/>
                <w:color w:val="auto"/>
                <w:kern w:val="0"/>
                <w:sz w:val="18"/>
                <w:szCs w:val="18"/>
                <w:highlight w:val="none"/>
              </w:rPr>
            </w:pPr>
            <w:r>
              <w:rPr>
                <w:rFonts w:hint="eastAsia" w:cs="宋体"/>
                <w:color w:val="auto"/>
                <w:kern w:val="0"/>
                <w:sz w:val="18"/>
                <w:szCs w:val="18"/>
                <w:highlight w:val="none"/>
              </w:rPr>
              <w:t>各主要施工工序应有详细周密的劳动力安排计划，有各工种劳动力安排计划，劳动力投入合理，满足施工需要。</w:t>
            </w:r>
          </w:p>
          <w:p w14:paraId="1566E0C4">
            <w:pPr>
              <w:widowControl/>
              <w:spacing w:line="360" w:lineRule="auto"/>
              <w:rPr>
                <w:rFonts w:cs="宋体"/>
                <w:color w:val="auto"/>
                <w:kern w:val="0"/>
                <w:sz w:val="18"/>
                <w:szCs w:val="18"/>
                <w:highlight w:val="none"/>
              </w:rPr>
            </w:pPr>
            <w:r>
              <w:rPr>
                <w:rFonts w:hint="eastAsia" w:cs="宋体"/>
                <w:color w:val="auto"/>
                <w:kern w:val="0"/>
                <w:sz w:val="18"/>
                <w:szCs w:val="18"/>
                <w:highlight w:val="none"/>
              </w:rPr>
              <w:t xml:space="preserve">一档（10分）：各主要施工工序有详细周密的劳动力安排计划，有各工种劳动力详细周密的安排计划，劳动力投入科学合理、可行，施工高峰期拟投入的劳动力能完全满足施工需要，保证措施具体。  </w:t>
            </w:r>
          </w:p>
          <w:p w14:paraId="26C98783">
            <w:pPr>
              <w:widowControl/>
              <w:spacing w:line="360" w:lineRule="auto"/>
              <w:rPr>
                <w:rFonts w:cs="宋体"/>
                <w:color w:val="auto"/>
                <w:kern w:val="0"/>
                <w:sz w:val="18"/>
                <w:szCs w:val="18"/>
                <w:highlight w:val="none"/>
              </w:rPr>
            </w:pPr>
            <w:r>
              <w:rPr>
                <w:rFonts w:hint="eastAsia" w:cs="宋体"/>
                <w:color w:val="auto"/>
                <w:kern w:val="0"/>
                <w:sz w:val="18"/>
                <w:szCs w:val="18"/>
                <w:highlight w:val="none"/>
              </w:rPr>
              <w:t xml:space="preserve">二档（5分）：各主要施工工序有劳动力安排计划，有各工种劳动力安排计划，劳动力投入合理，施工高峰期拟投入的劳动力基本满足施工需要。 </w:t>
            </w:r>
          </w:p>
          <w:p w14:paraId="1C606AEF">
            <w:pPr>
              <w:widowControl/>
              <w:spacing w:line="360" w:lineRule="auto"/>
              <w:rPr>
                <w:color w:val="auto"/>
                <w:sz w:val="18"/>
                <w:szCs w:val="18"/>
                <w:highlight w:val="none"/>
              </w:rPr>
            </w:pPr>
            <w:r>
              <w:rPr>
                <w:rFonts w:hint="eastAsia" w:cs="宋体"/>
                <w:color w:val="auto"/>
                <w:kern w:val="0"/>
                <w:sz w:val="18"/>
                <w:szCs w:val="18"/>
                <w:highlight w:val="none"/>
              </w:rPr>
              <w:t xml:space="preserve">三档（1分）：各主要施工工序有劳动力安排计划，各工种劳动力安排计划，劳动力投入不合理，施工高峰期拟投入的劳动力不满足施工需要。 </w:t>
            </w:r>
          </w:p>
        </w:tc>
        <w:tc>
          <w:tcPr>
            <w:tcW w:w="456" w:type="pct"/>
            <w:vAlign w:val="center"/>
          </w:tcPr>
          <w:p w14:paraId="39F30B19">
            <w:pPr>
              <w:rPr>
                <w:color w:val="auto"/>
                <w:sz w:val="18"/>
                <w:szCs w:val="18"/>
                <w:highlight w:val="none"/>
              </w:rPr>
            </w:pPr>
            <w:r>
              <w:rPr>
                <w:rFonts w:hint="eastAsia"/>
                <w:color w:val="auto"/>
                <w:sz w:val="18"/>
                <w:szCs w:val="18"/>
                <w:highlight w:val="none"/>
              </w:rPr>
              <w:t>10</w:t>
            </w:r>
          </w:p>
        </w:tc>
        <w:tc>
          <w:tcPr>
            <w:tcW w:w="391" w:type="pct"/>
            <w:vAlign w:val="center"/>
          </w:tcPr>
          <w:p w14:paraId="3BFD815E">
            <w:pPr>
              <w:rPr>
                <w:color w:val="auto"/>
                <w:sz w:val="18"/>
                <w:szCs w:val="18"/>
                <w:highlight w:val="none"/>
              </w:rPr>
            </w:pPr>
          </w:p>
        </w:tc>
      </w:tr>
      <w:tr w14:paraId="085AB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270" w:type="pct"/>
            <w:vAlign w:val="center"/>
          </w:tcPr>
          <w:p w14:paraId="75639014">
            <w:pPr>
              <w:jc w:val="center"/>
              <w:rPr>
                <w:b/>
                <w:color w:val="auto"/>
                <w:sz w:val="18"/>
                <w:szCs w:val="18"/>
                <w:highlight w:val="none"/>
              </w:rPr>
            </w:pPr>
          </w:p>
        </w:tc>
        <w:tc>
          <w:tcPr>
            <w:tcW w:w="376" w:type="pct"/>
            <w:vAlign w:val="center"/>
          </w:tcPr>
          <w:p w14:paraId="079B462E">
            <w:pPr>
              <w:jc w:val="center"/>
              <w:rPr>
                <w:color w:val="auto"/>
                <w:sz w:val="18"/>
                <w:szCs w:val="18"/>
                <w:highlight w:val="none"/>
              </w:rPr>
            </w:pPr>
            <w:r>
              <w:rPr>
                <w:rFonts w:hint="eastAsia"/>
                <w:color w:val="auto"/>
                <w:sz w:val="18"/>
                <w:szCs w:val="18"/>
                <w:highlight w:val="none"/>
              </w:rPr>
              <w:t>技术分</w:t>
            </w:r>
          </w:p>
        </w:tc>
        <w:tc>
          <w:tcPr>
            <w:tcW w:w="458" w:type="pct"/>
            <w:vMerge w:val="continue"/>
          </w:tcPr>
          <w:p w14:paraId="6AE01060">
            <w:pPr>
              <w:rPr>
                <w:color w:val="auto"/>
                <w:sz w:val="18"/>
                <w:szCs w:val="18"/>
                <w:highlight w:val="none"/>
              </w:rPr>
            </w:pPr>
          </w:p>
        </w:tc>
        <w:tc>
          <w:tcPr>
            <w:tcW w:w="3047" w:type="pct"/>
            <w:vAlign w:val="center"/>
          </w:tcPr>
          <w:p w14:paraId="30E11F86">
            <w:pPr>
              <w:widowControl/>
              <w:spacing w:line="360" w:lineRule="auto"/>
              <w:rPr>
                <w:rFonts w:cs="宋体"/>
                <w:color w:val="auto"/>
                <w:kern w:val="0"/>
                <w:sz w:val="18"/>
                <w:szCs w:val="18"/>
                <w:highlight w:val="none"/>
              </w:rPr>
            </w:pPr>
            <w:r>
              <w:rPr>
                <w:rFonts w:hint="eastAsia" w:cs="宋体"/>
                <w:color w:val="auto"/>
                <w:kern w:val="0"/>
                <w:sz w:val="18"/>
                <w:szCs w:val="18"/>
                <w:highlight w:val="none"/>
              </w:rPr>
              <w:t>确保工程质量的技术组织措施（5分）</w:t>
            </w:r>
          </w:p>
          <w:p w14:paraId="478319D7">
            <w:pPr>
              <w:widowControl/>
              <w:spacing w:line="360" w:lineRule="auto"/>
              <w:rPr>
                <w:rFonts w:cs="宋体"/>
                <w:color w:val="auto"/>
                <w:kern w:val="0"/>
                <w:sz w:val="18"/>
                <w:szCs w:val="18"/>
                <w:highlight w:val="none"/>
              </w:rPr>
            </w:pPr>
            <w:r>
              <w:rPr>
                <w:rFonts w:hint="eastAsia" w:cs="宋体"/>
                <w:color w:val="auto"/>
                <w:kern w:val="0"/>
                <w:sz w:val="18"/>
                <w:szCs w:val="18"/>
                <w:highlight w:val="none"/>
              </w:rPr>
              <w:t>应有专门的质量技术管理班子和制度，且人员配备合理，制度健全。主要工序应有质量技术保证措施和手段，自控体系完整，能有效保证技术质量，达到承诺的质量标准。</w:t>
            </w:r>
          </w:p>
          <w:p w14:paraId="0B8335DC">
            <w:pPr>
              <w:widowControl/>
              <w:spacing w:line="360" w:lineRule="auto"/>
              <w:rPr>
                <w:rFonts w:cs="宋体"/>
                <w:color w:val="auto"/>
                <w:kern w:val="0"/>
                <w:sz w:val="18"/>
                <w:szCs w:val="18"/>
                <w:highlight w:val="none"/>
              </w:rPr>
            </w:pPr>
            <w:r>
              <w:rPr>
                <w:rFonts w:hint="eastAsia" w:cs="宋体"/>
                <w:color w:val="auto"/>
                <w:kern w:val="0"/>
                <w:sz w:val="18"/>
                <w:szCs w:val="18"/>
                <w:highlight w:val="none"/>
              </w:rPr>
              <w:t xml:space="preserve">一档（5 分）：有专门的质量技术管理班子和制度，且人员配备科学合理，制度详细健全。主要工序有详细质量技术保证措施和手段，自控体系完整，能有效保证技术质量，达到承诺的质量标准。  </w:t>
            </w:r>
          </w:p>
          <w:p w14:paraId="43B5E9DA">
            <w:pPr>
              <w:widowControl/>
              <w:spacing w:line="360" w:lineRule="auto"/>
              <w:rPr>
                <w:rFonts w:cs="宋体"/>
                <w:color w:val="auto"/>
                <w:kern w:val="0"/>
                <w:sz w:val="18"/>
                <w:szCs w:val="18"/>
                <w:highlight w:val="none"/>
              </w:rPr>
            </w:pPr>
            <w:r>
              <w:rPr>
                <w:rFonts w:hint="eastAsia" w:cs="宋体"/>
                <w:color w:val="auto"/>
                <w:kern w:val="0"/>
                <w:sz w:val="18"/>
                <w:szCs w:val="18"/>
                <w:highlight w:val="none"/>
              </w:rPr>
              <w:t xml:space="preserve">二档（3 分）：有质量技术管理班子和制度，人员配备合理，制度不够健全。主要工序有质量技术保证措施和手段，达到承诺的质量标准。 </w:t>
            </w:r>
          </w:p>
          <w:p w14:paraId="34D91B20">
            <w:pPr>
              <w:widowControl/>
              <w:spacing w:line="360" w:lineRule="auto"/>
              <w:rPr>
                <w:color w:val="auto"/>
                <w:sz w:val="18"/>
                <w:szCs w:val="18"/>
                <w:highlight w:val="none"/>
              </w:rPr>
            </w:pPr>
            <w:r>
              <w:rPr>
                <w:rFonts w:hint="eastAsia" w:cs="宋体"/>
                <w:color w:val="auto"/>
                <w:kern w:val="0"/>
                <w:sz w:val="18"/>
                <w:szCs w:val="18"/>
                <w:highlight w:val="none"/>
              </w:rPr>
              <w:t xml:space="preserve">三档（1分）：人员配备不合理，制度不够健全。主要工序无质量技术保证措施和手段，未达到承诺的质量标准。 </w:t>
            </w:r>
          </w:p>
        </w:tc>
        <w:tc>
          <w:tcPr>
            <w:tcW w:w="456" w:type="pct"/>
            <w:vAlign w:val="center"/>
          </w:tcPr>
          <w:p w14:paraId="07F266AE">
            <w:pPr>
              <w:rPr>
                <w:color w:val="auto"/>
                <w:sz w:val="18"/>
                <w:szCs w:val="18"/>
                <w:highlight w:val="none"/>
              </w:rPr>
            </w:pPr>
            <w:r>
              <w:rPr>
                <w:rFonts w:hint="eastAsia"/>
                <w:color w:val="auto"/>
                <w:sz w:val="18"/>
                <w:szCs w:val="18"/>
                <w:highlight w:val="none"/>
              </w:rPr>
              <w:t>5</w:t>
            </w:r>
          </w:p>
        </w:tc>
        <w:tc>
          <w:tcPr>
            <w:tcW w:w="391" w:type="pct"/>
            <w:vAlign w:val="center"/>
          </w:tcPr>
          <w:p w14:paraId="7959E2B2">
            <w:pPr>
              <w:rPr>
                <w:color w:val="auto"/>
                <w:sz w:val="18"/>
                <w:szCs w:val="18"/>
                <w:highlight w:val="none"/>
              </w:rPr>
            </w:pPr>
          </w:p>
        </w:tc>
      </w:tr>
      <w:tr w14:paraId="70820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270" w:type="pct"/>
            <w:vAlign w:val="center"/>
          </w:tcPr>
          <w:p w14:paraId="1C21D4B1">
            <w:pPr>
              <w:jc w:val="center"/>
              <w:rPr>
                <w:b/>
                <w:color w:val="auto"/>
                <w:sz w:val="18"/>
                <w:szCs w:val="18"/>
                <w:highlight w:val="none"/>
              </w:rPr>
            </w:pPr>
          </w:p>
        </w:tc>
        <w:tc>
          <w:tcPr>
            <w:tcW w:w="376" w:type="pct"/>
            <w:vAlign w:val="center"/>
          </w:tcPr>
          <w:p w14:paraId="58E958D3">
            <w:pPr>
              <w:jc w:val="center"/>
              <w:rPr>
                <w:color w:val="auto"/>
                <w:sz w:val="18"/>
                <w:szCs w:val="18"/>
                <w:highlight w:val="none"/>
              </w:rPr>
            </w:pPr>
            <w:r>
              <w:rPr>
                <w:rFonts w:hint="eastAsia"/>
                <w:color w:val="auto"/>
                <w:sz w:val="18"/>
                <w:szCs w:val="18"/>
                <w:highlight w:val="none"/>
              </w:rPr>
              <w:t>技术分</w:t>
            </w:r>
          </w:p>
        </w:tc>
        <w:tc>
          <w:tcPr>
            <w:tcW w:w="458" w:type="pct"/>
            <w:vMerge w:val="continue"/>
          </w:tcPr>
          <w:p w14:paraId="0B017E48">
            <w:pPr>
              <w:rPr>
                <w:color w:val="auto"/>
                <w:sz w:val="18"/>
                <w:szCs w:val="18"/>
                <w:highlight w:val="none"/>
              </w:rPr>
            </w:pPr>
          </w:p>
        </w:tc>
        <w:tc>
          <w:tcPr>
            <w:tcW w:w="3047" w:type="pct"/>
            <w:vAlign w:val="center"/>
          </w:tcPr>
          <w:p w14:paraId="53564BA6">
            <w:pPr>
              <w:widowControl/>
              <w:spacing w:line="360" w:lineRule="auto"/>
              <w:rPr>
                <w:rFonts w:cs="宋体"/>
                <w:color w:val="auto"/>
                <w:kern w:val="0"/>
                <w:sz w:val="18"/>
                <w:szCs w:val="18"/>
                <w:highlight w:val="none"/>
              </w:rPr>
            </w:pPr>
            <w:r>
              <w:rPr>
                <w:rFonts w:hint="eastAsia" w:cs="宋体"/>
                <w:color w:val="auto"/>
                <w:kern w:val="0"/>
                <w:sz w:val="18"/>
                <w:szCs w:val="18"/>
                <w:highlight w:val="none"/>
              </w:rPr>
              <w:t>确保安全生产的技术组织措施（5分）</w:t>
            </w:r>
          </w:p>
          <w:p w14:paraId="30A101B0">
            <w:pPr>
              <w:widowControl/>
              <w:spacing w:line="360" w:lineRule="auto"/>
              <w:rPr>
                <w:rFonts w:cs="宋体"/>
                <w:color w:val="auto"/>
                <w:kern w:val="0"/>
                <w:sz w:val="18"/>
                <w:szCs w:val="18"/>
                <w:highlight w:val="none"/>
              </w:rPr>
            </w:pPr>
            <w:r>
              <w:rPr>
                <w:rFonts w:hint="eastAsia" w:cs="宋体"/>
                <w:color w:val="auto"/>
                <w:kern w:val="0"/>
                <w:sz w:val="18"/>
                <w:szCs w:val="18"/>
                <w:highlight w:val="none"/>
              </w:rPr>
              <w:t>应有专门的安全管理人员和制度，且人员配备合理，制度健全，各道工序安全技术措施针对性强，符合实际且满足有关安全技术标准要求。现场防火、应急救援、社会治安安全措施得力。</w:t>
            </w:r>
          </w:p>
          <w:p w14:paraId="2BCA835F">
            <w:pPr>
              <w:widowControl/>
              <w:spacing w:line="360" w:lineRule="auto"/>
              <w:rPr>
                <w:rFonts w:cs="宋体"/>
                <w:color w:val="auto"/>
                <w:kern w:val="0"/>
                <w:sz w:val="18"/>
                <w:szCs w:val="18"/>
                <w:highlight w:val="none"/>
              </w:rPr>
            </w:pPr>
            <w:r>
              <w:rPr>
                <w:rFonts w:hint="eastAsia" w:cs="宋体"/>
                <w:color w:val="auto"/>
                <w:kern w:val="0"/>
                <w:sz w:val="18"/>
                <w:szCs w:val="18"/>
                <w:highlight w:val="none"/>
              </w:rPr>
              <w:t>危险性较大的分部分项工程清单补充完善并明确相应的安全管理措施。（如有）</w:t>
            </w:r>
          </w:p>
          <w:p w14:paraId="131EA377">
            <w:pPr>
              <w:widowControl/>
              <w:spacing w:line="360" w:lineRule="auto"/>
              <w:rPr>
                <w:rFonts w:cs="宋体"/>
                <w:color w:val="auto"/>
                <w:kern w:val="0"/>
                <w:sz w:val="18"/>
                <w:szCs w:val="18"/>
                <w:highlight w:val="none"/>
              </w:rPr>
            </w:pPr>
            <w:r>
              <w:rPr>
                <w:rFonts w:hint="eastAsia" w:cs="宋体"/>
                <w:color w:val="auto"/>
                <w:kern w:val="0"/>
                <w:sz w:val="18"/>
                <w:szCs w:val="18"/>
                <w:highlight w:val="none"/>
              </w:rPr>
              <w:t xml:space="preserve">一档（5 分）：有专门的安全管理人员和制度，且人员配备科学合理，制度详细健全，各道工序安全技术措施针对性强，符合实际且满足有关安全技术标准要求。现场防火、应急救援、社会治安安全措施得力。 </w:t>
            </w:r>
          </w:p>
          <w:p w14:paraId="1971B871">
            <w:pPr>
              <w:widowControl/>
              <w:spacing w:line="360" w:lineRule="auto"/>
              <w:rPr>
                <w:rFonts w:cs="宋体"/>
                <w:color w:val="auto"/>
                <w:kern w:val="0"/>
                <w:sz w:val="18"/>
                <w:szCs w:val="18"/>
                <w:highlight w:val="none"/>
              </w:rPr>
            </w:pPr>
            <w:r>
              <w:rPr>
                <w:rFonts w:hint="eastAsia" w:cs="宋体"/>
                <w:color w:val="auto"/>
                <w:kern w:val="0"/>
                <w:sz w:val="18"/>
                <w:szCs w:val="18"/>
                <w:highlight w:val="none"/>
              </w:rPr>
              <w:t>二档（3 分）：有安全管理人员和制度，制度健全，满足有关安全技术标准要求。现场防火、应急救援、社会治安安全措施</w:t>
            </w:r>
            <w:r>
              <w:rPr>
                <w:rFonts w:hint="eastAsia" w:cs="宋体"/>
                <w:color w:val="auto"/>
                <w:kern w:val="0"/>
                <w:sz w:val="18"/>
                <w:szCs w:val="18"/>
                <w:highlight w:val="none"/>
                <w:lang w:val="en-US" w:eastAsia="zh-CN"/>
              </w:rPr>
              <w:t>符合要求</w:t>
            </w:r>
            <w:r>
              <w:rPr>
                <w:rFonts w:hint="eastAsia" w:cs="宋体"/>
                <w:color w:val="auto"/>
                <w:kern w:val="0"/>
                <w:sz w:val="18"/>
                <w:szCs w:val="18"/>
                <w:highlight w:val="none"/>
              </w:rPr>
              <w:t xml:space="preserve">。 </w:t>
            </w:r>
          </w:p>
          <w:p w14:paraId="3ABD80F9">
            <w:pPr>
              <w:widowControl/>
              <w:spacing w:line="360" w:lineRule="auto"/>
              <w:rPr>
                <w:color w:val="auto"/>
                <w:sz w:val="18"/>
                <w:szCs w:val="18"/>
                <w:highlight w:val="none"/>
              </w:rPr>
            </w:pPr>
            <w:r>
              <w:rPr>
                <w:rFonts w:hint="eastAsia" w:cs="宋体"/>
                <w:color w:val="auto"/>
                <w:kern w:val="0"/>
                <w:sz w:val="18"/>
                <w:szCs w:val="18"/>
                <w:highlight w:val="none"/>
              </w:rPr>
              <w:t xml:space="preserve">三档（1分）：有安全管理人员和制度但制度不健全，安全措施简陋。 </w:t>
            </w:r>
          </w:p>
        </w:tc>
        <w:tc>
          <w:tcPr>
            <w:tcW w:w="456" w:type="pct"/>
            <w:vAlign w:val="center"/>
          </w:tcPr>
          <w:p w14:paraId="13099399">
            <w:pPr>
              <w:rPr>
                <w:color w:val="auto"/>
                <w:sz w:val="18"/>
                <w:szCs w:val="18"/>
                <w:highlight w:val="none"/>
              </w:rPr>
            </w:pPr>
            <w:r>
              <w:rPr>
                <w:rFonts w:hint="eastAsia"/>
                <w:color w:val="auto"/>
                <w:sz w:val="18"/>
                <w:szCs w:val="18"/>
                <w:highlight w:val="none"/>
              </w:rPr>
              <w:t>5</w:t>
            </w:r>
          </w:p>
        </w:tc>
        <w:tc>
          <w:tcPr>
            <w:tcW w:w="391" w:type="pct"/>
            <w:vAlign w:val="center"/>
          </w:tcPr>
          <w:p w14:paraId="716FFE77">
            <w:pPr>
              <w:rPr>
                <w:color w:val="auto"/>
                <w:sz w:val="18"/>
                <w:szCs w:val="18"/>
                <w:highlight w:val="none"/>
              </w:rPr>
            </w:pPr>
          </w:p>
        </w:tc>
      </w:tr>
      <w:tr w14:paraId="721C9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270" w:type="pct"/>
            <w:vAlign w:val="center"/>
          </w:tcPr>
          <w:p w14:paraId="47BA01CC">
            <w:pPr>
              <w:jc w:val="center"/>
              <w:rPr>
                <w:b/>
                <w:color w:val="auto"/>
                <w:sz w:val="18"/>
                <w:szCs w:val="18"/>
                <w:highlight w:val="none"/>
              </w:rPr>
            </w:pPr>
          </w:p>
        </w:tc>
        <w:tc>
          <w:tcPr>
            <w:tcW w:w="376" w:type="pct"/>
            <w:vAlign w:val="center"/>
          </w:tcPr>
          <w:p w14:paraId="45E3C1C1">
            <w:pPr>
              <w:jc w:val="center"/>
              <w:rPr>
                <w:color w:val="auto"/>
                <w:sz w:val="18"/>
                <w:szCs w:val="18"/>
                <w:highlight w:val="none"/>
              </w:rPr>
            </w:pPr>
            <w:r>
              <w:rPr>
                <w:rFonts w:hint="eastAsia"/>
                <w:color w:val="auto"/>
                <w:sz w:val="18"/>
                <w:szCs w:val="18"/>
                <w:highlight w:val="none"/>
              </w:rPr>
              <w:t>技术分</w:t>
            </w:r>
          </w:p>
        </w:tc>
        <w:tc>
          <w:tcPr>
            <w:tcW w:w="458" w:type="pct"/>
            <w:vMerge w:val="continue"/>
          </w:tcPr>
          <w:p w14:paraId="4D8CF05D">
            <w:pPr>
              <w:rPr>
                <w:color w:val="auto"/>
                <w:sz w:val="18"/>
                <w:szCs w:val="18"/>
                <w:highlight w:val="none"/>
              </w:rPr>
            </w:pPr>
          </w:p>
        </w:tc>
        <w:tc>
          <w:tcPr>
            <w:tcW w:w="3047" w:type="pct"/>
            <w:vAlign w:val="center"/>
          </w:tcPr>
          <w:p w14:paraId="32EE052A">
            <w:pPr>
              <w:widowControl/>
              <w:spacing w:line="360" w:lineRule="auto"/>
              <w:rPr>
                <w:rFonts w:cs="宋体"/>
                <w:color w:val="auto"/>
                <w:kern w:val="0"/>
                <w:sz w:val="18"/>
                <w:szCs w:val="18"/>
                <w:highlight w:val="none"/>
              </w:rPr>
            </w:pPr>
            <w:r>
              <w:rPr>
                <w:rFonts w:hint="eastAsia" w:cs="宋体"/>
                <w:color w:val="auto"/>
                <w:kern w:val="0"/>
                <w:sz w:val="18"/>
                <w:szCs w:val="18"/>
                <w:highlight w:val="none"/>
              </w:rPr>
              <w:t>确保工期的技术组织措施（</w:t>
            </w:r>
            <w:r>
              <w:rPr>
                <w:rFonts w:hint="eastAsia" w:cs="宋体"/>
                <w:color w:val="auto"/>
                <w:kern w:val="0"/>
                <w:sz w:val="18"/>
                <w:szCs w:val="18"/>
                <w:highlight w:val="none"/>
                <w:lang w:val="en-US" w:eastAsia="zh-CN"/>
              </w:rPr>
              <w:t>5</w:t>
            </w:r>
            <w:r>
              <w:rPr>
                <w:rFonts w:hint="eastAsia" w:cs="宋体"/>
                <w:color w:val="auto"/>
                <w:kern w:val="0"/>
                <w:sz w:val="18"/>
                <w:szCs w:val="18"/>
                <w:highlight w:val="none"/>
              </w:rPr>
              <w:t>分）</w:t>
            </w:r>
          </w:p>
          <w:p w14:paraId="7048ECE1">
            <w:pPr>
              <w:widowControl/>
              <w:spacing w:line="360" w:lineRule="auto"/>
              <w:rPr>
                <w:rFonts w:cs="宋体"/>
                <w:color w:val="auto"/>
                <w:kern w:val="0"/>
                <w:sz w:val="18"/>
                <w:szCs w:val="18"/>
                <w:highlight w:val="none"/>
              </w:rPr>
            </w:pPr>
            <w:r>
              <w:rPr>
                <w:rFonts w:hint="eastAsia" w:cs="宋体"/>
                <w:color w:val="auto"/>
                <w:kern w:val="0"/>
                <w:sz w:val="18"/>
                <w:szCs w:val="18"/>
                <w:highlight w:val="none"/>
              </w:rPr>
              <w:t>在施工工艺、施工方法、材料选用、劳动力安排、技术等方面有保证工期的具体措施且措施得当。有控制工期的施工进度计划。应有施工总进度表或施工网络图，各项计划图表编制完善，安排科学合理，符合本项目施工实际要求。</w:t>
            </w:r>
          </w:p>
          <w:p w14:paraId="38B45EA9">
            <w:pPr>
              <w:widowControl/>
              <w:spacing w:line="360" w:lineRule="auto"/>
              <w:rPr>
                <w:rFonts w:cs="宋体"/>
                <w:color w:val="auto"/>
                <w:kern w:val="0"/>
                <w:sz w:val="18"/>
                <w:szCs w:val="18"/>
                <w:highlight w:val="none"/>
              </w:rPr>
            </w:pPr>
            <w:r>
              <w:rPr>
                <w:rFonts w:hint="eastAsia" w:cs="宋体"/>
                <w:color w:val="auto"/>
                <w:kern w:val="0"/>
                <w:sz w:val="18"/>
                <w:szCs w:val="18"/>
                <w:highlight w:val="none"/>
              </w:rPr>
              <w:t>一档（</w:t>
            </w:r>
            <w:r>
              <w:rPr>
                <w:rFonts w:hint="eastAsia" w:cs="宋体"/>
                <w:color w:val="auto"/>
                <w:kern w:val="0"/>
                <w:sz w:val="18"/>
                <w:szCs w:val="18"/>
                <w:highlight w:val="none"/>
                <w:lang w:val="en-US" w:eastAsia="zh-CN"/>
              </w:rPr>
              <w:t>5</w:t>
            </w:r>
            <w:r>
              <w:rPr>
                <w:rFonts w:hint="eastAsia" w:cs="宋体"/>
                <w:color w:val="auto"/>
                <w:kern w:val="0"/>
                <w:sz w:val="18"/>
                <w:szCs w:val="18"/>
                <w:highlight w:val="none"/>
              </w:rPr>
              <w:t xml:space="preserve">分）：在施工工艺、施工方法、材料选用、劳动力安排、技术等方面有保证工期的具体措施且措施得当。有控制工期的施工进度计划。有施工总进度表或施工网络图，各项计划图表编制完善，安排科学合理，符合本项目施工实际要求。 </w:t>
            </w:r>
          </w:p>
          <w:p w14:paraId="7AA05B06">
            <w:pPr>
              <w:widowControl/>
              <w:spacing w:line="360" w:lineRule="auto"/>
              <w:rPr>
                <w:rFonts w:cs="宋体"/>
                <w:color w:val="auto"/>
                <w:kern w:val="0"/>
                <w:sz w:val="18"/>
                <w:szCs w:val="18"/>
                <w:highlight w:val="none"/>
              </w:rPr>
            </w:pPr>
            <w:r>
              <w:rPr>
                <w:rFonts w:hint="eastAsia" w:cs="宋体"/>
                <w:color w:val="auto"/>
                <w:kern w:val="0"/>
                <w:sz w:val="18"/>
                <w:szCs w:val="18"/>
                <w:highlight w:val="none"/>
              </w:rPr>
              <w:t>二档（</w:t>
            </w:r>
            <w:r>
              <w:rPr>
                <w:rFonts w:hint="eastAsia" w:cs="宋体"/>
                <w:color w:val="auto"/>
                <w:kern w:val="0"/>
                <w:sz w:val="18"/>
                <w:szCs w:val="18"/>
                <w:highlight w:val="none"/>
                <w:lang w:val="en-US" w:eastAsia="zh-CN"/>
              </w:rPr>
              <w:t>3</w:t>
            </w:r>
            <w:r>
              <w:rPr>
                <w:rFonts w:hint="eastAsia" w:cs="宋体"/>
                <w:color w:val="auto"/>
                <w:kern w:val="0"/>
                <w:sz w:val="18"/>
                <w:szCs w:val="18"/>
                <w:highlight w:val="none"/>
              </w:rPr>
              <w:t>分）：施工工艺、施工方法、材料选用、劳动力安排、技术等方面有保证工期的措施但内容简单。有控制工期的施工进度计划但内容简单。有施工总进度表或施工网络图，各项计划图表编制简单，安排一般，基本符合本项目施工实际要求。</w:t>
            </w:r>
          </w:p>
          <w:p w14:paraId="74D0E904">
            <w:pPr>
              <w:widowControl/>
              <w:spacing w:line="360" w:lineRule="auto"/>
              <w:rPr>
                <w:rFonts w:cs="宋体"/>
                <w:color w:val="auto"/>
                <w:kern w:val="0"/>
                <w:sz w:val="18"/>
                <w:szCs w:val="18"/>
                <w:highlight w:val="none"/>
              </w:rPr>
            </w:pPr>
            <w:r>
              <w:rPr>
                <w:rFonts w:hint="eastAsia" w:cs="宋体"/>
                <w:color w:val="auto"/>
                <w:kern w:val="0"/>
                <w:sz w:val="18"/>
                <w:szCs w:val="18"/>
                <w:highlight w:val="none"/>
              </w:rPr>
              <w:t xml:space="preserve">三档（1分）：施工工艺、施工方法、材料选用、劳动力安排、技术等方面无保证工期的措施。控制工期的施工进度计划与实际有偏差，各项计划图表编辑与安排不合理，不符合本项目施工实际要求。 </w:t>
            </w:r>
          </w:p>
        </w:tc>
        <w:tc>
          <w:tcPr>
            <w:tcW w:w="456" w:type="pct"/>
            <w:vAlign w:val="center"/>
          </w:tcPr>
          <w:p w14:paraId="0D8837C4">
            <w:pPr>
              <w:rPr>
                <w:rFonts w:hint="default" w:eastAsia="宋体"/>
                <w:color w:val="auto"/>
                <w:sz w:val="18"/>
                <w:szCs w:val="18"/>
                <w:highlight w:val="none"/>
                <w:lang w:val="en-US" w:eastAsia="zh-CN"/>
              </w:rPr>
            </w:pPr>
            <w:r>
              <w:rPr>
                <w:rFonts w:hint="eastAsia"/>
                <w:color w:val="auto"/>
                <w:sz w:val="18"/>
                <w:szCs w:val="18"/>
                <w:highlight w:val="none"/>
                <w:lang w:val="en-US" w:eastAsia="zh-CN"/>
              </w:rPr>
              <w:t>5</w:t>
            </w:r>
          </w:p>
        </w:tc>
        <w:tc>
          <w:tcPr>
            <w:tcW w:w="391" w:type="pct"/>
            <w:vAlign w:val="center"/>
          </w:tcPr>
          <w:p w14:paraId="3DD010AD">
            <w:pPr>
              <w:rPr>
                <w:color w:val="auto"/>
                <w:sz w:val="18"/>
                <w:szCs w:val="18"/>
                <w:highlight w:val="none"/>
              </w:rPr>
            </w:pPr>
          </w:p>
        </w:tc>
      </w:tr>
      <w:tr w14:paraId="28FAC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270" w:type="pct"/>
            <w:vAlign w:val="center"/>
          </w:tcPr>
          <w:p w14:paraId="4E1B4C1E">
            <w:pPr>
              <w:jc w:val="center"/>
              <w:rPr>
                <w:b/>
                <w:color w:val="auto"/>
                <w:sz w:val="18"/>
                <w:szCs w:val="18"/>
                <w:highlight w:val="none"/>
              </w:rPr>
            </w:pPr>
          </w:p>
        </w:tc>
        <w:tc>
          <w:tcPr>
            <w:tcW w:w="376" w:type="pct"/>
            <w:vAlign w:val="center"/>
          </w:tcPr>
          <w:p w14:paraId="0843F830">
            <w:pPr>
              <w:jc w:val="center"/>
              <w:rPr>
                <w:color w:val="auto"/>
                <w:sz w:val="18"/>
                <w:szCs w:val="18"/>
                <w:highlight w:val="none"/>
              </w:rPr>
            </w:pPr>
            <w:r>
              <w:rPr>
                <w:rFonts w:hint="eastAsia"/>
                <w:color w:val="auto"/>
                <w:sz w:val="18"/>
                <w:szCs w:val="18"/>
                <w:highlight w:val="none"/>
              </w:rPr>
              <w:t>技术分</w:t>
            </w:r>
          </w:p>
        </w:tc>
        <w:tc>
          <w:tcPr>
            <w:tcW w:w="458" w:type="pct"/>
            <w:vMerge w:val="continue"/>
          </w:tcPr>
          <w:p w14:paraId="32950262">
            <w:pPr>
              <w:rPr>
                <w:color w:val="auto"/>
                <w:sz w:val="18"/>
                <w:szCs w:val="18"/>
                <w:highlight w:val="none"/>
              </w:rPr>
            </w:pPr>
          </w:p>
        </w:tc>
        <w:tc>
          <w:tcPr>
            <w:tcW w:w="3047" w:type="pct"/>
            <w:vAlign w:val="center"/>
          </w:tcPr>
          <w:p w14:paraId="1989453E">
            <w:pPr>
              <w:rPr>
                <w:rFonts w:cs="宋体"/>
                <w:color w:val="auto"/>
                <w:kern w:val="0"/>
                <w:sz w:val="18"/>
                <w:szCs w:val="18"/>
                <w:highlight w:val="none"/>
              </w:rPr>
            </w:pPr>
            <w:r>
              <w:rPr>
                <w:rFonts w:hint="eastAsia" w:cs="宋体"/>
                <w:color w:val="auto"/>
                <w:kern w:val="0"/>
                <w:sz w:val="18"/>
                <w:szCs w:val="18"/>
                <w:highlight w:val="none"/>
              </w:rPr>
              <w:t>确保文明施工的技术组织措施（</w:t>
            </w:r>
            <w:r>
              <w:rPr>
                <w:rFonts w:cs="宋体"/>
                <w:color w:val="auto"/>
                <w:kern w:val="0"/>
                <w:sz w:val="18"/>
                <w:szCs w:val="18"/>
                <w:highlight w:val="none"/>
              </w:rPr>
              <w:t>5</w:t>
            </w:r>
            <w:r>
              <w:rPr>
                <w:rFonts w:hint="eastAsia" w:cs="宋体"/>
                <w:color w:val="auto"/>
                <w:kern w:val="0"/>
                <w:sz w:val="18"/>
                <w:szCs w:val="18"/>
                <w:highlight w:val="none"/>
              </w:rPr>
              <w:t>分）</w:t>
            </w:r>
          </w:p>
          <w:p w14:paraId="4232149E">
            <w:pPr>
              <w:widowControl/>
              <w:spacing w:line="360" w:lineRule="auto"/>
              <w:rPr>
                <w:color w:val="auto"/>
                <w:sz w:val="18"/>
                <w:szCs w:val="18"/>
                <w:highlight w:val="none"/>
              </w:rPr>
            </w:pPr>
            <w:r>
              <w:rPr>
                <w:rFonts w:hint="eastAsia"/>
                <w:color w:val="auto"/>
                <w:sz w:val="18"/>
                <w:szCs w:val="18"/>
                <w:highlight w:val="none"/>
              </w:rPr>
              <w:t>针对本工程项目特点，应有现场文明施工、环境保护措施，且措施内容应达到《建筑施工安全生产检查标准》（JGJ59-2011）合格标准并符合《广西壮族自治区建筑工程文明施工导则》要求。各项措施周全、具体、有效。有具体实现现场文明施工目标的承诺。</w:t>
            </w:r>
          </w:p>
          <w:p w14:paraId="164DDAFA">
            <w:pPr>
              <w:widowControl/>
              <w:spacing w:line="360" w:lineRule="auto"/>
              <w:rPr>
                <w:color w:val="auto"/>
                <w:sz w:val="18"/>
                <w:szCs w:val="18"/>
                <w:highlight w:val="none"/>
              </w:rPr>
            </w:pPr>
            <w:r>
              <w:rPr>
                <w:rFonts w:hint="eastAsia"/>
                <w:color w:val="auto"/>
                <w:sz w:val="18"/>
                <w:szCs w:val="18"/>
                <w:highlight w:val="none"/>
              </w:rPr>
              <w:t xml:space="preserve">一档（5分）：针对本工程项目特点，有现场文明施工、环境保护措施，且措施内容达到《建筑施工安全生产检查标准》（JGJ59-2011）合格标准并完全符合《广西壮族自治区建筑工程文明施工导则》要求。各项措施周全、具体、有效。有具体实现现场文明施工目标的承诺。 </w:t>
            </w:r>
          </w:p>
          <w:p w14:paraId="43D659AC">
            <w:pPr>
              <w:widowControl/>
              <w:spacing w:line="360" w:lineRule="auto"/>
              <w:rPr>
                <w:color w:val="auto"/>
                <w:sz w:val="18"/>
                <w:szCs w:val="18"/>
                <w:highlight w:val="none"/>
              </w:rPr>
            </w:pPr>
            <w:r>
              <w:rPr>
                <w:rFonts w:hint="eastAsia"/>
                <w:color w:val="auto"/>
                <w:sz w:val="18"/>
                <w:szCs w:val="18"/>
                <w:highlight w:val="none"/>
              </w:rPr>
              <w:t>二档（3分）：有现场文明施工、环境保护措施，且措施内容达到《建筑施工安全生产检查标准》（JGJ59-2011）合格标准并基本符合《广西壮族自治区建筑工程文明施工导则》要求。各项措施一般。有实现现场文明施工目标的承诺。</w:t>
            </w:r>
          </w:p>
          <w:p w14:paraId="113B05D0">
            <w:pPr>
              <w:widowControl/>
              <w:spacing w:line="360" w:lineRule="auto"/>
              <w:rPr>
                <w:color w:val="auto"/>
                <w:sz w:val="18"/>
                <w:szCs w:val="18"/>
                <w:highlight w:val="none"/>
              </w:rPr>
            </w:pPr>
            <w:r>
              <w:rPr>
                <w:rFonts w:hint="eastAsia"/>
                <w:color w:val="auto"/>
                <w:sz w:val="18"/>
                <w:szCs w:val="18"/>
                <w:highlight w:val="none"/>
              </w:rPr>
              <w:t>三档（1分）：现场文明施工、环境保护措施内容达到《建筑施工安全生产检查标准》（JGJ59-2011）合格标准并基本符合《广西壮族自治区建筑工程文明施工导则》要求但各项措施内容较差。无实现现场文明施工目标的承诺。</w:t>
            </w:r>
          </w:p>
        </w:tc>
        <w:tc>
          <w:tcPr>
            <w:tcW w:w="456" w:type="pct"/>
            <w:vAlign w:val="center"/>
          </w:tcPr>
          <w:p w14:paraId="205AA660">
            <w:pPr>
              <w:rPr>
                <w:color w:val="auto"/>
                <w:sz w:val="18"/>
                <w:szCs w:val="18"/>
                <w:highlight w:val="none"/>
              </w:rPr>
            </w:pPr>
            <w:r>
              <w:rPr>
                <w:rFonts w:hint="eastAsia"/>
                <w:color w:val="auto"/>
                <w:sz w:val="18"/>
                <w:szCs w:val="18"/>
                <w:highlight w:val="none"/>
              </w:rPr>
              <w:t>5</w:t>
            </w:r>
          </w:p>
        </w:tc>
        <w:tc>
          <w:tcPr>
            <w:tcW w:w="391" w:type="pct"/>
            <w:vAlign w:val="center"/>
          </w:tcPr>
          <w:p w14:paraId="50AD71FD">
            <w:pPr>
              <w:rPr>
                <w:color w:val="auto"/>
                <w:sz w:val="18"/>
                <w:szCs w:val="18"/>
                <w:highlight w:val="none"/>
              </w:rPr>
            </w:pPr>
          </w:p>
        </w:tc>
      </w:tr>
      <w:tr w14:paraId="284C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02" w:hRule="atLeast"/>
          <w:jc w:val="center"/>
        </w:trPr>
        <w:tc>
          <w:tcPr>
            <w:tcW w:w="270" w:type="pct"/>
            <w:vAlign w:val="center"/>
          </w:tcPr>
          <w:p w14:paraId="384411A4">
            <w:pPr>
              <w:jc w:val="center"/>
              <w:rPr>
                <w:b/>
                <w:color w:val="auto"/>
                <w:sz w:val="18"/>
                <w:szCs w:val="18"/>
                <w:highlight w:val="none"/>
              </w:rPr>
            </w:pPr>
          </w:p>
        </w:tc>
        <w:tc>
          <w:tcPr>
            <w:tcW w:w="376" w:type="pct"/>
            <w:vAlign w:val="center"/>
          </w:tcPr>
          <w:p w14:paraId="26658643">
            <w:pPr>
              <w:jc w:val="center"/>
              <w:rPr>
                <w:color w:val="auto"/>
                <w:sz w:val="18"/>
                <w:szCs w:val="18"/>
                <w:highlight w:val="none"/>
              </w:rPr>
            </w:pPr>
            <w:r>
              <w:rPr>
                <w:rFonts w:hint="eastAsia"/>
                <w:color w:val="auto"/>
                <w:sz w:val="18"/>
                <w:szCs w:val="18"/>
                <w:highlight w:val="none"/>
              </w:rPr>
              <w:t>技术分</w:t>
            </w:r>
          </w:p>
        </w:tc>
        <w:tc>
          <w:tcPr>
            <w:tcW w:w="458" w:type="pct"/>
            <w:vMerge w:val="continue"/>
          </w:tcPr>
          <w:p w14:paraId="1FDC8F55">
            <w:pPr>
              <w:rPr>
                <w:color w:val="auto"/>
                <w:sz w:val="18"/>
                <w:szCs w:val="18"/>
                <w:highlight w:val="none"/>
              </w:rPr>
            </w:pPr>
          </w:p>
        </w:tc>
        <w:tc>
          <w:tcPr>
            <w:tcW w:w="3047" w:type="pct"/>
            <w:vAlign w:val="center"/>
          </w:tcPr>
          <w:p w14:paraId="6B73854B">
            <w:pPr>
              <w:widowControl/>
              <w:spacing w:line="360" w:lineRule="auto"/>
              <w:rPr>
                <w:color w:val="auto"/>
                <w:sz w:val="18"/>
                <w:szCs w:val="18"/>
                <w:highlight w:val="none"/>
              </w:rPr>
            </w:pPr>
            <w:r>
              <w:rPr>
                <w:rFonts w:hint="eastAsia"/>
                <w:color w:val="auto"/>
                <w:sz w:val="18"/>
                <w:szCs w:val="18"/>
                <w:highlight w:val="none"/>
              </w:rPr>
              <w:t>工程施工的重点和难点及保证措施（</w:t>
            </w:r>
            <w:r>
              <w:rPr>
                <w:rFonts w:hint="eastAsia"/>
                <w:color w:val="auto"/>
                <w:sz w:val="18"/>
                <w:szCs w:val="18"/>
                <w:highlight w:val="none"/>
                <w:lang w:val="en-US" w:eastAsia="zh-CN"/>
              </w:rPr>
              <w:t>5</w:t>
            </w:r>
            <w:r>
              <w:rPr>
                <w:rFonts w:hint="eastAsia"/>
                <w:color w:val="auto"/>
                <w:sz w:val="18"/>
                <w:szCs w:val="18"/>
                <w:highlight w:val="none"/>
              </w:rPr>
              <w:t>分）</w:t>
            </w:r>
          </w:p>
          <w:p w14:paraId="49CD9125">
            <w:pPr>
              <w:widowControl/>
              <w:spacing w:line="360" w:lineRule="auto"/>
              <w:rPr>
                <w:color w:val="auto"/>
                <w:sz w:val="18"/>
                <w:szCs w:val="18"/>
                <w:highlight w:val="none"/>
              </w:rPr>
            </w:pPr>
            <w:r>
              <w:rPr>
                <w:rFonts w:hint="eastAsia"/>
                <w:color w:val="auto"/>
                <w:sz w:val="18"/>
                <w:szCs w:val="18"/>
                <w:highlight w:val="none"/>
              </w:rPr>
              <w:t>针对本工程的特点，阐述本工程的重点和难点，解决重点和难点问题的方法是否合理。</w:t>
            </w:r>
          </w:p>
          <w:p w14:paraId="6E461EDE">
            <w:pPr>
              <w:widowControl/>
              <w:spacing w:line="360" w:lineRule="auto"/>
              <w:rPr>
                <w:color w:val="auto"/>
                <w:sz w:val="18"/>
                <w:szCs w:val="18"/>
                <w:highlight w:val="none"/>
              </w:rPr>
            </w:pPr>
            <w:r>
              <w:rPr>
                <w:rFonts w:hint="eastAsia"/>
                <w:color w:val="auto"/>
                <w:sz w:val="18"/>
                <w:szCs w:val="18"/>
                <w:highlight w:val="none"/>
              </w:rPr>
              <w:t>一档（</w:t>
            </w:r>
            <w:r>
              <w:rPr>
                <w:rFonts w:hint="eastAsia"/>
                <w:color w:val="auto"/>
                <w:sz w:val="18"/>
                <w:szCs w:val="18"/>
                <w:highlight w:val="none"/>
                <w:lang w:val="en-US" w:eastAsia="zh-CN"/>
              </w:rPr>
              <w:t>5</w:t>
            </w:r>
            <w:r>
              <w:rPr>
                <w:rFonts w:hint="eastAsia"/>
                <w:color w:val="auto"/>
                <w:sz w:val="18"/>
                <w:szCs w:val="18"/>
                <w:highlight w:val="none"/>
              </w:rPr>
              <w:t xml:space="preserve">分）：针对本工程的特点，阐述本工程的重点和难点，解决重点和难点问题的方法科学、合理、可行，完全满足要求。  </w:t>
            </w:r>
          </w:p>
          <w:p w14:paraId="131B101B">
            <w:pPr>
              <w:widowControl/>
              <w:spacing w:line="360" w:lineRule="auto"/>
              <w:rPr>
                <w:color w:val="auto"/>
                <w:sz w:val="18"/>
                <w:szCs w:val="18"/>
                <w:highlight w:val="none"/>
              </w:rPr>
            </w:pPr>
            <w:r>
              <w:rPr>
                <w:rFonts w:hint="eastAsia"/>
                <w:color w:val="auto"/>
                <w:sz w:val="18"/>
                <w:szCs w:val="18"/>
                <w:highlight w:val="none"/>
              </w:rPr>
              <w:t>二档（</w:t>
            </w:r>
            <w:r>
              <w:rPr>
                <w:rFonts w:hint="eastAsia"/>
                <w:color w:val="auto"/>
                <w:sz w:val="18"/>
                <w:szCs w:val="18"/>
                <w:highlight w:val="none"/>
                <w:lang w:val="en-US" w:eastAsia="zh-CN"/>
              </w:rPr>
              <w:t>3</w:t>
            </w:r>
            <w:r>
              <w:rPr>
                <w:rFonts w:hint="eastAsia"/>
                <w:color w:val="auto"/>
                <w:sz w:val="18"/>
                <w:szCs w:val="18"/>
                <w:highlight w:val="none"/>
              </w:rPr>
              <w:t xml:space="preserve">分）：针对本工程的特点，阐述本工程的重点和难点，解决重点和难点问题的方法合理，满足要求。 </w:t>
            </w:r>
          </w:p>
          <w:p w14:paraId="10458D31">
            <w:pPr>
              <w:widowControl/>
              <w:spacing w:line="360" w:lineRule="auto"/>
              <w:rPr>
                <w:color w:val="auto"/>
                <w:sz w:val="18"/>
                <w:szCs w:val="18"/>
                <w:highlight w:val="none"/>
              </w:rPr>
            </w:pPr>
            <w:r>
              <w:rPr>
                <w:rFonts w:hint="eastAsia"/>
                <w:color w:val="auto"/>
                <w:sz w:val="18"/>
                <w:szCs w:val="18"/>
                <w:highlight w:val="none"/>
              </w:rPr>
              <w:t xml:space="preserve">三档（1分）：阐述本工程的重点和难点，解决重点和难点问题的方法不合理，不满足要求。 </w:t>
            </w:r>
          </w:p>
        </w:tc>
        <w:tc>
          <w:tcPr>
            <w:tcW w:w="456" w:type="pct"/>
            <w:vAlign w:val="center"/>
          </w:tcPr>
          <w:p w14:paraId="574638D0">
            <w:pPr>
              <w:rPr>
                <w:rFonts w:hint="default" w:eastAsia="宋体"/>
                <w:color w:val="auto"/>
                <w:sz w:val="18"/>
                <w:szCs w:val="18"/>
                <w:highlight w:val="none"/>
                <w:lang w:val="en-US" w:eastAsia="zh-CN"/>
              </w:rPr>
            </w:pPr>
            <w:r>
              <w:rPr>
                <w:rFonts w:hint="eastAsia"/>
                <w:color w:val="auto"/>
                <w:sz w:val="18"/>
                <w:szCs w:val="18"/>
                <w:highlight w:val="none"/>
                <w:lang w:val="en-US" w:eastAsia="zh-CN"/>
              </w:rPr>
              <w:t>5</w:t>
            </w:r>
          </w:p>
        </w:tc>
        <w:tc>
          <w:tcPr>
            <w:tcW w:w="391" w:type="pct"/>
            <w:vAlign w:val="center"/>
          </w:tcPr>
          <w:p w14:paraId="3BFE5D41">
            <w:pPr>
              <w:rPr>
                <w:color w:val="auto"/>
                <w:sz w:val="18"/>
                <w:szCs w:val="18"/>
                <w:highlight w:val="none"/>
              </w:rPr>
            </w:pPr>
          </w:p>
        </w:tc>
      </w:tr>
      <w:tr w14:paraId="7CFBA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270" w:type="pct"/>
            <w:vAlign w:val="center"/>
          </w:tcPr>
          <w:p w14:paraId="11CD19F7">
            <w:pPr>
              <w:jc w:val="center"/>
              <w:rPr>
                <w:b/>
                <w:color w:val="auto"/>
                <w:sz w:val="18"/>
                <w:szCs w:val="18"/>
                <w:highlight w:val="none"/>
              </w:rPr>
            </w:pPr>
          </w:p>
        </w:tc>
        <w:tc>
          <w:tcPr>
            <w:tcW w:w="376" w:type="pct"/>
            <w:vAlign w:val="center"/>
          </w:tcPr>
          <w:p w14:paraId="0469E636">
            <w:pPr>
              <w:jc w:val="center"/>
              <w:rPr>
                <w:color w:val="auto"/>
                <w:sz w:val="18"/>
                <w:szCs w:val="18"/>
                <w:highlight w:val="none"/>
              </w:rPr>
            </w:pPr>
            <w:r>
              <w:rPr>
                <w:rFonts w:hint="eastAsia"/>
                <w:color w:val="auto"/>
                <w:sz w:val="18"/>
                <w:szCs w:val="18"/>
                <w:highlight w:val="none"/>
              </w:rPr>
              <w:t>技术分</w:t>
            </w:r>
          </w:p>
        </w:tc>
        <w:tc>
          <w:tcPr>
            <w:tcW w:w="458" w:type="pct"/>
            <w:vMerge w:val="continue"/>
          </w:tcPr>
          <w:p w14:paraId="6DB1520C">
            <w:pPr>
              <w:rPr>
                <w:color w:val="auto"/>
                <w:sz w:val="18"/>
                <w:szCs w:val="18"/>
                <w:highlight w:val="none"/>
              </w:rPr>
            </w:pPr>
          </w:p>
        </w:tc>
        <w:tc>
          <w:tcPr>
            <w:tcW w:w="3047" w:type="pct"/>
            <w:vAlign w:val="center"/>
          </w:tcPr>
          <w:p w14:paraId="46A58B8C">
            <w:pPr>
              <w:widowControl/>
              <w:spacing w:line="360" w:lineRule="auto"/>
              <w:rPr>
                <w:rFonts w:cs="宋体"/>
                <w:color w:val="auto"/>
                <w:kern w:val="0"/>
                <w:sz w:val="18"/>
                <w:szCs w:val="18"/>
                <w:highlight w:val="none"/>
              </w:rPr>
            </w:pPr>
            <w:r>
              <w:rPr>
                <w:rFonts w:hint="eastAsia" w:cs="宋体"/>
                <w:color w:val="auto"/>
                <w:kern w:val="0"/>
                <w:sz w:val="18"/>
                <w:szCs w:val="18"/>
                <w:highlight w:val="none"/>
              </w:rPr>
              <w:t>施工总平面布置图（</w:t>
            </w:r>
            <w:r>
              <w:rPr>
                <w:rFonts w:cs="宋体"/>
                <w:color w:val="auto"/>
                <w:kern w:val="0"/>
                <w:sz w:val="18"/>
                <w:szCs w:val="18"/>
                <w:highlight w:val="none"/>
              </w:rPr>
              <w:t>5</w:t>
            </w:r>
            <w:r>
              <w:rPr>
                <w:rFonts w:hint="eastAsia" w:cs="宋体"/>
                <w:color w:val="auto"/>
                <w:kern w:val="0"/>
                <w:sz w:val="18"/>
                <w:szCs w:val="18"/>
                <w:highlight w:val="none"/>
              </w:rPr>
              <w:t>分）</w:t>
            </w:r>
          </w:p>
          <w:p w14:paraId="57E756FE">
            <w:pPr>
              <w:widowControl/>
              <w:spacing w:line="360" w:lineRule="auto"/>
              <w:rPr>
                <w:color w:val="auto"/>
                <w:sz w:val="18"/>
                <w:szCs w:val="18"/>
                <w:highlight w:val="none"/>
              </w:rPr>
            </w:pPr>
            <w:r>
              <w:rPr>
                <w:rFonts w:hint="eastAsia"/>
                <w:color w:val="auto"/>
                <w:sz w:val="18"/>
                <w:szCs w:val="18"/>
                <w:highlight w:val="none"/>
              </w:rPr>
              <w:t>应有施工总平面布置图，安排科学合理，符合本项目施工实际要求。</w:t>
            </w:r>
          </w:p>
          <w:p w14:paraId="61014602">
            <w:pPr>
              <w:widowControl/>
              <w:spacing w:line="360" w:lineRule="auto"/>
              <w:rPr>
                <w:color w:val="auto"/>
                <w:sz w:val="18"/>
                <w:szCs w:val="18"/>
                <w:highlight w:val="none"/>
              </w:rPr>
            </w:pPr>
            <w:r>
              <w:rPr>
                <w:rFonts w:hint="eastAsia"/>
                <w:color w:val="auto"/>
                <w:sz w:val="18"/>
                <w:szCs w:val="18"/>
                <w:highlight w:val="none"/>
              </w:rPr>
              <w:t xml:space="preserve">一档（5分）:有详细的施工总平面布置图，安排科学合理，完全符合本项目施工实际要求，总体布置有针对性。 </w:t>
            </w:r>
          </w:p>
          <w:p w14:paraId="08E79E9C">
            <w:pPr>
              <w:widowControl/>
              <w:spacing w:line="360" w:lineRule="auto"/>
              <w:rPr>
                <w:color w:val="auto"/>
                <w:sz w:val="18"/>
                <w:szCs w:val="18"/>
                <w:highlight w:val="none"/>
              </w:rPr>
            </w:pPr>
            <w:r>
              <w:rPr>
                <w:rFonts w:hint="eastAsia"/>
                <w:color w:val="auto"/>
                <w:sz w:val="18"/>
                <w:szCs w:val="18"/>
                <w:highlight w:val="none"/>
              </w:rPr>
              <w:t xml:space="preserve">二档（3分）:有施工总平面布置图，安排合理，基本符合本项目施工实际要求。 </w:t>
            </w:r>
          </w:p>
          <w:p w14:paraId="38BC7F05">
            <w:pPr>
              <w:widowControl/>
              <w:spacing w:line="360" w:lineRule="auto"/>
              <w:rPr>
                <w:color w:val="auto"/>
                <w:sz w:val="18"/>
                <w:szCs w:val="18"/>
                <w:highlight w:val="none"/>
              </w:rPr>
            </w:pPr>
            <w:r>
              <w:rPr>
                <w:rFonts w:hint="eastAsia"/>
                <w:color w:val="auto"/>
                <w:sz w:val="18"/>
                <w:szCs w:val="18"/>
                <w:highlight w:val="none"/>
              </w:rPr>
              <w:t xml:space="preserve">三档（1分）：有施工总平面布置图，安排不合理，不符合施工实际要求。 </w:t>
            </w:r>
          </w:p>
        </w:tc>
        <w:tc>
          <w:tcPr>
            <w:tcW w:w="456" w:type="pct"/>
            <w:vAlign w:val="center"/>
          </w:tcPr>
          <w:p w14:paraId="3261AD12">
            <w:pPr>
              <w:rPr>
                <w:color w:val="auto"/>
                <w:sz w:val="18"/>
                <w:szCs w:val="18"/>
                <w:highlight w:val="none"/>
              </w:rPr>
            </w:pPr>
            <w:r>
              <w:rPr>
                <w:rFonts w:hint="eastAsia"/>
                <w:color w:val="auto"/>
                <w:sz w:val="18"/>
                <w:szCs w:val="18"/>
                <w:highlight w:val="none"/>
              </w:rPr>
              <w:t>5</w:t>
            </w:r>
          </w:p>
        </w:tc>
        <w:tc>
          <w:tcPr>
            <w:tcW w:w="391" w:type="pct"/>
            <w:vAlign w:val="center"/>
          </w:tcPr>
          <w:p w14:paraId="6839659A">
            <w:pPr>
              <w:rPr>
                <w:color w:val="auto"/>
                <w:sz w:val="18"/>
                <w:szCs w:val="18"/>
                <w:highlight w:val="none"/>
              </w:rPr>
            </w:pPr>
          </w:p>
        </w:tc>
      </w:tr>
      <w:tr w14:paraId="76015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270" w:type="pct"/>
            <w:vAlign w:val="center"/>
          </w:tcPr>
          <w:p w14:paraId="5DF000B4">
            <w:pPr>
              <w:jc w:val="center"/>
              <w:rPr>
                <w:b/>
                <w:color w:val="auto"/>
                <w:sz w:val="18"/>
                <w:szCs w:val="18"/>
                <w:highlight w:val="none"/>
              </w:rPr>
            </w:pPr>
          </w:p>
        </w:tc>
        <w:tc>
          <w:tcPr>
            <w:tcW w:w="376" w:type="pct"/>
            <w:vAlign w:val="center"/>
          </w:tcPr>
          <w:p w14:paraId="5B57EF1A">
            <w:pPr>
              <w:jc w:val="center"/>
              <w:rPr>
                <w:color w:val="auto"/>
                <w:sz w:val="18"/>
                <w:szCs w:val="18"/>
                <w:highlight w:val="none"/>
              </w:rPr>
            </w:pPr>
            <w:r>
              <w:rPr>
                <w:rFonts w:ascii="Arial" w:hAnsi="Arial" w:cs="Arial"/>
                <w:color w:val="auto"/>
                <w:sz w:val="18"/>
                <w:szCs w:val="18"/>
                <w:highlight w:val="none"/>
              </w:rPr>
              <w:t>商务</w:t>
            </w:r>
            <w:r>
              <w:rPr>
                <w:rFonts w:hint="eastAsia"/>
                <w:color w:val="auto"/>
                <w:sz w:val="18"/>
                <w:szCs w:val="18"/>
                <w:highlight w:val="none"/>
              </w:rPr>
              <w:t>分</w:t>
            </w:r>
          </w:p>
        </w:tc>
        <w:tc>
          <w:tcPr>
            <w:tcW w:w="458" w:type="pct"/>
            <w:vAlign w:val="center"/>
          </w:tcPr>
          <w:p w14:paraId="577C9FFF">
            <w:pPr>
              <w:spacing w:line="320" w:lineRule="exact"/>
              <w:jc w:val="center"/>
              <w:rPr>
                <w:rFonts w:ascii="Arial" w:hAnsi="Arial" w:cs="Arial"/>
                <w:color w:val="auto"/>
                <w:sz w:val="18"/>
                <w:szCs w:val="18"/>
                <w:highlight w:val="none"/>
              </w:rPr>
            </w:pPr>
            <w:r>
              <w:rPr>
                <w:rFonts w:hint="eastAsia" w:ascii="Arial" w:hAnsi="Arial" w:cs="Arial"/>
                <w:color w:val="auto"/>
                <w:sz w:val="18"/>
                <w:szCs w:val="18"/>
                <w:highlight w:val="none"/>
              </w:rPr>
              <w:t>企业基本情况</w:t>
            </w:r>
          </w:p>
        </w:tc>
        <w:tc>
          <w:tcPr>
            <w:tcW w:w="3047" w:type="pct"/>
            <w:vAlign w:val="center"/>
          </w:tcPr>
          <w:p w14:paraId="6312D486">
            <w:pPr>
              <w:widowControl/>
              <w:spacing w:line="360" w:lineRule="auto"/>
              <w:rPr>
                <w:color w:val="auto"/>
                <w:sz w:val="18"/>
                <w:szCs w:val="18"/>
                <w:highlight w:val="none"/>
              </w:rPr>
            </w:pPr>
            <w:r>
              <w:rPr>
                <w:rFonts w:hint="eastAsia"/>
                <w:color w:val="auto"/>
                <w:sz w:val="18"/>
                <w:szCs w:val="18"/>
                <w:highlight w:val="none"/>
              </w:rPr>
              <w:t>考核期内完成过的类似工程项目</w:t>
            </w:r>
          </w:p>
          <w:p w14:paraId="646FFF2E">
            <w:pPr>
              <w:widowControl/>
              <w:spacing w:line="360" w:lineRule="auto"/>
              <w:rPr>
                <w:color w:val="auto"/>
                <w:sz w:val="18"/>
                <w:szCs w:val="18"/>
                <w:highlight w:val="none"/>
              </w:rPr>
            </w:pPr>
            <w:r>
              <w:rPr>
                <w:rFonts w:hint="eastAsia"/>
                <w:color w:val="auto"/>
                <w:sz w:val="18"/>
                <w:szCs w:val="18"/>
                <w:highlight w:val="none"/>
              </w:rPr>
              <w:t>供应商每提供1个有效业绩得2分；最高得</w:t>
            </w:r>
            <w:r>
              <w:rPr>
                <w:rFonts w:hint="eastAsia"/>
                <w:color w:val="auto"/>
                <w:sz w:val="18"/>
                <w:szCs w:val="18"/>
                <w:highlight w:val="none"/>
                <w:lang w:val="en-US" w:eastAsia="zh-CN"/>
              </w:rPr>
              <w:t>10</w:t>
            </w:r>
            <w:r>
              <w:rPr>
                <w:rFonts w:hint="eastAsia"/>
                <w:color w:val="auto"/>
                <w:sz w:val="18"/>
                <w:szCs w:val="18"/>
                <w:highlight w:val="none"/>
              </w:rPr>
              <w:t>分。必须提供相关证明材料。</w:t>
            </w:r>
          </w:p>
          <w:p w14:paraId="379D7422">
            <w:pPr>
              <w:widowControl/>
              <w:spacing w:line="360" w:lineRule="auto"/>
              <w:rPr>
                <w:color w:val="auto"/>
                <w:sz w:val="18"/>
                <w:szCs w:val="18"/>
                <w:highlight w:val="none"/>
              </w:rPr>
            </w:pPr>
            <w:r>
              <w:rPr>
                <w:rFonts w:hint="eastAsia"/>
                <w:color w:val="auto"/>
                <w:sz w:val="18"/>
                <w:szCs w:val="18"/>
                <w:highlight w:val="none"/>
              </w:rPr>
              <w:t>有效业绩定义：指类似</w:t>
            </w:r>
            <w:r>
              <w:rPr>
                <w:rFonts w:hint="eastAsia"/>
                <w:color w:val="auto"/>
                <w:sz w:val="18"/>
                <w:szCs w:val="18"/>
                <w:highlight w:val="none"/>
                <w:lang w:val="en-US" w:eastAsia="zh-CN"/>
              </w:rPr>
              <w:t>消防系统整改</w:t>
            </w:r>
            <w:r>
              <w:rPr>
                <w:rFonts w:hint="eastAsia"/>
                <w:color w:val="auto"/>
                <w:sz w:val="18"/>
                <w:szCs w:val="18"/>
                <w:highlight w:val="none"/>
              </w:rPr>
              <w:t>工程业绩。</w:t>
            </w:r>
          </w:p>
          <w:p w14:paraId="2E7D0FD3">
            <w:pPr>
              <w:widowControl/>
              <w:spacing w:line="360" w:lineRule="auto"/>
              <w:rPr>
                <w:rFonts w:ascii="Arial" w:hAnsi="Arial" w:cs="Arial"/>
                <w:color w:val="auto"/>
                <w:sz w:val="18"/>
                <w:szCs w:val="18"/>
                <w:highlight w:val="none"/>
              </w:rPr>
            </w:pPr>
            <w:r>
              <w:rPr>
                <w:rFonts w:hint="eastAsia"/>
                <w:color w:val="auto"/>
                <w:sz w:val="18"/>
                <w:szCs w:val="18"/>
                <w:highlight w:val="none"/>
              </w:rPr>
              <w:t>注：提供业绩合同协议书或三方以上验收证明的复印件加盖投标单位公章</w:t>
            </w:r>
          </w:p>
        </w:tc>
        <w:tc>
          <w:tcPr>
            <w:tcW w:w="456" w:type="pct"/>
            <w:vAlign w:val="center"/>
          </w:tcPr>
          <w:p w14:paraId="0ED4D278">
            <w:pPr>
              <w:rPr>
                <w:rFonts w:hint="default" w:eastAsia="宋体"/>
                <w:color w:val="auto"/>
                <w:sz w:val="18"/>
                <w:szCs w:val="18"/>
                <w:highlight w:val="none"/>
                <w:lang w:val="en-US" w:eastAsia="zh-CN"/>
              </w:rPr>
            </w:pPr>
            <w:r>
              <w:rPr>
                <w:rFonts w:hint="eastAsia"/>
                <w:color w:val="auto"/>
                <w:sz w:val="18"/>
                <w:szCs w:val="18"/>
                <w:highlight w:val="none"/>
                <w:lang w:val="en-US" w:eastAsia="zh-CN"/>
              </w:rPr>
              <w:t>10</w:t>
            </w:r>
          </w:p>
        </w:tc>
        <w:tc>
          <w:tcPr>
            <w:tcW w:w="391" w:type="pct"/>
            <w:vAlign w:val="center"/>
          </w:tcPr>
          <w:p w14:paraId="159AFDA5">
            <w:pPr>
              <w:rPr>
                <w:color w:val="auto"/>
                <w:sz w:val="18"/>
                <w:szCs w:val="18"/>
                <w:highlight w:val="none"/>
              </w:rPr>
            </w:pPr>
          </w:p>
        </w:tc>
      </w:tr>
    </w:tbl>
    <w:p w14:paraId="2B99A157">
      <w:pPr>
        <w:ind w:firstLine="480" w:firstLineChars="200"/>
        <w:rPr>
          <w:color w:val="auto"/>
          <w:sz w:val="24"/>
          <w:highlight w:val="none"/>
        </w:rPr>
      </w:pPr>
    </w:p>
    <w:p w14:paraId="3FCF4578">
      <w:pPr>
        <w:ind w:firstLine="361" w:firstLineChars="150"/>
        <w:rPr>
          <w:b/>
          <w:bCs/>
          <w:color w:val="auto"/>
          <w:sz w:val="24"/>
          <w:highlight w:val="none"/>
        </w:rPr>
      </w:pPr>
      <w:r>
        <w:rPr>
          <w:rFonts w:hint="eastAsia"/>
          <w:b/>
          <w:bCs/>
          <w:color w:val="auto"/>
          <w:sz w:val="24"/>
          <w:highlight w:val="none"/>
        </w:rPr>
        <w:t>【注：类型填写技术分或商务资信分；（根据</w:t>
      </w:r>
      <w:r>
        <w:rPr>
          <w:b/>
          <w:bCs/>
          <w:color w:val="auto"/>
          <w:sz w:val="24"/>
          <w:highlight w:val="none"/>
        </w:rPr>
        <w:t>22</w:t>
      </w:r>
      <w:r>
        <w:rPr>
          <w:rFonts w:hint="eastAsia"/>
          <w:b/>
          <w:bCs/>
          <w:color w:val="auto"/>
          <w:sz w:val="24"/>
          <w:highlight w:val="none"/>
        </w:rPr>
        <w:t>号文件要求，参与评分的指标应当是采购需求中的量化指标。）】</w:t>
      </w:r>
    </w:p>
    <w:p w14:paraId="0DA8F5A6">
      <w:pPr>
        <w:ind w:firstLine="360" w:firstLineChars="150"/>
        <w:rPr>
          <w:color w:val="auto"/>
          <w:sz w:val="24"/>
          <w:highlight w:val="none"/>
          <w:lang w:val="zh-CN"/>
        </w:rPr>
      </w:pPr>
      <w:r>
        <w:rPr>
          <w:rFonts w:hint="eastAsia"/>
          <w:color w:val="auto"/>
          <w:sz w:val="24"/>
          <w:highlight w:val="none"/>
          <w:lang w:val="zh-CN"/>
        </w:rPr>
        <w:t>（2）最后报价分</w:t>
      </w:r>
    </w:p>
    <w:tbl>
      <w:tblPr>
        <w:tblStyle w:val="5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2076"/>
        <w:gridCol w:w="3523"/>
        <w:gridCol w:w="800"/>
        <w:gridCol w:w="2146"/>
      </w:tblGrid>
      <w:tr w14:paraId="01AB1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428" w:type="pct"/>
            <w:vAlign w:val="center"/>
          </w:tcPr>
          <w:p w14:paraId="25E487BF">
            <w:pPr>
              <w:jc w:val="center"/>
              <w:rPr>
                <w:b/>
                <w:color w:val="auto"/>
                <w:sz w:val="18"/>
                <w:szCs w:val="18"/>
                <w:highlight w:val="none"/>
              </w:rPr>
            </w:pPr>
            <w:r>
              <w:rPr>
                <w:b/>
                <w:color w:val="auto"/>
                <w:sz w:val="18"/>
                <w:szCs w:val="18"/>
                <w:highlight w:val="none"/>
              </w:rPr>
              <w:t>序号</w:t>
            </w:r>
          </w:p>
        </w:tc>
        <w:tc>
          <w:tcPr>
            <w:tcW w:w="1111" w:type="pct"/>
            <w:vAlign w:val="center"/>
          </w:tcPr>
          <w:p w14:paraId="4B3864D5">
            <w:pPr>
              <w:jc w:val="center"/>
              <w:rPr>
                <w:b/>
                <w:color w:val="auto"/>
                <w:sz w:val="18"/>
                <w:szCs w:val="18"/>
                <w:highlight w:val="none"/>
              </w:rPr>
            </w:pPr>
            <w:r>
              <w:rPr>
                <w:rFonts w:hint="eastAsia"/>
                <w:b/>
                <w:color w:val="auto"/>
                <w:sz w:val="18"/>
                <w:szCs w:val="18"/>
                <w:highlight w:val="none"/>
              </w:rPr>
              <w:t>类型</w:t>
            </w:r>
          </w:p>
        </w:tc>
        <w:tc>
          <w:tcPr>
            <w:tcW w:w="1885" w:type="pct"/>
            <w:vAlign w:val="center"/>
          </w:tcPr>
          <w:p w14:paraId="4D810CEE">
            <w:pPr>
              <w:jc w:val="center"/>
              <w:rPr>
                <w:b/>
                <w:color w:val="auto"/>
                <w:sz w:val="18"/>
                <w:szCs w:val="18"/>
                <w:highlight w:val="none"/>
              </w:rPr>
            </w:pPr>
            <w:r>
              <w:rPr>
                <w:rFonts w:hint="eastAsia"/>
                <w:b/>
                <w:color w:val="auto"/>
                <w:sz w:val="18"/>
                <w:szCs w:val="18"/>
                <w:highlight w:val="none"/>
              </w:rPr>
              <w:t>评分标准</w:t>
            </w:r>
          </w:p>
        </w:tc>
        <w:tc>
          <w:tcPr>
            <w:tcW w:w="428" w:type="pct"/>
            <w:vAlign w:val="center"/>
          </w:tcPr>
          <w:p w14:paraId="6AD9E039">
            <w:pPr>
              <w:jc w:val="center"/>
              <w:rPr>
                <w:b/>
                <w:color w:val="auto"/>
                <w:sz w:val="18"/>
                <w:szCs w:val="18"/>
                <w:highlight w:val="none"/>
              </w:rPr>
            </w:pPr>
            <w:r>
              <w:rPr>
                <w:rFonts w:hint="eastAsia"/>
                <w:b/>
                <w:color w:val="auto"/>
                <w:sz w:val="18"/>
                <w:szCs w:val="18"/>
                <w:highlight w:val="none"/>
              </w:rPr>
              <w:t>分值权重</w:t>
            </w:r>
          </w:p>
        </w:tc>
        <w:tc>
          <w:tcPr>
            <w:tcW w:w="1148" w:type="pct"/>
            <w:vAlign w:val="center"/>
          </w:tcPr>
          <w:p w14:paraId="437BDBC6">
            <w:pPr>
              <w:jc w:val="center"/>
              <w:rPr>
                <w:b/>
                <w:color w:val="auto"/>
                <w:sz w:val="18"/>
                <w:szCs w:val="18"/>
                <w:highlight w:val="none"/>
              </w:rPr>
            </w:pPr>
            <w:r>
              <w:rPr>
                <w:b/>
                <w:color w:val="auto"/>
                <w:sz w:val="18"/>
                <w:szCs w:val="18"/>
                <w:highlight w:val="none"/>
              </w:rPr>
              <w:t>说明</w:t>
            </w:r>
          </w:p>
        </w:tc>
      </w:tr>
      <w:tr w14:paraId="1B52D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428" w:type="pct"/>
            <w:vAlign w:val="center"/>
          </w:tcPr>
          <w:p w14:paraId="1BD854C6">
            <w:pPr>
              <w:jc w:val="center"/>
              <w:rPr>
                <w:b/>
                <w:color w:val="auto"/>
                <w:sz w:val="18"/>
                <w:szCs w:val="18"/>
                <w:highlight w:val="none"/>
              </w:rPr>
            </w:pPr>
            <w:r>
              <w:rPr>
                <w:rFonts w:hint="eastAsia"/>
                <w:b/>
                <w:color w:val="auto"/>
                <w:sz w:val="18"/>
                <w:szCs w:val="18"/>
                <w:highlight w:val="none"/>
              </w:rPr>
              <w:t>1</w:t>
            </w:r>
          </w:p>
        </w:tc>
        <w:tc>
          <w:tcPr>
            <w:tcW w:w="1111" w:type="pct"/>
            <w:vAlign w:val="center"/>
          </w:tcPr>
          <w:p w14:paraId="5538FB16">
            <w:pPr>
              <w:rPr>
                <w:color w:val="auto"/>
                <w:sz w:val="18"/>
                <w:szCs w:val="18"/>
                <w:highlight w:val="none"/>
              </w:rPr>
            </w:pPr>
            <w:r>
              <w:rPr>
                <w:rFonts w:hint="eastAsia"/>
                <w:color w:val="auto"/>
                <w:sz w:val="18"/>
                <w:szCs w:val="18"/>
                <w:highlight w:val="none"/>
              </w:rPr>
              <w:t>响应报价分</w:t>
            </w:r>
          </w:p>
        </w:tc>
        <w:tc>
          <w:tcPr>
            <w:tcW w:w="1885" w:type="pct"/>
            <w:vAlign w:val="center"/>
          </w:tcPr>
          <w:p w14:paraId="06054C98">
            <w:pPr>
              <w:rPr>
                <w:color w:val="auto"/>
                <w:sz w:val="18"/>
                <w:szCs w:val="18"/>
                <w:highlight w:val="none"/>
              </w:rPr>
            </w:pPr>
            <w:r>
              <w:rPr>
                <w:rFonts w:hint="eastAsia"/>
                <w:color w:val="auto"/>
                <w:sz w:val="18"/>
                <w:szCs w:val="18"/>
                <w:highlight w:val="none"/>
              </w:rPr>
              <w:t>以满足采购文件要求且响应价格最低的响应报价为评标基准价，其价格分为满分。其他供应商的价格分统一按照下列公式计算：响应报价得分</w:t>
            </w:r>
            <w:r>
              <w:rPr>
                <w:color w:val="auto"/>
                <w:sz w:val="18"/>
                <w:szCs w:val="18"/>
                <w:highlight w:val="none"/>
              </w:rPr>
              <w:t>=（评标基准价/</w:t>
            </w:r>
            <w:r>
              <w:rPr>
                <w:rFonts w:hint="eastAsia"/>
                <w:color w:val="auto"/>
                <w:sz w:val="18"/>
                <w:szCs w:val="18"/>
                <w:highlight w:val="none"/>
              </w:rPr>
              <w:t>响应</w:t>
            </w:r>
            <w:r>
              <w:rPr>
                <w:color w:val="auto"/>
                <w:sz w:val="18"/>
                <w:szCs w:val="18"/>
                <w:highlight w:val="none"/>
              </w:rPr>
              <w:t>报价）×</w:t>
            </w:r>
            <w:r>
              <w:rPr>
                <w:rFonts w:hint="eastAsia"/>
                <w:color w:val="auto"/>
                <w:sz w:val="18"/>
                <w:szCs w:val="18"/>
                <w:highlight w:val="none"/>
              </w:rPr>
              <w:t>响应</w:t>
            </w:r>
            <w:r>
              <w:rPr>
                <w:color w:val="auto"/>
                <w:sz w:val="18"/>
                <w:szCs w:val="18"/>
                <w:highlight w:val="none"/>
              </w:rPr>
              <w:t>报价分满分分值。</w:t>
            </w:r>
          </w:p>
        </w:tc>
        <w:tc>
          <w:tcPr>
            <w:tcW w:w="428" w:type="pct"/>
            <w:vAlign w:val="center"/>
          </w:tcPr>
          <w:p w14:paraId="14580F48">
            <w:pPr>
              <w:rPr>
                <w:color w:val="auto"/>
                <w:sz w:val="18"/>
                <w:szCs w:val="18"/>
                <w:highlight w:val="none"/>
              </w:rPr>
            </w:pPr>
            <w:r>
              <w:rPr>
                <w:rFonts w:hint="eastAsia"/>
                <w:color w:val="auto"/>
                <w:sz w:val="18"/>
                <w:szCs w:val="18"/>
                <w:highlight w:val="none"/>
                <w:lang w:val="en-US" w:eastAsia="zh-CN"/>
              </w:rPr>
              <w:t>2</w:t>
            </w:r>
            <w:r>
              <w:rPr>
                <w:color w:val="auto"/>
                <w:sz w:val="18"/>
                <w:szCs w:val="18"/>
                <w:highlight w:val="none"/>
              </w:rPr>
              <w:t>0</w:t>
            </w:r>
          </w:p>
        </w:tc>
        <w:tc>
          <w:tcPr>
            <w:tcW w:w="1148" w:type="pct"/>
            <w:vAlign w:val="center"/>
          </w:tcPr>
          <w:p w14:paraId="114EE924">
            <w:pPr>
              <w:rPr>
                <w:color w:val="auto"/>
                <w:sz w:val="18"/>
                <w:szCs w:val="18"/>
                <w:highlight w:val="none"/>
              </w:rPr>
            </w:pPr>
            <w:r>
              <w:rPr>
                <w:rFonts w:hint="eastAsia"/>
                <w:color w:val="auto"/>
                <w:sz w:val="18"/>
                <w:szCs w:val="18"/>
                <w:highlight w:val="none"/>
              </w:rPr>
              <w:t>无</w:t>
            </w:r>
          </w:p>
        </w:tc>
      </w:tr>
    </w:tbl>
    <w:p w14:paraId="53D3B900">
      <w:pPr>
        <w:ind w:firstLine="480" w:firstLineChars="200"/>
        <w:rPr>
          <w:color w:val="auto"/>
          <w:sz w:val="24"/>
          <w:highlight w:val="none"/>
        </w:rPr>
      </w:pPr>
    </w:p>
    <w:p w14:paraId="4BBFDFF7">
      <w:pPr>
        <w:rPr>
          <w:color w:val="auto"/>
          <w:sz w:val="24"/>
          <w:highlight w:val="none"/>
        </w:rPr>
      </w:pPr>
    </w:p>
    <w:p w14:paraId="1AFFD902">
      <w:pPr>
        <w:ind w:firstLine="360" w:firstLineChars="150"/>
        <w:rPr>
          <w:color w:val="auto"/>
          <w:sz w:val="24"/>
          <w:highlight w:val="none"/>
        </w:rPr>
      </w:pPr>
      <w:r>
        <w:rPr>
          <w:rFonts w:hint="eastAsia"/>
          <w:color w:val="auto"/>
          <w:sz w:val="24"/>
          <w:highlight w:val="none"/>
        </w:rPr>
        <w:t>（</w:t>
      </w:r>
      <w:r>
        <w:rPr>
          <w:rFonts w:hint="eastAsia"/>
          <w:color w:val="auto"/>
          <w:sz w:val="24"/>
          <w:highlight w:val="none"/>
          <w:lang w:val="en-US" w:eastAsia="zh-CN"/>
        </w:rPr>
        <w:t>3</w:t>
      </w:r>
      <w:r>
        <w:rPr>
          <w:rFonts w:hint="eastAsia"/>
          <w:color w:val="auto"/>
          <w:sz w:val="24"/>
          <w:highlight w:val="none"/>
        </w:rPr>
        <w:t>）</w:t>
      </w:r>
      <w:r>
        <w:rPr>
          <w:color w:val="auto"/>
          <w:sz w:val="24"/>
          <w:highlight w:val="none"/>
        </w:rPr>
        <w:t>综合得分</w:t>
      </w:r>
    </w:p>
    <w:tbl>
      <w:tblPr>
        <w:tblStyle w:val="5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4"/>
        <w:gridCol w:w="2334"/>
        <w:gridCol w:w="4003"/>
        <w:gridCol w:w="2174"/>
      </w:tblGrid>
      <w:tr w14:paraId="7C930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446" w:type="pct"/>
            <w:vAlign w:val="center"/>
          </w:tcPr>
          <w:p w14:paraId="6434D6C6">
            <w:pPr>
              <w:jc w:val="center"/>
              <w:rPr>
                <w:b/>
                <w:color w:val="auto"/>
                <w:sz w:val="21"/>
                <w:szCs w:val="21"/>
                <w:highlight w:val="none"/>
              </w:rPr>
            </w:pPr>
            <w:r>
              <w:rPr>
                <w:rFonts w:hint="eastAsia"/>
                <w:b/>
                <w:color w:val="auto"/>
                <w:sz w:val="21"/>
                <w:szCs w:val="21"/>
                <w:highlight w:val="none"/>
              </w:rPr>
              <w:t>分项</w:t>
            </w:r>
          </w:p>
        </w:tc>
        <w:tc>
          <w:tcPr>
            <w:tcW w:w="1249" w:type="pct"/>
            <w:vAlign w:val="center"/>
          </w:tcPr>
          <w:p w14:paraId="5A205AD8">
            <w:pPr>
              <w:jc w:val="center"/>
              <w:rPr>
                <w:b/>
                <w:color w:val="auto"/>
                <w:sz w:val="21"/>
                <w:szCs w:val="21"/>
                <w:highlight w:val="none"/>
              </w:rPr>
            </w:pPr>
            <w:r>
              <w:rPr>
                <w:rFonts w:hint="eastAsia"/>
                <w:b/>
                <w:color w:val="auto"/>
                <w:sz w:val="21"/>
                <w:szCs w:val="21"/>
                <w:highlight w:val="none"/>
              </w:rPr>
              <w:t>技术及商务资信分</w:t>
            </w:r>
          </w:p>
        </w:tc>
        <w:tc>
          <w:tcPr>
            <w:tcW w:w="2142" w:type="pct"/>
            <w:vAlign w:val="center"/>
          </w:tcPr>
          <w:p w14:paraId="00E499E1">
            <w:pPr>
              <w:jc w:val="center"/>
              <w:rPr>
                <w:b/>
                <w:color w:val="auto"/>
                <w:sz w:val="21"/>
                <w:szCs w:val="21"/>
                <w:highlight w:val="none"/>
              </w:rPr>
            </w:pPr>
            <w:r>
              <w:rPr>
                <w:rFonts w:hint="eastAsia"/>
                <w:b/>
                <w:color w:val="auto"/>
                <w:sz w:val="21"/>
                <w:szCs w:val="21"/>
                <w:highlight w:val="none"/>
              </w:rPr>
              <w:t>投标报价得分</w:t>
            </w:r>
          </w:p>
        </w:tc>
        <w:tc>
          <w:tcPr>
            <w:tcW w:w="1161" w:type="pct"/>
            <w:vAlign w:val="center"/>
          </w:tcPr>
          <w:p w14:paraId="5CEFF4E6">
            <w:pPr>
              <w:jc w:val="center"/>
              <w:rPr>
                <w:b/>
                <w:color w:val="auto"/>
                <w:sz w:val="21"/>
                <w:szCs w:val="21"/>
                <w:highlight w:val="none"/>
              </w:rPr>
            </w:pPr>
            <w:r>
              <w:rPr>
                <w:rFonts w:hint="eastAsia"/>
                <w:b/>
                <w:color w:val="auto"/>
                <w:sz w:val="21"/>
                <w:szCs w:val="21"/>
                <w:highlight w:val="none"/>
              </w:rPr>
              <w:t>总分</w:t>
            </w:r>
          </w:p>
        </w:tc>
      </w:tr>
      <w:tr w14:paraId="563DD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446" w:type="pct"/>
            <w:vAlign w:val="center"/>
          </w:tcPr>
          <w:p w14:paraId="2EEDE908">
            <w:pPr>
              <w:jc w:val="center"/>
              <w:rPr>
                <w:b/>
                <w:color w:val="auto"/>
                <w:sz w:val="21"/>
                <w:szCs w:val="21"/>
                <w:highlight w:val="none"/>
              </w:rPr>
            </w:pPr>
            <w:r>
              <w:rPr>
                <w:rFonts w:hint="eastAsia"/>
                <w:b/>
                <w:color w:val="auto"/>
                <w:sz w:val="21"/>
                <w:szCs w:val="21"/>
                <w:highlight w:val="none"/>
              </w:rPr>
              <w:t>分值</w:t>
            </w:r>
          </w:p>
        </w:tc>
        <w:tc>
          <w:tcPr>
            <w:tcW w:w="1249" w:type="pct"/>
            <w:vAlign w:val="center"/>
          </w:tcPr>
          <w:p w14:paraId="7811B257">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80</w:t>
            </w:r>
          </w:p>
        </w:tc>
        <w:tc>
          <w:tcPr>
            <w:tcW w:w="2142" w:type="pct"/>
            <w:vAlign w:val="center"/>
          </w:tcPr>
          <w:p w14:paraId="76A76E1C">
            <w:pPr>
              <w:jc w:val="center"/>
              <w:rPr>
                <w:color w:val="auto"/>
                <w:sz w:val="21"/>
                <w:szCs w:val="21"/>
                <w:highlight w:val="none"/>
              </w:rPr>
            </w:pPr>
            <w:r>
              <w:rPr>
                <w:rFonts w:hint="eastAsia"/>
                <w:color w:val="auto"/>
                <w:sz w:val="21"/>
                <w:szCs w:val="21"/>
                <w:highlight w:val="none"/>
                <w:lang w:val="en-US" w:eastAsia="zh-CN"/>
              </w:rPr>
              <w:t>2</w:t>
            </w:r>
            <w:r>
              <w:rPr>
                <w:rFonts w:hint="eastAsia"/>
                <w:color w:val="auto"/>
                <w:sz w:val="21"/>
                <w:szCs w:val="21"/>
                <w:highlight w:val="none"/>
              </w:rPr>
              <w:t>0</w:t>
            </w:r>
          </w:p>
        </w:tc>
        <w:tc>
          <w:tcPr>
            <w:tcW w:w="1161" w:type="pct"/>
            <w:vAlign w:val="center"/>
          </w:tcPr>
          <w:p w14:paraId="10382DB3">
            <w:pPr>
              <w:jc w:val="center"/>
              <w:rPr>
                <w:color w:val="auto"/>
                <w:sz w:val="21"/>
                <w:szCs w:val="21"/>
                <w:highlight w:val="none"/>
              </w:rPr>
            </w:pPr>
            <w:r>
              <w:rPr>
                <w:rFonts w:hint="eastAsia"/>
                <w:color w:val="auto"/>
                <w:sz w:val="21"/>
                <w:szCs w:val="21"/>
                <w:highlight w:val="none"/>
              </w:rPr>
              <w:t>100</w:t>
            </w:r>
          </w:p>
        </w:tc>
      </w:tr>
      <w:tr w14:paraId="14A81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5000" w:type="pct"/>
            <w:gridSpan w:val="4"/>
            <w:vAlign w:val="center"/>
          </w:tcPr>
          <w:p w14:paraId="1CE83E3B">
            <w:pPr>
              <w:rPr>
                <w:color w:val="auto"/>
                <w:sz w:val="21"/>
                <w:szCs w:val="21"/>
                <w:highlight w:val="none"/>
              </w:rPr>
            </w:pPr>
            <w:r>
              <w:rPr>
                <w:rFonts w:hint="eastAsia"/>
                <w:color w:val="auto"/>
                <w:sz w:val="21"/>
                <w:szCs w:val="21"/>
                <w:highlight w:val="none"/>
              </w:rPr>
              <w:t>综合得分</w:t>
            </w:r>
            <w:r>
              <w:rPr>
                <w:color w:val="auto"/>
                <w:sz w:val="21"/>
                <w:szCs w:val="21"/>
                <w:highlight w:val="none"/>
              </w:rPr>
              <w:t>=</w:t>
            </w:r>
            <w:r>
              <w:rPr>
                <w:rFonts w:hint="eastAsia"/>
                <w:color w:val="auto"/>
                <w:sz w:val="21"/>
                <w:szCs w:val="21"/>
                <w:highlight w:val="none"/>
              </w:rPr>
              <w:t>技术及商务资信分+投标报价得分+政策性加分（注：各</w:t>
            </w:r>
            <w:r>
              <w:rPr>
                <w:color w:val="auto"/>
                <w:sz w:val="21"/>
                <w:szCs w:val="21"/>
                <w:highlight w:val="none"/>
              </w:rPr>
              <w:t>项评分分值计算保留小数点后两位，小数点后第三位“四舍五入”</w:t>
            </w:r>
            <w:r>
              <w:rPr>
                <w:rFonts w:hint="eastAsia"/>
                <w:color w:val="auto"/>
                <w:sz w:val="21"/>
                <w:szCs w:val="21"/>
                <w:highlight w:val="none"/>
              </w:rPr>
              <w:t>）</w:t>
            </w:r>
          </w:p>
        </w:tc>
      </w:tr>
    </w:tbl>
    <w:p w14:paraId="0FA040AE">
      <w:pPr>
        <w:spacing w:before="120" w:line="320" w:lineRule="atLeast"/>
        <w:ind w:firstLine="482" w:firstLineChars="200"/>
        <w:rPr>
          <w:b/>
          <w:color w:val="auto"/>
          <w:sz w:val="24"/>
          <w:szCs w:val="24"/>
          <w:highlight w:val="none"/>
        </w:rPr>
        <w:sectPr>
          <w:headerReference r:id="rId15" w:type="first"/>
          <w:headerReference r:id="rId14" w:type="default"/>
          <w:pgSz w:w="11906" w:h="16838"/>
          <w:pgMar w:top="1418" w:right="1133" w:bottom="1246" w:left="1418" w:header="851" w:footer="992" w:gutter="0"/>
          <w:cols w:space="720" w:num="1"/>
          <w:docGrid w:linePitch="312" w:charSpace="0"/>
        </w:sectPr>
      </w:pPr>
    </w:p>
    <w:bookmarkEnd w:id="0"/>
    <w:bookmarkEnd w:id="1"/>
    <w:p w14:paraId="11DE12FA">
      <w:pPr>
        <w:pStyle w:val="27"/>
        <w:snapToGrid w:val="0"/>
        <w:spacing w:before="120" w:after="120" w:line="320" w:lineRule="exact"/>
        <w:jc w:val="center"/>
        <w:outlineLvl w:val="0"/>
        <w:rPr>
          <w:rFonts w:ascii="Times New Roman" w:hAnsi="Times New Roman" w:cs="Times New Roman"/>
          <w:color w:val="auto"/>
          <w:sz w:val="24"/>
          <w:szCs w:val="24"/>
          <w:highlight w:val="none"/>
        </w:rPr>
      </w:pPr>
      <w:bookmarkStart w:id="82" w:name="_Toc31832"/>
      <w:bookmarkStart w:id="83" w:name="_Hlk89190624"/>
      <w:r>
        <w:rPr>
          <w:rFonts w:ascii="Times New Roman" w:hAnsi="Times New Roman" w:cs="Times New Roman"/>
          <w:color w:val="auto"/>
          <w:sz w:val="24"/>
          <w:szCs w:val="24"/>
          <w:highlight w:val="none"/>
        </w:rPr>
        <w:t>第</w:t>
      </w:r>
      <w:r>
        <w:rPr>
          <w:rFonts w:hint="eastAsia" w:ascii="Times New Roman" w:hAnsi="Times New Roman" w:cs="Times New Roman"/>
          <w:color w:val="auto"/>
          <w:sz w:val="24"/>
          <w:szCs w:val="24"/>
          <w:highlight w:val="none"/>
        </w:rPr>
        <w:t>五</w:t>
      </w:r>
      <w:r>
        <w:rPr>
          <w:rFonts w:ascii="Times New Roman" w:hAnsi="Times New Roman" w:cs="Times New Roman"/>
          <w:color w:val="auto"/>
          <w:sz w:val="24"/>
          <w:szCs w:val="24"/>
          <w:highlight w:val="none"/>
        </w:rPr>
        <w:t>章  合同主要条款格式</w:t>
      </w:r>
      <w:bookmarkEnd w:id="82"/>
    </w:p>
    <w:bookmarkEnd w:id="83"/>
    <w:p w14:paraId="6EB64077">
      <w:pPr>
        <w:jc w:val="center"/>
        <w:rPr>
          <w:rFonts w:ascii="宋体" w:hAnsi="Courier New" w:eastAsia="宋体" w:cs="Times New Roman"/>
          <w:b/>
          <w:color w:val="auto"/>
          <w:sz w:val="24"/>
          <w:szCs w:val="24"/>
          <w:highlight w:val="none"/>
        </w:rPr>
      </w:pPr>
      <w:r>
        <w:rPr>
          <w:rFonts w:ascii="宋体" w:hAnsi="Courier New" w:eastAsia="宋体" w:cs="Times New Roman"/>
          <w:b/>
          <w:color w:val="auto"/>
          <w:sz w:val="24"/>
          <w:szCs w:val="24"/>
          <w:highlight w:val="none"/>
        </w:rPr>
        <w:t>第一</w:t>
      </w:r>
      <w:r>
        <w:rPr>
          <w:rFonts w:hint="eastAsia" w:ascii="宋体" w:hAnsi="Courier New" w:eastAsia="宋体" w:cs="Times New Roman"/>
          <w:b/>
          <w:color w:val="auto"/>
          <w:sz w:val="24"/>
          <w:szCs w:val="24"/>
          <w:highlight w:val="none"/>
        </w:rPr>
        <w:t>部分</w:t>
      </w:r>
      <w:r>
        <w:rPr>
          <w:rFonts w:ascii="宋体" w:hAnsi="Courier New" w:eastAsia="宋体" w:cs="Times New Roman"/>
          <w:b/>
          <w:color w:val="auto"/>
          <w:sz w:val="24"/>
          <w:szCs w:val="24"/>
          <w:highlight w:val="none"/>
        </w:rPr>
        <w:t xml:space="preserve"> 合同协议书</w:t>
      </w:r>
    </w:p>
    <w:p w14:paraId="5A6A7569">
      <w:pPr>
        <w:spacing w:line="360" w:lineRule="auto"/>
        <w:rPr>
          <w:rFonts w:hint="eastAsia" w:ascii="宋体" w:hAnsi="宋体" w:eastAsia="宋体" w:cs="Times New Roman"/>
          <w:color w:val="auto"/>
          <w:sz w:val="24"/>
          <w:szCs w:val="24"/>
          <w:highlight w:val="none"/>
        </w:rPr>
      </w:pPr>
    </w:p>
    <w:p w14:paraId="7D91F0EA">
      <w:pPr>
        <w:wordWrap w:val="0"/>
        <w:spacing w:line="360" w:lineRule="auto"/>
        <w:rPr>
          <w:rFonts w:ascii="宋体" w:hAnsi="宋体" w:eastAsia="宋体" w:cs="Times New Roman"/>
          <w:color w:val="auto"/>
          <w:sz w:val="24"/>
          <w:szCs w:val="24"/>
          <w:highlight w:val="none"/>
        </w:rPr>
      </w:pPr>
    </w:p>
    <w:p w14:paraId="5A6A7B96">
      <w:pPr>
        <w:wordWrap w:val="0"/>
        <w:spacing w:line="360" w:lineRule="auto"/>
        <w:rPr>
          <w:rFonts w:hint="eastAsia" w:ascii="宋体" w:hAnsi="宋体" w:eastAsia="宋体" w:cs="Times New Roman"/>
          <w:color w:val="auto"/>
          <w:sz w:val="24"/>
          <w:szCs w:val="24"/>
          <w:highlight w:val="none"/>
          <w:u w:val="single"/>
        </w:rPr>
      </w:pPr>
      <w:r>
        <w:rPr>
          <w:rFonts w:ascii="宋体" w:hAnsi="宋体" w:eastAsia="宋体" w:cs="Times New Roman"/>
          <w:color w:val="auto"/>
          <w:sz w:val="24"/>
          <w:szCs w:val="24"/>
          <w:highlight w:val="none"/>
        </w:rPr>
        <w:t>发包人（全称）：</w:t>
      </w:r>
      <w:r>
        <w:rPr>
          <w:rFonts w:hint="eastAsia" w:ascii="宋体" w:hAnsi="宋体" w:eastAsia="宋体" w:cs="Times New Roman"/>
          <w:color w:val="auto"/>
          <w:sz w:val="24"/>
          <w:szCs w:val="24"/>
          <w:highlight w:val="none"/>
          <w:lang w:eastAsia="zh-CN"/>
        </w:rPr>
        <w:t>防城港市十万大山国家级自然保护区管理局</w:t>
      </w:r>
      <w:r>
        <w:rPr>
          <w:rFonts w:hint="eastAsia" w:ascii="宋体" w:hAnsi="宋体" w:eastAsia="宋体" w:cs="Times New Roman"/>
          <w:color w:val="auto"/>
          <w:sz w:val="24"/>
          <w:szCs w:val="24"/>
          <w:highlight w:val="none"/>
          <w:u w:val="single"/>
        </w:rPr>
        <w:t xml:space="preserve">                              </w:t>
      </w:r>
    </w:p>
    <w:p w14:paraId="43C64714">
      <w:pPr>
        <w:wordWrap w:val="0"/>
        <w:spacing w:line="360" w:lineRule="auto"/>
        <w:rPr>
          <w:rFonts w:hint="eastAsia" w:ascii="宋体" w:hAnsi="宋体" w:eastAsia="宋体" w:cs="Times New Roman"/>
          <w:color w:val="auto"/>
          <w:sz w:val="24"/>
          <w:szCs w:val="24"/>
          <w:highlight w:val="none"/>
          <w:u w:val="single"/>
        </w:rPr>
      </w:pPr>
      <w:r>
        <w:rPr>
          <w:rFonts w:ascii="宋体" w:hAnsi="宋体" w:eastAsia="宋体" w:cs="Times New Roman"/>
          <w:color w:val="auto"/>
          <w:sz w:val="24"/>
          <w:szCs w:val="24"/>
          <w:highlight w:val="none"/>
        </w:rPr>
        <w:t>承包人（全称）：</w:t>
      </w:r>
      <w:r>
        <w:rPr>
          <w:rFonts w:hint="eastAsia" w:ascii="宋体" w:hAnsi="宋体" w:eastAsia="宋体" w:cs="Times New Roman"/>
          <w:color w:val="auto"/>
          <w:sz w:val="24"/>
          <w:szCs w:val="24"/>
          <w:highlight w:val="none"/>
          <w:u w:val="single"/>
        </w:rPr>
        <w:t xml:space="preserve">                              </w:t>
      </w:r>
    </w:p>
    <w:p w14:paraId="1AC165CE">
      <w:pPr>
        <w:spacing w:line="360" w:lineRule="auto"/>
        <w:ind w:firstLine="480" w:firstLineChars="200"/>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根据《中华人民共和国</w:t>
      </w:r>
      <w:r>
        <w:rPr>
          <w:rFonts w:hint="eastAsia" w:ascii="宋体" w:hAnsi="宋体" w:eastAsia="宋体" w:cs="Times New Roman"/>
          <w:color w:val="auto"/>
          <w:sz w:val="24"/>
          <w:szCs w:val="24"/>
          <w:highlight w:val="none"/>
          <w:lang w:val="en-US" w:eastAsia="zh-CN"/>
        </w:rPr>
        <w:t>民法典</w:t>
      </w:r>
      <w:r>
        <w:rPr>
          <w:rFonts w:ascii="宋体" w:hAnsi="宋体" w:eastAsia="宋体" w:cs="Times New Roman"/>
          <w:color w:val="auto"/>
          <w:sz w:val="24"/>
          <w:szCs w:val="24"/>
          <w:highlight w:val="none"/>
        </w:rPr>
        <w:t>》、《中华人民共和国建筑法》及有关法律规定，遵循平等、自愿、公平和诚实信用的原则，双方就</w:t>
      </w:r>
      <w:r>
        <w:rPr>
          <w:rFonts w:hint="eastAsia" w:ascii="宋体" w:hAnsi="宋体" w:eastAsia="宋体" w:cs="Times New Roman"/>
          <w:color w:val="auto"/>
          <w:sz w:val="24"/>
          <w:szCs w:val="24"/>
          <w:highlight w:val="none"/>
          <w:u w:val="single"/>
          <w:lang w:eastAsia="zh-CN"/>
        </w:rPr>
        <w:t xml:space="preserve"> </w:t>
      </w:r>
      <w:r>
        <w:rPr>
          <w:rFonts w:hint="eastAsia" w:ascii="宋体" w:hAnsi="宋体" w:cs="Times New Roman"/>
          <w:color w:val="auto"/>
          <w:sz w:val="24"/>
          <w:szCs w:val="24"/>
          <w:highlight w:val="none"/>
          <w:u w:val="single"/>
          <w:lang w:eastAsia="zh-CN"/>
        </w:rPr>
        <w:t>防城港市森林防火指挥中心和广西十万大山国家级自然保护区业务用房消防系统整改工程（重）</w:t>
      </w:r>
      <w:r>
        <w:rPr>
          <w:rFonts w:ascii="宋体" w:hAnsi="宋体" w:eastAsia="宋体" w:cs="Times New Roman"/>
          <w:color w:val="auto"/>
          <w:sz w:val="24"/>
          <w:szCs w:val="24"/>
          <w:highlight w:val="none"/>
        </w:rPr>
        <w:t>施工及有关事项协商一致，共同达成如下协议：</w:t>
      </w:r>
      <w:bookmarkStart w:id="84" w:name="_Toc351203481"/>
    </w:p>
    <w:p w14:paraId="23516E0F">
      <w:pPr>
        <w:spacing w:line="360" w:lineRule="auto"/>
        <w:ind w:firstLine="482" w:firstLineChars="200"/>
        <w:rPr>
          <w:rFonts w:hint="eastAsia"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t>一、工程概况</w:t>
      </w:r>
      <w:bookmarkEnd w:id="84"/>
    </w:p>
    <w:p w14:paraId="51F2ED31">
      <w:pPr>
        <w:spacing w:line="360" w:lineRule="auto"/>
        <w:ind w:firstLine="470" w:firstLineChars="196"/>
        <w:rPr>
          <w:rFonts w:hint="eastAsia" w:ascii="宋体" w:hAnsi="宋体" w:eastAsia="宋体" w:cs="Times New Roman"/>
          <w:color w:val="auto"/>
          <w:sz w:val="24"/>
          <w:szCs w:val="24"/>
          <w:highlight w:val="none"/>
          <w:u w:val="single"/>
        </w:rPr>
      </w:pPr>
      <w:r>
        <w:rPr>
          <w:rFonts w:ascii="宋体" w:hAnsi="宋体" w:eastAsia="宋体" w:cs="Times New Roman"/>
          <w:bCs/>
          <w:color w:val="auto"/>
          <w:sz w:val="24"/>
          <w:szCs w:val="24"/>
          <w:highlight w:val="none"/>
        </w:rPr>
        <w:t>1.</w:t>
      </w:r>
      <w:r>
        <w:rPr>
          <w:rFonts w:hint="eastAsia" w:ascii="宋体" w:hAnsi="宋体" w:eastAsia="宋体" w:cs="Times New Roman"/>
          <w:bCs/>
          <w:color w:val="auto"/>
          <w:sz w:val="24"/>
          <w:szCs w:val="24"/>
          <w:highlight w:val="none"/>
        </w:rPr>
        <w:t xml:space="preserve"> </w:t>
      </w:r>
      <w:r>
        <w:rPr>
          <w:rFonts w:ascii="宋体" w:hAnsi="宋体" w:eastAsia="宋体" w:cs="Times New Roman"/>
          <w:bCs/>
          <w:color w:val="auto"/>
          <w:sz w:val="24"/>
          <w:szCs w:val="24"/>
          <w:highlight w:val="none"/>
        </w:rPr>
        <w:t>工程名称</w:t>
      </w:r>
      <w:r>
        <w:rPr>
          <w:rFonts w:ascii="宋体" w:hAnsi="宋体" w:eastAsia="宋体" w:cs="Times New Roman"/>
          <w:color w:val="auto"/>
          <w:sz w:val="24"/>
          <w:szCs w:val="24"/>
          <w:highlight w:val="none"/>
        </w:rPr>
        <w:t>：</w:t>
      </w:r>
      <w:r>
        <w:rPr>
          <w:rFonts w:hint="eastAsia" w:ascii="宋体" w:hAnsi="宋体" w:cs="Times New Roman"/>
          <w:color w:val="auto"/>
          <w:sz w:val="24"/>
          <w:szCs w:val="24"/>
          <w:highlight w:val="none"/>
          <w:u w:val="single"/>
          <w:lang w:eastAsia="zh-CN"/>
        </w:rPr>
        <w:t>防城港市森林防火指挥中心和广西十万大山国家级自然保护区业务用房消防系统整改工程（重）</w:t>
      </w:r>
      <w:r>
        <w:rPr>
          <w:rFonts w:ascii="宋体" w:hAnsi="宋体" w:eastAsia="宋体" w:cs="Times New Roman"/>
          <w:color w:val="auto"/>
          <w:sz w:val="24"/>
          <w:szCs w:val="24"/>
          <w:highlight w:val="none"/>
        </w:rPr>
        <w:t>。</w:t>
      </w:r>
    </w:p>
    <w:p w14:paraId="355032DC">
      <w:pPr>
        <w:spacing w:line="360" w:lineRule="auto"/>
        <w:ind w:firstLine="470" w:firstLineChars="196"/>
        <w:rPr>
          <w:rFonts w:hint="eastAsia" w:ascii="宋体" w:hAnsi="宋体" w:eastAsia="宋体" w:cs="Times New Roman"/>
          <w:bCs/>
          <w:color w:val="auto"/>
          <w:sz w:val="24"/>
          <w:szCs w:val="24"/>
          <w:highlight w:val="none"/>
        </w:rPr>
      </w:pPr>
      <w:r>
        <w:rPr>
          <w:rFonts w:ascii="宋体" w:hAnsi="宋体" w:eastAsia="宋体" w:cs="Times New Roman"/>
          <w:bCs/>
          <w:color w:val="auto"/>
          <w:sz w:val="24"/>
          <w:szCs w:val="24"/>
          <w:highlight w:val="none"/>
        </w:rPr>
        <w:t>2.</w:t>
      </w:r>
      <w:r>
        <w:rPr>
          <w:rFonts w:hint="eastAsia" w:ascii="宋体" w:hAnsi="宋体" w:eastAsia="宋体" w:cs="Times New Roman"/>
          <w:bCs/>
          <w:color w:val="auto"/>
          <w:sz w:val="24"/>
          <w:szCs w:val="24"/>
          <w:highlight w:val="none"/>
        </w:rPr>
        <w:t xml:space="preserve"> </w:t>
      </w:r>
      <w:r>
        <w:rPr>
          <w:rFonts w:ascii="宋体" w:hAnsi="宋体" w:eastAsia="宋体" w:cs="Times New Roman"/>
          <w:bCs/>
          <w:color w:val="auto"/>
          <w:sz w:val="24"/>
          <w:szCs w:val="24"/>
          <w:highlight w:val="none"/>
        </w:rPr>
        <w:t>工程地点：</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lang w:eastAsia="zh-CN"/>
        </w:rPr>
        <w:t>防城港市十万大山国家级自然保护区管理局</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p>
    <w:p w14:paraId="17E06DA8">
      <w:pPr>
        <w:spacing w:line="360" w:lineRule="auto"/>
        <w:ind w:firstLine="470" w:firstLineChars="196"/>
        <w:rPr>
          <w:rFonts w:hint="eastAsia" w:ascii="宋体" w:hAnsi="宋体" w:eastAsia="宋体" w:cs="Times New Roman"/>
          <w:bCs/>
          <w:color w:val="auto"/>
          <w:sz w:val="24"/>
          <w:szCs w:val="24"/>
          <w:highlight w:val="none"/>
        </w:rPr>
      </w:pPr>
      <w:r>
        <w:rPr>
          <w:rFonts w:ascii="宋体" w:hAnsi="宋体" w:eastAsia="宋体" w:cs="Times New Roman"/>
          <w:bCs/>
          <w:color w:val="auto"/>
          <w:sz w:val="24"/>
          <w:szCs w:val="24"/>
          <w:highlight w:val="none"/>
        </w:rPr>
        <w:t>3.</w:t>
      </w:r>
      <w:r>
        <w:rPr>
          <w:rFonts w:hint="eastAsia" w:ascii="宋体" w:hAnsi="宋体" w:eastAsia="宋体" w:cs="Times New Roman"/>
          <w:bCs/>
          <w:color w:val="auto"/>
          <w:sz w:val="24"/>
          <w:szCs w:val="24"/>
          <w:highlight w:val="none"/>
        </w:rPr>
        <w:t xml:space="preserve"> </w:t>
      </w:r>
      <w:r>
        <w:rPr>
          <w:rFonts w:ascii="宋体" w:hAnsi="宋体" w:eastAsia="宋体" w:cs="Times New Roman"/>
          <w:bCs/>
          <w:color w:val="auto"/>
          <w:sz w:val="24"/>
          <w:szCs w:val="24"/>
          <w:highlight w:val="none"/>
        </w:rPr>
        <w:t>工程立项批准文号：</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lang w:val="en-US" w:eastAsia="zh-CN"/>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bCs/>
          <w:color w:val="auto"/>
          <w:sz w:val="24"/>
          <w:szCs w:val="24"/>
          <w:highlight w:val="none"/>
        </w:rPr>
        <w:t>。</w:t>
      </w:r>
    </w:p>
    <w:p w14:paraId="558A7B49">
      <w:pPr>
        <w:spacing w:line="360" w:lineRule="auto"/>
        <w:ind w:firstLine="470" w:firstLineChars="196"/>
        <w:rPr>
          <w:rFonts w:hint="eastAsia" w:ascii="宋体" w:hAnsi="宋体" w:eastAsia="宋体" w:cs="Times New Roman"/>
          <w:bCs/>
          <w:color w:val="auto"/>
          <w:sz w:val="24"/>
          <w:szCs w:val="24"/>
          <w:highlight w:val="none"/>
        </w:rPr>
      </w:pPr>
      <w:r>
        <w:rPr>
          <w:rFonts w:ascii="宋体" w:hAnsi="宋体" w:eastAsia="宋体" w:cs="Times New Roman"/>
          <w:bCs/>
          <w:color w:val="auto"/>
          <w:sz w:val="24"/>
          <w:szCs w:val="24"/>
          <w:highlight w:val="none"/>
        </w:rPr>
        <w:t>4.</w:t>
      </w:r>
      <w:r>
        <w:rPr>
          <w:rFonts w:hint="eastAsia" w:ascii="宋体" w:hAnsi="宋体" w:eastAsia="宋体" w:cs="Times New Roman"/>
          <w:bCs/>
          <w:color w:val="auto"/>
          <w:sz w:val="24"/>
          <w:szCs w:val="24"/>
          <w:highlight w:val="none"/>
        </w:rPr>
        <w:t xml:space="preserve"> </w:t>
      </w:r>
      <w:r>
        <w:rPr>
          <w:rFonts w:ascii="宋体" w:hAnsi="宋体" w:eastAsia="宋体" w:cs="Times New Roman"/>
          <w:bCs/>
          <w:color w:val="auto"/>
          <w:sz w:val="24"/>
          <w:szCs w:val="24"/>
          <w:highlight w:val="none"/>
        </w:rPr>
        <w:t>资金来源：</w:t>
      </w:r>
      <w:r>
        <w:rPr>
          <w:rFonts w:hint="eastAsia" w:ascii="宋体" w:hAnsi="宋体" w:eastAsia="宋体" w:cs="Times New Roman"/>
          <w:color w:val="auto"/>
          <w:sz w:val="24"/>
          <w:szCs w:val="24"/>
          <w:highlight w:val="none"/>
          <w:u w:val="single"/>
          <w:lang w:val="en-US" w:eastAsia="zh-CN"/>
        </w:rPr>
        <w:t xml:space="preserve">                 </w:t>
      </w:r>
      <w:r>
        <w:rPr>
          <w:rFonts w:ascii="宋体" w:hAnsi="宋体" w:eastAsia="宋体" w:cs="Times New Roman"/>
          <w:bCs/>
          <w:color w:val="auto"/>
          <w:sz w:val="24"/>
          <w:szCs w:val="24"/>
          <w:highlight w:val="none"/>
        </w:rPr>
        <w:t>。</w:t>
      </w:r>
    </w:p>
    <w:p w14:paraId="43DB0EAA">
      <w:pPr>
        <w:spacing w:line="360" w:lineRule="auto"/>
        <w:ind w:firstLine="470" w:firstLineChars="196"/>
        <w:rPr>
          <w:rFonts w:hint="eastAsia" w:ascii="宋体" w:hAnsi="宋体" w:eastAsia="宋体" w:cs="Times New Roman"/>
          <w:bCs/>
          <w:color w:val="auto"/>
          <w:sz w:val="24"/>
          <w:szCs w:val="24"/>
          <w:highlight w:val="none"/>
        </w:rPr>
      </w:pPr>
      <w:r>
        <w:rPr>
          <w:rFonts w:ascii="宋体" w:hAnsi="宋体" w:eastAsia="宋体" w:cs="Times New Roman"/>
          <w:bCs/>
          <w:color w:val="auto"/>
          <w:sz w:val="24"/>
          <w:szCs w:val="24"/>
          <w:highlight w:val="none"/>
        </w:rPr>
        <w:t>5.</w:t>
      </w:r>
      <w:r>
        <w:rPr>
          <w:rFonts w:hint="eastAsia" w:ascii="宋体" w:hAnsi="宋体" w:eastAsia="宋体" w:cs="Times New Roman"/>
          <w:bCs/>
          <w:color w:val="auto"/>
          <w:sz w:val="24"/>
          <w:szCs w:val="24"/>
          <w:highlight w:val="none"/>
        </w:rPr>
        <w:t xml:space="preserve"> </w:t>
      </w:r>
      <w:r>
        <w:rPr>
          <w:rFonts w:ascii="宋体" w:hAnsi="宋体" w:eastAsia="宋体" w:cs="Times New Roman"/>
          <w:bCs/>
          <w:color w:val="auto"/>
          <w:sz w:val="24"/>
          <w:szCs w:val="24"/>
          <w:highlight w:val="none"/>
        </w:rPr>
        <w:t>工程内容：</w:t>
      </w:r>
      <w:r>
        <w:rPr>
          <w:rFonts w:hint="eastAsia" w:ascii="宋体" w:hAnsi="宋体" w:cs="Times New Roman"/>
          <w:bCs/>
          <w:color w:val="auto"/>
          <w:sz w:val="24"/>
          <w:szCs w:val="24"/>
          <w:highlight w:val="none"/>
          <w:u w:val="single"/>
          <w:lang w:val="en-US" w:eastAsia="zh-CN"/>
        </w:rPr>
        <w:t>防城港市森林防火指挥中心和广西十万大山国家级自然保护区业务用房消防系统整改工程项目</w:t>
      </w:r>
      <w:r>
        <w:rPr>
          <w:rFonts w:hint="eastAsia" w:ascii="宋体" w:hAnsi="宋体" w:eastAsia="宋体" w:cs="Times New Roman"/>
          <w:bCs/>
          <w:color w:val="auto"/>
          <w:sz w:val="24"/>
          <w:szCs w:val="24"/>
          <w:highlight w:val="none"/>
          <w:u w:val="single"/>
          <w:lang w:val="en-US" w:eastAsia="zh-CN"/>
        </w:rPr>
        <w:t>工程量清单及施工设计图范围内的所有工程</w:t>
      </w:r>
      <w:r>
        <w:rPr>
          <w:rFonts w:hint="eastAsia" w:ascii="宋体" w:hAnsi="宋体" w:eastAsia="宋体" w:cs="Times New Roman"/>
          <w:bCs/>
          <w:color w:val="auto"/>
          <w:sz w:val="24"/>
          <w:szCs w:val="24"/>
          <w:highlight w:val="none"/>
          <w:u w:val="single"/>
        </w:rPr>
        <w:t>。</w:t>
      </w:r>
      <w:r>
        <w:rPr>
          <w:rFonts w:hint="eastAsia" w:ascii="宋体" w:hAnsi="宋体" w:eastAsia="宋体" w:cs="Times New Roman"/>
          <w:bCs/>
          <w:color w:val="auto"/>
          <w:sz w:val="24"/>
          <w:szCs w:val="24"/>
          <w:highlight w:val="none"/>
          <w:u w:val="single"/>
          <w:lang w:val="en-US" w:eastAsia="zh-CN"/>
        </w:rPr>
        <w:t>具体</w:t>
      </w:r>
      <w:r>
        <w:rPr>
          <w:rFonts w:hint="eastAsia" w:ascii="宋体" w:hAnsi="宋体" w:eastAsia="宋体" w:cs="Times New Roman"/>
          <w:bCs/>
          <w:color w:val="auto"/>
          <w:sz w:val="24"/>
          <w:szCs w:val="24"/>
          <w:highlight w:val="none"/>
          <w:u w:val="single"/>
        </w:rPr>
        <w:t>详见工程量清单和</w:t>
      </w:r>
      <w:r>
        <w:rPr>
          <w:rFonts w:hint="eastAsia" w:ascii="宋体" w:hAnsi="宋体" w:eastAsia="宋体" w:cs="Times New Roman"/>
          <w:bCs/>
          <w:color w:val="auto"/>
          <w:sz w:val="24"/>
          <w:szCs w:val="24"/>
          <w:highlight w:val="none"/>
          <w:u w:val="single"/>
          <w:lang w:val="en-US" w:eastAsia="zh-CN"/>
        </w:rPr>
        <w:t>施工设计</w:t>
      </w:r>
      <w:r>
        <w:rPr>
          <w:rFonts w:hint="eastAsia" w:ascii="宋体" w:hAnsi="宋体" w:eastAsia="宋体" w:cs="Times New Roman"/>
          <w:bCs/>
          <w:color w:val="auto"/>
          <w:sz w:val="24"/>
          <w:szCs w:val="24"/>
          <w:highlight w:val="none"/>
          <w:u w:val="single"/>
        </w:rPr>
        <w:t>图纸</w:t>
      </w:r>
      <w:r>
        <w:rPr>
          <w:rFonts w:hint="eastAsia" w:ascii="宋体" w:hAnsi="宋体" w:eastAsia="宋体" w:cs="Times New Roman"/>
          <w:bCs/>
          <w:color w:val="auto"/>
          <w:sz w:val="24"/>
          <w:szCs w:val="24"/>
          <w:highlight w:val="none"/>
        </w:rPr>
        <w:t>。</w:t>
      </w:r>
    </w:p>
    <w:p w14:paraId="169AA62F">
      <w:pPr>
        <w:spacing w:line="360" w:lineRule="auto"/>
        <w:ind w:firstLine="470" w:firstLineChars="196"/>
        <w:rPr>
          <w:rFonts w:hint="eastAsia" w:ascii="宋体" w:hAnsi="宋体" w:eastAsia="宋体" w:cs="Times New Roman"/>
          <w:bCs/>
          <w:color w:val="auto"/>
          <w:sz w:val="24"/>
          <w:szCs w:val="24"/>
          <w:highlight w:val="none"/>
        </w:rPr>
      </w:pPr>
      <w:r>
        <w:rPr>
          <w:rFonts w:ascii="宋体" w:hAnsi="宋体" w:eastAsia="宋体" w:cs="Times New Roman"/>
          <w:color w:val="auto"/>
          <w:sz w:val="24"/>
          <w:szCs w:val="24"/>
          <w:highlight w:val="none"/>
        </w:rPr>
        <w:t>群体工程应附《承包人承揽工程项目一览表》（附件1）。</w:t>
      </w:r>
    </w:p>
    <w:p w14:paraId="635BFC90">
      <w:pPr>
        <w:spacing w:line="440" w:lineRule="exact"/>
        <w:ind w:firstLine="480" w:firstLineChars="200"/>
        <w:rPr>
          <w:rFonts w:hint="eastAsia" w:ascii="宋体" w:hAnsi="宋体" w:eastAsia="宋体" w:cs="Times New Roman"/>
          <w:color w:val="auto"/>
          <w:sz w:val="24"/>
          <w:szCs w:val="24"/>
          <w:highlight w:val="none"/>
        </w:rPr>
      </w:pPr>
      <w:r>
        <w:rPr>
          <w:rFonts w:ascii="宋体" w:hAnsi="宋体" w:eastAsia="宋体" w:cs="Times New Roman"/>
          <w:bCs/>
          <w:color w:val="auto"/>
          <w:sz w:val="24"/>
          <w:szCs w:val="24"/>
          <w:highlight w:val="none"/>
        </w:rPr>
        <w:t>6.</w:t>
      </w:r>
      <w:r>
        <w:rPr>
          <w:rFonts w:hint="eastAsia" w:ascii="宋体" w:hAnsi="宋体" w:eastAsia="宋体" w:cs="Times New Roman"/>
          <w:bCs/>
          <w:color w:val="auto"/>
          <w:sz w:val="24"/>
          <w:szCs w:val="24"/>
          <w:highlight w:val="none"/>
        </w:rPr>
        <w:t xml:space="preserve"> </w:t>
      </w:r>
      <w:r>
        <w:rPr>
          <w:rFonts w:ascii="宋体" w:hAnsi="宋体" w:eastAsia="宋体" w:cs="Times New Roman"/>
          <w:bCs/>
          <w:color w:val="auto"/>
          <w:sz w:val="24"/>
          <w:szCs w:val="24"/>
          <w:highlight w:val="none"/>
        </w:rPr>
        <w:t>工程承包范围：</w:t>
      </w:r>
      <w:r>
        <w:rPr>
          <w:rFonts w:hint="eastAsia" w:ascii="宋体" w:hAnsi="宋体" w:cs="Times New Roman"/>
          <w:b/>
          <w:bCs w:val="0"/>
          <w:color w:val="auto"/>
          <w:sz w:val="24"/>
          <w:szCs w:val="24"/>
          <w:highlight w:val="none"/>
          <w:u w:val="single"/>
          <w:lang w:eastAsia="zh-CN"/>
        </w:rPr>
        <w:t>防城港市森林防火指挥中心和广西十万大山国家级自然保护区业务用房消防系统整改工程</w:t>
      </w:r>
      <w:r>
        <w:rPr>
          <w:rFonts w:hint="eastAsia" w:ascii="宋体" w:hAnsi="宋体" w:cs="Times New Roman"/>
          <w:b/>
          <w:bCs w:val="0"/>
          <w:color w:val="auto"/>
          <w:sz w:val="24"/>
          <w:szCs w:val="24"/>
          <w:highlight w:val="none"/>
          <w:u w:val="single"/>
          <w:lang w:val="en-US" w:eastAsia="zh-CN"/>
        </w:rPr>
        <w:t>项目</w:t>
      </w:r>
      <w:r>
        <w:rPr>
          <w:rFonts w:hint="eastAsia" w:cs="宋体" w:asciiTheme="minorEastAsia" w:hAnsiTheme="minorEastAsia" w:eastAsiaTheme="minorEastAsia"/>
          <w:b/>
          <w:color w:val="auto"/>
          <w:sz w:val="24"/>
          <w:szCs w:val="24"/>
          <w:highlight w:val="none"/>
          <w:u w:val="single"/>
          <w:lang w:val="en-US" w:eastAsia="zh-CN"/>
        </w:rPr>
        <w:t>施工</w:t>
      </w:r>
      <w:r>
        <w:rPr>
          <w:rFonts w:hint="eastAsia" w:cs="宋体" w:asciiTheme="minorEastAsia" w:hAnsiTheme="minorEastAsia" w:eastAsiaTheme="minorEastAsia"/>
          <w:b/>
          <w:color w:val="auto"/>
          <w:sz w:val="24"/>
          <w:szCs w:val="24"/>
          <w:highlight w:val="none"/>
          <w:u w:val="single"/>
        </w:rPr>
        <w:t>图纸及工程量清单范围内的所有工程</w:t>
      </w:r>
      <w:r>
        <w:rPr>
          <w:rFonts w:hint="eastAsia" w:cs="宋体" w:asciiTheme="minorEastAsia" w:hAnsiTheme="minorEastAsia" w:eastAsiaTheme="minorEastAsia"/>
          <w:color w:val="auto"/>
          <w:sz w:val="24"/>
          <w:szCs w:val="24"/>
          <w:highlight w:val="none"/>
        </w:rPr>
        <w:t>。（附设计图、工程量清单）</w:t>
      </w:r>
      <w:r>
        <w:rPr>
          <w:rFonts w:ascii="宋体" w:hAnsi="宋体" w:eastAsia="宋体" w:cs="Times New Roman"/>
          <w:color w:val="auto"/>
          <w:sz w:val="24"/>
          <w:szCs w:val="24"/>
          <w:highlight w:val="none"/>
        </w:rPr>
        <w:t>。</w:t>
      </w:r>
    </w:p>
    <w:p w14:paraId="03711773">
      <w:pPr>
        <w:spacing w:line="360" w:lineRule="auto"/>
        <w:ind w:firstLine="465" w:firstLineChars="193"/>
        <w:rPr>
          <w:rFonts w:hint="eastAsia" w:ascii="宋体" w:hAnsi="宋体" w:eastAsia="宋体" w:cs="Times New Roman"/>
          <w:b/>
          <w:bCs/>
          <w:color w:val="auto"/>
          <w:sz w:val="24"/>
          <w:szCs w:val="24"/>
          <w:highlight w:val="none"/>
        </w:rPr>
      </w:pPr>
      <w:bookmarkStart w:id="85" w:name="_Toc351203482"/>
      <w:r>
        <w:rPr>
          <w:rFonts w:ascii="宋体" w:hAnsi="宋体" w:eastAsia="宋体" w:cs="Times New Roman"/>
          <w:b/>
          <w:bCs/>
          <w:color w:val="auto"/>
          <w:sz w:val="24"/>
          <w:szCs w:val="24"/>
          <w:highlight w:val="none"/>
        </w:rPr>
        <w:t>二、合同工期</w:t>
      </w:r>
      <w:bookmarkEnd w:id="85"/>
    </w:p>
    <w:p w14:paraId="4A6256D2">
      <w:pPr>
        <w:spacing w:line="360" w:lineRule="auto"/>
        <w:ind w:firstLine="459"/>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计划开工日期：</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日。</w:t>
      </w:r>
    </w:p>
    <w:p w14:paraId="3CD4B212">
      <w:pPr>
        <w:spacing w:line="360" w:lineRule="auto"/>
        <w:ind w:firstLine="459"/>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计划竣工日期：</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日。</w:t>
      </w:r>
    </w:p>
    <w:p w14:paraId="5918E828">
      <w:pPr>
        <w:spacing w:line="360" w:lineRule="auto"/>
        <w:ind w:firstLine="459"/>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工期总日历天数：</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lang w:val="en-US" w:eastAsia="zh-CN"/>
        </w:rPr>
        <w:t>100</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天。工期总日历天数与根据前述计划开竣工日期计算的工期天数不一致的，以工期总日历天数为准。</w:t>
      </w:r>
    </w:p>
    <w:p w14:paraId="7D6C541E">
      <w:pPr>
        <w:spacing w:line="360" w:lineRule="auto"/>
        <w:ind w:firstLine="459"/>
        <w:rPr>
          <w:rFonts w:hint="eastAsia" w:ascii="宋体" w:hAnsi="宋体" w:eastAsia="宋体" w:cs="Times New Roman"/>
          <w:b/>
          <w:bCs/>
          <w:color w:val="auto"/>
          <w:sz w:val="24"/>
          <w:szCs w:val="24"/>
          <w:highlight w:val="none"/>
        </w:rPr>
      </w:pPr>
      <w:bookmarkStart w:id="86" w:name="_Toc351203483"/>
      <w:r>
        <w:rPr>
          <w:rFonts w:ascii="宋体" w:hAnsi="宋体" w:eastAsia="宋体" w:cs="Times New Roman"/>
          <w:b/>
          <w:bCs/>
          <w:color w:val="auto"/>
          <w:sz w:val="24"/>
          <w:szCs w:val="24"/>
          <w:highlight w:val="none"/>
        </w:rPr>
        <w:t>三、质量标准</w:t>
      </w:r>
      <w:bookmarkEnd w:id="86"/>
    </w:p>
    <w:p w14:paraId="44FA4D13">
      <w:pPr>
        <w:spacing w:line="360" w:lineRule="auto"/>
        <w:ind w:firstLine="459"/>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工程质量</w:t>
      </w:r>
      <w:r>
        <w:rPr>
          <w:rFonts w:hint="eastAsia" w:cs="宋体" w:asciiTheme="minorEastAsia" w:hAnsiTheme="minorEastAsia" w:eastAsiaTheme="minorEastAsia"/>
          <w:color w:val="auto"/>
          <w:sz w:val="24"/>
          <w:szCs w:val="24"/>
          <w:highlight w:val="none"/>
        </w:rPr>
        <w:t>符合</w:t>
      </w:r>
      <w:r>
        <w:rPr>
          <w:rFonts w:hint="eastAsia" w:cs="宋体" w:asciiTheme="minorEastAsia" w:hAnsiTheme="minorEastAsia" w:eastAsiaTheme="minorEastAsia"/>
          <w:b/>
          <w:color w:val="auto"/>
          <w:sz w:val="24"/>
          <w:szCs w:val="24"/>
          <w:highlight w:val="none"/>
          <w:u w:val="single"/>
        </w:rPr>
        <w:t>《国家建设工程施工质量验收规范》合格</w:t>
      </w:r>
      <w:r>
        <w:rPr>
          <w:rFonts w:ascii="宋体" w:hAnsi="宋体" w:eastAsia="宋体" w:cs="Times New Roman"/>
          <w:color w:val="auto"/>
          <w:sz w:val="24"/>
          <w:szCs w:val="24"/>
          <w:highlight w:val="none"/>
        </w:rPr>
        <w:t>标准。</w:t>
      </w:r>
    </w:p>
    <w:p w14:paraId="4B8A9566">
      <w:pPr>
        <w:spacing w:line="360" w:lineRule="auto"/>
        <w:ind w:firstLine="459"/>
        <w:rPr>
          <w:rFonts w:hint="eastAsia" w:ascii="宋体" w:hAnsi="宋体" w:eastAsia="宋体" w:cs="Times New Roman"/>
          <w:b/>
          <w:bCs/>
          <w:color w:val="auto"/>
          <w:sz w:val="24"/>
          <w:szCs w:val="24"/>
          <w:highlight w:val="none"/>
        </w:rPr>
      </w:pPr>
      <w:bookmarkStart w:id="87" w:name="_Toc351203484"/>
      <w:r>
        <w:rPr>
          <w:rFonts w:ascii="宋体" w:hAnsi="宋体" w:eastAsia="宋体" w:cs="Times New Roman"/>
          <w:b/>
          <w:bCs/>
          <w:color w:val="auto"/>
          <w:sz w:val="24"/>
          <w:szCs w:val="24"/>
          <w:highlight w:val="none"/>
        </w:rPr>
        <w:t>四、签约合同价与合同价格形式</w:t>
      </w:r>
      <w:bookmarkEnd w:id="87"/>
    </w:p>
    <w:p w14:paraId="1EFA8FDB">
      <w:pPr>
        <w:spacing w:line="360" w:lineRule="auto"/>
        <w:ind w:firstLine="459"/>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签约合同价为：</w:t>
      </w:r>
    </w:p>
    <w:p w14:paraId="42EEAE80">
      <w:pPr>
        <w:spacing w:line="360" w:lineRule="auto"/>
        <w:ind w:firstLine="600" w:firstLineChars="250"/>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人民币（大写）</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w:t>
      </w:r>
    </w:p>
    <w:p w14:paraId="25F6FFE6">
      <w:pPr>
        <w:spacing w:line="360" w:lineRule="auto"/>
        <w:ind w:firstLine="600" w:firstLineChars="250"/>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其中：</w:t>
      </w:r>
    </w:p>
    <w:p w14:paraId="54EB4729">
      <w:pPr>
        <w:spacing w:line="360" w:lineRule="auto"/>
        <w:ind w:firstLine="480" w:firstLineChars="200"/>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安全文明施工费：</w:t>
      </w:r>
    </w:p>
    <w:p w14:paraId="1ACA4BBE">
      <w:pPr>
        <w:spacing w:line="360" w:lineRule="auto"/>
        <w:ind w:left="420" w:leftChars="200" w:firstLine="600" w:firstLineChars="250"/>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人民币（大写）</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w:t>
      </w:r>
    </w:p>
    <w:p w14:paraId="586AA620">
      <w:pPr>
        <w:spacing w:line="360" w:lineRule="auto"/>
        <w:ind w:firstLine="480" w:firstLineChars="200"/>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）材料和工程设备暂估价金额：</w:t>
      </w:r>
    </w:p>
    <w:p w14:paraId="1ABDC6F1">
      <w:pPr>
        <w:spacing w:line="360" w:lineRule="auto"/>
        <w:ind w:firstLine="1080" w:firstLineChars="450"/>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人民币（大写）</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w:t>
      </w:r>
    </w:p>
    <w:p w14:paraId="5AD4E006">
      <w:pPr>
        <w:spacing w:line="360" w:lineRule="auto"/>
        <w:ind w:firstLine="480" w:firstLineChars="200"/>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）专业工程暂估价金额：</w:t>
      </w:r>
    </w:p>
    <w:p w14:paraId="025B60C8">
      <w:pPr>
        <w:spacing w:line="360" w:lineRule="auto"/>
        <w:ind w:firstLine="1080" w:firstLineChars="450"/>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人民币（大写）</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w:t>
      </w:r>
    </w:p>
    <w:p w14:paraId="259E9A17">
      <w:pPr>
        <w:spacing w:line="360" w:lineRule="auto"/>
        <w:ind w:firstLine="480" w:firstLineChars="200"/>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4</w:t>
      </w:r>
      <w:r>
        <w:rPr>
          <w:rFonts w:ascii="宋体" w:hAnsi="宋体" w:eastAsia="宋体" w:cs="Times New Roman"/>
          <w:color w:val="auto"/>
          <w:sz w:val="24"/>
          <w:szCs w:val="24"/>
          <w:highlight w:val="none"/>
        </w:rPr>
        <w:t>）暂列金额：</w:t>
      </w:r>
    </w:p>
    <w:p w14:paraId="0A167AA3">
      <w:pPr>
        <w:spacing w:line="360" w:lineRule="auto"/>
        <w:ind w:firstLine="1080" w:firstLineChars="450"/>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人民币（大写）</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w:t>
      </w:r>
    </w:p>
    <w:p w14:paraId="60A685F9">
      <w:pPr>
        <w:spacing w:line="360" w:lineRule="auto"/>
        <w:ind w:firstLine="480" w:firstLineChars="200"/>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合同价格形式：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p>
    <w:p w14:paraId="52F3D665">
      <w:pPr>
        <w:spacing w:line="360" w:lineRule="auto"/>
        <w:ind w:firstLine="482" w:firstLineChars="200"/>
        <w:rPr>
          <w:rFonts w:hint="eastAsia" w:ascii="宋体" w:hAnsi="宋体" w:eastAsia="宋体" w:cs="Times New Roman"/>
          <w:b/>
          <w:bCs/>
          <w:color w:val="auto"/>
          <w:sz w:val="24"/>
          <w:szCs w:val="24"/>
          <w:highlight w:val="none"/>
        </w:rPr>
      </w:pPr>
      <w:bookmarkStart w:id="88" w:name="_Toc351203485"/>
      <w:r>
        <w:rPr>
          <w:rFonts w:ascii="宋体" w:hAnsi="宋体" w:eastAsia="宋体" w:cs="Times New Roman"/>
          <w:b/>
          <w:bCs/>
          <w:color w:val="auto"/>
          <w:sz w:val="24"/>
          <w:szCs w:val="24"/>
          <w:highlight w:val="none"/>
        </w:rPr>
        <w:t>五、</w:t>
      </w:r>
      <w:bookmarkEnd w:id="88"/>
      <w:r>
        <w:rPr>
          <w:rFonts w:ascii="宋体" w:hAnsi="宋体" w:eastAsia="宋体" w:cs="Times New Roman"/>
          <w:b/>
          <w:bCs/>
          <w:color w:val="auto"/>
          <w:sz w:val="24"/>
          <w:szCs w:val="24"/>
          <w:highlight w:val="none"/>
        </w:rPr>
        <w:t>项目经理</w:t>
      </w:r>
    </w:p>
    <w:p w14:paraId="0AA02A6A">
      <w:pPr>
        <w:spacing w:line="360" w:lineRule="auto"/>
        <w:ind w:firstLine="480" w:firstLineChars="200"/>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承包人项目经理：</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p>
    <w:p w14:paraId="6DF08708">
      <w:pPr>
        <w:spacing w:line="360" w:lineRule="auto"/>
        <w:ind w:firstLine="482" w:firstLineChars="200"/>
        <w:rPr>
          <w:rFonts w:hint="eastAsia" w:ascii="宋体" w:hAnsi="宋体" w:eastAsia="宋体" w:cs="Times New Roman"/>
          <w:b/>
          <w:bCs/>
          <w:color w:val="auto"/>
          <w:sz w:val="24"/>
          <w:szCs w:val="24"/>
          <w:highlight w:val="none"/>
        </w:rPr>
      </w:pPr>
      <w:bookmarkStart w:id="89" w:name="_Toc351203486"/>
      <w:r>
        <w:rPr>
          <w:rFonts w:ascii="宋体" w:hAnsi="宋体" w:eastAsia="宋体" w:cs="Times New Roman"/>
          <w:b/>
          <w:bCs/>
          <w:color w:val="auto"/>
          <w:sz w:val="24"/>
          <w:szCs w:val="24"/>
          <w:highlight w:val="none"/>
        </w:rPr>
        <w:t>六、合同文件构成</w:t>
      </w:r>
      <w:bookmarkEnd w:id="89"/>
    </w:p>
    <w:p w14:paraId="5644325E">
      <w:pPr>
        <w:spacing w:line="360" w:lineRule="auto"/>
        <w:ind w:firstLine="480" w:firstLineChars="200"/>
        <w:rPr>
          <w:rFonts w:hint="eastAsia" w:ascii="宋体" w:hAnsi="宋体" w:eastAsia="宋体" w:cs="Times New Roman"/>
          <w:bCs/>
          <w:color w:val="auto"/>
          <w:sz w:val="24"/>
          <w:szCs w:val="24"/>
          <w:highlight w:val="none"/>
        </w:rPr>
      </w:pPr>
      <w:r>
        <w:rPr>
          <w:rFonts w:ascii="宋体" w:hAnsi="宋体" w:eastAsia="宋体" w:cs="Times New Roman"/>
          <w:bCs/>
          <w:color w:val="auto"/>
          <w:sz w:val="24"/>
          <w:szCs w:val="24"/>
          <w:highlight w:val="none"/>
        </w:rPr>
        <w:t>本协议书与下列文件一起构成合同文件：</w:t>
      </w:r>
    </w:p>
    <w:p w14:paraId="10662B86">
      <w:pPr>
        <w:autoSpaceDE w:val="0"/>
        <w:autoSpaceDN w:val="0"/>
        <w:adjustRightInd w:val="0"/>
        <w:spacing w:line="360" w:lineRule="auto"/>
        <w:ind w:firstLine="480" w:firstLineChars="200"/>
        <w:jc w:val="left"/>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成交</w:t>
      </w:r>
      <w:r>
        <w:rPr>
          <w:rFonts w:ascii="宋体" w:hAnsi="宋体" w:eastAsia="宋体" w:cs="Times New Roman"/>
          <w:color w:val="auto"/>
          <w:sz w:val="24"/>
          <w:szCs w:val="24"/>
          <w:highlight w:val="none"/>
        </w:rPr>
        <w:t>通知书；</w:t>
      </w:r>
    </w:p>
    <w:p w14:paraId="00F65BD6">
      <w:pPr>
        <w:autoSpaceDE w:val="0"/>
        <w:autoSpaceDN w:val="0"/>
        <w:adjustRightInd w:val="0"/>
        <w:spacing w:line="360" w:lineRule="auto"/>
        <w:ind w:firstLine="480" w:firstLineChars="200"/>
        <w:jc w:val="left"/>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lang w:eastAsia="zh-CN"/>
        </w:rPr>
        <w:t>协商</w:t>
      </w:r>
      <w:r>
        <w:rPr>
          <w:rFonts w:ascii="宋体" w:hAnsi="宋体" w:eastAsia="宋体" w:cs="Times New Roman"/>
          <w:color w:val="auto"/>
          <w:sz w:val="24"/>
          <w:szCs w:val="24"/>
          <w:highlight w:val="none"/>
        </w:rPr>
        <w:t xml:space="preserve">函及其附录（如有）； </w:t>
      </w:r>
    </w:p>
    <w:p w14:paraId="3691AEB5">
      <w:pPr>
        <w:autoSpaceDE w:val="0"/>
        <w:autoSpaceDN w:val="0"/>
        <w:adjustRightInd w:val="0"/>
        <w:spacing w:line="360" w:lineRule="auto"/>
        <w:ind w:firstLine="480" w:firstLineChars="200"/>
        <w:jc w:val="left"/>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（3）专用合同条款及其附件；</w:t>
      </w:r>
    </w:p>
    <w:p w14:paraId="225BEA50">
      <w:pPr>
        <w:autoSpaceDE w:val="0"/>
        <w:autoSpaceDN w:val="0"/>
        <w:adjustRightInd w:val="0"/>
        <w:spacing w:line="360" w:lineRule="auto"/>
        <w:ind w:firstLine="480" w:firstLineChars="200"/>
        <w:jc w:val="left"/>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（4）通用合同条款；</w:t>
      </w:r>
    </w:p>
    <w:p w14:paraId="00EBD7B3">
      <w:pPr>
        <w:autoSpaceDE w:val="0"/>
        <w:autoSpaceDN w:val="0"/>
        <w:adjustRightInd w:val="0"/>
        <w:spacing w:line="360" w:lineRule="auto"/>
        <w:ind w:firstLine="480" w:firstLineChars="200"/>
        <w:jc w:val="left"/>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（5）技术标准和要求；</w:t>
      </w:r>
    </w:p>
    <w:p w14:paraId="6DB672FC">
      <w:pPr>
        <w:autoSpaceDE w:val="0"/>
        <w:autoSpaceDN w:val="0"/>
        <w:adjustRightInd w:val="0"/>
        <w:spacing w:line="360" w:lineRule="auto"/>
        <w:ind w:firstLine="480" w:firstLineChars="200"/>
        <w:jc w:val="left"/>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（6）已标价工程量清单或预算书； </w:t>
      </w:r>
    </w:p>
    <w:p w14:paraId="5FF3B293">
      <w:pPr>
        <w:autoSpaceDE w:val="0"/>
        <w:autoSpaceDN w:val="0"/>
        <w:adjustRightInd w:val="0"/>
        <w:spacing w:line="360" w:lineRule="auto"/>
        <w:ind w:firstLine="480" w:firstLineChars="200"/>
        <w:jc w:val="left"/>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（7）图纸</w:t>
      </w:r>
      <w:r>
        <w:rPr>
          <w:rFonts w:hint="eastAsia" w:ascii="宋体" w:hAnsi="宋体" w:eastAsia="宋体" w:cs="Times New Roman"/>
          <w:color w:val="auto"/>
          <w:sz w:val="24"/>
          <w:szCs w:val="24"/>
          <w:highlight w:val="none"/>
        </w:rPr>
        <w:t>（如有）</w:t>
      </w:r>
      <w:r>
        <w:rPr>
          <w:rFonts w:ascii="宋体" w:hAnsi="宋体" w:eastAsia="宋体" w:cs="Times New Roman"/>
          <w:color w:val="auto"/>
          <w:sz w:val="24"/>
          <w:szCs w:val="24"/>
          <w:highlight w:val="none"/>
        </w:rPr>
        <w:t>；</w:t>
      </w:r>
    </w:p>
    <w:p w14:paraId="7A9E3EAB">
      <w:pPr>
        <w:autoSpaceDE w:val="0"/>
        <w:autoSpaceDN w:val="0"/>
        <w:adjustRightInd w:val="0"/>
        <w:spacing w:line="360" w:lineRule="auto"/>
        <w:ind w:firstLine="480" w:firstLineChars="200"/>
        <w:jc w:val="left"/>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（8）其他合同文件。</w:t>
      </w:r>
    </w:p>
    <w:p w14:paraId="24AC710A">
      <w:pPr>
        <w:autoSpaceDE w:val="0"/>
        <w:autoSpaceDN w:val="0"/>
        <w:adjustRightInd w:val="0"/>
        <w:spacing w:line="360" w:lineRule="auto"/>
        <w:ind w:firstLine="480" w:firstLineChars="200"/>
        <w:jc w:val="left"/>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在合同订立及履行过程中形成的与合同有关的文件均构成合同文件组成部分。</w:t>
      </w:r>
    </w:p>
    <w:p w14:paraId="6349B2E0">
      <w:pPr>
        <w:autoSpaceDE w:val="0"/>
        <w:autoSpaceDN w:val="0"/>
        <w:adjustRightInd w:val="0"/>
        <w:spacing w:line="360" w:lineRule="auto"/>
        <w:ind w:firstLine="480" w:firstLineChars="200"/>
        <w:jc w:val="left"/>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上述各项合同文件包括合同当事人就该项合同文件所作出的补充和修改，属于同一类内容的文件，应以最新签署的为准。专用合同条款及其附件须经合同当事人签字或盖章。</w:t>
      </w:r>
    </w:p>
    <w:p w14:paraId="54E08E81">
      <w:pPr>
        <w:autoSpaceDE w:val="0"/>
        <w:autoSpaceDN w:val="0"/>
        <w:adjustRightInd w:val="0"/>
        <w:spacing w:line="360" w:lineRule="auto"/>
        <w:ind w:firstLine="482" w:firstLineChars="200"/>
        <w:jc w:val="left"/>
        <w:rPr>
          <w:rFonts w:hint="eastAsia" w:ascii="宋体" w:hAnsi="宋体" w:eastAsia="宋体" w:cs="Times New Roman"/>
          <w:b/>
          <w:bCs/>
          <w:color w:val="auto"/>
          <w:sz w:val="24"/>
          <w:szCs w:val="24"/>
          <w:highlight w:val="none"/>
        </w:rPr>
      </w:pPr>
      <w:bookmarkStart w:id="90" w:name="_Toc351203487"/>
      <w:r>
        <w:rPr>
          <w:rFonts w:ascii="宋体" w:hAnsi="宋体" w:eastAsia="宋体" w:cs="Times New Roman"/>
          <w:b/>
          <w:bCs/>
          <w:color w:val="auto"/>
          <w:sz w:val="24"/>
          <w:szCs w:val="24"/>
          <w:highlight w:val="none"/>
        </w:rPr>
        <w:t>七、承诺</w:t>
      </w:r>
      <w:bookmarkEnd w:id="90"/>
    </w:p>
    <w:p w14:paraId="7A0D6ABA">
      <w:pPr>
        <w:spacing w:line="360" w:lineRule="auto"/>
        <w:ind w:firstLine="480" w:firstLineChars="200"/>
        <w:rPr>
          <w:rFonts w:hint="eastAsia" w:ascii="宋体" w:hAnsi="宋体" w:eastAsia="宋体" w:cs="Times New Roman"/>
          <w:bCs/>
          <w:color w:val="auto"/>
          <w:sz w:val="24"/>
          <w:szCs w:val="24"/>
          <w:highlight w:val="none"/>
        </w:rPr>
      </w:pPr>
      <w:r>
        <w:rPr>
          <w:rFonts w:ascii="宋体" w:hAnsi="宋体" w:eastAsia="宋体" w:cs="Times New Roman"/>
          <w:bCs/>
          <w:color w:val="auto"/>
          <w:sz w:val="24"/>
          <w:szCs w:val="24"/>
          <w:highlight w:val="none"/>
        </w:rPr>
        <w:t>1.</w:t>
      </w:r>
      <w:r>
        <w:rPr>
          <w:rFonts w:hint="eastAsia" w:ascii="宋体" w:hAnsi="宋体" w:eastAsia="宋体" w:cs="Times New Roman"/>
          <w:bCs/>
          <w:color w:val="auto"/>
          <w:sz w:val="24"/>
          <w:szCs w:val="24"/>
          <w:highlight w:val="none"/>
        </w:rPr>
        <w:t xml:space="preserve"> </w:t>
      </w:r>
      <w:r>
        <w:rPr>
          <w:rFonts w:ascii="宋体" w:hAnsi="宋体" w:eastAsia="宋体" w:cs="Times New Roman"/>
          <w:bCs/>
          <w:color w:val="auto"/>
          <w:sz w:val="24"/>
          <w:szCs w:val="24"/>
          <w:highlight w:val="none"/>
        </w:rPr>
        <w:t>发包人承诺按照法律规定履行项目审批手续、筹集工程建设资金并按照合同约定的期限和方式支付合同价款。</w:t>
      </w:r>
    </w:p>
    <w:p w14:paraId="43B32E14">
      <w:pPr>
        <w:spacing w:line="360" w:lineRule="auto"/>
        <w:ind w:firstLine="480" w:firstLineChars="200"/>
        <w:rPr>
          <w:rFonts w:hint="eastAsia" w:ascii="宋体" w:hAnsi="宋体" w:eastAsia="宋体" w:cs="Times New Roman"/>
          <w:bCs/>
          <w:color w:val="auto"/>
          <w:sz w:val="24"/>
          <w:szCs w:val="24"/>
          <w:highlight w:val="none"/>
        </w:rPr>
      </w:pPr>
      <w:r>
        <w:rPr>
          <w:rFonts w:ascii="宋体" w:hAnsi="宋体" w:eastAsia="宋体" w:cs="Times New Roman"/>
          <w:bCs/>
          <w:color w:val="auto"/>
          <w:sz w:val="24"/>
          <w:szCs w:val="24"/>
          <w:highlight w:val="none"/>
        </w:rPr>
        <w:t>2.</w:t>
      </w:r>
      <w:r>
        <w:rPr>
          <w:rFonts w:hint="eastAsia" w:ascii="宋体" w:hAnsi="宋体" w:eastAsia="宋体" w:cs="Times New Roman"/>
          <w:bCs/>
          <w:color w:val="auto"/>
          <w:sz w:val="24"/>
          <w:szCs w:val="24"/>
          <w:highlight w:val="none"/>
        </w:rPr>
        <w:t xml:space="preserve"> </w:t>
      </w:r>
      <w:r>
        <w:rPr>
          <w:rFonts w:ascii="宋体" w:hAnsi="宋体" w:eastAsia="宋体" w:cs="Times New Roman"/>
          <w:bCs/>
          <w:color w:val="auto"/>
          <w:sz w:val="24"/>
          <w:szCs w:val="24"/>
          <w:highlight w:val="none"/>
        </w:rPr>
        <w:t>承包人承诺按照法律规定及合同约定组织完成工程施工，确保工程质量和安全，并在缺陷责任期及保修期内承担相应的工程维修责任。</w:t>
      </w:r>
    </w:p>
    <w:p w14:paraId="7F7C0C59">
      <w:pPr>
        <w:spacing w:line="360" w:lineRule="auto"/>
        <w:ind w:firstLine="480" w:firstLineChars="200"/>
        <w:rPr>
          <w:rFonts w:hint="eastAsia" w:ascii="宋体" w:hAnsi="宋体" w:eastAsia="宋体" w:cs="Times New Roman"/>
          <w:bCs/>
          <w:color w:val="auto"/>
          <w:sz w:val="24"/>
          <w:szCs w:val="24"/>
          <w:highlight w:val="none"/>
        </w:rPr>
      </w:pPr>
      <w:r>
        <w:rPr>
          <w:rFonts w:ascii="宋体" w:hAnsi="宋体" w:eastAsia="宋体" w:cs="Times New Roman"/>
          <w:bCs/>
          <w:color w:val="auto"/>
          <w:sz w:val="24"/>
          <w:szCs w:val="24"/>
          <w:highlight w:val="none"/>
        </w:rPr>
        <w:t>3.</w:t>
      </w:r>
      <w:r>
        <w:rPr>
          <w:rFonts w:hint="eastAsia" w:ascii="宋体" w:hAnsi="宋体" w:eastAsia="宋体" w:cs="Times New Roman"/>
          <w:bCs/>
          <w:color w:val="auto"/>
          <w:sz w:val="24"/>
          <w:szCs w:val="24"/>
          <w:highlight w:val="none"/>
        </w:rPr>
        <w:t xml:space="preserve"> </w:t>
      </w:r>
      <w:r>
        <w:rPr>
          <w:rFonts w:ascii="宋体" w:hAnsi="宋体" w:eastAsia="宋体" w:cs="Times New Roman"/>
          <w:bCs/>
          <w:color w:val="auto"/>
          <w:sz w:val="24"/>
          <w:szCs w:val="24"/>
          <w:highlight w:val="none"/>
        </w:rPr>
        <w:t>发包人和承包人通过招投标形式签订合同的，双方理解并承诺不再就同一工程另行签订与合同实质性内容相背离的协议。</w:t>
      </w:r>
      <w:bookmarkStart w:id="91" w:name="_Toc351203488"/>
    </w:p>
    <w:p w14:paraId="33146165">
      <w:pPr>
        <w:spacing w:line="360" w:lineRule="auto"/>
        <w:ind w:firstLine="482" w:firstLineChars="200"/>
        <w:rPr>
          <w:rFonts w:hint="eastAsia"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t>八、词语含义</w:t>
      </w:r>
      <w:bookmarkEnd w:id="91"/>
    </w:p>
    <w:p w14:paraId="693062AD">
      <w:pPr>
        <w:spacing w:line="360" w:lineRule="auto"/>
        <w:ind w:firstLine="480" w:firstLineChars="200"/>
        <w:rPr>
          <w:rFonts w:hint="eastAsia" w:ascii="宋体" w:hAnsi="宋体" w:eastAsia="宋体" w:cs="Times New Roman"/>
          <w:bCs/>
          <w:color w:val="auto"/>
          <w:sz w:val="24"/>
          <w:szCs w:val="24"/>
          <w:highlight w:val="none"/>
        </w:rPr>
      </w:pPr>
      <w:r>
        <w:rPr>
          <w:rFonts w:ascii="宋体" w:hAnsi="宋体" w:eastAsia="宋体" w:cs="Times New Roman"/>
          <w:bCs/>
          <w:color w:val="auto"/>
          <w:sz w:val="24"/>
          <w:szCs w:val="24"/>
          <w:highlight w:val="none"/>
        </w:rPr>
        <w:t>本协议书中词语含义与第二部分通用合同条款中赋予的含义相同。</w:t>
      </w:r>
    </w:p>
    <w:p w14:paraId="21855301">
      <w:pPr>
        <w:spacing w:line="360" w:lineRule="auto"/>
        <w:ind w:firstLine="482" w:firstLineChars="200"/>
        <w:rPr>
          <w:rFonts w:hint="eastAsia" w:ascii="宋体" w:hAnsi="宋体" w:eastAsia="宋体" w:cs="Times New Roman"/>
          <w:b/>
          <w:bCs/>
          <w:color w:val="auto"/>
          <w:sz w:val="24"/>
          <w:szCs w:val="24"/>
          <w:highlight w:val="none"/>
        </w:rPr>
      </w:pPr>
      <w:bookmarkStart w:id="92" w:name="_Toc351203489"/>
      <w:r>
        <w:rPr>
          <w:rFonts w:ascii="宋体" w:hAnsi="宋体" w:eastAsia="宋体" w:cs="Times New Roman"/>
          <w:b/>
          <w:bCs/>
          <w:color w:val="auto"/>
          <w:sz w:val="24"/>
          <w:szCs w:val="24"/>
          <w:highlight w:val="none"/>
        </w:rPr>
        <w:t>九、签订时间</w:t>
      </w:r>
      <w:bookmarkEnd w:id="92"/>
    </w:p>
    <w:p w14:paraId="7C70E43C">
      <w:pPr>
        <w:spacing w:line="360" w:lineRule="auto"/>
        <w:ind w:firstLine="480" w:firstLineChars="200"/>
        <w:rPr>
          <w:rFonts w:hint="eastAsia" w:ascii="宋体" w:hAnsi="宋体" w:eastAsia="宋体" w:cs="Times New Roman"/>
          <w:bCs/>
          <w:color w:val="auto"/>
          <w:sz w:val="24"/>
          <w:szCs w:val="24"/>
          <w:highlight w:val="none"/>
        </w:rPr>
      </w:pPr>
      <w:r>
        <w:rPr>
          <w:rFonts w:ascii="宋体" w:hAnsi="宋体" w:eastAsia="宋体" w:cs="Times New Roman"/>
          <w:bCs/>
          <w:color w:val="auto"/>
          <w:sz w:val="24"/>
          <w:szCs w:val="24"/>
          <w:highlight w:val="none"/>
        </w:rPr>
        <w:t>本合同于</w:t>
      </w:r>
      <w:r>
        <w:rPr>
          <w:rFonts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rPr>
        <w:t>年</w:t>
      </w:r>
      <w:r>
        <w:rPr>
          <w:rFonts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rPr>
        <w:t>月</w:t>
      </w:r>
      <w:r>
        <w:rPr>
          <w:rFonts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rPr>
        <w:t>日签订。</w:t>
      </w:r>
    </w:p>
    <w:p w14:paraId="3F53BBAE">
      <w:pPr>
        <w:spacing w:line="360" w:lineRule="auto"/>
        <w:ind w:firstLine="482" w:firstLineChars="200"/>
        <w:rPr>
          <w:rFonts w:hint="eastAsia" w:ascii="宋体" w:hAnsi="宋体" w:eastAsia="宋体" w:cs="Times New Roman"/>
          <w:b/>
          <w:bCs/>
          <w:color w:val="auto"/>
          <w:sz w:val="24"/>
          <w:szCs w:val="24"/>
          <w:highlight w:val="none"/>
        </w:rPr>
      </w:pPr>
      <w:bookmarkStart w:id="93" w:name="_Toc351203490"/>
      <w:r>
        <w:rPr>
          <w:rFonts w:ascii="宋体" w:hAnsi="宋体" w:eastAsia="宋体" w:cs="Times New Roman"/>
          <w:b/>
          <w:bCs/>
          <w:color w:val="auto"/>
          <w:sz w:val="24"/>
          <w:szCs w:val="24"/>
          <w:highlight w:val="none"/>
        </w:rPr>
        <w:t>十、签订地点</w:t>
      </w:r>
      <w:bookmarkEnd w:id="93"/>
    </w:p>
    <w:p w14:paraId="151FD706">
      <w:pPr>
        <w:spacing w:line="360" w:lineRule="auto"/>
        <w:ind w:firstLine="480" w:firstLineChars="200"/>
        <w:rPr>
          <w:rFonts w:hint="eastAsia" w:ascii="宋体" w:hAnsi="宋体" w:eastAsia="宋体" w:cs="Times New Roman"/>
          <w:bCs/>
          <w:color w:val="auto"/>
          <w:sz w:val="24"/>
          <w:szCs w:val="24"/>
          <w:highlight w:val="none"/>
        </w:rPr>
      </w:pPr>
      <w:r>
        <w:rPr>
          <w:rFonts w:ascii="宋体" w:hAnsi="宋体" w:eastAsia="宋体" w:cs="Times New Roman"/>
          <w:bCs/>
          <w:color w:val="auto"/>
          <w:sz w:val="24"/>
          <w:szCs w:val="24"/>
          <w:highlight w:val="none"/>
        </w:rPr>
        <w:t>本合同在</w:t>
      </w:r>
      <w:r>
        <w:rPr>
          <w:rFonts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rPr>
        <w:t>签订。</w:t>
      </w:r>
    </w:p>
    <w:p w14:paraId="42D9FA8A">
      <w:pPr>
        <w:spacing w:line="360" w:lineRule="auto"/>
        <w:ind w:firstLine="482" w:firstLineChars="200"/>
        <w:rPr>
          <w:rFonts w:hint="eastAsia" w:ascii="宋体" w:hAnsi="宋体" w:eastAsia="宋体" w:cs="Times New Roman"/>
          <w:b/>
          <w:bCs/>
          <w:color w:val="auto"/>
          <w:sz w:val="24"/>
          <w:szCs w:val="24"/>
          <w:highlight w:val="none"/>
        </w:rPr>
      </w:pPr>
      <w:bookmarkStart w:id="94" w:name="_Toc351203491"/>
      <w:r>
        <w:rPr>
          <w:rFonts w:ascii="宋体" w:hAnsi="宋体" w:eastAsia="宋体" w:cs="Times New Roman"/>
          <w:b/>
          <w:bCs/>
          <w:color w:val="auto"/>
          <w:sz w:val="24"/>
          <w:szCs w:val="24"/>
          <w:highlight w:val="none"/>
        </w:rPr>
        <w:t>十一、补充协议</w:t>
      </w:r>
      <w:bookmarkEnd w:id="94"/>
    </w:p>
    <w:p w14:paraId="325F8957">
      <w:pPr>
        <w:spacing w:line="360" w:lineRule="auto"/>
        <w:ind w:firstLine="480" w:firstLineChars="200"/>
        <w:rPr>
          <w:rFonts w:hint="eastAsia" w:ascii="宋体" w:hAnsi="宋体" w:eastAsia="宋体" w:cs="Times New Roman"/>
          <w:bCs/>
          <w:color w:val="auto"/>
          <w:sz w:val="24"/>
          <w:szCs w:val="24"/>
          <w:highlight w:val="none"/>
        </w:rPr>
      </w:pPr>
      <w:r>
        <w:rPr>
          <w:rFonts w:ascii="宋体" w:hAnsi="宋体" w:eastAsia="宋体" w:cs="Times New Roman"/>
          <w:bCs/>
          <w:color w:val="auto"/>
          <w:sz w:val="24"/>
          <w:szCs w:val="24"/>
          <w:highlight w:val="none"/>
        </w:rPr>
        <w:t>合同未尽事宜，合同当事人另行签订补充协议，补充协议是合同的组成部分。</w:t>
      </w:r>
    </w:p>
    <w:p w14:paraId="7DF9E702">
      <w:pPr>
        <w:spacing w:line="360" w:lineRule="auto"/>
        <w:ind w:firstLine="482" w:firstLineChars="200"/>
        <w:rPr>
          <w:rFonts w:hint="eastAsia" w:ascii="宋体" w:hAnsi="宋体" w:eastAsia="宋体" w:cs="Times New Roman"/>
          <w:b/>
          <w:bCs/>
          <w:color w:val="auto"/>
          <w:sz w:val="24"/>
          <w:szCs w:val="24"/>
          <w:highlight w:val="none"/>
        </w:rPr>
      </w:pPr>
      <w:bookmarkStart w:id="95" w:name="_Toc351203492"/>
      <w:r>
        <w:rPr>
          <w:rFonts w:ascii="宋体" w:hAnsi="宋体" w:eastAsia="宋体" w:cs="Times New Roman"/>
          <w:b/>
          <w:bCs/>
          <w:color w:val="auto"/>
          <w:sz w:val="24"/>
          <w:szCs w:val="24"/>
          <w:highlight w:val="none"/>
        </w:rPr>
        <w:t>十二、合同生效</w:t>
      </w:r>
      <w:bookmarkEnd w:id="95"/>
    </w:p>
    <w:p w14:paraId="2DA2B0B8">
      <w:pPr>
        <w:spacing w:line="360" w:lineRule="auto"/>
        <w:ind w:firstLine="480" w:firstLineChars="200"/>
        <w:rPr>
          <w:rFonts w:hint="eastAsia" w:ascii="宋体" w:hAnsi="宋体" w:eastAsia="宋体" w:cs="Times New Roman"/>
          <w:bCs/>
          <w:color w:val="auto"/>
          <w:sz w:val="24"/>
          <w:szCs w:val="24"/>
          <w:highlight w:val="none"/>
        </w:rPr>
      </w:pPr>
      <w:r>
        <w:rPr>
          <w:rFonts w:ascii="宋体" w:hAnsi="宋体" w:eastAsia="宋体" w:cs="Times New Roman"/>
          <w:bCs/>
          <w:color w:val="auto"/>
          <w:sz w:val="24"/>
          <w:szCs w:val="24"/>
          <w:highlight w:val="none"/>
        </w:rPr>
        <w:t>本合同自</w:t>
      </w:r>
      <w:r>
        <w:rPr>
          <w:rFonts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rPr>
        <w:t>生效。</w:t>
      </w:r>
    </w:p>
    <w:p w14:paraId="19B81510">
      <w:pPr>
        <w:spacing w:line="360" w:lineRule="auto"/>
        <w:ind w:firstLine="482" w:firstLineChars="200"/>
        <w:rPr>
          <w:rFonts w:hint="eastAsia" w:ascii="宋体" w:hAnsi="宋体" w:eastAsia="宋体" w:cs="Times New Roman"/>
          <w:b/>
          <w:bCs/>
          <w:color w:val="auto"/>
          <w:sz w:val="24"/>
          <w:szCs w:val="24"/>
          <w:highlight w:val="none"/>
        </w:rPr>
      </w:pPr>
      <w:bookmarkStart w:id="96" w:name="_Toc351203493"/>
      <w:r>
        <w:rPr>
          <w:rFonts w:ascii="宋体" w:hAnsi="宋体" w:eastAsia="宋体" w:cs="Times New Roman"/>
          <w:b/>
          <w:bCs/>
          <w:color w:val="auto"/>
          <w:sz w:val="24"/>
          <w:szCs w:val="24"/>
          <w:highlight w:val="none"/>
        </w:rPr>
        <w:t>十三、合同份数</w:t>
      </w:r>
      <w:bookmarkEnd w:id="96"/>
    </w:p>
    <w:p w14:paraId="2AE86DA9">
      <w:pPr>
        <w:spacing w:line="360" w:lineRule="auto"/>
        <w:ind w:firstLine="480" w:firstLineChars="200"/>
        <w:rPr>
          <w:rFonts w:hint="eastAsia" w:ascii="宋体" w:hAnsi="宋体" w:eastAsia="宋体" w:cs="Times New Roman"/>
          <w:bCs/>
          <w:color w:val="auto"/>
          <w:sz w:val="24"/>
          <w:szCs w:val="24"/>
          <w:highlight w:val="none"/>
        </w:rPr>
      </w:pPr>
      <w:r>
        <w:rPr>
          <w:rFonts w:ascii="宋体" w:hAnsi="宋体" w:eastAsia="宋体" w:cs="Times New Roman"/>
          <w:bCs/>
          <w:color w:val="auto"/>
          <w:sz w:val="24"/>
          <w:szCs w:val="24"/>
          <w:highlight w:val="none"/>
        </w:rPr>
        <w:t>本合同一式</w:t>
      </w:r>
      <w:r>
        <w:rPr>
          <w:rFonts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rPr>
        <w:t>份，均具有同等法律效力，发包人执</w:t>
      </w:r>
      <w:r>
        <w:rPr>
          <w:rFonts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rPr>
        <w:t>份，承包人执</w:t>
      </w:r>
      <w:r>
        <w:rPr>
          <w:rFonts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rPr>
        <w:t>份。</w:t>
      </w:r>
    </w:p>
    <w:p w14:paraId="47DA6BCF">
      <w:pPr>
        <w:spacing w:line="360" w:lineRule="auto"/>
        <w:rPr>
          <w:rFonts w:hint="eastAsia" w:ascii="宋体" w:hAnsi="宋体" w:eastAsia="宋体" w:cs="Times New Roman"/>
          <w:bCs/>
          <w:color w:val="auto"/>
          <w:sz w:val="24"/>
          <w:szCs w:val="24"/>
          <w:highlight w:val="none"/>
        </w:rPr>
      </w:pPr>
    </w:p>
    <w:p w14:paraId="43BB726A">
      <w:pPr>
        <w:spacing w:line="360" w:lineRule="auto"/>
        <w:rPr>
          <w:rFonts w:hint="eastAsia" w:ascii="宋体" w:hAnsi="宋体" w:eastAsia="宋体" w:cs="Times New Roman"/>
          <w:color w:val="auto"/>
          <w:sz w:val="24"/>
          <w:szCs w:val="24"/>
          <w:highlight w:val="none"/>
        </w:rPr>
      </w:pPr>
    </w:p>
    <w:p w14:paraId="742DF967">
      <w:pPr>
        <w:spacing w:line="360" w:lineRule="auto"/>
        <w:ind w:firstLine="324" w:firstLineChars="135"/>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发包人：  </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公章</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承包人：  </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公章</w:t>
      </w:r>
      <w:r>
        <w:rPr>
          <w:rFonts w:hint="eastAsia" w:ascii="宋体" w:hAnsi="宋体" w:eastAsia="宋体" w:cs="Times New Roman"/>
          <w:color w:val="auto"/>
          <w:sz w:val="24"/>
          <w:szCs w:val="24"/>
          <w:highlight w:val="none"/>
        </w:rPr>
        <w:t>）</w:t>
      </w:r>
    </w:p>
    <w:p w14:paraId="63C5C83E">
      <w:pPr>
        <w:spacing w:line="360" w:lineRule="auto"/>
        <w:rPr>
          <w:rFonts w:hint="eastAsia" w:ascii="宋体" w:hAnsi="宋体" w:eastAsia="宋体" w:cs="Times New Roman"/>
          <w:color w:val="auto"/>
          <w:sz w:val="24"/>
          <w:szCs w:val="24"/>
          <w:highlight w:val="none"/>
          <w:u w:val="single"/>
        </w:rPr>
      </w:pPr>
      <w:r>
        <w:rPr>
          <w:rFonts w:ascii="宋体" w:hAnsi="宋体" w:eastAsia="宋体" w:cs="Times New Roman"/>
          <w:color w:val="auto"/>
          <w:sz w:val="24"/>
          <w:szCs w:val="24"/>
          <w:highlight w:val="none"/>
        </w:rPr>
        <w:t xml:space="preserve">                                 </w:t>
      </w:r>
    </w:p>
    <w:p w14:paraId="7B1471A4">
      <w:pPr>
        <w:spacing w:line="360" w:lineRule="auto"/>
        <w:ind w:firstLine="324" w:firstLineChars="135"/>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法定代表人（负责人）或其委托代理人：           法定代表人（负责人）或其委托代理人：</w:t>
      </w:r>
    </w:p>
    <w:p w14:paraId="5C9AF97D">
      <w:pPr>
        <w:spacing w:line="360" w:lineRule="auto"/>
        <w:ind w:firstLine="720" w:firstLineChars="300"/>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（签字）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（签字）</w:t>
      </w:r>
    </w:p>
    <w:p w14:paraId="1617AFDC">
      <w:pPr>
        <w:spacing w:line="360" w:lineRule="auto"/>
        <w:rPr>
          <w:rFonts w:hint="eastAsia" w:ascii="宋体" w:hAnsi="宋体" w:eastAsia="宋体" w:cs="Times New Roman"/>
          <w:color w:val="auto"/>
          <w:sz w:val="24"/>
          <w:szCs w:val="24"/>
          <w:highlight w:val="none"/>
          <w:u w:val="single"/>
        </w:rPr>
      </w:pPr>
    </w:p>
    <w:p w14:paraId="17D24D0F">
      <w:pPr>
        <w:tabs>
          <w:tab w:val="left" w:pos="4410"/>
        </w:tabs>
        <w:spacing w:line="360" w:lineRule="auto"/>
        <w:ind w:firstLine="360" w:firstLineChars="150"/>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组织机构代码：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组织机构代码：</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5F0E5E35">
      <w:pPr>
        <w:spacing w:line="360" w:lineRule="auto"/>
        <w:ind w:firstLine="360" w:firstLineChars="150"/>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地  址：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地  址：</w:t>
      </w:r>
      <w:r>
        <w:rPr>
          <w:rFonts w:ascii="宋体" w:hAnsi="宋体" w:eastAsia="宋体" w:cs="Times New Roman"/>
          <w:color w:val="auto"/>
          <w:sz w:val="24"/>
          <w:szCs w:val="24"/>
          <w:highlight w:val="none"/>
          <w:u w:val="single"/>
        </w:rPr>
        <w:t xml:space="preserve">        </w:t>
      </w:r>
    </w:p>
    <w:p w14:paraId="6383D5C3">
      <w:pPr>
        <w:spacing w:line="360" w:lineRule="auto"/>
        <w:ind w:firstLine="360" w:firstLineChars="150"/>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邮政编码：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邮政编码：</w:t>
      </w:r>
      <w:r>
        <w:rPr>
          <w:rFonts w:ascii="宋体" w:hAnsi="宋体" w:eastAsia="宋体" w:cs="Times New Roman"/>
          <w:color w:val="auto"/>
          <w:sz w:val="24"/>
          <w:szCs w:val="24"/>
          <w:highlight w:val="none"/>
          <w:u w:val="single"/>
        </w:rPr>
        <w:t xml:space="preserve">   </w:t>
      </w:r>
    </w:p>
    <w:p w14:paraId="7100A2EB">
      <w:pPr>
        <w:spacing w:line="360" w:lineRule="auto"/>
        <w:ind w:firstLine="360" w:firstLineChars="150"/>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法定代表人（负责人）：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法定代表人（负责人）：</w:t>
      </w:r>
      <w:r>
        <w:rPr>
          <w:rFonts w:ascii="宋体" w:hAnsi="宋体" w:eastAsia="宋体" w:cs="Times New Roman"/>
          <w:color w:val="auto"/>
          <w:sz w:val="24"/>
          <w:szCs w:val="24"/>
          <w:highlight w:val="none"/>
          <w:u w:val="single"/>
        </w:rPr>
        <w:t xml:space="preserve">             </w:t>
      </w:r>
    </w:p>
    <w:p w14:paraId="310243D4">
      <w:pPr>
        <w:spacing w:line="360" w:lineRule="auto"/>
        <w:ind w:firstLine="360" w:firstLineChars="150"/>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委托代理人：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委托代理人：</w:t>
      </w:r>
      <w:r>
        <w:rPr>
          <w:rFonts w:ascii="宋体" w:hAnsi="宋体" w:eastAsia="宋体" w:cs="Times New Roman"/>
          <w:color w:val="auto"/>
          <w:sz w:val="24"/>
          <w:szCs w:val="24"/>
          <w:highlight w:val="none"/>
          <w:u w:val="single"/>
        </w:rPr>
        <w:t xml:space="preserve">             </w:t>
      </w:r>
    </w:p>
    <w:p w14:paraId="49423EC5">
      <w:pPr>
        <w:spacing w:line="360" w:lineRule="auto"/>
        <w:ind w:firstLine="360" w:firstLineChars="150"/>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电  话：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电  话：</w:t>
      </w:r>
      <w:r>
        <w:rPr>
          <w:rFonts w:ascii="宋体" w:hAnsi="宋体" w:eastAsia="宋体" w:cs="Times New Roman"/>
          <w:color w:val="auto"/>
          <w:sz w:val="24"/>
          <w:szCs w:val="24"/>
          <w:highlight w:val="none"/>
          <w:u w:val="single"/>
        </w:rPr>
        <w:t xml:space="preserve">     </w:t>
      </w:r>
    </w:p>
    <w:p w14:paraId="57C5B66C">
      <w:pPr>
        <w:spacing w:line="360" w:lineRule="auto"/>
        <w:ind w:firstLine="360" w:firstLineChars="150"/>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传  真：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传  真：</w:t>
      </w:r>
      <w:r>
        <w:rPr>
          <w:rFonts w:ascii="宋体" w:hAnsi="宋体" w:eastAsia="宋体" w:cs="Times New Roman"/>
          <w:color w:val="auto"/>
          <w:sz w:val="24"/>
          <w:szCs w:val="24"/>
          <w:highlight w:val="none"/>
          <w:u w:val="single"/>
        </w:rPr>
        <w:t xml:space="preserve">     </w:t>
      </w:r>
    </w:p>
    <w:p w14:paraId="61247489">
      <w:pPr>
        <w:spacing w:line="360" w:lineRule="auto"/>
        <w:ind w:firstLine="360" w:firstLineChars="150"/>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电子信箱：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电子信箱：</w:t>
      </w:r>
      <w:r>
        <w:rPr>
          <w:rFonts w:ascii="宋体" w:hAnsi="宋体" w:eastAsia="宋体" w:cs="Times New Roman"/>
          <w:color w:val="auto"/>
          <w:sz w:val="24"/>
          <w:szCs w:val="24"/>
          <w:highlight w:val="none"/>
          <w:u w:val="single"/>
        </w:rPr>
        <w:t xml:space="preserve">   </w:t>
      </w:r>
    </w:p>
    <w:p w14:paraId="3716D606">
      <w:pPr>
        <w:spacing w:line="360" w:lineRule="auto"/>
        <w:ind w:firstLine="360" w:firstLineChars="150"/>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开户银行：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开户银行：</w:t>
      </w:r>
      <w:r>
        <w:rPr>
          <w:rFonts w:ascii="宋体" w:hAnsi="宋体" w:eastAsia="宋体" w:cs="Times New Roman"/>
          <w:color w:val="auto"/>
          <w:sz w:val="24"/>
          <w:szCs w:val="24"/>
          <w:highlight w:val="none"/>
          <w:u w:val="single"/>
        </w:rPr>
        <w:t xml:space="preserve">   </w:t>
      </w:r>
    </w:p>
    <w:p w14:paraId="0AA03E5E">
      <w:pPr>
        <w:spacing w:line="360" w:lineRule="auto"/>
        <w:ind w:firstLine="360" w:firstLineChars="150"/>
        <w:rPr>
          <w:rFonts w:hint="eastAsia" w:ascii="宋体" w:hAnsi="宋体" w:eastAsia="宋体" w:cs="Times New Roman"/>
          <w:color w:val="auto"/>
          <w:sz w:val="24"/>
          <w:szCs w:val="24"/>
          <w:highlight w:val="none"/>
          <w:u w:val="single"/>
        </w:rPr>
      </w:pPr>
      <w:r>
        <w:rPr>
          <w:rFonts w:ascii="宋体" w:hAnsi="宋体" w:eastAsia="宋体" w:cs="Times New Roman"/>
          <w:color w:val="auto"/>
          <w:sz w:val="24"/>
          <w:szCs w:val="24"/>
          <w:highlight w:val="none"/>
        </w:rPr>
        <w:t xml:space="preserve">账  号：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账  号：</w:t>
      </w:r>
      <w:r>
        <w:rPr>
          <w:rFonts w:ascii="宋体" w:hAnsi="宋体" w:eastAsia="宋体" w:cs="Times New Roman"/>
          <w:color w:val="auto"/>
          <w:sz w:val="24"/>
          <w:szCs w:val="24"/>
          <w:highlight w:val="none"/>
          <w:u w:val="single"/>
        </w:rPr>
        <w:t xml:space="preserve">     </w:t>
      </w:r>
    </w:p>
    <w:p w14:paraId="231346C8">
      <w:pPr>
        <w:widowControl/>
        <w:jc w:val="left"/>
        <w:rPr>
          <w:rFonts w:hint="eastAsia" w:ascii="宋体" w:hAnsi="宋体" w:eastAsia="宋体" w:cs="Times New Roman"/>
          <w:color w:val="auto"/>
          <w:sz w:val="24"/>
          <w:szCs w:val="24"/>
          <w:highlight w:val="none"/>
          <w:u w:val="single"/>
        </w:rPr>
      </w:pPr>
      <w:r>
        <w:rPr>
          <w:rFonts w:ascii="宋体" w:hAnsi="宋体" w:eastAsia="宋体" w:cs="Times New Roman"/>
          <w:color w:val="auto"/>
          <w:sz w:val="24"/>
          <w:szCs w:val="24"/>
          <w:highlight w:val="none"/>
        </w:rPr>
        <w:br w:type="page"/>
      </w:r>
    </w:p>
    <w:p w14:paraId="37D9C748">
      <w:pPr>
        <w:jc w:val="center"/>
        <w:rPr>
          <w:rFonts w:ascii="宋体" w:hAnsi="Courier New" w:eastAsia="宋体" w:cs="Times New Roman"/>
          <w:b/>
          <w:color w:val="auto"/>
          <w:sz w:val="24"/>
          <w:szCs w:val="24"/>
          <w:highlight w:val="none"/>
        </w:rPr>
      </w:pPr>
      <w:bookmarkStart w:id="97" w:name="_Toc395382492"/>
      <w:bookmarkStart w:id="98" w:name="_Toc389065256"/>
      <w:bookmarkStart w:id="99" w:name="_Toc453680975"/>
      <w:bookmarkStart w:id="100" w:name="_Toc453681448"/>
      <w:bookmarkStart w:id="101" w:name="_Toc373227691"/>
      <w:bookmarkStart w:id="102" w:name="_Toc351203632"/>
      <w:bookmarkStart w:id="103" w:name="_Toc373478338"/>
      <w:r>
        <w:rPr>
          <w:rFonts w:hint="eastAsia" w:ascii="宋体" w:hAnsi="Courier New" w:eastAsia="宋体" w:cs="Times New Roman"/>
          <w:b/>
          <w:color w:val="auto"/>
          <w:sz w:val="24"/>
          <w:szCs w:val="24"/>
          <w:highlight w:val="none"/>
        </w:rPr>
        <w:t>第二部分 通用</w:t>
      </w:r>
      <w:r>
        <w:rPr>
          <w:rFonts w:ascii="宋体" w:hAnsi="Courier New" w:eastAsia="宋体" w:cs="Times New Roman"/>
          <w:b/>
          <w:color w:val="auto"/>
          <w:sz w:val="24"/>
          <w:szCs w:val="24"/>
          <w:highlight w:val="none"/>
        </w:rPr>
        <w:t>合同条款</w:t>
      </w:r>
      <w:bookmarkEnd w:id="97"/>
      <w:bookmarkEnd w:id="98"/>
      <w:bookmarkEnd w:id="99"/>
      <w:bookmarkEnd w:id="100"/>
    </w:p>
    <w:p w14:paraId="3C2C4040">
      <w:pPr>
        <w:spacing w:line="360" w:lineRule="auto"/>
        <w:ind w:firstLine="480" w:firstLineChars="200"/>
        <w:rPr>
          <w:rFonts w:hint="eastAsia" w:ascii="宋体" w:hAnsi="宋体" w:eastAsia="宋体" w:cs="Times New Roman"/>
          <w:color w:val="auto"/>
          <w:kern w:val="0"/>
          <w:sz w:val="24"/>
          <w:szCs w:val="24"/>
          <w:highlight w:val="none"/>
        </w:rPr>
      </w:pPr>
    </w:p>
    <w:p w14:paraId="1637BAB5">
      <w:pPr>
        <w:spacing w:line="360" w:lineRule="auto"/>
        <w:ind w:firstLine="482" w:firstLineChars="200"/>
        <w:jc w:val="center"/>
        <w:rPr>
          <w:rFonts w:hint="eastAsia" w:ascii="宋体" w:hAnsi="宋体" w:eastAsia="宋体" w:cs="Times New Roman"/>
          <w:b/>
          <w:color w:val="auto"/>
          <w:kern w:val="0"/>
          <w:sz w:val="24"/>
          <w:szCs w:val="24"/>
          <w:highlight w:val="none"/>
        </w:rPr>
      </w:pPr>
      <w:r>
        <w:rPr>
          <w:rFonts w:hint="eastAsia" w:ascii="宋体" w:hAnsi="宋体" w:eastAsia="宋体" w:cs="Times New Roman"/>
          <w:b/>
          <w:color w:val="auto"/>
          <w:kern w:val="0"/>
          <w:sz w:val="24"/>
          <w:szCs w:val="24"/>
          <w:highlight w:val="none"/>
        </w:rPr>
        <w:t>采用《建设工程施工合同（示范文本）》（GF—2017—0201）。</w:t>
      </w:r>
    </w:p>
    <w:p w14:paraId="30E07792">
      <w:pPr>
        <w:jc w:val="center"/>
        <w:rPr>
          <w:b/>
          <w:color w:val="auto"/>
          <w:sz w:val="24"/>
          <w:highlight w:val="none"/>
        </w:rPr>
        <w:sectPr>
          <w:pgSz w:w="11907" w:h="16840"/>
          <w:pgMar w:top="1304" w:right="1304" w:bottom="1304" w:left="1304" w:header="964" w:footer="737" w:gutter="0"/>
          <w:pgNumType w:fmt="decimal"/>
          <w:cols w:space="720" w:num="1"/>
          <w:titlePg/>
          <w:docGrid w:linePitch="312" w:charSpace="0"/>
        </w:sectPr>
      </w:pPr>
      <w:bookmarkStart w:id="104" w:name="_Toc395382493"/>
      <w:bookmarkStart w:id="105" w:name="_Toc453680976"/>
      <w:bookmarkStart w:id="106" w:name="_Toc389065257"/>
      <w:bookmarkStart w:id="107" w:name="_Toc453681449"/>
    </w:p>
    <w:p w14:paraId="4485876B">
      <w:pPr>
        <w:jc w:val="center"/>
        <w:rPr>
          <w:rFonts w:ascii="宋体" w:hAnsi="Courier New" w:eastAsia="宋体" w:cs="Times New Roman"/>
          <w:b/>
          <w:color w:val="auto"/>
          <w:sz w:val="24"/>
          <w:szCs w:val="24"/>
          <w:highlight w:val="none"/>
        </w:rPr>
      </w:pPr>
      <w:r>
        <w:rPr>
          <w:rFonts w:ascii="宋体" w:hAnsi="Courier New" w:eastAsia="宋体" w:cs="Times New Roman"/>
          <w:b/>
          <w:color w:val="auto"/>
          <w:sz w:val="24"/>
          <w:szCs w:val="24"/>
          <w:highlight w:val="none"/>
        </w:rPr>
        <w:t>第</w:t>
      </w:r>
      <w:r>
        <w:rPr>
          <w:rFonts w:hint="eastAsia" w:ascii="宋体" w:hAnsi="Courier New" w:eastAsia="宋体" w:cs="Times New Roman"/>
          <w:b/>
          <w:color w:val="auto"/>
          <w:sz w:val="24"/>
          <w:szCs w:val="24"/>
          <w:highlight w:val="none"/>
        </w:rPr>
        <w:t>三</w:t>
      </w:r>
      <w:r>
        <w:rPr>
          <w:rFonts w:ascii="宋体" w:hAnsi="Courier New" w:eastAsia="宋体" w:cs="Times New Roman"/>
          <w:b/>
          <w:color w:val="auto"/>
          <w:sz w:val="24"/>
          <w:szCs w:val="24"/>
          <w:highlight w:val="none"/>
        </w:rPr>
        <w:t>部分 专用合同条款</w:t>
      </w:r>
      <w:bookmarkEnd w:id="101"/>
      <w:bookmarkEnd w:id="102"/>
      <w:bookmarkEnd w:id="103"/>
      <w:bookmarkEnd w:id="104"/>
      <w:bookmarkEnd w:id="105"/>
      <w:bookmarkEnd w:id="106"/>
      <w:bookmarkEnd w:id="107"/>
    </w:p>
    <w:p w14:paraId="1A53B9A0">
      <w:pPr>
        <w:spacing w:line="360" w:lineRule="auto"/>
        <w:jc w:val="center"/>
        <w:rPr>
          <w:rFonts w:hint="eastAsia" w:ascii="Times New Roman" w:hAnsi="宋体" w:eastAsia="宋体" w:cs="Times New Roman"/>
          <w:b/>
          <w:bCs/>
          <w:color w:val="auto"/>
          <w:kern w:val="0"/>
          <w:sz w:val="24"/>
          <w:szCs w:val="24"/>
          <w:highlight w:val="none"/>
        </w:rPr>
      </w:pPr>
      <w:r>
        <w:rPr>
          <w:rFonts w:hint="eastAsia" w:ascii="Times New Roman" w:hAnsi="宋体" w:eastAsia="宋体" w:cs="宋体"/>
          <w:b/>
          <w:bCs/>
          <w:color w:val="auto"/>
          <w:kern w:val="0"/>
          <w:sz w:val="24"/>
          <w:szCs w:val="24"/>
          <w:highlight w:val="none"/>
        </w:rPr>
        <w:t>（注：专用合同条款每一条均应填写完整！）</w:t>
      </w:r>
    </w:p>
    <w:p w14:paraId="2EECBABD">
      <w:pPr>
        <w:keepNext/>
        <w:keepLines/>
        <w:spacing w:before="60" w:after="60" w:line="400" w:lineRule="exact"/>
        <w:outlineLvl w:val="1"/>
        <w:rPr>
          <w:rFonts w:ascii="Arial" w:hAnsi="Arial" w:eastAsia="黑体" w:cs="Times New Roman"/>
          <w:b/>
          <w:bCs/>
          <w:color w:val="auto"/>
          <w:sz w:val="24"/>
          <w:szCs w:val="24"/>
          <w:highlight w:val="none"/>
          <w:lang w:val="zh-CN"/>
        </w:rPr>
      </w:pPr>
      <w:bookmarkStart w:id="108" w:name="_Toc373227692"/>
      <w:bookmarkStart w:id="109" w:name="_Toc389065258"/>
      <w:bookmarkStart w:id="110" w:name="_Toc373478339"/>
      <w:bookmarkStart w:id="111" w:name="_Toc351203633"/>
      <w:bookmarkStart w:id="112" w:name="_Toc9850522"/>
      <w:bookmarkStart w:id="113" w:name="_Toc407135194"/>
      <w:r>
        <w:rPr>
          <w:rFonts w:ascii="Arial" w:hAnsi="Arial" w:eastAsia="黑体" w:cs="Times New Roman"/>
          <w:b/>
          <w:bCs/>
          <w:color w:val="auto"/>
          <w:sz w:val="24"/>
          <w:szCs w:val="24"/>
          <w:highlight w:val="none"/>
          <w:lang w:val="zh-CN"/>
        </w:rPr>
        <w:t>1</w:t>
      </w:r>
      <w:bookmarkStart w:id="114" w:name="_Toc296503156"/>
      <w:bookmarkStart w:id="115" w:name="_Toc292559866"/>
      <w:bookmarkStart w:id="116" w:name="_Toc297120456"/>
      <w:bookmarkStart w:id="117" w:name="_Toc296890984"/>
      <w:bookmarkStart w:id="118" w:name="_Toc292559361"/>
      <w:bookmarkStart w:id="119" w:name="_Toc297048342"/>
      <w:bookmarkStart w:id="120" w:name="_Toc296944495"/>
      <w:bookmarkStart w:id="121" w:name="_Toc296346657"/>
      <w:bookmarkStart w:id="122" w:name="_Toc296891196"/>
      <w:bookmarkStart w:id="123" w:name="_Toc296347155"/>
      <w:r>
        <w:rPr>
          <w:rFonts w:ascii="Arial" w:hAnsi="Arial" w:eastAsia="黑体" w:cs="Times New Roman"/>
          <w:b/>
          <w:bCs/>
          <w:color w:val="auto"/>
          <w:sz w:val="24"/>
          <w:szCs w:val="24"/>
          <w:highlight w:val="none"/>
          <w:lang w:val="zh-CN"/>
        </w:rPr>
        <w:t xml:space="preserve">. </w:t>
      </w:r>
      <w:r>
        <w:rPr>
          <w:rFonts w:hint="eastAsia" w:ascii="Arial" w:hAnsi="宋体" w:eastAsia="黑体" w:cs="黑体"/>
          <w:b/>
          <w:bCs/>
          <w:color w:val="auto"/>
          <w:sz w:val="24"/>
          <w:szCs w:val="24"/>
          <w:highlight w:val="none"/>
          <w:lang w:val="zh-CN"/>
        </w:rPr>
        <w:t>一般约定</w:t>
      </w:r>
      <w:bookmarkEnd w:id="108"/>
      <w:bookmarkEnd w:id="109"/>
      <w:bookmarkEnd w:id="110"/>
      <w:bookmarkEnd w:id="111"/>
      <w:bookmarkEnd w:id="112"/>
      <w:bookmarkEnd w:id="113"/>
    </w:p>
    <w:bookmarkEnd w:id="114"/>
    <w:bookmarkEnd w:id="115"/>
    <w:bookmarkEnd w:id="116"/>
    <w:bookmarkEnd w:id="117"/>
    <w:bookmarkEnd w:id="118"/>
    <w:bookmarkEnd w:id="119"/>
    <w:bookmarkEnd w:id="120"/>
    <w:bookmarkEnd w:id="121"/>
    <w:bookmarkEnd w:id="122"/>
    <w:bookmarkEnd w:id="123"/>
    <w:p w14:paraId="5E80ABB5">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124" w:name="_Toc9850523"/>
      <w:bookmarkStart w:id="125" w:name="_Toc407135195"/>
      <w:bookmarkStart w:id="126" w:name="_Toc373227693"/>
      <w:bookmarkStart w:id="127" w:name="_Toc389065259"/>
      <w:bookmarkStart w:id="128" w:name="_Toc373478340"/>
      <w:r>
        <w:rPr>
          <w:rFonts w:ascii="Times New Roman" w:hAnsi="Times New Roman" w:eastAsia="黑体" w:cs="Times New Roman"/>
          <w:b/>
          <w:bCs/>
          <w:color w:val="auto"/>
          <w:sz w:val="24"/>
          <w:szCs w:val="24"/>
          <w:highlight w:val="none"/>
          <w:lang w:val="zh-CN"/>
        </w:rPr>
        <w:t xml:space="preserve">1.1 </w:t>
      </w:r>
      <w:r>
        <w:rPr>
          <w:rFonts w:hint="eastAsia" w:ascii="Times New Roman" w:hAnsi="宋体" w:eastAsia="黑体" w:cs="黑体"/>
          <w:b/>
          <w:bCs/>
          <w:color w:val="auto"/>
          <w:sz w:val="24"/>
          <w:szCs w:val="24"/>
          <w:highlight w:val="none"/>
          <w:lang w:val="zh-CN"/>
        </w:rPr>
        <w:t>词语定义</w:t>
      </w:r>
      <w:bookmarkEnd w:id="124"/>
      <w:bookmarkEnd w:id="125"/>
      <w:bookmarkEnd w:id="126"/>
      <w:bookmarkEnd w:id="127"/>
      <w:bookmarkEnd w:id="128"/>
    </w:p>
    <w:p w14:paraId="144C5C31">
      <w:pPr>
        <w:spacing w:line="400" w:lineRule="exact"/>
        <w:ind w:firstLine="480" w:firstLineChars="200"/>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xml:space="preserve">1.1.1 </w:t>
      </w:r>
      <w:r>
        <w:rPr>
          <w:rFonts w:hint="eastAsia" w:ascii="Times New Roman" w:hAnsi="宋体" w:eastAsia="宋体" w:cs="宋体"/>
          <w:color w:val="auto"/>
          <w:kern w:val="0"/>
          <w:sz w:val="24"/>
          <w:szCs w:val="24"/>
          <w:highlight w:val="none"/>
        </w:rPr>
        <w:t>合同</w:t>
      </w:r>
    </w:p>
    <w:p w14:paraId="262BE045">
      <w:pPr>
        <w:spacing w:line="400" w:lineRule="exact"/>
        <w:ind w:firstLine="480" w:firstLineChars="200"/>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xml:space="preserve">1.1.1.10 </w:t>
      </w:r>
      <w:r>
        <w:rPr>
          <w:rFonts w:hint="eastAsia" w:ascii="Times New Roman" w:hAnsi="宋体" w:eastAsia="宋体" w:cs="宋体"/>
          <w:color w:val="auto"/>
          <w:kern w:val="0"/>
          <w:sz w:val="24"/>
          <w:szCs w:val="24"/>
          <w:highlight w:val="none"/>
        </w:rPr>
        <w:t>其他合同文件包括：</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lang w:val="en-US" w:eastAsia="zh-CN"/>
        </w:rPr>
        <w:t>采</w:t>
      </w:r>
      <w:r>
        <w:rPr>
          <w:rFonts w:hint="eastAsia" w:ascii="宋体" w:hAnsi="宋体" w:eastAsia="宋体" w:cs="宋体"/>
          <w:color w:val="auto"/>
          <w:kern w:val="0"/>
          <w:sz w:val="24"/>
          <w:szCs w:val="24"/>
          <w:highlight w:val="none"/>
          <w:u w:val="single"/>
        </w:rPr>
        <w:t>购文件、工程量清单、招标控制价、</w:t>
      </w:r>
      <w:r>
        <w:rPr>
          <w:rFonts w:hint="eastAsia" w:ascii="宋体" w:hAnsi="宋体" w:eastAsia="宋体" w:cs="宋体"/>
          <w:color w:val="auto"/>
          <w:kern w:val="0"/>
          <w:sz w:val="24"/>
          <w:szCs w:val="24"/>
          <w:highlight w:val="none"/>
          <w:u w:val="single"/>
          <w:lang w:val="en-US" w:eastAsia="zh-CN"/>
        </w:rPr>
        <w:t>设计</w:t>
      </w:r>
      <w:r>
        <w:rPr>
          <w:rFonts w:hint="eastAsia" w:ascii="宋体" w:hAnsi="宋体" w:eastAsia="宋体" w:cs="宋体"/>
          <w:color w:val="auto"/>
          <w:kern w:val="0"/>
          <w:sz w:val="24"/>
          <w:szCs w:val="24"/>
          <w:highlight w:val="none"/>
          <w:u w:val="single"/>
        </w:rPr>
        <w:t>图纸、工程量清单报价、投标</w:t>
      </w:r>
      <w:r>
        <w:rPr>
          <w:rFonts w:hint="eastAsia" w:ascii="宋体" w:hAnsi="宋体" w:eastAsia="宋体" w:cs="宋体"/>
          <w:color w:val="auto"/>
          <w:kern w:val="0"/>
          <w:sz w:val="24"/>
          <w:szCs w:val="24"/>
          <w:highlight w:val="none"/>
          <w:u w:val="single"/>
          <w:lang w:eastAsia="zh-CN"/>
        </w:rPr>
        <w:t>（</w:t>
      </w:r>
      <w:r>
        <w:rPr>
          <w:rFonts w:hint="eastAsia" w:ascii="宋体" w:hAnsi="宋体" w:eastAsia="宋体" w:cs="宋体"/>
          <w:color w:val="auto"/>
          <w:kern w:val="0"/>
          <w:sz w:val="24"/>
          <w:szCs w:val="24"/>
          <w:highlight w:val="none"/>
          <w:u w:val="single"/>
          <w:lang w:val="en-US" w:eastAsia="zh-CN"/>
        </w:rPr>
        <w:t>响应</w:t>
      </w:r>
      <w:r>
        <w:rPr>
          <w:rFonts w:hint="eastAsia" w:ascii="宋体" w:hAnsi="宋体" w:eastAsia="宋体" w:cs="宋体"/>
          <w:color w:val="auto"/>
          <w:kern w:val="0"/>
          <w:sz w:val="24"/>
          <w:szCs w:val="24"/>
          <w:highlight w:val="none"/>
          <w:u w:val="single"/>
          <w:lang w:eastAsia="zh-CN"/>
        </w:rPr>
        <w:t>）</w:t>
      </w:r>
      <w:r>
        <w:rPr>
          <w:rFonts w:hint="eastAsia" w:ascii="宋体" w:hAnsi="宋体" w:eastAsia="宋体" w:cs="宋体"/>
          <w:color w:val="auto"/>
          <w:kern w:val="0"/>
          <w:sz w:val="24"/>
          <w:szCs w:val="24"/>
          <w:highlight w:val="none"/>
          <w:u w:val="single"/>
        </w:rPr>
        <w:t>文件、中标</w:t>
      </w:r>
      <w:r>
        <w:rPr>
          <w:rFonts w:hint="eastAsia" w:ascii="宋体" w:hAnsi="宋体" w:eastAsia="宋体" w:cs="宋体"/>
          <w:color w:val="auto"/>
          <w:kern w:val="0"/>
          <w:sz w:val="24"/>
          <w:szCs w:val="24"/>
          <w:highlight w:val="none"/>
          <w:u w:val="single"/>
          <w:lang w:eastAsia="zh-CN"/>
        </w:rPr>
        <w:t>（</w:t>
      </w:r>
      <w:r>
        <w:rPr>
          <w:rFonts w:hint="eastAsia" w:ascii="宋体" w:hAnsi="宋体" w:eastAsia="宋体" w:cs="宋体"/>
          <w:color w:val="auto"/>
          <w:kern w:val="0"/>
          <w:sz w:val="24"/>
          <w:szCs w:val="24"/>
          <w:highlight w:val="none"/>
          <w:u w:val="single"/>
          <w:lang w:val="en-US" w:eastAsia="zh-CN"/>
        </w:rPr>
        <w:t>成交</w:t>
      </w:r>
      <w:r>
        <w:rPr>
          <w:rFonts w:hint="eastAsia" w:ascii="宋体" w:hAnsi="宋体" w:eastAsia="宋体" w:cs="宋体"/>
          <w:color w:val="auto"/>
          <w:kern w:val="0"/>
          <w:sz w:val="24"/>
          <w:szCs w:val="24"/>
          <w:highlight w:val="none"/>
          <w:u w:val="single"/>
          <w:lang w:eastAsia="zh-CN"/>
        </w:rPr>
        <w:t>）</w:t>
      </w:r>
      <w:r>
        <w:rPr>
          <w:rFonts w:hint="eastAsia" w:ascii="宋体" w:hAnsi="宋体" w:eastAsia="宋体" w:cs="宋体"/>
          <w:color w:val="auto"/>
          <w:kern w:val="0"/>
          <w:sz w:val="24"/>
          <w:szCs w:val="24"/>
          <w:highlight w:val="none"/>
          <w:u w:val="single"/>
        </w:rPr>
        <w:t>通知书、双方签署的合同协议书</w:t>
      </w:r>
      <w:r>
        <w:rPr>
          <w:rFonts w:hint="eastAsia" w:ascii="Times New Roman" w:hAnsi="宋体" w:eastAsia="宋体" w:cs="宋体"/>
          <w:color w:val="auto"/>
          <w:sz w:val="24"/>
          <w:szCs w:val="24"/>
          <w:highlight w:val="none"/>
        </w:rPr>
        <w:t>。</w:t>
      </w:r>
    </w:p>
    <w:p w14:paraId="327172B1">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1.1.2 </w:t>
      </w:r>
      <w:r>
        <w:rPr>
          <w:rFonts w:hint="eastAsia" w:ascii="Times New Roman" w:hAnsi="宋体" w:eastAsia="宋体" w:cs="宋体"/>
          <w:color w:val="auto"/>
          <w:sz w:val="24"/>
          <w:szCs w:val="24"/>
          <w:highlight w:val="none"/>
        </w:rPr>
        <w:t>合同当事人及其他相关方</w:t>
      </w:r>
    </w:p>
    <w:p w14:paraId="021C4A0B">
      <w:pPr>
        <w:spacing w:line="400" w:lineRule="exact"/>
        <w:ind w:firstLine="480" w:firstLineChars="200"/>
        <w:outlineLvl w:val="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1.1.2.4 </w:t>
      </w:r>
      <w:r>
        <w:rPr>
          <w:rFonts w:hint="eastAsia" w:ascii="Times New Roman" w:hAnsi="宋体" w:eastAsia="宋体" w:cs="宋体"/>
          <w:color w:val="auto"/>
          <w:sz w:val="24"/>
          <w:szCs w:val="24"/>
          <w:highlight w:val="none"/>
        </w:rPr>
        <w:t>监理人：</w:t>
      </w:r>
    </w:p>
    <w:p w14:paraId="4BAF813C">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名</w:t>
      </w:r>
      <w:r>
        <w:rPr>
          <w:rFonts w:ascii="Times New Roman" w:hAnsi="Times New Roman" w:eastAsia="宋体" w:cs="Times New Roman"/>
          <w:color w:val="auto"/>
          <w:sz w:val="24"/>
          <w:szCs w:val="24"/>
          <w:highlight w:val="none"/>
        </w:rPr>
        <w:t xml:space="preserve">    </w:t>
      </w:r>
      <w:r>
        <w:rPr>
          <w:rFonts w:hint="eastAsia" w:ascii="Times New Roman" w:hAnsi="宋体" w:eastAsia="宋体" w:cs="宋体"/>
          <w:color w:val="auto"/>
          <w:sz w:val="24"/>
          <w:szCs w:val="24"/>
          <w:highlight w:val="none"/>
        </w:rPr>
        <w:t>称：</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1A2CC2DD">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资质类别和等级：</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36B6E461">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联系电话：</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69C0ADC4">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电子信箱：</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15065832">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通信地址：</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1D9E02D0">
      <w:pPr>
        <w:spacing w:line="400" w:lineRule="exact"/>
        <w:ind w:firstLine="480" w:firstLineChars="200"/>
        <w:outlineLvl w:val="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1.1.2.5 </w:t>
      </w:r>
      <w:r>
        <w:rPr>
          <w:rFonts w:hint="eastAsia" w:ascii="Times New Roman" w:hAnsi="宋体" w:eastAsia="宋体" w:cs="宋体"/>
          <w:color w:val="auto"/>
          <w:sz w:val="24"/>
          <w:szCs w:val="24"/>
          <w:highlight w:val="none"/>
        </w:rPr>
        <w:t>设计人：</w:t>
      </w:r>
    </w:p>
    <w:p w14:paraId="0D39BE2E">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名</w:t>
      </w:r>
      <w:r>
        <w:rPr>
          <w:rFonts w:ascii="Times New Roman" w:hAnsi="Times New Roman" w:eastAsia="宋体" w:cs="Times New Roman"/>
          <w:color w:val="auto"/>
          <w:sz w:val="24"/>
          <w:szCs w:val="24"/>
          <w:highlight w:val="none"/>
        </w:rPr>
        <w:t xml:space="preserve">    </w:t>
      </w:r>
      <w:r>
        <w:rPr>
          <w:rFonts w:hint="eastAsia" w:ascii="Times New Roman" w:hAnsi="宋体" w:eastAsia="宋体" w:cs="宋体"/>
          <w:color w:val="auto"/>
          <w:sz w:val="24"/>
          <w:szCs w:val="24"/>
          <w:highlight w:val="none"/>
        </w:rPr>
        <w:t>称：</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2AA3AF01">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资质类别和等级：</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38D0697D">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联系电话：</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14895B87">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电子信箱：</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0504BAE1">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通信地址：</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559C1FDD">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1.1.3 </w:t>
      </w:r>
      <w:r>
        <w:rPr>
          <w:rFonts w:hint="eastAsia" w:ascii="Times New Roman" w:hAnsi="宋体" w:eastAsia="宋体" w:cs="宋体"/>
          <w:color w:val="auto"/>
          <w:sz w:val="24"/>
          <w:szCs w:val="24"/>
          <w:highlight w:val="none"/>
        </w:rPr>
        <w:t>工程和设备</w:t>
      </w:r>
    </w:p>
    <w:p w14:paraId="4F44EAC4">
      <w:pPr>
        <w:spacing w:line="400" w:lineRule="exact"/>
        <w:ind w:firstLine="480" w:firstLineChars="200"/>
        <w:outlineLvl w:val="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1.1.3.7 </w:t>
      </w:r>
      <w:r>
        <w:rPr>
          <w:rFonts w:hint="eastAsia" w:ascii="Times New Roman" w:hAnsi="宋体" w:eastAsia="宋体" w:cs="宋体"/>
          <w:color w:val="auto"/>
          <w:sz w:val="24"/>
          <w:szCs w:val="24"/>
          <w:highlight w:val="none"/>
        </w:rPr>
        <w:t>作为施工现场组成部分的其他场所包括：</w:t>
      </w:r>
      <w:r>
        <w:rPr>
          <w:rFonts w:hint="eastAsia" w:ascii="宋体" w:hAnsi="Courier New" w:eastAsia="宋体" w:cs="Times New Roman"/>
          <w:color w:val="auto"/>
          <w:sz w:val="24"/>
          <w:szCs w:val="24"/>
          <w:highlight w:val="none"/>
          <w:u w:val="single"/>
        </w:rPr>
        <w:t>按本合同《通用条款》</w:t>
      </w:r>
      <w:r>
        <w:rPr>
          <w:rFonts w:ascii="Times New Roman" w:hAnsi="宋体"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3BA52646">
      <w:pPr>
        <w:spacing w:line="400" w:lineRule="exact"/>
        <w:ind w:firstLine="480" w:firstLineChars="200"/>
        <w:jc w:val="lef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xml:space="preserve">1.1.3.9 </w:t>
      </w:r>
      <w:r>
        <w:rPr>
          <w:rFonts w:hint="eastAsia" w:ascii="Times New Roman" w:hAnsi="宋体" w:eastAsia="宋体" w:cs="宋体"/>
          <w:color w:val="auto"/>
          <w:kern w:val="0"/>
          <w:sz w:val="24"/>
          <w:szCs w:val="24"/>
          <w:highlight w:val="none"/>
        </w:rPr>
        <w:t>永久占地包括：</w:t>
      </w:r>
      <w:r>
        <w:rPr>
          <w:rFonts w:hint="eastAsia" w:ascii="宋体" w:hAnsi="Courier New" w:eastAsia="宋体" w:cs="Times New Roman"/>
          <w:color w:val="auto"/>
          <w:sz w:val="24"/>
          <w:szCs w:val="24"/>
          <w:highlight w:val="none"/>
          <w:u w:val="single"/>
        </w:rPr>
        <w:t>按合同约定建造并移交给发包人的工程（包括工程设备）所占用的土地</w:t>
      </w:r>
      <w:r>
        <w:rPr>
          <w:rFonts w:hint="eastAsia" w:ascii="Times New Roman" w:hAnsi="宋体" w:eastAsia="宋体" w:cs="宋体"/>
          <w:color w:val="auto"/>
          <w:kern w:val="0"/>
          <w:sz w:val="24"/>
          <w:szCs w:val="24"/>
          <w:highlight w:val="none"/>
        </w:rPr>
        <w:t>。</w:t>
      </w:r>
    </w:p>
    <w:p w14:paraId="7DC33652">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kern w:val="0"/>
          <w:sz w:val="24"/>
          <w:szCs w:val="24"/>
          <w:highlight w:val="none"/>
        </w:rPr>
        <w:t xml:space="preserve">1.1.3.10 </w:t>
      </w:r>
      <w:r>
        <w:rPr>
          <w:rFonts w:hint="eastAsia" w:ascii="Times New Roman" w:hAnsi="宋体" w:eastAsia="宋体" w:cs="宋体"/>
          <w:color w:val="auto"/>
          <w:kern w:val="0"/>
          <w:sz w:val="24"/>
          <w:szCs w:val="24"/>
          <w:highlight w:val="none"/>
        </w:rPr>
        <w:t>临时占地包括：</w:t>
      </w:r>
      <w:r>
        <w:rPr>
          <w:rFonts w:hint="eastAsia" w:ascii="宋体" w:hAnsi="Courier New" w:eastAsia="宋体" w:cs="Times New Roman"/>
          <w:color w:val="auto"/>
          <w:sz w:val="24"/>
          <w:szCs w:val="24"/>
          <w:highlight w:val="none"/>
          <w:u w:val="single"/>
        </w:rPr>
        <w:t>为完成合同约定的永久工程所修建的各类临时性工程及设施所占用的土地，由承包人根据现场踏勘情况结合施工现场所处位置自行解决</w:t>
      </w:r>
      <w:r>
        <w:rPr>
          <w:rFonts w:hint="eastAsia" w:ascii="Times New Roman" w:hAnsi="宋体" w:eastAsia="宋体" w:cs="宋体"/>
          <w:color w:val="auto"/>
          <w:kern w:val="0"/>
          <w:sz w:val="24"/>
          <w:szCs w:val="24"/>
          <w:highlight w:val="none"/>
        </w:rPr>
        <w:t>。</w:t>
      </w:r>
    </w:p>
    <w:p w14:paraId="489FD0E7">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129" w:name="_Toc389065260"/>
      <w:bookmarkStart w:id="130" w:name="_Toc407135196"/>
      <w:bookmarkStart w:id="131" w:name="_Toc373478341"/>
      <w:bookmarkStart w:id="132" w:name="_Toc9850524"/>
      <w:bookmarkStart w:id="133" w:name="_Toc373227694"/>
      <w:r>
        <w:rPr>
          <w:rFonts w:ascii="Times New Roman" w:hAnsi="Times New Roman" w:eastAsia="黑体" w:cs="Times New Roman"/>
          <w:b/>
          <w:bCs/>
          <w:color w:val="auto"/>
          <w:sz w:val="24"/>
          <w:szCs w:val="24"/>
          <w:highlight w:val="none"/>
          <w:lang w:val="zh-CN"/>
        </w:rPr>
        <w:t xml:space="preserve">1.3 </w:t>
      </w:r>
      <w:r>
        <w:rPr>
          <w:rFonts w:hint="eastAsia" w:ascii="Times New Roman" w:hAnsi="宋体" w:eastAsia="黑体" w:cs="黑体"/>
          <w:b/>
          <w:bCs/>
          <w:color w:val="auto"/>
          <w:sz w:val="24"/>
          <w:szCs w:val="24"/>
          <w:highlight w:val="none"/>
          <w:lang w:val="zh-CN"/>
        </w:rPr>
        <w:t>法律</w:t>
      </w:r>
      <w:bookmarkEnd w:id="129"/>
      <w:bookmarkEnd w:id="130"/>
      <w:bookmarkEnd w:id="131"/>
      <w:bookmarkEnd w:id="132"/>
      <w:bookmarkEnd w:id="133"/>
    </w:p>
    <w:p w14:paraId="75052D92">
      <w:pPr>
        <w:spacing w:line="400" w:lineRule="exact"/>
        <w:ind w:firstLine="480" w:firstLineChars="200"/>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适用于合同的其他规范性文件：</w:t>
      </w:r>
      <w:r>
        <w:rPr>
          <w:rFonts w:ascii="Times New Roman" w:hAnsi="宋体"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p>
    <w:p w14:paraId="00DA7F17">
      <w:pPr>
        <w:autoSpaceDE w:val="0"/>
        <w:autoSpaceDN w:val="0"/>
        <w:adjustRightInd w:val="0"/>
        <w:spacing w:line="400" w:lineRule="exact"/>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按通用合同条款</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76366B57">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134" w:name="_Toc407135197"/>
      <w:bookmarkStart w:id="135" w:name="_Toc9850525"/>
      <w:bookmarkStart w:id="136" w:name="_Toc373478342"/>
      <w:bookmarkStart w:id="137" w:name="_Toc373227695"/>
      <w:bookmarkStart w:id="138" w:name="_Toc389065261"/>
      <w:r>
        <w:rPr>
          <w:rFonts w:ascii="Times New Roman" w:hAnsi="Times New Roman" w:eastAsia="黑体" w:cs="Times New Roman"/>
          <w:b/>
          <w:bCs/>
          <w:color w:val="auto"/>
          <w:sz w:val="24"/>
          <w:szCs w:val="24"/>
          <w:highlight w:val="none"/>
          <w:lang w:val="zh-CN"/>
        </w:rPr>
        <w:t xml:space="preserve">1.4 </w:t>
      </w:r>
      <w:r>
        <w:rPr>
          <w:rFonts w:hint="eastAsia" w:ascii="Times New Roman" w:hAnsi="宋体" w:eastAsia="黑体" w:cs="黑体"/>
          <w:b/>
          <w:bCs/>
          <w:color w:val="auto"/>
          <w:sz w:val="24"/>
          <w:szCs w:val="24"/>
          <w:highlight w:val="none"/>
          <w:lang w:val="zh-CN"/>
        </w:rPr>
        <w:t>标准和规范</w:t>
      </w:r>
      <w:bookmarkEnd w:id="134"/>
      <w:bookmarkEnd w:id="135"/>
      <w:bookmarkEnd w:id="136"/>
      <w:bookmarkEnd w:id="137"/>
      <w:bookmarkEnd w:id="138"/>
    </w:p>
    <w:p w14:paraId="01A63970">
      <w:pPr>
        <w:spacing w:line="400" w:lineRule="exact"/>
        <w:ind w:firstLine="480" w:firstLineChars="200"/>
        <w:rPr>
          <w:rFonts w:ascii="Times New Roman" w:hAnsi="Times New Roman" w:eastAsia="宋体" w:cs="Times New Roman"/>
          <w:color w:val="auto"/>
          <w:sz w:val="24"/>
          <w:szCs w:val="24"/>
          <w:highlight w:val="none"/>
          <w:u w:val="single"/>
        </w:rPr>
      </w:pPr>
      <w:r>
        <w:rPr>
          <w:rFonts w:ascii="Times New Roman" w:hAnsi="Times New Roman" w:eastAsia="宋体" w:cs="Times New Roman"/>
          <w:color w:val="auto"/>
          <w:sz w:val="24"/>
          <w:szCs w:val="24"/>
          <w:highlight w:val="none"/>
        </w:rPr>
        <w:t xml:space="preserve">1.4.1 </w:t>
      </w:r>
      <w:r>
        <w:rPr>
          <w:rFonts w:hint="eastAsia" w:ascii="Times New Roman" w:hAnsi="宋体" w:eastAsia="宋体" w:cs="宋体"/>
          <w:color w:val="auto"/>
          <w:sz w:val="24"/>
          <w:szCs w:val="24"/>
          <w:highlight w:val="none"/>
        </w:rPr>
        <w:t>适用于工程的标准规范包括：</w:t>
      </w:r>
      <w:r>
        <w:rPr>
          <w:rFonts w:ascii="Times New Roman" w:hAnsi="宋体"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p>
    <w:p w14:paraId="05428FCE">
      <w:pPr>
        <w:spacing w:line="400" w:lineRule="exact"/>
        <w:ind w:firstLine="480" w:firstLineChars="200"/>
        <w:rPr>
          <w:rFonts w:ascii="Times New Roman" w:hAnsi="Times New Roman" w:eastAsia="宋体" w:cs="Times New Roman"/>
          <w:color w:val="auto"/>
          <w:sz w:val="24"/>
          <w:szCs w:val="24"/>
          <w:highlight w:val="none"/>
        </w:rPr>
      </w:pPr>
      <w:r>
        <w:rPr>
          <w:rFonts w:hint="eastAsia" w:ascii="宋体" w:hAnsi="宋体" w:eastAsia="宋体" w:cs="Times New Roman"/>
          <w:color w:val="auto"/>
          <w:sz w:val="24"/>
          <w:szCs w:val="24"/>
          <w:highlight w:val="none"/>
          <w:u w:val="single"/>
        </w:rPr>
        <w:t>除按通用条款外，承包人还必须遵守《民法典》、《</w:t>
      </w:r>
      <w:r>
        <w:rPr>
          <w:rFonts w:hint="eastAsia" w:ascii="宋体" w:hAnsi="宋体" w:eastAsia="宋体" w:cs="Times New Roman"/>
          <w:color w:val="auto"/>
          <w:sz w:val="24"/>
          <w:szCs w:val="24"/>
          <w:highlight w:val="none"/>
          <w:u w:val="single"/>
          <w:lang w:val="en-US" w:eastAsia="zh-CN"/>
        </w:rPr>
        <w:t>中华人民共和国</w:t>
      </w:r>
      <w:r>
        <w:rPr>
          <w:rFonts w:hint="eastAsia" w:ascii="宋体" w:hAnsi="宋体" w:eastAsia="宋体" w:cs="Times New Roman"/>
          <w:color w:val="auto"/>
          <w:sz w:val="24"/>
          <w:szCs w:val="24"/>
          <w:highlight w:val="none"/>
          <w:u w:val="single"/>
        </w:rPr>
        <w:t>政府采购法》以及现行国家部门和地方性的法律、法规</w:t>
      </w:r>
      <w:r>
        <w:rPr>
          <w:rFonts w:hint="eastAsia" w:ascii="Times New Roman" w:hAnsi="宋体" w:eastAsia="宋体" w:cs="宋体"/>
          <w:color w:val="auto"/>
          <w:sz w:val="24"/>
          <w:szCs w:val="24"/>
          <w:highlight w:val="none"/>
        </w:rPr>
        <w:t>。</w:t>
      </w:r>
    </w:p>
    <w:p w14:paraId="62FC3EE1">
      <w:pPr>
        <w:spacing w:line="400" w:lineRule="exact"/>
        <w:ind w:firstLine="480" w:firstLineChars="200"/>
        <w:rPr>
          <w:rFonts w:ascii="Times New Roman" w:hAnsi="Times New Roman" w:eastAsia="宋体" w:cs="Times New Roman"/>
          <w:color w:val="auto"/>
          <w:sz w:val="24"/>
          <w:szCs w:val="24"/>
          <w:highlight w:val="none"/>
          <w:u w:val="single"/>
        </w:rPr>
      </w:pPr>
      <w:r>
        <w:rPr>
          <w:rFonts w:ascii="Times New Roman" w:hAnsi="Times New Roman" w:eastAsia="宋体" w:cs="Times New Roman"/>
          <w:color w:val="auto"/>
          <w:kern w:val="0"/>
          <w:sz w:val="24"/>
          <w:szCs w:val="24"/>
          <w:highlight w:val="none"/>
        </w:rPr>
        <w:t xml:space="preserve">1.4.2 </w:t>
      </w:r>
      <w:r>
        <w:rPr>
          <w:rFonts w:hint="eastAsia" w:ascii="Times New Roman" w:hAnsi="宋体" w:eastAsia="宋体" w:cs="宋体"/>
          <w:color w:val="auto"/>
          <w:kern w:val="0"/>
          <w:sz w:val="24"/>
          <w:szCs w:val="24"/>
          <w:highlight w:val="none"/>
        </w:rPr>
        <w:t>发包人提供国外标准、规范的名称：</w:t>
      </w:r>
      <w:r>
        <w:rPr>
          <w:rFonts w:ascii="Times New Roman" w:hAnsi="宋体"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p>
    <w:p w14:paraId="3B8C9737">
      <w:pPr>
        <w:spacing w:line="400" w:lineRule="exac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无</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30C8C07B">
      <w:pPr>
        <w:spacing w:line="400" w:lineRule="exact"/>
        <w:ind w:firstLine="480" w:firstLineChars="200"/>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发包人提供国外标准、规范的份数：</w:t>
      </w:r>
      <w:r>
        <w:rPr>
          <w:rFonts w:ascii="Times New Roman" w:hAnsi="Times New Roman" w:eastAsia="宋体" w:cs="Times New Roman"/>
          <w:color w:val="auto"/>
          <w:kern w:val="0"/>
          <w:sz w:val="24"/>
          <w:szCs w:val="24"/>
          <w:highlight w:val="none"/>
          <w:u w:val="single"/>
        </w:rPr>
        <w:t xml:space="preserve">     </w:t>
      </w:r>
      <w:r>
        <w:rPr>
          <w:rFonts w:hint="eastAsia" w:ascii="宋体" w:hAnsi="宋体" w:eastAsia="宋体" w:cs="Times New Roman"/>
          <w:color w:val="auto"/>
          <w:sz w:val="24"/>
          <w:szCs w:val="24"/>
          <w:highlight w:val="none"/>
          <w:u w:val="single"/>
        </w:rPr>
        <w:t>无</w:t>
      </w:r>
      <w:r>
        <w:rPr>
          <w:rFonts w:ascii="Times New Roman" w:hAnsi="Times New Roman" w:eastAsia="宋体" w:cs="Times New Roman"/>
          <w:color w:val="auto"/>
          <w:kern w:val="0"/>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5367A6D4">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kern w:val="0"/>
          <w:sz w:val="24"/>
          <w:szCs w:val="24"/>
          <w:highlight w:val="none"/>
        </w:rPr>
        <w:t>发包人提供国外标准、规范的名称：</w:t>
      </w:r>
      <w:r>
        <w:rPr>
          <w:rFonts w:ascii="Times New Roman" w:hAnsi="Times New Roman" w:eastAsia="宋体" w:cs="Times New Roman"/>
          <w:color w:val="auto"/>
          <w:kern w:val="0"/>
          <w:sz w:val="24"/>
          <w:szCs w:val="24"/>
          <w:highlight w:val="none"/>
          <w:u w:val="single"/>
        </w:rPr>
        <w:t xml:space="preserve">     </w:t>
      </w:r>
      <w:r>
        <w:rPr>
          <w:rFonts w:hint="eastAsia" w:ascii="宋体" w:hAnsi="宋体" w:eastAsia="宋体" w:cs="Times New Roman"/>
          <w:color w:val="auto"/>
          <w:sz w:val="24"/>
          <w:szCs w:val="24"/>
          <w:highlight w:val="none"/>
          <w:u w:val="single"/>
        </w:rPr>
        <w:t>无</w:t>
      </w:r>
      <w:r>
        <w:rPr>
          <w:rFonts w:ascii="Times New Roman" w:hAnsi="Times New Roman" w:eastAsia="宋体" w:cs="Times New Roman"/>
          <w:color w:val="auto"/>
          <w:kern w:val="0"/>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1C0F5171">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1.4.3 </w:t>
      </w:r>
      <w:r>
        <w:rPr>
          <w:rFonts w:hint="eastAsia" w:ascii="Times New Roman" w:hAnsi="宋体" w:eastAsia="宋体" w:cs="宋体"/>
          <w:color w:val="auto"/>
          <w:sz w:val="24"/>
          <w:szCs w:val="24"/>
          <w:highlight w:val="none"/>
        </w:rPr>
        <w:t>发包人对工程的技术标准和功能要求的特殊要求：</w:t>
      </w:r>
    </w:p>
    <w:p w14:paraId="72C21AF5">
      <w:pPr>
        <w:spacing w:line="400" w:lineRule="exact"/>
        <w:rPr>
          <w:rFonts w:ascii="Times New Roman" w:hAnsi="Times New Roman" w:eastAsia="宋体" w:cs="Times New Roman"/>
          <w:color w:val="auto"/>
          <w:sz w:val="24"/>
          <w:szCs w:val="24"/>
          <w:highlight w:val="none"/>
        </w:rPr>
      </w:pPr>
      <w:r>
        <w:rPr>
          <w:rFonts w:ascii="Times New Roman" w:hAnsi="宋体" w:eastAsia="宋体" w:cs="Times New Roman"/>
          <w:color w:val="auto"/>
          <w:sz w:val="24"/>
          <w:szCs w:val="24"/>
          <w:highlight w:val="none"/>
          <w:u w:val="single"/>
        </w:rPr>
        <w:t xml:space="preserve">        </w:t>
      </w:r>
      <w:r>
        <w:rPr>
          <w:rFonts w:hint="eastAsia" w:ascii="Times New Roman" w:hAnsi="宋体" w:eastAsia="宋体" w:cs="Times New Roman"/>
          <w:color w:val="auto"/>
          <w:sz w:val="24"/>
          <w:szCs w:val="24"/>
          <w:highlight w:val="none"/>
          <w:u w:val="single"/>
        </w:rPr>
        <w:t xml:space="preserve">       </w:t>
      </w:r>
      <w:r>
        <w:rPr>
          <w:rFonts w:hint="eastAsia" w:ascii="宋体" w:hAnsi="宋体" w:eastAsia="宋体" w:cs="Times New Roman"/>
          <w:color w:val="auto"/>
          <w:kern w:val="0"/>
          <w:sz w:val="24"/>
          <w:szCs w:val="24"/>
          <w:highlight w:val="none"/>
          <w:u w:val="single"/>
        </w:rPr>
        <w:t xml:space="preserve">签订合同时约定      </w:t>
      </w:r>
      <w:r>
        <w:rPr>
          <w:rFonts w:hint="eastAsia" w:ascii="Times New Roman" w:hAnsi="宋体"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655918FD">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139" w:name="_Toc389065262"/>
      <w:bookmarkStart w:id="140" w:name="_Toc407135198"/>
      <w:bookmarkStart w:id="141" w:name="_Toc9850526"/>
      <w:bookmarkStart w:id="142" w:name="_Toc373478343"/>
      <w:bookmarkStart w:id="143" w:name="_Toc373227696"/>
      <w:r>
        <w:rPr>
          <w:rFonts w:ascii="Times New Roman" w:hAnsi="Times New Roman" w:eastAsia="黑体" w:cs="Times New Roman"/>
          <w:b/>
          <w:bCs/>
          <w:color w:val="auto"/>
          <w:sz w:val="24"/>
          <w:szCs w:val="24"/>
          <w:highlight w:val="none"/>
          <w:lang w:val="zh-CN"/>
        </w:rPr>
        <w:t xml:space="preserve">1.5 </w:t>
      </w:r>
      <w:r>
        <w:rPr>
          <w:rFonts w:hint="eastAsia" w:ascii="Times New Roman" w:hAnsi="Times New Roman" w:eastAsia="黑体" w:cs="黑体"/>
          <w:b/>
          <w:bCs/>
          <w:color w:val="auto"/>
          <w:sz w:val="24"/>
          <w:szCs w:val="24"/>
          <w:highlight w:val="none"/>
          <w:lang w:val="zh-CN"/>
        </w:rPr>
        <w:t>合同文件的优先顺序</w:t>
      </w:r>
      <w:bookmarkEnd w:id="139"/>
      <w:bookmarkEnd w:id="140"/>
      <w:bookmarkEnd w:id="141"/>
      <w:bookmarkEnd w:id="142"/>
      <w:bookmarkEnd w:id="143"/>
    </w:p>
    <w:p w14:paraId="74D675FC">
      <w:pPr>
        <w:spacing w:line="400" w:lineRule="exact"/>
        <w:ind w:firstLine="480" w:firstLineChars="200"/>
        <w:rPr>
          <w:rFonts w:hint="eastAsia" w:ascii="Times New Roman" w:hAnsi="宋体" w:eastAsia="宋体" w:cs="Times New Roman"/>
          <w:color w:val="auto"/>
          <w:sz w:val="24"/>
          <w:szCs w:val="24"/>
          <w:highlight w:val="none"/>
        </w:rPr>
      </w:pPr>
      <w:r>
        <w:rPr>
          <w:rFonts w:hint="eastAsia" w:ascii="Times New Roman" w:hAnsi="宋体" w:eastAsia="宋体" w:cs="宋体"/>
          <w:color w:val="auto"/>
          <w:sz w:val="24"/>
          <w:szCs w:val="24"/>
          <w:highlight w:val="none"/>
        </w:rPr>
        <w:t>合同文件组成及优先顺序为：</w:t>
      </w:r>
    </w:p>
    <w:p w14:paraId="65946F96">
      <w:pPr>
        <w:spacing w:line="400" w:lineRule="exact"/>
        <w:ind w:firstLine="480" w:firstLineChars="200"/>
        <w:rPr>
          <w:rFonts w:hint="eastAsia" w:ascii="Times New Roman" w:hAnsi="宋体" w:eastAsia="宋体" w:cs="Times New Roman"/>
          <w:color w:val="auto"/>
          <w:kern w:val="0"/>
          <w:sz w:val="24"/>
          <w:szCs w:val="24"/>
          <w:highlight w:val="none"/>
        </w:rPr>
      </w:pPr>
      <w:r>
        <w:rPr>
          <w:rFonts w:hint="eastAsia" w:ascii="Times New Roman" w:hAnsi="宋体" w:eastAsia="宋体" w:cs="Times New Roman"/>
          <w:color w:val="auto"/>
          <w:kern w:val="0"/>
          <w:sz w:val="24"/>
          <w:szCs w:val="24"/>
          <w:highlight w:val="none"/>
        </w:rPr>
        <w:t>（1）合同协议书；</w:t>
      </w:r>
    </w:p>
    <w:p w14:paraId="6395DADF">
      <w:pPr>
        <w:spacing w:line="400" w:lineRule="exact"/>
        <w:ind w:firstLine="480" w:firstLineChars="200"/>
        <w:rPr>
          <w:rFonts w:hint="eastAsia" w:ascii="Times New Roman" w:hAnsi="宋体" w:eastAsia="宋体" w:cs="Times New Roman"/>
          <w:color w:val="auto"/>
          <w:kern w:val="0"/>
          <w:sz w:val="24"/>
          <w:szCs w:val="24"/>
          <w:highlight w:val="none"/>
        </w:rPr>
      </w:pPr>
      <w:r>
        <w:rPr>
          <w:rFonts w:ascii="Times New Roman" w:hAnsi="宋体" w:eastAsia="宋体" w:cs="Times New Roman"/>
          <w:color w:val="auto"/>
          <w:kern w:val="0"/>
          <w:sz w:val="24"/>
          <w:szCs w:val="24"/>
          <w:highlight w:val="none"/>
        </w:rPr>
        <w:t>（</w:t>
      </w:r>
      <w:r>
        <w:rPr>
          <w:rFonts w:hint="eastAsia" w:ascii="Times New Roman" w:hAnsi="宋体" w:eastAsia="宋体" w:cs="Times New Roman"/>
          <w:color w:val="auto"/>
          <w:kern w:val="0"/>
          <w:sz w:val="24"/>
          <w:szCs w:val="24"/>
          <w:highlight w:val="none"/>
        </w:rPr>
        <w:t>2</w:t>
      </w:r>
      <w:r>
        <w:rPr>
          <w:rFonts w:ascii="Times New Roman" w:hAnsi="宋体" w:eastAsia="宋体" w:cs="Times New Roman"/>
          <w:color w:val="auto"/>
          <w:kern w:val="0"/>
          <w:sz w:val="24"/>
          <w:szCs w:val="24"/>
          <w:highlight w:val="none"/>
        </w:rPr>
        <w:t>）成交通知书；</w:t>
      </w:r>
    </w:p>
    <w:p w14:paraId="62AEE723">
      <w:pPr>
        <w:spacing w:line="400" w:lineRule="exact"/>
        <w:ind w:firstLine="480" w:firstLineChars="200"/>
        <w:rPr>
          <w:rFonts w:hint="eastAsia" w:ascii="Times New Roman" w:hAnsi="宋体" w:eastAsia="宋体" w:cs="Times New Roman"/>
          <w:color w:val="auto"/>
          <w:kern w:val="0"/>
          <w:sz w:val="24"/>
          <w:szCs w:val="24"/>
          <w:highlight w:val="none"/>
        </w:rPr>
      </w:pPr>
      <w:r>
        <w:rPr>
          <w:rFonts w:ascii="Times New Roman" w:hAnsi="宋体" w:eastAsia="宋体" w:cs="Times New Roman"/>
          <w:color w:val="auto"/>
          <w:kern w:val="0"/>
          <w:sz w:val="24"/>
          <w:szCs w:val="24"/>
          <w:highlight w:val="none"/>
        </w:rPr>
        <w:t>（</w:t>
      </w:r>
      <w:r>
        <w:rPr>
          <w:rFonts w:hint="eastAsia" w:ascii="Times New Roman" w:hAnsi="宋体" w:eastAsia="宋体" w:cs="Times New Roman"/>
          <w:color w:val="auto"/>
          <w:kern w:val="0"/>
          <w:sz w:val="24"/>
          <w:szCs w:val="24"/>
          <w:highlight w:val="none"/>
        </w:rPr>
        <w:t>3</w:t>
      </w:r>
      <w:r>
        <w:rPr>
          <w:rFonts w:ascii="Times New Roman" w:hAnsi="宋体" w:eastAsia="宋体" w:cs="Times New Roman"/>
          <w:color w:val="auto"/>
          <w:kern w:val="0"/>
          <w:sz w:val="24"/>
          <w:szCs w:val="24"/>
          <w:highlight w:val="none"/>
        </w:rPr>
        <w:t>）</w:t>
      </w:r>
      <w:r>
        <w:rPr>
          <w:rFonts w:hint="eastAsia" w:ascii="Times New Roman" w:hAnsi="宋体" w:eastAsia="宋体" w:cs="Times New Roman"/>
          <w:color w:val="auto"/>
          <w:kern w:val="0"/>
          <w:sz w:val="24"/>
          <w:szCs w:val="24"/>
          <w:highlight w:val="none"/>
          <w:lang w:val="en-US" w:eastAsia="zh-CN"/>
        </w:rPr>
        <w:t>协商</w:t>
      </w:r>
      <w:r>
        <w:rPr>
          <w:rFonts w:ascii="Times New Roman" w:hAnsi="宋体" w:eastAsia="宋体" w:cs="Times New Roman"/>
          <w:color w:val="auto"/>
          <w:kern w:val="0"/>
          <w:sz w:val="24"/>
          <w:szCs w:val="24"/>
          <w:highlight w:val="none"/>
        </w:rPr>
        <w:t>函及其附录；</w:t>
      </w:r>
      <w:r>
        <w:rPr>
          <w:rFonts w:hint="eastAsia" w:ascii="Times New Roman" w:hAnsi="宋体" w:eastAsia="宋体" w:cs="Times New Roman"/>
          <w:color w:val="auto"/>
          <w:kern w:val="0"/>
          <w:sz w:val="24"/>
          <w:szCs w:val="24"/>
          <w:highlight w:val="none"/>
        </w:rPr>
        <w:t>（如有）</w:t>
      </w:r>
    </w:p>
    <w:p w14:paraId="5F426EB5">
      <w:pPr>
        <w:spacing w:line="400" w:lineRule="exact"/>
        <w:ind w:firstLine="480" w:firstLineChars="200"/>
        <w:rPr>
          <w:rFonts w:hint="eastAsia" w:ascii="Times New Roman" w:hAnsi="宋体" w:eastAsia="宋体" w:cs="Times New Roman"/>
          <w:color w:val="auto"/>
          <w:kern w:val="0"/>
          <w:sz w:val="24"/>
          <w:szCs w:val="24"/>
          <w:highlight w:val="none"/>
        </w:rPr>
      </w:pPr>
      <w:r>
        <w:rPr>
          <w:rFonts w:ascii="Times New Roman" w:hAnsi="宋体" w:eastAsia="宋体" w:cs="Times New Roman"/>
          <w:color w:val="auto"/>
          <w:kern w:val="0"/>
          <w:sz w:val="24"/>
          <w:szCs w:val="24"/>
          <w:highlight w:val="none"/>
        </w:rPr>
        <w:t>（</w:t>
      </w:r>
      <w:r>
        <w:rPr>
          <w:rFonts w:hint="eastAsia" w:ascii="Times New Roman" w:hAnsi="宋体" w:eastAsia="宋体" w:cs="Times New Roman"/>
          <w:color w:val="auto"/>
          <w:kern w:val="0"/>
          <w:sz w:val="24"/>
          <w:szCs w:val="24"/>
          <w:highlight w:val="none"/>
        </w:rPr>
        <w:t>4</w:t>
      </w:r>
      <w:r>
        <w:rPr>
          <w:rFonts w:ascii="Times New Roman" w:hAnsi="宋体" w:eastAsia="宋体" w:cs="Times New Roman"/>
          <w:color w:val="auto"/>
          <w:kern w:val="0"/>
          <w:sz w:val="24"/>
          <w:szCs w:val="24"/>
          <w:highlight w:val="none"/>
        </w:rPr>
        <w:t>）专用合同条款及其附件；</w:t>
      </w:r>
    </w:p>
    <w:p w14:paraId="2A843F69">
      <w:pPr>
        <w:spacing w:line="400" w:lineRule="exact"/>
        <w:ind w:firstLine="480" w:firstLineChars="200"/>
        <w:rPr>
          <w:rFonts w:hint="eastAsia" w:ascii="Times New Roman" w:hAnsi="宋体" w:eastAsia="宋体" w:cs="Times New Roman"/>
          <w:color w:val="auto"/>
          <w:kern w:val="0"/>
          <w:sz w:val="24"/>
          <w:szCs w:val="24"/>
          <w:highlight w:val="none"/>
        </w:rPr>
      </w:pPr>
      <w:r>
        <w:rPr>
          <w:rFonts w:ascii="Times New Roman" w:hAnsi="宋体" w:eastAsia="宋体" w:cs="Times New Roman"/>
          <w:color w:val="auto"/>
          <w:kern w:val="0"/>
          <w:sz w:val="24"/>
          <w:szCs w:val="24"/>
          <w:highlight w:val="none"/>
        </w:rPr>
        <w:t>（</w:t>
      </w:r>
      <w:r>
        <w:rPr>
          <w:rFonts w:hint="eastAsia" w:ascii="Times New Roman" w:hAnsi="宋体" w:eastAsia="宋体" w:cs="Times New Roman"/>
          <w:color w:val="auto"/>
          <w:kern w:val="0"/>
          <w:sz w:val="24"/>
          <w:szCs w:val="24"/>
          <w:highlight w:val="none"/>
        </w:rPr>
        <w:t>5</w:t>
      </w:r>
      <w:r>
        <w:rPr>
          <w:rFonts w:ascii="Times New Roman" w:hAnsi="宋体" w:eastAsia="宋体" w:cs="Times New Roman"/>
          <w:color w:val="auto"/>
          <w:kern w:val="0"/>
          <w:sz w:val="24"/>
          <w:szCs w:val="24"/>
          <w:highlight w:val="none"/>
        </w:rPr>
        <w:t>）通用合同条款；</w:t>
      </w:r>
    </w:p>
    <w:p w14:paraId="0831811C">
      <w:pPr>
        <w:spacing w:line="400" w:lineRule="exact"/>
        <w:ind w:firstLine="480" w:firstLineChars="200"/>
        <w:rPr>
          <w:rFonts w:hint="eastAsia" w:ascii="Times New Roman" w:hAnsi="宋体" w:eastAsia="宋体" w:cs="Times New Roman"/>
          <w:color w:val="auto"/>
          <w:kern w:val="0"/>
          <w:sz w:val="24"/>
          <w:szCs w:val="24"/>
          <w:highlight w:val="none"/>
        </w:rPr>
      </w:pPr>
      <w:r>
        <w:rPr>
          <w:rFonts w:hint="eastAsia" w:ascii="Times New Roman" w:hAnsi="宋体" w:eastAsia="宋体" w:cs="Times New Roman"/>
          <w:color w:val="auto"/>
          <w:kern w:val="0"/>
          <w:sz w:val="24"/>
          <w:szCs w:val="24"/>
          <w:highlight w:val="none"/>
        </w:rPr>
        <w:t>（6）技术标准和要求 ；</w:t>
      </w:r>
    </w:p>
    <w:p w14:paraId="2EC7995C">
      <w:pPr>
        <w:spacing w:line="400" w:lineRule="exact"/>
        <w:ind w:firstLine="480" w:firstLineChars="200"/>
        <w:rPr>
          <w:rFonts w:hint="eastAsia" w:ascii="Times New Roman" w:hAnsi="宋体" w:eastAsia="宋体" w:cs="Times New Roman"/>
          <w:color w:val="auto"/>
          <w:kern w:val="0"/>
          <w:sz w:val="24"/>
          <w:szCs w:val="24"/>
          <w:highlight w:val="none"/>
        </w:rPr>
      </w:pPr>
      <w:r>
        <w:rPr>
          <w:rFonts w:hint="eastAsia" w:ascii="Times New Roman" w:hAnsi="宋体" w:eastAsia="宋体" w:cs="Times New Roman"/>
          <w:color w:val="auto"/>
          <w:kern w:val="0"/>
          <w:sz w:val="24"/>
          <w:szCs w:val="24"/>
          <w:highlight w:val="none"/>
        </w:rPr>
        <w:t>（7）已标价工程量清单或预算书；</w:t>
      </w:r>
    </w:p>
    <w:p w14:paraId="114BF9A2">
      <w:pPr>
        <w:spacing w:line="400" w:lineRule="exact"/>
        <w:ind w:firstLine="480" w:firstLineChars="200"/>
        <w:rPr>
          <w:rFonts w:hint="eastAsia" w:ascii="Times New Roman" w:hAnsi="宋体" w:eastAsia="宋体" w:cs="Times New Roman"/>
          <w:color w:val="auto"/>
          <w:kern w:val="0"/>
          <w:sz w:val="24"/>
          <w:szCs w:val="24"/>
          <w:highlight w:val="none"/>
        </w:rPr>
      </w:pPr>
      <w:r>
        <w:rPr>
          <w:rFonts w:hint="eastAsia" w:ascii="Times New Roman" w:hAnsi="宋体" w:eastAsia="宋体" w:cs="Times New Roman"/>
          <w:color w:val="auto"/>
          <w:kern w:val="0"/>
          <w:sz w:val="24"/>
          <w:szCs w:val="24"/>
          <w:highlight w:val="none"/>
        </w:rPr>
        <w:t>（8）图纸（如有）；</w:t>
      </w:r>
    </w:p>
    <w:p w14:paraId="63202C8F">
      <w:pPr>
        <w:spacing w:line="400" w:lineRule="exact"/>
        <w:ind w:firstLine="480" w:firstLineChars="200"/>
        <w:rPr>
          <w:rFonts w:hint="eastAsia" w:ascii="Times New Roman" w:hAnsi="宋体" w:eastAsia="宋体" w:cs="Times New Roman"/>
          <w:color w:val="auto"/>
          <w:kern w:val="0"/>
          <w:sz w:val="24"/>
          <w:szCs w:val="24"/>
          <w:highlight w:val="none"/>
        </w:rPr>
      </w:pPr>
      <w:r>
        <w:rPr>
          <w:rFonts w:hint="eastAsia" w:ascii="Times New Roman" w:hAnsi="宋体" w:eastAsia="宋体" w:cs="Times New Roman"/>
          <w:color w:val="auto"/>
          <w:kern w:val="0"/>
          <w:sz w:val="24"/>
          <w:szCs w:val="24"/>
          <w:highlight w:val="none"/>
        </w:rPr>
        <w:t>（9）其他合同文件 。</w:t>
      </w:r>
    </w:p>
    <w:p w14:paraId="6532B940">
      <w:pPr>
        <w:spacing w:line="400" w:lineRule="exact"/>
        <w:ind w:firstLine="480" w:firstLineChars="200"/>
        <w:rPr>
          <w:rFonts w:hint="eastAsia" w:ascii="Times New Roman" w:hAnsi="宋体"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w:t>
      </w:r>
      <w:r>
        <w:rPr>
          <w:rFonts w:ascii="Times New Roman" w:hAnsi="宋体" w:eastAsia="宋体" w:cs="Times New Roman"/>
          <w:color w:val="auto"/>
          <w:kern w:val="0"/>
          <w:sz w:val="24"/>
          <w:szCs w:val="24"/>
          <w:highlight w:val="none"/>
        </w:rPr>
        <w:t>10</w:t>
      </w:r>
      <w:r>
        <w:rPr>
          <w:rFonts w:hint="eastAsia" w:ascii="Times New Roman" w:hAnsi="宋体" w:eastAsia="宋体" w:cs="宋体"/>
          <w:color w:val="auto"/>
          <w:kern w:val="0"/>
          <w:sz w:val="24"/>
          <w:szCs w:val="24"/>
          <w:highlight w:val="none"/>
        </w:rPr>
        <w:t>）《建设工程工程量清单计价规范》（GB50500-2013）及广西壮族自治区实施细则、《建设工程工程量计算规范》（GB50854～50862-2013）及</w:t>
      </w:r>
      <w:r>
        <w:rPr>
          <w:rFonts w:ascii="宋体" w:hAnsi="宋体" w:eastAsia="宋体" w:cs="Times New Roman"/>
          <w:color w:val="auto"/>
          <w:spacing w:val="-1"/>
          <w:sz w:val="24"/>
          <w:szCs w:val="24"/>
          <w:highlight w:val="none"/>
        </w:rPr>
        <w:t>《关于调整建设工程定额人工工资单价</w:t>
      </w:r>
      <w:r>
        <w:rPr>
          <w:rFonts w:hint="eastAsia" w:ascii="宋体" w:hAnsi="宋体" w:eastAsia="宋体" w:cs="Times New Roman"/>
          <w:color w:val="auto"/>
          <w:spacing w:val="-1"/>
          <w:sz w:val="24"/>
          <w:szCs w:val="24"/>
          <w:highlight w:val="none"/>
        </w:rPr>
        <w:t>及有关费率</w:t>
      </w:r>
      <w:r>
        <w:rPr>
          <w:rFonts w:ascii="宋体" w:hAnsi="宋体" w:eastAsia="宋体" w:cs="Times New Roman"/>
          <w:color w:val="auto"/>
          <w:spacing w:val="-1"/>
          <w:sz w:val="24"/>
          <w:szCs w:val="24"/>
          <w:highlight w:val="none"/>
        </w:rPr>
        <w:t>的通知》（桂建标</w:t>
      </w:r>
      <w:r>
        <w:rPr>
          <w:rFonts w:hint="eastAsia" w:ascii="宋体" w:hAnsi="宋体" w:eastAsia="宋体" w:cs="Times New Roman"/>
          <w:color w:val="auto"/>
          <w:spacing w:val="-1"/>
          <w:sz w:val="24"/>
          <w:szCs w:val="24"/>
          <w:highlight w:val="none"/>
          <w:lang w:eastAsia="zh-CN"/>
        </w:rPr>
        <w:t>〔2015〕5号</w:t>
      </w:r>
      <w:r>
        <w:rPr>
          <w:rFonts w:ascii="宋体" w:hAnsi="宋体" w:eastAsia="宋体" w:cs="Times New Roman"/>
          <w:color w:val="auto"/>
          <w:spacing w:val="-1"/>
          <w:sz w:val="24"/>
          <w:szCs w:val="24"/>
          <w:highlight w:val="none"/>
        </w:rPr>
        <w:t>)</w:t>
      </w:r>
      <w:r>
        <w:rPr>
          <w:rFonts w:hint="eastAsia" w:ascii="Times New Roman" w:hAnsi="宋体" w:eastAsia="宋体" w:cs="宋体"/>
          <w:color w:val="auto"/>
          <w:kern w:val="0"/>
          <w:sz w:val="24"/>
          <w:szCs w:val="24"/>
          <w:highlight w:val="none"/>
        </w:rPr>
        <w:t>。</w:t>
      </w:r>
    </w:p>
    <w:p w14:paraId="3B66F0BF">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kern w:val="0"/>
          <w:sz w:val="24"/>
          <w:szCs w:val="24"/>
          <w:highlight w:val="none"/>
        </w:rPr>
        <w:t>说明：（</w:t>
      </w:r>
      <w:r>
        <w:rPr>
          <w:rFonts w:hint="eastAsia" w:ascii="Times New Roman" w:hAnsi="宋体" w:eastAsia="宋体" w:cs="Times New Roman"/>
          <w:color w:val="auto"/>
          <w:kern w:val="0"/>
          <w:sz w:val="24"/>
          <w:szCs w:val="24"/>
          <w:highlight w:val="none"/>
        </w:rPr>
        <w:t>5</w:t>
      </w:r>
      <w:r>
        <w:rPr>
          <w:rFonts w:hint="eastAsia" w:ascii="Times New Roman" w:hAnsi="宋体" w:eastAsia="宋体" w:cs="宋体"/>
          <w:color w:val="auto"/>
          <w:kern w:val="0"/>
          <w:sz w:val="24"/>
          <w:szCs w:val="24"/>
          <w:highlight w:val="none"/>
        </w:rPr>
        <w:t>）、（</w:t>
      </w:r>
      <w:r>
        <w:rPr>
          <w:rFonts w:hint="eastAsia" w:ascii="Times New Roman" w:hAnsi="宋体" w:eastAsia="宋体" w:cs="Times New Roman"/>
          <w:color w:val="auto"/>
          <w:kern w:val="0"/>
          <w:sz w:val="24"/>
          <w:szCs w:val="24"/>
          <w:highlight w:val="none"/>
        </w:rPr>
        <w:t>6</w:t>
      </w:r>
      <w:r>
        <w:rPr>
          <w:rFonts w:hint="eastAsia" w:ascii="Times New Roman" w:hAnsi="宋体" w:eastAsia="宋体" w:cs="宋体"/>
          <w:color w:val="auto"/>
          <w:kern w:val="0"/>
          <w:sz w:val="24"/>
          <w:szCs w:val="24"/>
          <w:highlight w:val="none"/>
        </w:rPr>
        <w:t>）、（</w:t>
      </w:r>
      <w:r>
        <w:rPr>
          <w:rFonts w:hint="eastAsia" w:ascii="Times New Roman" w:hAnsi="宋体" w:eastAsia="宋体" w:cs="Times New Roman"/>
          <w:color w:val="auto"/>
          <w:kern w:val="0"/>
          <w:sz w:val="24"/>
          <w:szCs w:val="24"/>
          <w:highlight w:val="none"/>
        </w:rPr>
        <w:t>7</w:t>
      </w:r>
      <w:r>
        <w:rPr>
          <w:rFonts w:hint="eastAsia" w:ascii="Times New Roman" w:hAnsi="宋体" w:eastAsia="宋体" w:cs="宋体"/>
          <w:color w:val="auto"/>
          <w:kern w:val="0"/>
          <w:sz w:val="24"/>
          <w:szCs w:val="24"/>
          <w:highlight w:val="none"/>
        </w:rPr>
        <w:t>）、（</w:t>
      </w:r>
      <w:r>
        <w:rPr>
          <w:rFonts w:hint="eastAsia" w:ascii="Times New Roman" w:hAnsi="宋体" w:eastAsia="宋体" w:cs="Times New Roman"/>
          <w:color w:val="auto"/>
          <w:kern w:val="0"/>
          <w:sz w:val="24"/>
          <w:szCs w:val="24"/>
          <w:highlight w:val="none"/>
        </w:rPr>
        <w:t>8</w:t>
      </w:r>
      <w:r>
        <w:rPr>
          <w:rFonts w:hint="eastAsia" w:ascii="Times New Roman" w:hAnsi="宋体" w:eastAsia="宋体" w:cs="宋体"/>
          <w:color w:val="auto"/>
          <w:kern w:val="0"/>
          <w:sz w:val="24"/>
          <w:szCs w:val="24"/>
          <w:highlight w:val="none"/>
        </w:rPr>
        <w:t>）内容分别限于技术标准和要求、图纸、已标价工程量清单或预算书、其他合同文件四者之一，其优先顺序可根据采取的不同合同方式由双方约定。</w:t>
      </w:r>
    </w:p>
    <w:p w14:paraId="42B23E3F">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144" w:name="_Toc373478344"/>
      <w:bookmarkStart w:id="145" w:name="_Toc373227697"/>
      <w:bookmarkStart w:id="146" w:name="_Toc389065263"/>
      <w:bookmarkStart w:id="147" w:name="_Toc407135199"/>
      <w:bookmarkStart w:id="148" w:name="_Toc9850527"/>
      <w:r>
        <w:rPr>
          <w:rFonts w:ascii="Times New Roman" w:hAnsi="Times New Roman" w:eastAsia="黑体" w:cs="Times New Roman"/>
          <w:b/>
          <w:bCs/>
          <w:color w:val="auto"/>
          <w:sz w:val="24"/>
          <w:szCs w:val="24"/>
          <w:highlight w:val="none"/>
          <w:lang w:val="zh-CN"/>
        </w:rPr>
        <w:t xml:space="preserve">1.6 </w:t>
      </w:r>
      <w:r>
        <w:rPr>
          <w:rFonts w:hint="eastAsia" w:ascii="Times New Roman" w:hAnsi="Times New Roman" w:eastAsia="黑体" w:cs="黑体"/>
          <w:b/>
          <w:bCs/>
          <w:color w:val="auto"/>
          <w:sz w:val="24"/>
          <w:szCs w:val="24"/>
          <w:highlight w:val="none"/>
          <w:lang w:val="zh-CN"/>
        </w:rPr>
        <w:t>图纸和承包人文件</w:t>
      </w:r>
      <w:bookmarkEnd w:id="144"/>
      <w:bookmarkEnd w:id="145"/>
      <w:bookmarkEnd w:id="146"/>
      <w:bookmarkEnd w:id="147"/>
      <w:bookmarkEnd w:id="148"/>
      <w:r>
        <w:rPr>
          <w:rFonts w:ascii="Times New Roman" w:hAnsi="Times New Roman" w:eastAsia="黑体" w:cs="Times New Roman"/>
          <w:b/>
          <w:bCs/>
          <w:color w:val="auto"/>
          <w:sz w:val="24"/>
          <w:szCs w:val="24"/>
          <w:highlight w:val="none"/>
          <w:lang w:val="zh-CN"/>
        </w:rPr>
        <w:tab/>
      </w:r>
    </w:p>
    <w:p w14:paraId="1C9DC114">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1.6.1 </w:t>
      </w:r>
      <w:r>
        <w:rPr>
          <w:rFonts w:hint="eastAsia" w:ascii="Times New Roman" w:hAnsi="宋体" w:eastAsia="宋体" w:cs="宋体"/>
          <w:color w:val="auto"/>
          <w:sz w:val="24"/>
          <w:szCs w:val="24"/>
          <w:highlight w:val="none"/>
        </w:rPr>
        <w:t>图纸的提供</w:t>
      </w:r>
    </w:p>
    <w:p w14:paraId="71D3577B">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发包人向承包人提供图纸的期限：</w:t>
      </w:r>
      <w:r>
        <w:rPr>
          <w:rFonts w:hint="eastAsia" w:ascii="宋体" w:hAnsi="宋体" w:eastAsia="宋体" w:cs="Times New Roman"/>
          <w:color w:val="auto"/>
          <w:sz w:val="24"/>
          <w:szCs w:val="24"/>
          <w:highlight w:val="none"/>
          <w:u w:val="single"/>
        </w:rPr>
        <w:t>合同生效后7天内</w:t>
      </w:r>
      <w:r>
        <w:rPr>
          <w:rFonts w:hint="eastAsia" w:ascii="Times New Roman" w:hAnsi="宋体" w:eastAsia="宋体" w:cs="宋体"/>
          <w:color w:val="auto"/>
          <w:sz w:val="24"/>
          <w:szCs w:val="24"/>
          <w:highlight w:val="none"/>
        </w:rPr>
        <w:t>；</w:t>
      </w:r>
    </w:p>
    <w:p w14:paraId="1C84BD3A">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发包人向承包人提供图纸的数量：</w:t>
      </w:r>
      <w:r>
        <w:rPr>
          <w:rFonts w:hint="eastAsia" w:ascii="Times New Roman" w:hAnsi="宋体" w:eastAsia="宋体" w:cs="宋体"/>
          <w:color w:val="auto"/>
          <w:sz w:val="24"/>
          <w:szCs w:val="24"/>
          <w:highlight w:val="none"/>
          <w:u w:val="single"/>
        </w:rPr>
        <w:t xml:space="preserve"> </w:t>
      </w:r>
      <w:r>
        <w:rPr>
          <w:rFonts w:hint="eastAsia" w:ascii="MingLiU_HKSCS" w:hAnsi="Times New Roman" w:eastAsia="宋体" w:cs="MingLiU_HKSCS"/>
          <w:color w:val="auto"/>
          <w:sz w:val="24"/>
          <w:szCs w:val="24"/>
          <w:highlight w:val="none"/>
          <w:u w:val="single"/>
        </w:rPr>
        <w:t xml:space="preserve">2 </w:t>
      </w:r>
      <w:r>
        <w:rPr>
          <w:rFonts w:hint="eastAsia" w:ascii="Times New Roman" w:hAnsi="宋体" w:eastAsia="宋体" w:cs="宋体"/>
          <w:color w:val="auto"/>
          <w:sz w:val="24"/>
          <w:szCs w:val="24"/>
          <w:highlight w:val="none"/>
        </w:rPr>
        <w:t>套（承包人需要增加图纸套数的，发包人应代为复制，复制费用由承包人承担）；</w:t>
      </w:r>
    </w:p>
    <w:p w14:paraId="2EC31E61">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发包人向承包人提供图纸的内容：</w:t>
      </w:r>
      <w:r>
        <w:rPr>
          <w:rFonts w:hint="eastAsia" w:ascii="宋体" w:hAnsi="宋体" w:eastAsia="宋体" w:cs="Times New Roman"/>
          <w:color w:val="auto"/>
          <w:sz w:val="24"/>
          <w:szCs w:val="24"/>
          <w:highlight w:val="none"/>
          <w:u w:val="single"/>
        </w:rPr>
        <w:t>经审图单位盖章认定的全套施工图纸</w:t>
      </w:r>
      <w:r>
        <w:rPr>
          <w:rFonts w:hint="eastAsia" w:ascii="Times New Roman" w:hAnsi="宋体" w:eastAsia="宋体" w:cs="宋体"/>
          <w:color w:val="auto"/>
          <w:sz w:val="24"/>
          <w:szCs w:val="24"/>
          <w:highlight w:val="none"/>
        </w:rPr>
        <w:t>。</w:t>
      </w:r>
    </w:p>
    <w:p w14:paraId="0C5A14BF">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1.6.4 </w:t>
      </w:r>
      <w:r>
        <w:rPr>
          <w:rFonts w:hint="eastAsia" w:ascii="Times New Roman" w:hAnsi="宋体" w:eastAsia="宋体" w:cs="宋体"/>
          <w:color w:val="auto"/>
          <w:sz w:val="24"/>
          <w:szCs w:val="24"/>
          <w:highlight w:val="none"/>
        </w:rPr>
        <w:t>承包人文件</w:t>
      </w:r>
    </w:p>
    <w:p w14:paraId="197DCF4F">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需要由承包人提供的文件，包括：</w:t>
      </w:r>
      <w:r>
        <w:rPr>
          <w:rFonts w:hint="eastAsia" w:ascii="宋体" w:hAnsi="宋体" w:eastAsia="宋体" w:cs="宋体"/>
          <w:color w:val="auto"/>
          <w:sz w:val="24"/>
          <w:szCs w:val="24"/>
          <w:highlight w:val="none"/>
          <w:u w:val="single"/>
        </w:rPr>
        <w:t>施工合同、施工组织设计（施工方案）和进度计划时间</w:t>
      </w:r>
      <w:r>
        <w:rPr>
          <w:rFonts w:hint="eastAsia" w:ascii="Times New Roman" w:hAnsi="宋体" w:eastAsia="宋体" w:cs="宋体"/>
          <w:color w:val="auto"/>
          <w:sz w:val="24"/>
          <w:szCs w:val="24"/>
          <w:highlight w:val="none"/>
        </w:rPr>
        <w:t>；</w:t>
      </w:r>
    </w:p>
    <w:p w14:paraId="7DA985D7">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承包人提供的文件的期限为：</w:t>
      </w:r>
      <w:r>
        <w:rPr>
          <w:rFonts w:hint="eastAsia" w:ascii="宋体" w:hAnsi="宋体" w:eastAsia="宋体" w:cs="Times New Roman"/>
          <w:color w:val="auto"/>
          <w:sz w:val="24"/>
          <w:szCs w:val="24"/>
          <w:highlight w:val="none"/>
          <w:u w:val="single"/>
        </w:rPr>
        <w:t>开工前7天内</w:t>
      </w:r>
      <w:r>
        <w:rPr>
          <w:rFonts w:ascii="Times New Roman" w:hAnsi="宋体"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4864FE7F">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承包人提供的文件的数量为：</w:t>
      </w:r>
      <w:r>
        <w:rPr>
          <w:rFonts w:hint="eastAsia" w:ascii="宋体" w:hAnsi="宋体" w:eastAsia="宋体" w:cs="宋体"/>
          <w:color w:val="auto"/>
          <w:sz w:val="24"/>
          <w:szCs w:val="24"/>
          <w:highlight w:val="none"/>
          <w:u w:val="single"/>
        </w:rPr>
        <w:t>一式四份</w:t>
      </w:r>
      <w:r>
        <w:rPr>
          <w:rFonts w:hint="eastAsia" w:ascii="Times New Roman" w:hAnsi="宋体" w:eastAsia="宋体" w:cs="宋体"/>
          <w:color w:val="auto"/>
          <w:sz w:val="24"/>
          <w:szCs w:val="24"/>
          <w:highlight w:val="none"/>
        </w:rPr>
        <w:t>；</w:t>
      </w:r>
    </w:p>
    <w:p w14:paraId="317905D5">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承包人提供的文件的形式为：</w:t>
      </w:r>
      <w:r>
        <w:rPr>
          <w:rFonts w:hint="eastAsia" w:ascii="宋体" w:hAnsi="宋体" w:eastAsia="宋体" w:cs="宋体"/>
          <w:color w:val="auto"/>
          <w:sz w:val="24"/>
          <w:szCs w:val="24"/>
          <w:highlight w:val="none"/>
          <w:u w:val="single"/>
        </w:rPr>
        <w:t>书面形式和电子版</w:t>
      </w:r>
      <w:r>
        <w:rPr>
          <w:rFonts w:hint="eastAsia"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481F0CDB">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发包人审批承包人文件的期限：</w:t>
      </w:r>
      <w:r>
        <w:rPr>
          <w:rFonts w:ascii="Times New Roman" w:hAnsi="Times New Roman" w:eastAsia="宋体" w:cs="Times New Roman"/>
          <w:color w:val="auto"/>
          <w:sz w:val="24"/>
          <w:szCs w:val="24"/>
          <w:highlight w:val="none"/>
          <w:u w:val="single"/>
        </w:rPr>
        <w:t xml:space="preserve">       </w:t>
      </w:r>
      <w:r>
        <w:rPr>
          <w:rFonts w:hint="eastAsia" w:ascii="宋体" w:hAnsi="宋体" w:eastAsia="宋体" w:cs="宋体"/>
          <w:color w:val="auto"/>
          <w:sz w:val="24"/>
          <w:szCs w:val="24"/>
          <w:highlight w:val="none"/>
          <w:u w:val="single"/>
        </w:rPr>
        <w:t>7天内</w:t>
      </w:r>
      <w:r>
        <w:rPr>
          <w:rFonts w:ascii="Times New Roman" w:hAnsi="宋体" w:eastAsia="宋体" w:cs="Times New Roman"/>
          <w:color w:val="auto"/>
          <w:sz w:val="24"/>
          <w:szCs w:val="24"/>
          <w:highlight w:val="none"/>
          <w:u w:val="single"/>
        </w:rPr>
        <w:t xml:space="preserve">  </w:t>
      </w:r>
      <w:r>
        <w:rPr>
          <w:rFonts w:hint="eastAsia" w:ascii="Times New Roman" w:hAnsi="宋体"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4086D869">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1.6.5 </w:t>
      </w:r>
      <w:r>
        <w:rPr>
          <w:rFonts w:hint="eastAsia" w:ascii="Times New Roman" w:hAnsi="宋体" w:eastAsia="宋体" w:cs="宋体"/>
          <w:color w:val="auto"/>
          <w:sz w:val="24"/>
          <w:szCs w:val="24"/>
          <w:highlight w:val="none"/>
        </w:rPr>
        <w:t>现场图纸准备</w:t>
      </w:r>
    </w:p>
    <w:p w14:paraId="0A5CADF2">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关于现场图纸准备的约定：</w:t>
      </w:r>
      <w:r>
        <w:rPr>
          <w:rFonts w:hint="eastAsia" w:ascii="宋体" w:hAnsi="宋体" w:eastAsia="宋体" w:cs="Times New Roman"/>
          <w:color w:val="auto"/>
          <w:sz w:val="24"/>
          <w:szCs w:val="24"/>
          <w:highlight w:val="none"/>
          <w:u w:val="single"/>
        </w:rPr>
        <w:t>承包人在施工现场另外保存一套完整的图纸和承包人文件，供发包人、监理人及有关人员进行工程检查时使用</w:t>
      </w:r>
      <w:r>
        <w:rPr>
          <w:rFonts w:hint="eastAsia" w:ascii="Times New Roman" w:hAnsi="宋体" w:eastAsia="宋体" w:cs="宋体"/>
          <w:color w:val="auto"/>
          <w:sz w:val="24"/>
          <w:szCs w:val="24"/>
          <w:highlight w:val="none"/>
        </w:rPr>
        <w:t>。</w:t>
      </w:r>
    </w:p>
    <w:p w14:paraId="543EEE6A">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149" w:name="_Toc373227698"/>
      <w:bookmarkStart w:id="150" w:name="_Toc373478345"/>
      <w:bookmarkStart w:id="151" w:name="_Toc9850528"/>
      <w:bookmarkStart w:id="152" w:name="_Toc389065264"/>
      <w:bookmarkStart w:id="153" w:name="_Toc407135200"/>
      <w:r>
        <w:rPr>
          <w:rFonts w:ascii="Times New Roman" w:hAnsi="Times New Roman" w:eastAsia="黑体" w:cs="Times New Roman"/>
          <w:b/>
          <w:bCs/>
          <w:color w:val="auto"/>
          <w:sz w:val="24"/>
          <w:szCs w:val="24"/>
          <w:highlight w:val="none"/>
          <w:lang w:val="zh-CN"/>
        </w:rPr>
        <w:t xml:space="preserve">1.7 </w:t>
      </w:r>
      <w:r>
        <w:rPr>
          <w:rFonts w:hint="eastAsia" w:ascii="Times New Roman" w:hAnsi="宋体" w:eastAsia="黑体" w:cs="黑体"/>
          <w:b/>
          <w:bCs/>
          <w:color w:val="auto"/>
          <w:sz w:val="24"/>
          <w:szCs w:val="24"/>
          <w:highlight w:val="none"/>
          <w:lang w:val="zh-CN"/>
        </w:rPr>
        <w:t>联络</w:t>
      </w:r>
      <w:bookmarkEnd w:id="149"/>
      <w:bookmarkEnd w:id="150"/>
      <w:bookmarkEnd w:id="151"/>
      <w:bookmarkEnd w:id="152"/>
      <w:bookmarkEnd w:id="153"/>
    </w:p>
    <w:p w14:paraId="773D1C7D">
      <w:pPr>
        <w:spacing w:line="400" w:lineRule="exact"/>
        <w:ind w:firstLine="480" w:firstLineChars="200"/>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1.7.1</w:t>
      </w:r>
      <w:r>
        <w:rPr>
          <w:rFonts w:hint="eastAsia" w:ascii="Times New Roman" w:hAnsi="宋体" w:eastAsia="宋体" w:cs="宋体"/>
          <w:color w:val="auto"/>
          <w:kern w:val="0"/>
          <w:sz w:val="24"/>
          <w:szCs w:val="24"/>
          <w:highlight w:val="none"/>
        </w:rPr>
        <w:t>发包人和承包人应当在</w:t>
      </w:r>
      <w:r>
        <w:rPr>
          <w:rFonts w:hint="eastAsia" w:ascii="宋体" w:hAnsi="宋体" w:eastAsia="宋体" w:cs="宋体"/>
          <w:color w:val="auto"/>
          <w:sz w:val="24"/>
          <w:szCs w:val="24"/>
          <w:highlight w:val="none"/>
          <w:u w:val="single"/>
        </w:rPr>
        <w:t>15</w:t>
      </w:r>
      <w:r>
        <w:rPr>
          <w:rFonts w:hint="eastAsia" w:ascii="Times New Roman" w:hAnsi="宋体" w:eastAsia="宋体" w:cs="宋体"/>
          <w:color w:val="auto"/>
          <w:kern w:val="0"/>
          <w:sz w:val="24"/>
          <w:szCs w:val="24"/>
          <w:highlight w:val="none"/>
        </w:rPr>
        <w:t>天内将与合同有关的通知、批准、证明、证书、指示、指令、要求、请求、同意、意见、确定和决定等书面函件送达对方当事人。</w:t>
      </w:r>
    </w:p>
    <w:p w14:paraId="70B2CD8A">
      <w:pPr>
        <w:spacing w:line="400" w:lineRule="exact"/>
        <w:ind w:firstLine="480" w:firstLineChars="200"/>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xml:space="preserve">1.7.2 </w:t>
      </w:r>
      <w:r>
        <w:rPr>
          <w:rFonts w:hint="eastAsia" w:ascii="Times New Roman" w:hAnsi="宋体" w:eastAsia="宋体" w:cs="宋体"/>
          <w:color w:val="auto"/>
          <w:kern w:val="0"/>
          <w:sz w:val="24"/>
          <w:szCs w:val="24"/>
          <w:highlight w:val="none"/>
        </w:rPr>
        <w:t>发包人接收文件的地点：</w:t>
      </w:r>
      <w:r>
        <w:rPr>
          <w:rFonts w:ascii="Times New Roman" w:hAnsi="Times New Roman"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现场代表办公室</w:t>
      </w:r>
      <w:r>
        <w:rPr>
          <w:rFonts w:hint="eastAsia"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1526B95C">
      <w:pPr>
        <w:spacing w:line="400" w:lineRule="exact"/>
        <w:ind w:firstLine="480" w:firstLineChars="200"/>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发包人指定的接收人为：</w:t>
      </w:r>
      <w:r>
        <w:rPr>
          <w:rFonts w:ascii="Times New Roman" w:hAnsi="Times New Roman"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现场代表人</w:t>
      </w:r>
      <w:r>
        <w:rPr>
          <w:rFonts w:hint="eastAsia"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2290D1BA">
      <w:pPr>
        <w:spacing w:line="400" w:lineRule="exact"/>
        <w:ind w:firstLine="480" w:firstLineChars="200"/>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承包人接收文件的地点：</w:t>
      </w:r>
      <w:r>
        <w:rPr>
          <w:rFonts w:ascii="Times New Roman" w:hAnsi="Times New Roman"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项目经理办公室</w:t>
      </w:r>
      <w:r>
        <w:rPr>
          <w:rFonts w:hint="eastAsia"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28046D6A">
      <w:pPr>
        <w:spacing w:line="400" w:lineRule="exact"/>
        <w:ind w:firstLine="480" w:firstLineChars="200"/>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承包人指定的接收人为：</w:t>
      </w:r>
      <w:r>
        <w:rPr>
          <w:rFonts w:ascii="Times New Roman" w:hAnsi="Times New Roman"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现场项目经理</w:t>
      </w:r>
      <w:r>
        <w:rPr>
          <w:rFonts w:hint="eastAsia"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65C8BA77">
      <w:pPr>
        <w:spacing w:line="400" w:lineRule="exact"/>
        <w:ind w:firstLine="480" w:firstLineChars="200"/>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监理人接收文件的地点：</w:t>
      </w:r>
      <w:r>
        <w:rPr>
          <w:rFonts w:ascii="Times New Roman" w:hAnsi="Times New Roman"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项目监理办公室</w:t>
      </w:r>
      <w:r>
        <w:rPr>
          <w:rFonts w:hint="eastAsia"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13B327CC">
      <w:pPr>
        <w:spacing w:line="400" w:lineRule="exact"/>
        <w:ind w:firstLine="480" w:firstLineChars="200"/>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监理人指定的接收人为：</w:t>
      </w:r>
      <w:r>
        <w:rPr>
          <w:rFonts w:ascii="Times New Roman" w:hAnsi="Times New Roman"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现场监理工程师</w:t>
      </w:r>
      <w:r>
        <w:rPr>
          <w:rFonts w:hint="eastAsia"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257B4DC7">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154" w:name="_Toc407135201"/>
      <w:bookmarkStart w:id="155" w:name="_Toc389065265"/>
      <w:bookmarkStart w:id="156" w:name="_Toc9850529"/>
      <w:bookmarkStart w:id="157" w:name="_Toc373478346"/>
      <w:bookmarkStart w:id="158" w:name="_Toc373227699"/>
      <w:r>
        <w:rPr>
          <w:rFonts w:ascii="Times New Roman" w:hAnsi="Times New Roman" w:eastAsia="黑体" w:cs="Times New Roman"/>
          <w:b/>
          <w:bCs/>
          <w:color w:val="auto"/>
          <w:sz w:val="24"/>
          <w:szCs w:val="24"/>
          <w:highlight w:val="none"/>
          <w:lang w:val="zh-CN"/>
        </w:rPr>
        <w:t xml:space="preserve">1.10 </w:t>
      </w:r>
      <w:r>
        <w:rPr>
          <w:rFonts w:hint="eastAsia" w:ascii="Times New Roman" w:hAnsi="宋体" w:eastAsia="黑体" w:cs="黑体"/>
          <w:b/>
          <w:bCs/>
          <w:color w:val="auto"/>
          <w:sz w:val="24"/>
          <w:szCs w:val="24"/>
          <w:highlight w:val="none"/>
          <w:lang w:val="zh-CN"/>
        </w:rPr>
        <w:t>交通运输</w:t>
      </w:r>
      <w:bookmarkEnd w:id="154"/>
      <w:bookmarkEnd w:id="155"/>
      <w:bookmarkEnd w:id="156"/>
      <w:bookmarkEnd w:id="157"/>
      <w:bookmarkEnd w:id="158"/>
    </w:p>
    <w:p w14:paraId="5318ACC1">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w:t>
      </w:r>
      <w:bookmarkStart w:id="159" w:name="_Toc303539100"/>
      <w:bookmarkStart w:id="160" w:name="_Toc318581155"/>
      <w:bookmarkStart w:id="161" w:name="_Toc304295521"/>
      <w:bookmarkStart w:id="162" w:name="_Toc312677986"/>
      <w:bookmarkStart w:id="163" w:name="_Toc300934943"/>
      <w:r>
        <w:rPr>
          <w:rFonts w:ascii="Times New Roman" w:hAnsi="Times New Roman" w:eastAsia="宋体" w:cs="Times New Roman"/>
          <w:color w:val="auto"/>
          <w:sz w:val="24"/>
          <w:szCs w:val="24"/>
          <w:highlight w:val="none"/>
        </w:rPr>
        <w:t xml:space="preserve">.10.1 </w:t>
      </w:r>
      <w:r>
        <w:rPr>
          <w:rFonts w:hint="eastAsia" w:ascii="Times New Roman" w:hAnsi="宋体" w:eastAsia="宋体" w:cs="宋体"/>
          <w:color w:val="auto"/>
          <w:sz w:val="24"/>
          <w:szCs w:val="24"/>
          <w:highlight w:val="none"/>
        </w:rPr>
        <w:t>出入现场的权利</w:t>
      </w:r>
    </w:p>
    <w:p w14:paraId="3BC37448">
      <w:pPr>
        <w:spacing w:line="400" w:lineRule="exact"/>
        <w:ind w:firstLine="480" w:firstLineChars="200"/>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关于出入现场的权利的约定：</w:t>
      </w:r>
      <w:r>
        <w:rPr>
          <w:rFonts w:ascii="Times New Roman" w:hAnsi="Times New Roman"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按通用条款1.10.1执行</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bookmarkEnd w:id="159"/>
    <w:bookmarkEnd w:id="160"/>
    <w:bookmarkEnd w:id="161"/>
    <w:bookmarkEnd w:id="162"/>
    <w:bookmarkEnd w:id="163"/>
    <w:p w14:paraId="6BA7F757">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w:t>
      </w:r>
      <w:bookmarkStart w:id="164" w:name="_Toc312677987"/>
      <w:bookmarkStart w:id="165" w:name="_Toc303539101"/>
      <w:bookmarkStart w:id="166" w:name="_Toc300934944"/>
      <w:bookmarkStart w:id="167" w:name="_Toc304295522"/>
      <w:bookmarkStart w:id="168" w:name="_Toc318581156"/>
      <w:r>
        <w:rPr>
          <w:rFonts w:ascii="Times New Roman" w:hAnsi="Times New Roman" w:eastAsia="宋体" w:cs="Times New Roman"/>
          <w:color w:val="auto"/>
          <w:sz w:val="24"/>
          <w:szCs w:val="24"/>
          <w:highlight w:val="none"/>
        </w:rPr>
        <w:t xml:space="preserve">.10.3 </w:t>
      </w:r>
      <w:r>
        <w:rPr>
          <w:rFonts w:hint="eastAsia" w:ascii="Times New Roman" w:hAnsi="宋体" w:eastAsia="宋体" w:cs="宋体"/>
          <w:color w:val="auto"/>
          <w:sz w:val="24"/>
          <w:szCs w:val="24"/>
          <w:highlight w:val="none"/>
        </w:rPr>
        <w:t>场内交通</w:t>
      </w:r>
    </w:p>
    <w:p w14:paraId="0D8DAE16">
      <w:pPr>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关于场外交通和场内交通的边界的约定：</w:t>
      </w:r>
      <w:r>
        <w:rPr>
          <w:rFonts w:hint="eastAsia" w:ascii="宋体" w:hAnsi="宋体" w:eastAsia="宋体" w:cs="Times New Roman"/>
          <w:color w:val="auto"/>
          <w:kern w:val="0"/>
          <w:sz w:val="24"/>
          <w:szCs w:val="24"/>
          <w:highlight w:val="none"/>
          <w:u w:val="single"/>
        </w:rPr>
        <w:t>本项目约定工程所在地块红线范围内为场内</w:t>
      </w:r>
      <w:r>
        <w:rPr>
          <w:rFonts w:hint="eastAsia" w:ascii="Times New Roman" w:hAnsi="宋体" w:eastAsia="宋体" w:cs="宋体"/>
          <w:color w:val="auto"/>
          <w:sz w:val="24"/>
          <w:szCs w:val="24"/>
          <w:highlight w:val="none"/>
        </w:rPr>
        <w:t>。</w:t>
      </w:r>
    </w:p>
    <w:p w14:paraId="45498CB0">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宋体" w:eastAsia="宋体" w:cs="Times New Roman"/>
          <w:color w:val="auto"/>
          <w:sz w:val="24"/>
          <w:szCs w:val="24"/>
          <w:highlight w:val="none"/>
        </w:rPr>
        <w:t>关于发包人向承包人免费提供满足工程施工需要的场内道路和交通设施的约定：</w:t>
      </w:r>
      <w:r>
        <w:rPr>
          <w:rFonts w:hint="eastAsia" w:ascii="宋体" w:hAnsi="宋体" w:eastAsia="宋体" w:cs="Times New Roman"/>
          <w:color w:val="auto"/>
          <w:sz w:val="24"/>
          <w:szCs w:val="24"/>
          <w:highlight w:val="none"/>
          <w:u w:val="single"/>
        </w:rPr>
        <w:t>由承包人负责场内道路和交通设施的修建并自行承担相应费用，发包人协助开展协调工作</w:t>
      </w:r>
      <w:r>
        <w:rPr>
          <w:rFonts w:ascii="Times New Roman" w:hAnsi="宋体" w:eastAsia="宋体" w:cs="Times New Roman"/>
          <w:color w:val="auto"/>
          <w:sz w:val="24"/>
          <w:szCs w:val="24"/>
          <w:highlight w:val="none"/>
        </w:rPr>
        <w:t>。</w:t>
      </w:r>
      <w:bookmarkEnd w:id="164"/>
      <w:bookmarkEnd w:id="165"/>
      <w:bookmarkEnd w:id="166"/>
      <w:bookmarkEnd w:id="167"/>
      <w:bookmarkEnd w:id="168"/>
      <w:bookmarkStart w:id="169" w:name="_Toc318581157"/>
    </w:p>
    <w:p w14:paraId="1E41A28E">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1.10.4 </w:t>
      </w:r>
      <w:r>
        <w:rPr>
          <w:rFonts w:hint="eastAsia" w:ascii="Times New Roman" w:hAnsi="宋体" w:eastAsia="宋体" w:cs="宋体"/>
          <w:color w:val="auto"/>
          <w:sz w:val="24"/>
          <w:szCs w:val="24"/>
          <w:highlight w:val="none"/>
        </w:rPr>
        <w:t>超大件和超重件的运输</w:t>
      </w:r>
    </w:p>
    <w:p w14:paraId="69FD86E9">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运输超大件或超重件所需的道路和桥梁临时加固改造费用和其他有关费用由</w:t>
      </w:r>
      <w:r>
        <w:rPr>
          <w:rFonts w:hint="eastAsia" w:ascii="宋体" w:hAnsi="Courier New" w:eastAsia="宋体" w:cs="Times New Roman"/>
          <w:color w:val="auto"/>
          <w:sz w:val="24"/>
          <w:szCs w:val="24"/>
          <w:highlight w:val="none"/>
          <w:u w:val="single"/>
        </w:rPr>
        <w:t>承包人</w:t>
      </w:r>
      <w:r>
        <w:rPr>
          <w:rFonts w:hint="eastAsia" w:ascii="Times New Roman" w:hAnsi="宋体" w:eastAsia="宋体" w:cs="宋体"/>
          <w:color w:val="auto"/>
          <w:sz w:val="24"/>
          <w:szCs w:val="24"/>
          <w:highlight w:val="none"/>
        </w:rPr>
        <w:t>承担。</w:t>
      </w:r>
    </w:p>
    <w:bookmarkEnd w:id="169"/>
    <w:p w14:paraId="68BBCD8C">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170" w:name="_Toc373227700"/>
      <w:bookmarkStart w:id="171" w:name="_Toc9850530"/>
      <w:bookmarkStart w:id="172" w:name="_Toc389065266"/>
      <w:bookmarkStart w:id="173" w:name="_Toc373478347"/>
      <w:bookmarkStart w:id="174" w:name="_Toc407135202"/>
      <w:r>
        <w:rPr>
          <w:rFonts w:ascii="Times New Roman" w:hAnsi="Times New Roman" w:eastAsia="黑体" w:cs="Times New Roman"/>
          <w:b/>
          <w:bCs/>
          <w:color w:val="auto"/>
          <w:sz w:val="24"/>
          <w:szCs w:val="24"/>
          <w:highlight w:val="none"/>
          <w:lang w:val="zh-CN"/>
        </w:rPr>
        <w:t xml:space="preserve">1.11 </w:t>
      </w:r>
      <w:r>
        <w:rPr>
          <w:rFonts w:hint="eastAsia" w:ascii="Times New Roman" w:hAnsi="宋体" w:eastAsia="黑体" w:cs="黑体"/>
          <w:b/>
          <w:bCs/>
          <w:color w:val="auto"/>
          <w:sz w:val="24"/>
          <w:szCs w:val="24"/>
          <w:highlight w:val="none"/>
          <w:lang w:val="zh-CN"/>
        </w:rPr>
        <w:t>知识产权</w:t>
      </w:r>
      <w:bookmarkEnd w:id="170"/>
      <w:bookmarkEnd w:id="171"/>
      <w:bookmarkEnd w:id="172"/>
      <w:bookmarkEnd w:id="173"/>
      <w:bookmarkEnd w:id="174"/>
    </w:p>
    <w:p w14:paraId="4B6DE3D1">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1.11.1 </w:t>
      </w:r>
      <w:r>
        <w:rPr>
          <w:rFonts w:hint="eastAsia" w:ascii="Times New Roman" w:hAnsi="宋体" w:eastAsia="宋体" w:cs="宋体"/>
          <w:color w:val="auto"/>
          <w:sz w:val="24"/>
          <w:szCs w:val="24"/>
          <w:highlight w:val="none"/>
        </w:rPr>
        <w:t>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sz w:val="24"/>
          <w:szCs w:val="24"/>
          <w:highlight w:val="none"/>
          <w:u w:val="single"/>
        </w:rPr>
        <w:t>发包人</w:t>
      </w:r>
      <w:r>
        <w:rPr>
          <w:rFonts w:hint="eastAsia"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71E8B97D">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关于发包人提供的上述文件的使用限制的要求：</w:t>
      </w:r>
      <w:r>
        <w:rPr>
          <w:rFonts w:hint="eastAsia" w:ascii="宋体" w:hAnsi="宋体" w:eastAsia="宋体" w:cs="Times New Roman"/>
          <w:color w:val="auto"/>
          <w:sz w:val="24"/>
          <w:szCs w:val="24"/>
          <w:highlight w:val="none"/>
          <w:u w:val="single"/>
        </w:rPr>
        <w:t>承包人可以为实现合同目的而复制、使用此类文件，但不能用于与本合同无关的其他事项，未经发包人书面同意，承包人不得为了本合同以外的目的而复制、使用上述文件或将之提供给任何第三方</w:t>
      </w:r>
      <w:r>
        <w:rPr>
          <w:rFonts w:hint="eastAsia" w:ascii="Times New Roman" w:hAnsi="宋体" w:eastAsia="宋体" w:cs="宋体"/>
          <w:color w:val="auto"/>
          <w:sz w:val="24"/>
          <w:szCs w:val="24"/>
          <w:highlight w:val="none"/>
        </w:rPr>
        <w:t>。</w:t>
      </w:r>
    </w:p>
    <w:p w14:paraId="75B215A6">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1.11.2 </w:t>
      </w:r>
      <w:r>
        <w:rPr>
          <w:rFonts w:hint="eastAsia" w:ascii="Times New Roman" w:hAnsi="宋体" w:eastAsia="宋体" w:cs="宋体"/>
          <w:color w:val="auto"/>
          <w:sz w:val="24"/>
          <w:szCs w:val="24"/>
          <w:highlight w:val="none"/>
        </w:rPr>
        <w:t>关于承包人为实施工程所编制文件的著作权的归属：</w:t>
      </w:r>
      <w:r>
        <w:rPr>
          <w:rFonts w:hint="eastAsia" w:ascii="宋体" w:hAnsi="Courier New" w:eastAsia="宋体" w:cs="Times New Roman"/>
          <w:color w:val="auto"/>
          <w:sz w:val="24"/>
          <w:szCs w:val="24"/>
          <w:highlight w:val="none"/>
          <w:u w:val="single"/>
        </w:rPr>
        <w:t>除署名以外属于</w:t>
      </w:r>
      <w:r>
        <w:rPr>
          <w:rFonts w:hint="eastAsia" w:ascii="宋体" w:hAnsi="宋体" w:eastAsia="宋体" w:cs="宋体"/>
          <w:color w:val="auto"/>
          <w:sz w:val="24"/>
          <w:szCs w:val="24"/>
          <w:highlight w:val="none"/>
          <w:u w:val="single"/>
        </w:rPr>
        <w:t>发包人</w:t>
      </w:r>
      <w:r>
        <w:rPr>
          <w:rFonts w:hint="eastAsia" w:ascii="Times New Roman" w:hAnsi="宋体" w:eastAsia="宋体" w:cs="宋体"/>
          <w:color w:val="auto"/>
          <w:sz w:val="24"/>
          <w:szCs w:val="24"/>
          <w:highlight w:val="none"/>
        </w:rPr>
        <w:t>。</w:t>
      </w:r>
    </w:p>
    <w:p w14:paraId="41DA354B">
      <w:pPr>
        <w:spacing w:line="400" w:lineRule="exact"/>
        <w:ind w:firstLine="480" w:firstLineChars="200"/>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关于承包人提供的上述文件的使用限制的要求：</w:t>
      </w:r>
      <w:r>
        <w:rPr>
          <w:rFonts w:hint="eastAsia" w:ascii="宋体" w:hAnsi="宋体" w:eastAsia="宋体" w:cs="Times New Roman"/>
          <w:color w:val="auto"/>
          <w:sz w:val="24"/>
          <w:szCs w:val="24"/>
          <w:highlight w:val="none"/>
          <w:u w:val="single"/>
        </w:rPr>
        <w:t>未经发包人书面同意，承包人不能为了合同以外的目的而复制、使用上述文件或将之提供给任何第三方</w:t>
      </w:r>
      <w:r>
        <w:rPr>
          <w:rFonts w:hint="eastAsia" w:ascii="Times New Roman" w:hAnsi="宋体" w:eastAsia="宋体" w:cs="宋体"/>
          <w:color w:val="auto"/>
          <w:sz w:val="24"/>
          <w:szCs w:val="24"/>
          <w:highlight w:val="none"/>
        </w:rPr>
        <w:t>。</w:t>
      </w:r>
    </w:p>
    <w:p w14:paraId="492A9438">
      <w:pPr>
        <w:spacing w:line="400" w:lineRule="exact"/>
        <w:ind w:firstLine="480" w:firstLineChars="200"/>
        <w:rPr>
          <w:rFonts w:hint="eastAsia" w:ascii="Times New Roman" w:hAnsi="宋体" w:eastAsia="宋体" w:cs="Times New Roman"/>
          <w:color w:val="auto"/>
          <w:sz w:val="24"/>
          <w:szCs w:val="24"/>
          <w:highlight w:val="none"/>
          <w:u w:val="single"/>
        </w:rPr>
      </w:pPr>
      <w:r>
        <w:rPr>
          <w:rFonts w:ascii="Times New Roman" w:hAnsi="Times New Roman" w:eastAsia="宋体" w:cs="Times New Roman"/>
          <w:color w:val="auto"/>
          <w:sz w:val="24"/>
          <w:szCs w:val="24"/>
          <w:highlight w:val="none"/>
        </w:rPr>
        <w:t xml:space="preserve">1.11.4 </w:t>
      </w:r>
      <w:r>
        <w:rPr>
          <w:rFonts w:hint="eastAsia" w:ascii="Times New Roman" w:hAnsi="宋体" w:eastAsia="宋体" w:cs="宋体"/>
          <w:color w:val="auto"/>
          <w:sz w:val="24"/>
          <w:szCs w:val="24"/>
          <w:highlight w:val="none"/>
        </w:rPr>
        <w:t>承包人在施工过程中所采用的专利、专有技术、技术秘密的使用费的承担方式：</w:t>
      </w:r>
    </w:p>
    <w:p w14:paraId="428C0338">
      <w:pPr>
        <w:spacing w:line="400" w:lineRule="exac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sz w:val="24"/>
          <w:szCs w:val="24"/>
          <w:highlight w:val="none"/>
          <w:u w:val="single"/>
        </w:rPr>
        <w:t>由承包人承担</w:t>
      </w:r>
      <w:r>
        <w:rPr>
          <w:rFonts w:hint="eastAsia" w:ascii="Times New Roman" w:hAnsi="宋体" w:eastAsia="宋体" w:cs="宋体"/>
          <w:color w:val="auto"/>
          <w:kern w:val="0"/>
          <w:sz w:val="24"/>
          <w:szCs w:val="24"/>
          <w:highlight w:val="none"/>
        </w:rPr>
        <w:t>。</w:t>
      </w:r>
    </w:p>
    <w:p w14:paraId="1E6D2020">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175" w:name="_Toc407135203"/>
      <w:bookmarkStart w:id="176" w:name="_Toc9850531"/>
      <w:bookmarkStart w:id="177" w:name="_Toc389065267"/>
      <w:bookmarkStart w:id="178" w:name="_Toc373478348"/>
      <w:bookmarkStart w:id="179" w:name="_Toc373227701"/>
      <w:r>
        <w:rPr>
          <w:rFonts w:ascii="Times New Roman" w:hAnsi="Times New Roman" w:eastAsia="黑体" w:cs="Times New Roman"/>
          <w:b/>
          <w:bCs/>
          <w:color w:val="auto"/>
          <w:sz w:val="24"/>
          <w:szCs w:val="24"/>
          <w:highlight w:val="none"/>
          <w:lang w:val="zh-CN"/>
        </w:rPr>
        <w:t>1.13</w:t>
      </w:r>
      <w:r>
        <w:rPr>
          <w:rFonts w:hint="eastAsia" w:ascii="Times New Roman" w:hAnsi="Times New Roman" w:eastAsia="黑体" w:cs="黑体"/>
          <w:b/>
          <w:bCs/>
          <w:color w:val="auto"/>
          <w:sz w:val="24"/>
          <w:szCs w:val="24"/>
          <w:highlight w:val="none"/>
          <w:lang w:val="zh-CN"/>
        </w:rPr>
        <w:t>工程量清单错误的修正</w:t>
      </w:r>
      <w:bookmarkEnd w:id="175"/>
      <w:bookmarkEnd w:id="176"/>
      <w:bookmarkEnd w:id="177"/>
      <w:bookmarkEnd w:id="178"/>
      <w:bookmarkEnd w:id="179"/>
    </w:p>
    <w:p w14:paraId="0EFC4783">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出现工程量清单工程量偏差时，是否调整合同价格：</w:t>
      </w:r>
      <w:r>
        <w:rPr>
          <w:rFonts w:hint="eastAsia" w:ascii="宋体" w:hAnsi="宋体" w:cs="宋体"/>
          <w:color w:val="auto"/>
          <w:sz w:val="24"/>
          <w:szCs w:val="24"/>
          <w:highlight w:val="none"/>
          <w:u w:val="single"/>
          <w:lang w:eastAsia="zh-CN"/>
        </w:rPr>
        <w:t>☑</w:t>
      </w:r>
      <w:r>
        <w:rPr>
          <w:rFonts w:hint="eastAsia" w:ascii="Times New Roman" w:hAnsi="宋体" w:eastAsia="宋体" w:cs="宋体"/>
          <w:color w:val="auto"/>
          <w:sz w:val="24"/>
          <w:szCs w:val="24"/>
          <w:highlight w:val="none"/>
          <w:u w:val="single"/>
        </w:rPr>
        <w:t xml:space="preserve">允许  </w:t>
      </w:r>
      <w:r>
        <w:rPr>
          <w:rFonts w:hint="eastAsia" w:ascii="宋体" w:hAnsi="宋体" w:cs="宋体"/>
          <w:color w:val="auto"/>
          <w:sz w:val="24"/>
          <w:szCs w:val="24"/>
          <w:highlight w:val="none"/>
          <w:u w:val="single"/>
          <w:lang w:eastAsia="zh-CN"/>
        </w:rPr>
        <w:t>□</w:t>
      </w:r>
      <w:r>
        <w:rPr>
          <w:rFonts w:hint="eastAsia" w:ascii="Times New Roman" w:hAnsi="宋体" w:eastAsia="宋体" w:cs="宋体"/>
          <w:color w:val="auto"/>
          <w:sz w:val="24"/>
          <w:szCs w:val="24"/>
          <w:highlight w:val="none"/>
          <w:u w:val="single"/>
        </w:rPr>
        <w:t>不允许</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6F34DCE2">
      <w:pPr>
        <w:spacing w:line="400" w:lineRule="exact"/>
        <w:ind w:firstLine="480" w:firstLineChars="200"/>
        <w:rPr>
          <w:rFonts w:hint="eastAsia" w:ascii="Times New Roman" w:hAnsi="宋体" w:eastAsia="宋体" w:cs="宋体"/>
          <w:color w:val="auto"/>
          <w:sz w:val="24"/>
          <w:szCs w:val="24"/>
          <w:highlight w:val="none"/>
        </w:rPr>
      </w:pPr>
      <w:r>
        <w:rPr>
          <w:rFonts w:hint="eastAsia" w:ascii="Times New Roman" w:hAnsi="宋体" w:eastAsia="宋体" w:cs="宋体"/>
          <w:color w:val="auto"/>
          <w:sz w:val="24"/>
          <w:szCs w:val="24"/>
          <w:highlight w:val="none"/>
        </w:rPr>
        <w:t>允许调整合同价格的工程量偏差范围及其调整办法：</w:t>
      </w:r>
    </w:p>
    <w:p w14:paraId="79198107">
      <w:pPr>
        <w:spacing w:line="400" w:lineRule="exact"/>
        <w:ind w:firstLine="480" w:firstLineChars="200"/>
        <w:rPr>
          <w:rFonts w:ascii="Times New Roman" w:hAnsi="Times New Roman" w:eastAsia="宋体" w:cs="Times New Roman"/>
          <w:color w:val="auto"/>
          <w:kern w:val="0"/>
          <w:sz w:val="24"/>
          <w:szCs w:val="24"/>
          <w:highlight w:val="none"/>
        </w:rPr>
      </w:pPr>
      <w:r>
        <w:rPr>
          <w:rFonts w:hint="eastAsia" w:ascii="宋体" w:hAnsi="宋体" w:cs="宋体"/>
          <w:color w:val="auto"/>
          <w:sz w:val="24"/>
          <w:szCs w:val="24"/>
          <w:highlight w:val="none"/>
          <w:lang w:eastAsia="zh-CN"/>
        </w:rPr>
        <w:t>□</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除严重不平衡报价外，无论分部分项工程量清单项目中的工程量变化多少均不调整</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4533004D">
      <w:pPr>
        <w:keepNext w:val="0"/>
        <w:keepLines w:val="0"/>
        <w:widowControl/>
        <w:suppressLineNumbers w:val="0"/>
        <w:ind w:firstLine="480" w:firstLineChars="200"/>
        <w:jc w:val="left"/>
        <w:rPr>
          <w:color w:val="auto"/>
          <w:highlight w:val="none"/>
        </w:rPr>
      </w:pPr>
      <w:r>
        <w:rPr>
          <w:rFonts w:hint="eastAsia" w:ascii="宋体" w:hAnsi="宋体" w:cs="宋体"/>
          <w:color w:val="auto"/>
          <w:sz w:val="24"/>
          <w:szCs w:val="24"/>
          <w:highlight w:val="none"/>
          <w:lang w:eastAsia="zh-CN"/>
        </w:rPr>
        <w:t>☑</w:t>
      </w:r>
      <w:r>
        <w:rPr>
          <w:rFonts w:ascii="宋体" w:hAnsi="宋体" w:eastAsia="宋体" w:cs="宋体"/>
          <w:color w:val="auto"/>
          <w:kern w:val="0"/>
          <w:sz w:val="24"/>
          <w:szCs w:val="24"/>
          <w:highlight w:val="none"/>
          <w:lang w:val="en-US" w:eastAsia="zh-CN" w:bidi="ar"/>
        </w:rPr>
        <w:t>执行 GB50500</w:t>
      </w:r>
      <w:r>
        <w:rPr>
          <w:rFonts w:ascii="宋体" w:hAnsi="宋体" w:eastAsia="宋体" w:cs="宋体"/>
          <w:color w:val="auto"/>
          <w:kern w:val="0"/>
          <w:sz w:val="24"/>
          <w:szCs w:val="24"/>
          <w:highlight w:val="none"/>
          <w:lang w:val="en-US" w:eastAsia="zh-CN" w:bidi="ar"/>
        </w:rPr>
        <w:noBreakHyphen/>
      </w:r>
      <w:r>
        <w:rPr>
          <w:rFonts w:ascii="宋体" w:hAnsi="宋体" w:eastAsia="宋体" w:cs="宋体"/>
          <w:color w:val="auto"/>
          <w:kern w:val="0"/>
          <w:sz w:val="24"/>
          <w:szCs w:val="24"/>
          <w:highlight w:val="none"/>
          <w:lang w:val="en-US" w:eastAsia="zh-CN" w:bidi="ar"/>
        </w:rPr>
        <w:t>2013 广西实施细则工程量偏差调整规则</w:t>
      </w:r>
    </w:p>
    <w:p w14:paraId="51A7BB68">
      <w:pPr>
        <w:keepNext/>
        <w:keepLines/>
        <w:spacing w:before="60" w:after="60" w:line="400" w:lineRule="exact"/>
        <w:outlineLvl w:val="1"/>
        <w:rPr>
          <w:rFonts w:ascii="Arial" w:hAnsi="Arial" w:eastAsia="黑体" w:cs="Times New Roman"/>
          <w:b/>
          <w:bCs/>
          <w:color w:val="auto"/>
          <w:sz w:val="24"/>
          <w:szCs w:val="24"/>
          <w:highlight w:val="none"/>
          <w:lang w:val="zh-CN"/>
        </w:rPr>
      </w:pPr>
      <w:bookmarkStart w:id="180" w:name="_Toc9850532"/>
      <w:bookmarkStart w:id="181" w:name="_Toc389065268"/>
      <w:bookmarkStart w:id="182" w:name="_Toc407135204"/>
      <w:bookmarkStart w:id="183" w:name="_Toc351203634"/>
      <w:bookmarkStart w:id="184" w:name="_Toc373478349"/>
      <w:bookmarkStart w:id="185" w:name="_Toc373227702"/>
      <w:r>
        <w:rPr>
          <w:rFonts w:ascii="Arial" w:hAnsi="Arial" w:eastAsia="黑体" w:cs="Times New Roman"/>
          <w:b/>
          <w:bCs/>
          <w:color w:val="auto"/>
          <w:sz w:val="24"/>
          <w:szCs w:val="24"/>
          <w:highlight w:val="none"/>
          <w:lang w:val="zh-CN"/>
        </w:rPr>
        <w:t>2</w:t>
      </w:r>
      <w:bookmarkStart w:id="186" w:name="_Toc292559362"/>
      <w:bookmarkStart w:id="187" w:name="_Toc296890985"/>
      <w:bookmarkStart w:id="188" w:name="_Toc296346658"/>
      <w:bookmarkStart w:id="189" w:name="_Toc292559867"/>
      <w:bookmarkStart w:id="190" w:name="_Toc296891197"/>
      <w:bookmarkStart w:id="191" w:name="_Toc296347156"/>
      <w:bookmarkStart w:id="192" w:name="_Toc297120457"/>
      <w:bookmarkStart w:id="193" w:name="_Toc296944496"/>
      <w:bookmarkStart w:id="194" w:name="_Toc296503157"/>
      <w:bookmarkStart w:id="195" w:name="_Toc297048343"/>
      <w:r>
        <w:rPr>
          <w:rFonts w:ascii="Arial" w:hAnsi="Arial" w:eastAsia="黑体" w:cs="Times New Roman"/>
          <w:b/>
          <w:bCs/>
          <w:color w:val="auto"/>
          <w:sz w:val="24"/>
          <w:szCs w:val="24"/>
          <w:highlight w:val="none"/>
          <w:lang w:val="zh-CN"/>
        </w:rPr>
        <w:t xml:space="preserve">. </w:t>
      </w:r>
      <w:r>
        <w:rPr>
          <w:rFonts w:hint="eastAsia" w:ascii="Arial" w:hAnsi="宋体" w:eastAsia="黑体" w:cs="黑体"/>
          <w:b/>
          <w:bCs/>
          <w:color w:val="auto"/>
          <w:sz w:val="24"/>
          <w:szCs w:val="24"/>
          <w:highlight w:val="none"/>
          <w:lang w:val="zh-CN"/>
        </w:rPr>
        <w:t>发包人</w:t>
      </w:r>
      <w:bookmarkEnd w:id="180"/>
      <w:bookmarkEnd w:id="181"/>
      <w:bookmarkEnd w:id="182"/>
      <w:bookmarkEnd w:id="183"/>
      <w:bookmarkEnd w:id="184"/>
      <w:bookmarkEnd w:id="185"/>
    </w:p>
    <w:bookmarkEnd w:id="186"/>
    <w:bookmarkEnd w:id="187"/>
    <w:bookmarkEnd w:id="188"/>
    <w:bookmarkEnd w:id="189"/>
    <w:bookmarkEnd w:id="190"/>
    <w:bookmarkEnd w:id="191"/>
    <w:bookmarkEnd w:id="192"/>
    <w:bookmarkEnd w:id="193"/>
    <w:bookmarkEnd w:id="194"/>
    <w:bookmarkEnd w:id="195"/>
    <w:p w14:paraId="32636968">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196" w:name="_Toc9850533"/>
      <w:bookmarkStart w:id="197" w:name="_Toc373478350"/>
      <w:bookmarkStart w:id="198" w:name="_Toc407135205"/>
      <w:bookmarkStart w:id="199" w:name="_Toc373227703"/>
      <w:bookmarkStart w:id="200" w:name="_Toc389065269"/>
      <w:r>
        <w:rPr>
          <w:rFonts w:ascii="Times New Roman" w:hAnsi="Times New Roman" w:eastAsia="黑体" w:cs="Times New Roman"/>
          <w:b/>
          <w:bCs/>
          <w:color w:val="auto"/>
          <w:sz w:val="24"/>
          <w:szCs w:val="24"/>
          <w:highlight w:val="none"/>
          <w:lang w:val="zh-CN"/>
        </w:rPr>
        <w:t xml:space="preserve">2.2 </w:t>
      </w:r>
      <w:r>
        <w:rPr>
          <w:rFonts w:hint="eastAsia" w:ascii="Times New Roman" w:hAnsi="宋体" w:eastAsia="黑体" w:cs="黑体"/>
          <w:b/>
          <w:bCs/>
          <w:color w:val="auto"/>
          <w:sz w:val="24"/>
          <w:szCs w:val="24"/>
          <w:highlight w:val="none"/>
          <w:lang w:val="zh-CN"/>
        </w:rPr>
        <w:t>发包人代表</w:t>
      </w:r>
      <w:bookmarkEnd w:id="196"/>
      <w:bookmarkEnd w:id="197"/>
      <w:bookmarkEnd w:id="198"/>
      <w:bookmarkEnd w:id="199"/>
      <w:bookmarkEnd w:id="200"/>
    </w:p>
    <w:p w14:paraId="470CCC85">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发包人代表：</w:t>
      </w:r>
    </w:p>
    <w:p w14:paraId="27720170">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宋体" w:eastAsia="宋体" w:cs="Times New Roman"/>
          <w:color w:val="auto"/>
          <w:sz w:val="24"/>
          <w:szCs w:val="24"/>
          <w:highlight w:val="none"/>
        </w:rPr>
        <w:t>姓</w:t>
      </w:r>
      <w:r>
        <w:rPr>
          <w:rFonts w:ascii="Times New Roman" w:hAnsi="Times New Roman" w:eastAsia="宋体" w:cs="Times New Roman"/>
          <w:color w:val="auto"/>
          <w:sz w:val="24"/>
          <w:szCs w:val="24"/>
          <w:highlight w:val="none"/>
        </w:rPr>
        <w:t xml:space="preserve">    </w:t>
      </w:r>
      <w:r>
        <w:rPr>
          <w:rFonts w:ascii="Times New Roman" w:hAnsi="宋体" w:eastAsia="宋体" w:cs="Times New Roman"/>
          <w:color w:val="auto"/>
          <w:sz w:val="24"/>
          <w:szCs w:val="24"/>
          <w:highlight w:val="none"/>
        </w:rPr>
        <w:t>名：</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宋体" w:eastAsia="宋体" w:cs="Times New Roman"/>
          <w:color w:val="auto"/>
          <w:sz w:val="24"/>
          <w:szCs w:val="24"/>
          <w:highlight w:val="none"/>
        </w:rPr>
        <w:t>；</w:t>
      </w:r>
    </w:p>
    <w:p w14:paraId="714B14C0">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宋体" w:eastAsia="宋体" w:cs="Times New Roman"/>
          <w:color w:val="auto"/>
          <w:sz w:val="24"/>
          <w:szCs w:val="24"/>
          <w:highlight w:val="none"/>
        </w:rPr>
        <w:t>身份证号：</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宋体" w:eastAsia="宋体" w:cs="Times New Roman"/>
          <w:color w:val="auto"/>
          <w:sz w:val="24"/>
          <w:szCs w:val="24"/>
          <w:highlight w:val="none"/>
        </w:rPr>
        <w:t>；</w:t>
      </w:r>
    </w:p>
    <w:p w14:paraId="675945F1">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宋体" w:eastAsia="宋体" w:cs="Times New Roman"/>
          <w:color w:val="auto"/>
          <w:sz w:val="24"/>
          <w:szCs w:val="24"/>
          <w:highlight w:val="none"/>
        </w:rPr>
        <w:t>职</w:t>
      </w:r>
      <w:r>
        <w:rPr>
          <w:rFonts w:ascii="Times New Roman" w:hAnsi="Times New Roman" w:eastAsia="宋体" w:cs="Times New Roman"/>
          <w:color w:val="auto"/>
          <w:sz w:val="24"/>
          <w:szCs w:val="24"/>
          <w:highlight w:val="none"/>
        </w:rPr>
        <w:t xml:space="preserve">    </w:t>
      </w:r>
      <w:r>
        <w:rPr>
          <w:rFonts w:ascii="Times New Roman" w:hAnsi="宋体" w:eastAsia="宋体" w:cs="Times New Roman"/>
          <w:color w:val="auto"/>
          <w:sz w:val="24"/>
          <w:szCs w:val="24"/>
          <w:highlight w:val="none"/>
        </w:rPr>
        <w:t>务：</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宋体" w:eastAsia="宋体" w:cs="Times New Roman"/>
          <w:color w:val="auto"/>
          <w:sz w:val="24"/>
          <w:szCs w:val="24"/>
          <w:highlight w:val="none"/>
        </w:rPr>
        <w:t>；</w:t>
      </w:r>
    </w:p>
    <w:p w14:paraId="4C91D264">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宋体" w:eastAsia="宋体" w:cs="Times New Roman"/>
          <w:color w:val="auto"/>
          <w:sz w:val="24"/>
          <w:szCs w:val="24"/>
          <w:highlight w:val="none"/>
        </w:rPr>
        <w:t>联系电话：</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宋体" w:eastAsia="宋体" w:cs="Times New Roman"/>
          <w:color w:val="auto"/>
          <w:sz w:val="24"/>
          <w:szCs w:val="24"/>
          <w:highlight w:val="none"/>
        </w:rPr>
        <w:t>；</w:t>
      </w:r>
    </w:p>
    <w:p w14:paraId="7A6DDAB5">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宋体" w:eastAsia="宋体" w:cs="Times New Roman"/>
          <w:color w:val="auto"/>
          <w:sz w:val="24"/>
          <w:szCs w:val="24"/>
          <w:highlight w:val="none"/>
        </w:rPr>
        <w:t>电子信箱：</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宋体" w:eastAsia="宋体" w:cs="Times New Roman"/>
          <w:color w:val="auto"/>
          <w:sz w:val="24"/>
          <w:szCs w:val="24"/>
          <w:highlight w:val="none"/>
        </w:rPr>
        <w:t>；</w:t>
      </w:r>
    </w:p>
    <w:p w14:paraId="63F53A37">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宋体" w:eastAsia="宋体" w:cs="Times New Roman"/>
          <w:color w:val="auto"/>
          <w:sz w:val="24"/>
          <w:szCs w:val="24"/>
          <w:highlight w:val="none"/>
        </w:rPr>
        <w:t>通信地址：</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宋体" w:eastAsia="宋体" w:cs="Times New Roman"/>
          <w:color w:val="auto"/>
          <w:sz w:val="24"/>
          <w:szCs w:val="24"/>
          <w:highlight w:val="none"/>
        </w:rPr>
        <w:t>。</w:t>
      </w:r>
    </w:p>
    <w:p w14:paraId="115C5D6F">
      <w:pPr>
        <w:spacing w:line="400" w:lineRule="exact"/>
        <w:ind w:firstLine="480" w:firstLineChars="200"/>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发包人对发包人代表的授权范围如下：</w:t>
      </w:r>
      <w:r>
        <w:rPr>
          <w:rFonts w:hint="eastAsia" w:ascii="宋体" w:hAnsi="宋体" w:eastAsia="宋体" w:cs="Times New Roman"/>
          <w:color w:val="auto"/>
          <w:sz w:val="24"/>
          <w:szCs w:val="24"/>
          <w:highlight w:val="none"/>
          <w:u w:val="single"/>
        </w:rPr>
        <w:t>督促指导监理工程师行使职权，协调施工现场各方面的关系，协调监督工程质量、进度和安全文明施工中存在的问题，解决有关设计和技术签证，办理、签认现场经济技术签证，审核工程进度报表</w:t>
      </w:r>
      <w:r>
        <w:rPr>
          <w:rFonts w:hint="eastAsia" w:ascii="Times New Roman" w:hAnsi="宋体" w:eastAsia="宋体" w:cs="宋体"/>
          <w:color w:val="auto"/>
          <w:sz w:val="24"/>
          <w:szCs w:val="24"/>
          <w:highlight w:val="none"/>
        </w:rPr>
        <w:t>。</w:t>
      </w:r>
    </w:p>
    <w:p w14:paraId="25E5ABDD">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201" w:name="_Toc373478351"/>
      <w:bookmarkStart w:id="202" w:name="_Toc389065270"/>
      <w:bookmarkStart w:id="203" w:name="_Toc373227704"/>
      <w:bookmarkStart w:id="204" w:name="_Toc407135206"/>
      <w:bookmarkStart w:id="205" w:name="_Toc9850534"/>
      <w:r>
        <w:rPr>
          <w:rFonts w:ascii="Times New Roman" w:hAnsi="Times New Roman" w:eastAsia="黑体" w:cs="Times New Roman"/>
          <w:b/>
          <w:bCs/>
          <w:color w:val="auto"/>
          <w:sz w:val="24"/>
          <w:szCs w:val="24"/>
          <w:highlight w:val="none"/>
          <w:lang w:val="zh-CN"/>
        </w:rPr>
        <w:t xml:space="preserve">2.4 </w:t>
      </w:r>
      <w:r>
        <w:rPr>
          <w:rFonts w:hint="eastAsia" w:ascii="Times New Roman" w:hAnsi="Times New Roman" w:eastAsia="黑体" w:cs="黑体"/>
          <w:b/>
          <w:bCs/>
          <w:color w:val="auto"/>
          <w:sz w:val="24"/>
          <w:szCs w:val="24"/>
          <w:highlight w:val="none"/>
          <w:lang w:val="zh-CN"/>
        </w:rPr>
        <w:t>施工现场、施工条件和基础资料的提供</w:t>
      </w:r>
      <w:bookmarkEnd w:id="201"/>
      <w:bookmarkEnd w:id="202"/>
      <w:bookmarkEnd w:id="203"/>
      <w:bookmarkEnd w:id="204"/>
      <w:bookmarkEnd w:id="205"/>
    </w:p>
    <w:p w14:paraId="3E736B04">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2.4.1 </w:t>
      </w:r>
      <w:r>
        <w:rPr>
          <w:rFonts w:hint="eastAsia" w:ascii="Times New Roman" w:hAnsi="宋体" w:eastAsia="宋体" w:cs="宋体"/>
          <w:color w:val="auto"/>
          <w:sz w:val="24"/>
          <w:szCs w:val="24"/>
          <w:highlight w:val="none"/>
        </w:rPr>
        <w:t>提供施工现场</w:t>
      </w:r>
    </w:p>
    <w:p w14:paraId="1416E683">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关于发包人移交施工现场的期限要求：</w:t>
      </w:r>
      <w:r>
        <w:rPr>
          <w:rFonts w:ascii="Times New Roman" w:hAnsi="Times New Roman"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 xml:space="preserve">开工前七天 </w:t>
      </w:r>
      <w:r>
        <w:rPr>
          <w:rFonts w:ascii="宋体" w:hAnsi="Courier New"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1362DE6D">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2.4.2 </w:t>
      </w:r>
      <w:r>
        <w:rPr>
          <w:rFonts w:hint="eastAsia" w:ascii="Times New Roman" w:hAnsi="宋体" w:eastAsia="宋体" w:cs="宋体"/>
          <w:color w:val="auto"/>
          <w:sz w:val="24"/>
          <w:szCs w:val="24"/>
          <w:highlight w:val="none"/>
        </w:rPr>
        <w:t>提供施工条件</w:t>
      </w:r>
    </w:p>
    <w:p w14:paraId="2439C756">
      <w:pPr>
        <w:spacing w:line="400" w:lineRule="exact"/>
        <w:ind w:firstLine="480" w:firstLineChars="200"/>
        <w:rPr>
          <w:rFonts w:hint="eastAsia" w:ascii="Times New Roman" w:hAnsi="宋体" w:eastAsia="宋体" w:cs="宋体"/>
          <w:color w:val="auto"/>
          <w:sz w:val="24"/>
          <w:szCs w:val="24"/>
          <w:highlight w:val="none"/>
        </w:rPr>
      </w:pPr>
      <w:r>
        <w:rPr>
          <w:rFonts w:hint="eastAsia" w:ascii="Times New Roman" w:hAnsi="宋体" w:eastAsia="宋体" w:cs="宋体"/>
          <w:color w:val="auto"/>
          <w:sz w:val="24"/>
          <w:szCs w:val="24"/>
          <w:highlight w:val="none"/>
        </w:rPr>
        <w:t>关于发包人应负责提供施工所需要的条件，包括：</w:t>
      </w:r>
      <w:r>
        <w:rPr>
          <w:rFonts w:hint="eastAsia" w:ascii="宋体" w:hAnsi="宋体" w:eastAsia="宋体" w:cs="Times New Roman"/>
          <w:color w:val="auto"/>
          <w:sz w:val="24"/>
          <w:szCs w:val="24"/>
          <w:highlight w:val="none"/>
          <w:u w:val="single"/>
        </w:rPr>
        <w:t>1）将施工所需用的水、电、电讯线路接至施工场地的时间、地点和供应要求： 开工前七天将施工所需的水、电、电讯线路从施工场地外部接至承包人的施工现场总平面布置图指定的位置，保证水电供应满足施工期间的需要。施工水电的使用费用由承包人承担</w:t>
      </w:r>
      <w:r>
        <w:rPr>
          <w:rFonts w:hint="eastAsia" w:ascii="Times New Roman" w:hAnsi="宋体" w:eastAsia="宋体" w:cs="宋体"/>
          <w:color w:val="auto"/>
          <w:sz w:val="24"/>
          <w:szCs w:val="24"/>
          <w:highlight w:val="none"/>
        </w:rPr>
        <w:t>。</w:t>
      </w:r>
    </w:p>
    <w:p w14:paraId="344BFFF1">
      <w:pPr>
        <w:spacing w:line="400" w:lineRule="exact"/>
        <w:ind w:firstLine="480" w:firstLineChars="200"/>
        <w:rPr>
          <w:rFonts w:hint="eastAsia"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u w:val="single"/>
        </w:rPr>
        <w:t>2）施工场地与公共道路的通道开通时间和要求：工程开工前七天开通，施工中出现非承包方原因的阻障，由承包方告知发包方，由发包方负责协调解决，满足施工运输的需要，保证施工期间的畅通。</w:t>
      </w:r>
    </w:p>
    <w:p w14:paraId="101B4002">
      <w:pPr>
        <w:spacing w:line="400" w:lineRule="exact"/>
        <w:ind w:firstLine="480" w:firstLineChars="200"/>
        <w:rPr>
          <w:rFonts w:hint="eastAsia"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u w:val="single"/>
        </w:rPr>
        <w:t>3）工程地质和地下管线资料的提供时间： 开工前7天，随施工图一起配套提供给承包人，并对资料的真实性、准确性负责。</w:t>
      </w:r>
    </w:p>
    <w:p w14:paraId="6F555A14">
      <w:pPr>
        <w:spacing w:line="400" w:lineRule="exact"/>
        <w:ind w:firstLine="480" w:firstLineChars="200"/>
        <w:rPr>
          <w:rFonts w:hint="eastAsia"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u w:val="single"/>
        </w:rPr>
        <w:t>4）由发包人办理的施工所需证件、批件的名称和完成时间：尽快办好施工许可证及环保、消防等</w:t>
      </w:r>
      <w:r>
        <w:rPr>
          <w:rFonts w:hint="eastAsia" w:ascii="宋体" w:hAnsi="宋体" w:eastAsia="宋体" w:cs="Times New Roman"/>
          <w:color w:val="auto"/>
          <w:sz w:val="24"/>
          <w:szCs w:val="24"/>
          <w:highlight w:val="none"/>
          <w:u w:val="single"/>
          <w:lang w:eastAsia="zh-CN"/>
        </w:rPr>
        <w:t>其他施工</w:t>
      </w:r>
      <w:r>
        <w:rPr>
          <w:rFonts w:hint="eastAsia" w:ascii="宋体" w:hAnsi="宋体" w:eastAsia="宋体" w:cs="Times New Roman"/>
          <w:color w:val="auto"/>
          <w:sz w:val="24"/>
          <w:szCs w:val="24"/>
          <w:highlight w:val="none"/>
          <w:u w:val="single"/>
        </w:rPr>
        <w:t>所需证件、批件；工程建设施工许可证、报建手续、投资许可证、用地许可证、施工图审查意见表等，费用由发包人承担。</w:t>
      </w:r>
    </w:p>
    <w:p w14:paraId="361AEE63">
      <w:pPr>
        <w:spacing w:line="400" w:lineRule="exact"/>
        <w:ind w:firstLine="480" w:firstLineChars="200"/>
        <w:rPr>
          <w:rFonts w:hint="eastAsia"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u w:val="single"/>
        </w:rPr>
        <w:t>5）水准点与坐标控制点交验要求： 开工前7天发包人以书面形式交给承包人，并通知承包人，双方在现场进行交验，同时做好交验记录。</w:t>
      </w:r>
    </w:p>
    <w:p w14:paraId="231F9BD0">
      <w:pPr>
        <w:spacing w:line="400" w:lineRule="exact"/>
        <w:ind w:firstLine="480" w:firstLineChars="200"/>
        <w:rPr>
          <w:rFonts w:hint="eastAsia"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u w:val="single"/>
        </w:rPr>
        <w:t>6）图纸会审和设计交底时间： 开工前7天，由发包人组织承包人和设计单位进行图纸会审和设计交底。</w:t>
      </w:r>
    </w:p>
    <w:p w14:paraId="01E8F74C">
      <w:pPr>
        <w:spacing w:line="400" w:lineRule="exact"/>
        <w:ind w:firstLine="480" w:firstLineChars="200"/>
        <w:rPr>
          <w:rFonts w:hint="eastAsia"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u w:val="single"/>
        </w:rPr>
        <w:t>7）协调处理施工场地周围地下管线和邻近建筑物、构筑物（含文物保护建筑）、古树名木的保护工作：按通用条款执行。若因地下管线，障碍物影响造成的费用增加及施工损失，由发包人承担。</w:t>
      </w:r>
    </w:p>
    <w:p w14:paraId="3CD1C1BF">
      <w:pPr>
        <w:spacing w:line="400" w:lineRule="exact"/>
        <w:ind w:firstLine="480" w:firstLineChars="200"/>
        <w:rPr>
          <w:rFonts w:hint="eastAsia"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u w:val="single"/>
        </w:rPr>
        <w:t>8）双方约定发包人应做的其他工作：在施工期间，负责理顺施工现场周围单位和个人之间的土地纠纷、财产纠纷等关系，并承担相关费用。因征地造成的纠纷由发包人负责处理，因征地纠纷引起的工期延误双方均不承担责任，施工时间顺延。</w:t>
      </w:r>
    </w:p>
    <w:p w14:paraId="4AF9276D">
      <w:pPr>
        <w:spacing w:line="400" w:lineRule="exact"/>
        <w:ind w:firstLine="480" w:firstLineChars="200"/>
        <w:rPr>
          <w:rFonts w:hint="eastAsia"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u w:val="single"/>
        </w:rPr>
        <w:t>9）发包人委托承包人办理的工作：配合、协助办理项目施工所需相关手续，</w:t>
      </w:r>
      <w:r>
        <w:rPr>
          <w:rFonts w:hint="eastAsia" w:ascii="宋体" w:hAnsi="宋体" w:eastAsia="宋体" w:cs="Times New Roman"/>
          <w:color w:val="auto"/>
          <w:sz w:val="24"/>
          <w:szCs w:val="24"/>
          <w:highlight w:val="none"/>
          <w:u w:val="single"/>
          <w:lang w:eastAsia="zh-CN"/>
        </w:rPr>
        <w:t>支付</w:t>
      </w:r>
      <w:r>
        <w:rPr>
          <w:rFonts w:hint="eastAsia" w:ascii="宋体" w:hAnsi="宋体" w:eastAsia="宋体" w:cs="Times New Roman"/>
          <w:color w:val="auto"/>
          <w:sz w:val="24"/>
          <w:szCs w:val="24"/>
          <w:highlight w:val="none"/>
          <w:u w:val="single"/>
        </w:rPr>
        <w:t>相关费用</w:t>
      </w:r>
      <w:r>
        <w:rPr>
          <w:rFonts w:ascii="宋体" w:hAnsi="宋体" w:eastAsia="宋体" w:cs="Times New Roman"/>
          <w:color w:val="auto"/>
          <w:sz w:val="24"/>
          <w:szCs w:val="24"/>
          <w:highlight w:val="none"/>
          <w:u w:val="single"/>
        </w:rPr>
        <w:t>。</w:t>
      </w:r>
    </w:p>
    <w:p w14:paraId="266D7281">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206" w:name="_Toc373478352"/>
      <w:bookmarkStart w:id="207" w:name="_Toc389065271"/>
      <w:bookmarkStart w:id="208" w:name="_Toc407135207"/>
      <w:bookmarkStart w:id="209" w:name="_Toc9850535"/>
      <w:bookmarkStart w:id="210" w:name="_Toc373227705"/>
      <w:r>
        <w:rPr>
          <w:rFonts w:ascii="Times New Roman" w:hAnsi="Times New Roman" w:eastAsia="黑体" w:cs="Times New Roman"/>
          <w:b/>
          <w:bCs/>
          <w:color w:val="auto"/>
          <w:sz w:val="24"/>
          <w:szCs w:val="24"/>
          <w:highlight w:val="none"/>
          <w:lang w:val="zh-CN"/>
        </w:rPr>
        <w:t xml:space="preserve">2.5 </w:t>
      </w:r>
      <w:r>
        <w:rPr>
          <w:rFonts w:hint="eastAsia" w:ascii="Times New Roman" w:hAnsi="Times New Roman" w:eastAsia="黑体" w:cs="黑体"/>
          <w:b/>
          <w:bCs/>
          <w:color w:val="auto"/>
          <w:sz w:val="24"/>
          <w:szCs w:val="24"/>
          <w:highlight w:val="none"/>
          <w:lang w:val="zh-CN"/>
        </w:rPr>
        <w:t>资金来源证明及支付担保</w:t>
      </w:r>
      <w:bookmarkEnd w:id="206"/>
      <w:bookmarkEnd w:id="207"/>
      <w:bookmarkEnd w:id="208"/>
      <w:bookmarkEnd w:id="209"/>
      <w:bookmarkEnd w:id="210"/>
    </w:p>
    <w:p w14:paraId="042221CE">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发包人提供资金来源证明的期限要求：</w:t>
      </w:r>
      <w:r>
        <w:rPr>
          <w:rFonts w:ascii="Times New Roman" w:hAnsi="Times New Roman" w:eastAsia="宋体" w:cs="Times New Roman"/>
          <w:color w:val="auto"/>
          <w:sz w:val="24"/>
          <w:szCs w:val="24"/>
          <w:highlight w:val="none"/>
          <w:u w:val="single"/>
        </w:rPr>
        <w:t xml:space="preserve">     </w:t>
      </w:r>
      <w:r>
        <w:rPr>
          <w:rFonts w:hint="eastAsia" w:ascii="宋体" w:hAnsi="宋体" w:eastAsia="宋体" w:cs="宋体"/>
          <w:color w:val="auto"/>
          <w:sz w:val="24"/>
          <w:szCs w:val="24"/>
          <w:highlight w:val="none"/>
          <w:u w:val="single"/>
        </w:rPr>
        <w:t>无</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4FDE8D71">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发包人是否提供支付担保：</w:t>
      </w:r>
      <w:r>
        <w:rPr>
          <w:rFonts w:ascii="Times New Roman" w:hAnsi="Times New Roman" w:eastAsia="宋体" w:cs="Times New Roman"/>
          <w:color w:val="auto"/>
          <w:sz w:val="24"/>
          <w:szCs w:val="24"/>
          <w:highlight w:val="none"/>
          <w:u w:val="single"/>
        </w:rPr>
        <w:t xml:space="preserve">        </w:t>
      </w:r>
      <w:r>
        <w:rPr>
          <w:rFonts w:hint="eastAsia" w:ascii="宋体" w:hAnsi="宋体" w:eastAsia="宋体" w:cs="宋体"/>
          <w:color w:val="auto"/>
          <w:sz w:val="24"/>
          <w:szCs w:val="24"/>
          <w:highlight w:val="none"/>
          <w:u w:val="single"/>
        </w:rPr>
        <w:t>无</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2A7A1E55">
      <w:pPr>
        <w:spacing w:line="400" w:lineRule="exact"/>
        <w:ind w:firstLine="480" w:firstLineChars="200"/>
        <w:rPr>
          <w:rFonts w:hint="eastAsia" w:ascii="Times New Roman" w:hAnsi="宋体" w:eastAsia="宋体" w:cs="Times New Roman"/>
          <w:color w:val="auto"/>
          <w:sz w:val="24"/>
          <w:szCs w:val="24"/>
          <w:highlight w:val="none"/>
        </w:rPr>
      </w:pPr>
      <w:r>
        <w:rPr>
          <w:rFonts w:hint="eastAsia" w:ascii="Times New Roman" w:hAnsi="宋体" w:eastAsia="宋体" w:cs="宋体"/>
          <w:color w:val="auto"/>
          <w:sz w:val="24"/>
          <w:szCs w:val="24"/>
          <w:highlight w:val="none"/>
        </w:rPr>
        <w:t>发包人提供支付担保的形式：</w:t>
      </w:r>
      <w:r>
        <w:rPr>
          <w:rFonts w:ascii="Times New Roman" w:hAnsi="Times New Roman" w:eastAsia="宋体" w:cs="Times New Roman"/>
          <w:color w:val="auto"/>
          <w:sz w:val="24"/>
          <w:szCs w:val="24"/>
          <w:highlight w:val="none"/>
          <w:u w:val="single"/>
        </w:rPr>
        <w:t xml:space="preserve">       </w:t>
      </w:r>
      <w:r>
        <w:rPr>
          <w:rFonts w:hint="eastAsia" w:ascii="宋体" w:hAnsi="宋体" w:eastAsia="宋体" w:cs="宋体"/>
          <w:color w:val="auto"/>
          <w:sz w:val="24"/>
          <w:szCs w:val="24"/>
          <w:highlight w:val="none"/>
          <w:u w:val="single"/>
        </w:rPr>
        <w:t>无</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0F3F4361">
      <w:pPr>
        <w:spacing w:line="400" w:lineRule="exact"/>
        <w:ind w:firstLine="480" w:firstLineChars="200"/>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发包人提供的支付担保格式见合同附件</w:t>
      </w:r>
      <w:r>
        <w:rPr>
          <w:rFonts w:hint="eastAsia" w:ascii="Times New Roman" w:hAnsi="宋体" w:eastAsia="宋体" w:cs="Times New Roman"/>
          <w:color w:val="auto"/>
          <w:sz w:val="24"/>
          <w:szCs w:val="24"/>
          <w:highlight w:val="none"/>
        </w:rPr>
        <w:t>9</w:t>
      </w:r>
      <w:r>
        <w:rPr>
          <w:rFonts w:hint="eastAsia" w:ascii="Times New Roman" w:hAnsi="宋体" w:eastAsia="宋体" w:cs="宋体"/>
          <w:color w:val="auto"/>
          <w:sz w:val="24"/>
          <w:szCs w:val="24"/>
          <w:highlight w:val="none"/>
        </w:rPr>
        <w:t>。</w:t>
      </w:r>
    </w:p>
    <w:p w14:paraId="46818345">
      <w:pPr>
        <w:keepNext/>
        <w:keepLines/>
        <w:spacing w:before="60" w:after="60" w:line="400" w:lineRule="exact"/>
        <w:outlineLvl w:val="1"/>
        <w:rPr>
          <w:rFonts w:ascii="Arial" w:hAnsi="Arial" w:eastAsia="黑体" w:cs="Times New Roman"/>
          <w:b/>
          <w:bCs/>
          <w:color w:val="auto"/>
          <w:sz w:val="24"/>
          <w:szCs w:val="24"/>
          <w:highlight w:val="none"/>
          <w:lang w:val="zh-CN"/>
        </w:rPr>
      </w:pPr>
      <w:bookmarkStart w:id="211" w:name="_Toc373478353"/>
      <w:bookmarkStart w:id="212" w:name="_Toc389065272"/>
      <w:bookmarkStart w:id="213" w:name="_Toc373227706"/>
      <w:bookmarkStart w:id="214" w:name="_Toc9850536"/>
      <w:bookmarkStart w:id="215" w:name="_Toc351203635"/>
      <w:bookmarkStart w:id="216" w:name="_Toc407135208"/>
      <w:r>
        <w:rPr>
          <w:rFonts w:ascii="Arial" w:hAnsi="Arial" w:eastAsia="黑体" w:cs="Times New Roman"/>
          <w:b/>
          <w:bCs/>
          <w:color w:val="auto"/>
          <w:sz w:val="24"/>
          <w:szCs w:val="24"/>
          <w:highlight w:val="none"/>
          <w:lang w:val="zh-CN"/>
        </w:rPr>
        <w:t>3</w:t>
      </w:r>
      <w:bookmarkStart w:id="217" w:name="_Toc292559363"/>
      <w:bookmarkStart w:id="218" w:name="_Toc296346659"/>
      <w:bookmarkStart w:id="219" w:name="_Toc296347157"/>
      <w:bookmarkStart w:id="220" w:name="_Toc296503158"/>
      <w:bookmarkStart w:id="221" w:name="_Toc297048344"/>
      <w:bookmarkStart w:id="222" w:name="_Toc296944497"/>
      <w:bookmarkStart w:id="223" w:name="_Toc296890986"/>
      <w:bookmarkStart w:id="224" w:name="_Toc297120458"/>
      <w:bookmarkStart w:id="225" w:name="_Toc296891198"/>
      <w:bookmarkStart w:id="226" w:name="_Toc292559868"/>
      <w:r>
        <w:rPr>
          <w:rFonts w:ascii="Arial" w:hAnsi="Arial" w:eastAsia="黑体" w:cs="Times New Roman"/>
          <w:b/>
          <w:bCs/>
          <w:color w:val="auto"/>
          <w:sz w:val="24"/>
          <w:szCs w:val="24"/>
          <w:highlight w:val="none"/>
          <w:lang w:val="zh-CN"/>
        </w:rPr>
        <w:t xml:space="preserve">. </w:t>
      </w:r>
      <w:r>
        <w:rPr>
          <w:rFonts w:hint="eastAsia" w:ascii="Arial" w:hAnsi="宋体" w:eastAsia="黑体" w:cs="黑体"/>
          <w:b/>
          <w:bCs/>
          <w:color w:val="auto"/>
          <w:sz w:val="24"/>
          <w:szCs w:val="24"/>
          <w:highlight w:val="none"/>
          <w:lang w:val="zh-CN"/>
        </w:rPr>
        <w:t>承包人</w:t>
      </w:r>
      <w:bookmarkEnd w:id="211"/>
      <w:bookmarkEnd w:id="212"/>
      <w:bookmarkEnd w:id="213"/>
      <w:bookmarkEnd w:id="214"/>
      <w:bookmarkEnd w:id="215"/>
      <w:bookmarkEnd w:id="216"/>
    </w:p>
    <w:bookmarkEnd w:id="217"/>
    <w:bookmarkEnd w:id="218"/>
    <w:bookmarkEnd w:id="219"/>
    <w:bookmarkEnd w:id="220"/>
    <w:bookmarkEnd w:id="221"/>
    <w:bookmarkEnd w:id="222"/>
    <w:bookmarkEnd w:id="223"/>
    <w:bookmarkEnd w:id="224"/>
    <w:bookmarkEnd w:id="225"/>
    <w:bookmarkEnd w:id="226"/>
    <w:p w14:paraId="376A7C6F">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227" w:name="_Toc9850537"/>
      <w:bookmarkStart w:id="228" w:name="_Toc373227707"/>
      <w:bookmarkStart w:id="229" w:name="_Toc407135209"/>
      <w:bookmarkStart w:id="230" w:name="_Toc373478354"/>
      <w:bookmarkStart w:id="231" w:name="_Toc389065273"/>
      <w:r>
        <w:rPr>
          <w:rFonts w:ascii="Times New Roman" w:hAnsi="Times New Roman" w:eastAsia="黑体" w:cs="Times New Roman"/>
          <w:b/>
          <w:bCs/>
          <w:color w:val="auto"/>
          <w:sz w:val="24"/>
          <w:szCs w:val="24"/>
          <w:highlight w:val="none"/>
          <w:lang w:val="zh-CN"/>
        </w:rPr>
        <w:t xml:space="preserve">3.1 </w:t>
      </w:r>
      <w:r>
        <w:rPr>
          <w:rFonts w:hint="eastAsia" w:ascii="Times New Roman" w:hAnsi="Times New Roman" w:eastAsia="黑体" w:cs="黑体"/>
          <w:b/>
          <w:bCs/>
          <w:color w:val="auto"/>
          <w:sz w:val="24"/>
          <w:szCs w:val="24"/>
          <w:highlight w:val="none"/>
          <w:lang w:val="zh-CN"/>
        </w:rPr>
        <w:t>承包人的一般义务</w:t>
      </w:r>
      <w:bookmarkEnd w:id="227"/>
      <w:bookmarkEnd w:id="228"/>
      <w:bookmarkEnd w:id="229"/>
      <w:bookmarkEnd w:id="230"/>
      <w:bookmarkEnd w:id="231"/>
    </w:p>
    <w:p w14:paraId="2E2EFD53">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kern w:val="0"/>
          <w:sz w:val="24"/>
          <w:szCs w:val="24"/>
          <w:highlight w:val="none"/>
        </w:rPr>
        <w:t>（</w:t>
      </w:r>
      <w:r>
        <w:rPr>
          <w:rFonts w:ascii="Times New Roman" w:hAnsi="Times New Roman" w:eastAsia="宋体" w:cs="Times New Roman"/>
          <w:color w:val="auto"/>
          <w:kern w:val="0"/>
          <w:sz w:val="24"/>
          <w:szCs w:val="24"/>
          <w:highlight w:val="none"/>
        </w:rPr>
        <w:t>9</w:t>
      </w:r>
      <w:r>
        <w:rPr>
          <w:rFonts w:hint="eastAsia" w:ascii="Times New Roman" w:hAnsi="宋体" w:eastAsia="宋体" w:cs="宋体"/>
          <w:color w:val="auto"/>
          <w:kern w:val="0"/>
          <w:sz w:val="24"/>
          <w:szCs w:val="24"/>
          <w:highlight w:val="none"/>
        </w:rPr>
        <w:t>）</w:t>
      </w:r>
      <w:r>
        <w:rPr>
          <w:rFonts w:hint="eastAsia" w:ascii="Times New Roman" w:hAnsi="宋体" w:eastAsia="宋体" w:cs="宋体"/>
          <w:color w:val="auto"/>
          <w:sz w:val="24"/>
          <w:szCs w:val="24"/>
          <w:highlight w:val="none"/>
        </w:rPr>
        <w:t>承包人提交的竣工资料的内容：</w:t>
      </w:r>
      <w:r>
        <w:rPr>
          <w:rFonts w:hint="eastAsia" w:ascii="宋体" w:hAnsi="Courier New" w:eastAsia="宋体" w:cs="Times New Roman"/>
          <w:color w:val="auto"/>
          <w:sz w:val="24"/>
          <w:szCs w:val="24"/>
          <w:highlight w:val="none"/>
          <w:u w:val="single"/>
        </w:rPr>
        <w:t>按竣工验收规范要求，提交相关竣工资料</w:t>
      </w:r>
      <w:r>
        <w:rPr>
          <w:rFonts w:hint="eastAsia" w:ascii="Times New Roman" w:hAnsi="宋体" w:eastAsia="宋体" w:cs="宋体"/>
          <w:color w:val="auto"/>
          <w:sz w:val="24"/>
          <w:szCs w:val="24"/>
          <w:highlight w:val="none"/>
        </w:rPr>
        <w:t>。</w:t>
      </w:r>
    </w:p>
    <w:p w14:paraId="4A626884">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承包人需要提交的竣工资料套数：</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肆套</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5929438A">
      <w:pPr>
        <w:spacing w:line="400" w:lineRule="exact"/>
        <w:ind w:left="424" w:leftChars="202"/>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承包人提交的竣工资料的费用承担：</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由承包人承担</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6BBCF4CD">
      <w:pPr>
        <w:spacing w:line="400" w:lineRule="exact"/>
        <w:ind w:left="424" w:leftChars="202"/>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承包人提交的竣工资料移交时间：</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通过竣工验收后15日</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37A4D672">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承包人提交的竣工资料形式要求：</w:t>
      </w:r>
      <w:r>
        <w:rPr>
          <w:rFonts w:ascii="Times New Roman" w:hAnsi="Times New Roman"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纸质资料</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1FDF81F4">
      <w:pPr>
        <w:spacing w:line="400" w:lineRule="exact"/>
        <w:ind w:firstLine="480" w:firstLineChars="200"/>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w:t>
      </w:r>
      <w:r>
        <w:rPr>
          <w:rFonts w:ascii="Times New Roman" w:hAnsi="Times New Roman" w:eastAsia="宋体" w:cs="Times New Roman"/>
          <w:color w:val="auto"/>
          <w:kern w:val="0"/>
          <w:sz w:val="24"/>
          <w:szCs w:val="24"/>
          <w:highlight w:val="none"/>
        </w:rPr>
        <w:t>10</w:t>
      </w:r>
      <w:r>
        <w:rPr>
          <w:rFonts w:hint="eastAsia" w:ascii="Times New Roman" w:hAnsi="宋体" w:eastAsia="宋体" w:cs="宋体"/>
          <w:color w:val="auto"/>
          <w:kern w:val="0"/>
          <w:sz w:val="24"/>
          <w:szCs w:val="24"/>
          <w:highlight w:val="none"/>
        </w:rPr>
        <w:t>）承包人应履行的其他义务：</w:t>
      </w:r>
    </w:p>
    <w:p w14:paraId="159E4C30">
      <w:pPr>
        <w:spacing w:line="400" w:lineRule="exact"/>
        <w:ind w:firstLine="480" w:firstLineChars="200"/>
        <w:rPr>
          <w:rFonts w:ascii="Times New Roman" w:hAnsi="Times New Roman" w:eastAsia="宋体" w:cs="Times New Roman"/>
          <w:color w:val="auto"/>
          <w:kern w:val="0"/>
          <w:sz w:val="24"/>
          <w:szCs w:val="24"/>
          <w:highlight w:val="none"/>
        </w:rPr>
      </w:pPr>
      <w:r>
        <w:rPr>
          <w:rFonts w:hint="eastAsia" w:ascii="宋体" w:hAnsi="Courier New" w:eastAsia="宋体" w:cs="Times New Roman"/>
          <w:color w:val="auto"/>
          <w:sz w:val="24"/>
          <w:szCs w:val="24"/>
          <w:highlight w:val="none"/>
          <w:u w:val="single"/>
        </w:rPr>
        <w:t>承包人应负责提供完成合同工作所需的劳务、材料、施工设备、工程设备和其他物品，并按合同约定负责临时设施的设计、建造、运行、维护、管理和拆除</w:t>
      </w:r>
      <w:r>
        <w:rPr>
          <w:rFonts w:ascii="Times New Roman" w:hAnsi="Times New Roman" w:eastAsia="宋体" w:cs="Times New Roman"/>
          <w:color w:val="auto"/>
          <w:kern w:val="0"/>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520B1307">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232" w:name="_Toc373227708"/>
      <w:bookmarkStart w:id="233" w:name="_Toc407135210"/>
      <w:bookmarkStart w:id="234" w:name="_Toc9850538"/>
      <w:bookmarkStart w:id="235" w:name="_Toc389065274"/>
      <w:bookmarkStart w:id="236" w:name="_Toc373478355"/>
      <w:r>
        <w:rPr>
          <w:rFonts w:ascii="Times New Roman" w:hAnsi="Times New Roman" w:eastAsia="黑体" w:cs="Times New Roman"/>
          <w:b/>
          <w:bCs/>
          <w:color w:val="auto"/>
          <w:sz w:val="24"/>
          <w:szCs w:val="24"/>
          <w:highlight w:val="none"/>
          <w:lang w:val="zh-CN"/>
        </w:rPr>
        <w:t xml:space="preserve">3.2 </w:t>
      </w:r>
      <w:r>
        <w:rPr>
          <w:rFonts w:hint="eastAsia" w:ascii="Times New Roman" w:hAnsi="宋体" w:eastAsia="黑体" w:cs="黑体"/>
          <w:b/>
          <w:bCs/>
          <w:color w:val="auto"/>
          <w:sz w:val="24"/>
          <w:szCs w:val="24"/>
          <w:highlight w:val="none"/>
          <w:lang w:val="zh-CN"/>
        </w:rPr>
        <w:t>项目经理</w:t>
      </w:r>
      <w:bookmarkEnd w:id="232"/>
      <w:bookmarkEnd w:id="233"/>
      <w:bookmarkEnd w:id="234"/>
      <w:bookmarkEnd w:id="235"/>
      <w:bookmarkEnd w:id="236"/>
    </w:p>
    <w:p w14:paraId="2EAFC7D6">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kern w:val="0"/>
          <w:sz w:val="24"/>
          <w:szCs w:val="24"/>
          <w:highlight w:val="none"/>
        </w:rPr>
        <w:t xml:space="preserve">3.2.1 </w:t>
      </w:r>
      <w:r>
        <w:rPr>
          <w:rFonts w:hint="eastAsia" w:ascii="Times New Roman" w:hAnsi="宋体" w:eastAsia="宋体" w:cs="宋体"/>
          <w:color w:val="auto"/>
          <w:sz w:val="24"/>
          <w:szCs w:val="24"/>
          <w:highlight w:val="none"/>
        </w:rPr>
        <w:t>项目经理：</w:t>
      </w:r>
    </w:p>
    <w:p w14:paraId="706FA0E1">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宋体" w:eastAsia="宋体" w:cs="Times New Roman"/>
          <w:color w:val="auto"/>
          <w:sz w:val="24"/>
          <w:szCs w:val="24"/>
          <w:highlight w:val="none"/>
        </w:rPr>
        <w:t>姓</w:t>
      </w:r>
      <w:r>
        <w:rPr>
          <w:rFonts w:ascii="Times New Roman" w:hAnsi="Times New Roman" w:eastAsia="宋体" w:cs="Times New Roman"/>
          <w:color w:val="auto"/>
          <w:sz w:val="24"/>
          <w:szCs w:val="24"/>
          <w:highlight w:val="none"/>
        </w:rPr>
        <w:t xml:space="preserve">    </w:t>
      </w:r>
      <w:r>
        <w:rPr>
          <w:rFonts w:ascii="Times New Roman" w:hAnsi="宋体" w:eastAsia="宋体" w:cs="Times New Roman"/>
          <w:color w:val="auto"/>
          <w:sz w:val="24"/>
          <w:szCs w:val="24"/>
          <w:highlight w:val="none"/>
        </w:rPr>
        <w:t>名：</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宋体" w:eastAsia="宋体" w:cs="Times New Roman"/>
          <w:color w:val="auto"/>
          <w:sz w:val="24"/>
          <w:szCs w:val="24"/>
          <w:highlight w:val="none"/>
        </w:rPr>
        <w:t>；</w:t>
      </w:r>
    </w:p>
    <w:p w14:paraId="3C73E42F">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宋体" w:eastAsia="宋体" w:cs="Times New Roman"/>
          <w:color w:val="auto"/>
          <w:sz w:val="24"/>
          <w:szCs w:val="24"/>
          <w:highlight w:val="none"/>
        </w:rPr>
        <w:t>身份证号：</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宋体" w:eastAsia="宋体" w:cs="Times New Roman"/>
          <w:color w:val="auto"/>
          <w:sz w:val="24"/>
          <w:szCs w:val="24"/>
          <w:highlight w:val="none"/>
        </w:rPr>
        <w:t>；</w:t>
      </w:r>
    </w:p>
    <w:p w14:paraId="0D92FCD7">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宋体" w:eastAsia="宋体" w:cs="Times New Roman"/>
          <w:color w:val="auto"/>
          <w:sz w:val="24"/>
          <w:szCs w:val="24"/>
          <w:highlight w:val="none"/>
        </w:rPr>
        <w:t>建造师执业资格等级：</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宋体" w:eastAsia="宋体" w:cs="Times New Roman"/>
          <w:color w:val="auto"/>
          <w:sz w:val="24"/>
          <w:szCs w:val="24"/>
          <w:highlight w:val="none"/>
        </w:rPr>
        <w:t>；</w:t>
      </w:r>
    </w:p>
    <w:p w14:paraId="72C6F0BC">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宋体" w:eastAsia="宋体" w:cs="Times New Roman"/>
          <w:color w:val="auto"/>
          <w:sz w:val="24"/>
          <w:szCs w:val="24"/>
          <w:highlight w:val="none"/>
        </w:rPr>
        <w:t>建造师注册证书号：</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宋体" w:eastAsia="宋体" w:cs="Times New Roman"/>
          <w:color w:val="auto"/>
          <w:sz w:val="24"/>
          <w:szCs w:val="24"/>
          <w:highlight w:val="none"/>
        </w:rPr>
        <w:t>；</w:t>
      </w:r>
    </w:p>
    <w:p w14:paraId="231135F0">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宋体" w:eastAsia="宋体" w:cs="Times New Roman"/>
          <w:color w:val="auto"/>
          <w:sz w:val="24"/>
          <w:szCs w:val="24"/>
          <w:highlight w:val="none"/>
        </w:rPr>
        <w:t>建造师执业印章号：</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宋体" w:eastAsia="宋体" w:cs="Times New Roman"/>
          <w:color w:val="auto"/>
          <w:sz w:val="24"/>
          <w:szCs w:val="24"/>
          <w:highlight w:val="none"/>
        </w:rPr>
        <w:t>；</w:t>
      </w:r>
    </w:p>
    <w:p w14:paraId="2726C285">
      <w:pPr>
        <w:spacing w:line="400" w:lineRule="exact"/>
        <w:ind w:firstLine="480" w:firstLineChars="200"/>
        <w:rPr>
          <w:rFonts w:hint="eastAsia" w:ascii="Times New Roman" w:hAnsi="宋体" w:eastAsia="宋体" w:cs="Times New Roman"/>
          <w:color w:val="auto"/>
          <w:sz w:val="24"/>
          <w:szCs w:val="24"/>
          <w:highlight w:val="none"/>
        </w:rPr>
      </w:pPr>
      <w:r>
        <w:rPr>
          <w:rFonts w:ascii="Times New Roman" w:hAnsi="宋体" w:eastAsia="宋体" w:cs="Times New Roman"/>
          <w:color w:val="auto"/>
          <w:sz w:val="24"/>
          <w:szCs w:val="24"/>
          <w:highlight w:val="none"/>
        </w:rPr>
        <w:t>安全生产考核合格证书号：</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宋体" w:eastAsia="宋体" w:cs="Times New Roman"/>
          <w:color w:val="auto"/>
          <w:sz w:val="24"/>
          <w:szCs w:val="24"/>
          <w:highlight w:val="none"/>
        </w:rPr>
        <w:t>；</w:t>
      </w:r>
    </w:p>
    <w:p w14:paraId="7E0D3373">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宋体" w:eastAsia="宋体" w:cs="Times New Roman"/>
          <w:color w:val="auto"/>
          <w:sz w:val="24"/>
          <w:szCs w:val="24"/>
          <w:highlight w:val="none"/>
        </w:rPr>
        <w:t>联系电话：</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宋体" w:eastAsia="宋体" w:cs="Times New Roman"/>
          <w:color w:val="auto"/>
          <w:sz w:val="24"/>
          <w:szCs w:val="24"/>
          <w:highlight w:val="none"/>
        </w:rPr>
        <w:t>；</w:t>
      </w:r>
    </w:p>
    <w:p w14:paraId="7DD63419">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宋体" w:eastAsia="宋体" w:cs="Times New Roman"/>
          <w:color w:val="auto"/>
          <w:sz w:val="24"/>
          <w:szCs w:val="24"/>
          <w:highlight w:val="none"/>
        </w:rPr>
        <w:t>电子信箱：</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宋体" w:eastAsia="宋体" w:cs="Times New Roman"/>
          <w:color w:val="auto"/>
          <w:sz w:val="24"/>
          <w:szCs w:val="24"/>
          <w:highlight w:val="none"/>
        </w:rPr>
        <w:t>；</w:t>
      </w:r>
    </w:p>
    <w:p w14:paraId="4B381D39">
      <w:pPr>
        <w:spacing w:line="400" w:lineRule="exact"/>
        <w:ind w:firstLine="480" w:firstLineChars="200"/>
        <w:rPr>
          <w:rFonts w:hint="eastAsia" w:ascii="Times New Roman" w:hAnsi="宋体" w:eastAsia="宋体" w:cs="Times New Roman"/>
          <w:color w:val="auto"/>
          <w:sz w:val="24"/>
          <w:szCs w:val="24"/>
          <w:highlight w:val="none"/>
        </w:rPr>
      </w:pPr>
      <w:r>
        <w:rPr>
          <w:rFonts w:ascii="Times New Roman" w:hAnsi="宋体" w:eastAsia="宋体" w:cs="Times New Roman"/>
          <w:color w:val="auto"/>
          <w:sz w:val="24"/>
          <w:szCs w:val="24"/>
          <w:highlight w:val="none"/>
        </w:rPr>
        <w:t>通信地址：</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宋体" w:eastAsia="宋体" w:cs="Times New Roman"/>
          <w:color w:val="auto"/>
          <w:sz w:val="24"/>
          <w:szCs w:val="24"/>
          <w:highlight w:val="none"/>
        </w:rPr>
        <w:t>；</w:t>
      </w:r>
    </w:p>
    <w:p w14:paraId="6B07B8F3">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承包人对项目经理的授权范围如下：</w:t>
      </w:r>
      <w:r>
        <w:rPr>
          <w:rFonts w:hint="eastAsia" w:ascii="宋体" w:hAnsi="宋体" w:eastAsia="宋体" w:cs="Times New Roman"/>
          <w:color w:val="auto"/>
          <w:sz w:val="24"/>
          <w:szCs w:val="24"/>
          <w:highlight w:val="none"/>
          <w:u w:val="single"/>
        </w:rPr>
        <w:t>实行项目经理责任制，负责项目的施工组织与管理</w:t>
      </w:r>
      <w:r>
        <w:rPr>
          <w:rFonts w:hint="eastAsia" w:ascii="Times New Roman" w:hAnsi="宋体" w:eastAsia="宋体" w:cs="宋体"/>
          <w:color w:val="auto"/>
          <w:sz w:val="24"/>
          <w:szCs w:val="24"/>
          <w:highlight w:val="none"/>
        </w:rPr>
        <w:t>。</w:t>
      </w:r>
    </w:p>
    <w:p w14:paraId="213C2BF2">
      <w:pPr>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关于项目经理每月在施工现场的时间要求：</w:t>
      </w:r>
      <w:r>
        <w:rPr>
          <w:rFonts w:hint="eastAsia" w:ascii="宋体" w:hAnsi="宋体" w:eastAsia="宋体" w:cs="宋体"/>
          <w:color w:val="auto"/>
          <w:sz w:val="24"/>
          <w:szCs w:val="24"/>
          <w:highlight w:val="none"/>
          <w:u w:val="single"/>
        </w:rPr>
        <w:t>双方另行确定</w:t>
      </w:r>
      <w:r>
        <w:rPr>
          <w:rFonts w:hint="eastAsia" w:ascii="Times New Roman" w:hAnsi="宋体" w:eastAsia="宋体" w:cs="宋体"/>
          <w:color w:val="auto"/>
          <w:sz w:val="24"/>
          <w:szCs w:val="24"/>
          <w:highlight w:val="none"/>
        </w:rPr>
        <w:t>。</w:t>
      </w:r>
    </w:p>
    <w:p w14:paraId="367F9CB7">
      <w:pPr>
        <w:spacing w:line="400" w:lineRule="exact"/>
        <w:ind w:firstLine="480" w:firstLineChars="200"/>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kern w:val="0"/>
          <w:sz w:val="24"/>
          <w:szCs w:val="24"/>
          <w:highlight w:val="none"/>
        </w:rPr>
        <w:t>承包人未提交劳动合同，以及没有为项目经理缴纳社会保险证明的违约责任：</w:t>
      </w:r>
    </w:p>
    <w:p w14:paraId="3E4EF717">
      <w:pPr>
        <w:spacing w:line="400" w:lineRule="exac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双方另行约定</w:t>
      </w:r>
      <w:r>
        <w:rPr>
          <w:rFonts w:ascii="Times New Roman" w:hAnsi="宋体" w:eastAsia="宋体" w:cs="Times New Roman"/>
          <w:color w:val="auto"/>
          <w:sz w:val="24"/>
          <w:szCs w:val="24"/>
          <w:highlight w:val="none"/>
          <w:u w:val="single"/>
        </w:rPr>
        <w:t xml:space="preserve">                                </w:t>
      </w:r>
      <w:r>
        <w:rPr>
          <w:rFonts w:hint="eastAsia" w:ascii="Times New Roman" w:hAnsi="宋体"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0FA5E784">
      <w:pPr>
        <w:spacing w:line="400" w:lineRule="exact"/>
        <w:ind w:firstLine="480" w:firstLineChars="200"/>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kern w:val="0"/>
          <w:sz w:val="24"/>
          <w:szCs w:val="24"/>
          <w:highlight w:val="none"/>
        </w:rPr>
        <w:t>项目经理未经批准，擅自离开施工现场的违约责任：</w:t>
      </w:r>
      <w:r>
        <w:rPr>
          <w:rFonts w:hint="eastAsia" w:ascii="宋体" w:hAnsi="Courier New" w:eastAsia="宋体" w:cs="Times New Roman"/>
          <w:color w:val="auto"/>
          <w:sz w:val="24"/>
          <w:szCs w:val="24"/>
          <w:highlight w:val="none"/>
          <w:u w:val="single"/>
        </w:rPr>
        <w:t>待定</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77854AF4">
      <w:pPr>
        <w:spacing w:line="400" w:lineRule="exact"/>
        <w:ind w:firstLine="480" w:firstLineChars="200"/>
        <w:rPr>
          <w:rFonts w:hint="eastAsia" w:ascii="Times New Roman" w:hAnsi="宋体"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3.2.3 </w:t>
      </w:r>
      <w:r>
        <w:rPr>
          <w:rFonts w:hint="eastAsia" w:ascii="Times New Roman" w:hAnsi="宋体" w:eastAsia="宋体" w:cs="宋体"/>
          <w:color w:val="auto"/>
          <w:sz w:val="24"/>
          <w:szCs w:val="24"/>
          <w:highlight w:val="none"/>
        </w:rPr>
        <w:t>承包人擅自更换项目经理的违约责任：</w:t>
      </w:r>
      <w:r>
        <w:rPr>
          <w:rFonts w:hint="eastAsia" w:ascii="宋体" w:hAnsi="Courier New" w:eastAsia="宋体" w:cs="Times New Roman"/>
          <w:color w:val="auto"/>
          <w:sz w:val="24"/>
          <w:szCs w:val="24"/>
          <w:highlight w:val="none"/>
          <w:u w:val="single"/>
        </w:rPr>
        <w:t>双方另行约定</w:t>
      </w:r>
      <w:r>
        <w:rPr>
          <w:rFonts w:hint="eastAsia" w:ascii="Times New Roman" w:hAnsi="宋体" w:eastAsia="宋体" w:cs="宋体"/>
          <w:color w:val="auto"/>
          <w:sz w:val="24"/>
          <w:szCs w:val="24"/>
          <w:highlight w:val="none"/>
        </w:rPr>
        <w:t>。</w:t>
      </w:r>
    </w:p>
    <w:p w14:paraId="3345FB03">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3.2.4 </w:t>
      </w:r>
      <w:r>
        <w:rPr>
          <w:rFonts w:hint="eastAsia" w:ascii="Times New Roman" w:hAnsi="宋体" w:eastAsia="宋体" w:cs="宋体"/>
          <w:color w:val="auto"/>
          <w:sz w:val="24"/>
          <w:szCs w:val="24"/>
          <w:highlight w:val="none"/>
        </w:rPr>
        <w:t>承包人无正当理由拒绝更换项目经理的违约责任：</w:t>
      </w:r>
      <w:r>
        <w:rPr>
          <w:rFonts w:hint="eastAsia" w:ascii="宋体" w:hAnsi="宋体" w:eastAsia="宋体" w:cs="宋体"/>
          <w:color w:val="auto"/>
          <w:sz w:val="24"/>
          <w:szCs w:val="24"/>
          <w:highlight w:val="none"/>
          <w:u w:val="single"/>
        </w:rPr>
        <w:t>项目经理无权履行职责，发包人有权要求更换项目经理，由此增加的费用和（或）延误的工期由承包人承担</w:t>
      </w:r>
      <w:r>
        <w:rPr>
          <w:rFonts w:hint="eastAsia" w:ascii="Times New Roman" w:hAnsi="宋体" w:eastAsia="宋体" w:cs="宋体"/>
          <w:color w:val="auto"/>
          <w:sz w:val="24"/>
          <w:szCs w:val="24"/>
          <w:highlight w:val="none"/>
        </w:rPr>
        <w:t>。</w:t>
      </w:r>
    </w:p>
    <w:p w14:paraId="1C15B086">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237" w:name="_Toc373478356"/>
      <w:bookmarkStart w:id="238" w:name="_Toc389065275"/>
      <w:bookmarkStart w:id="239" w:name="_Toc373227709"/>
      <w:bookmarkStart w:id="240" w:name="_Toc407135211"/>
      <w:bookmarkStart w:id="241" w:name="_Toc9850539"/>
      <w:r>
        <w:rPr>
          <w:rFonts w:ascii="Times New Roman" w:hAnsi="Times New Roman" w:eastAsia="黑体" w:cs="Times New Roman"/>
          <w:b/>
          <w:bCs/>
          <w:color w:val="auto"/>
          <w:sz w:val="24"/>
          <w:szCs w:val="24"/>
          <w:highlight w:val="none"/>
          <w:lang w:val="zh-CN"/>
        </w:rPr>
        <w:t xml:space="preserve">3.3 </w:t>
      </w:r>
      <w:r>
        <w:rPr>
          <w:rFonts w:hint="eastAsia" w:ascii="Times New Roman" w:hAnsi="宋体" w:eastAsia="黑体" w:cs="黑体"/>
          <w:b/>
          <w:bCs/>
          <w:color w:val="auto"/>
          <w:sz w:val="24"/>
          <w:szCs w:val="24"/>
          <w:highlight w:val="none"/>
          <w:lang w:val="zh-CN"/>
        </w:rPr>
        <w:t>承包人人员</w:t>
      </w:r>
      <w:bookmarkEnd w:id="237"/>
      <w:bookmarkEnd w:id="238"/>
      <w:bookmarkEnd w:id="239"/>
      <w:bookmarkEnd w:id="240"/>
      <w:bookmarkEnd w:id="241"/>
    </w:p>
    <w:p w14:paraId="234236B1">
      <w:pPr>
        <w:spacing w:line="276" w:lineRule="auto"/>
        <w:ind w:firstLine="480" w:firstLineChars="200"/>
        <w:rPr>
          <w:rFonts w:hint="eastAsia" w:ascii="宋体" w:hAnsi="宋体" w:eastAsia="宋体" w:cs="宋体"/>
          <w:color w:val="auto"/>
          <w:sz w:val="24"/>
          <w:szCs w:val="24"/>
          <w:highlight w:val="none"/>
        </w:rPr>
      </w:pPr>
      <w:bookmarkStart w:id="242" w:name="_Toc407135212"/>
      <w:bookmarkStart w:id="243" w:name="_Toc9850540"/>
      <w:bookmarkStart w:id="244" w:name="_Toc389065276"/>
      <w:bookmarkStart w:id="245" w:name="_Toc373227710"/>
      <w:bookmarkStart w:id="246" w:name="_Toc373478357"/>
      <w:r>
        <w:rPr>
          <w:rFonts w:hint="eastAsia" w:ascii="宋体" w:hAnsi="宋体" w:eastAsia="宋体" w:cs="宋体"/>
          <w:color w:val="auto"/>
          <w:sz w:val="24"/>
          <w:szCs w:val="24"/>
          <w:highlight w:val="none"/>
        </w:rPr>
        <w:t>3.3.1 承包人提交项目管理机构及施工现场管理人员安排报告（格式见合同附件3）的期限：</w:t>
      </w:r>
    </w:p>
    <w:p w14:paraId="7F02856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开工前 3 天   </w:t>
      </w:r>
      <w:r>
        <w:rPr>
          <w:rFonts w:hint="eastAsia" w:ascii="宋体" w:hAnsi="宋体" w:eastAsia="宋体" w:cs="宋体"/>
          <w:color w:val="auto"/>
          <w:sz w:val="24"/>
          <w:szCs w:val="24"/>
          <w:highlight w:val="none"/>
        </w:rPr>
        <w:t>。</w:t>
      </w:r>
    </w:p>
    <w:p w14:paraId="0E20794F">
      <w:pPr>
        <w:widowControl w:val="0"/>
        <w:spacing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3.3.3 承包人无正当理由拒绝撤换主要施工管理人员的违约责任：</w:t>
      </w:r>
      <w:r>
        <w:rPr>
          <w:rFonts w:hint="eastAsia" w:ascii="宋体" w:hAnsi="宋体" w:eastAsia="宋体" w:cs="宋体"/>
          <w:color w:val="auto"/>
          <w:kern w:val="2"/>
          <w:sz w:val="24"/>
          <w:szCs w:val="24"/>
          <w:highlight w:val="none"/>
          <w:u w:val="single"/>
          <w:lang w:val="en-US" w:eastAsia="zh-CN" w:bidi="ar-SA"/>
        </w:rPr>
        <w:t>因承包人主要施工管理人员不称职，发包人有权调换主要施工管理人员。</w:t>
      </w:r>
    </w:p>
    <w:p w14:paraId="48E62D87">
      <w:pPr>
        <w:widowControl w:val="0"/>
        <w:spacing w:line="360" w:lineRule="auto"/>
        <w:ind w:firstLine="480" w:firstLineChars="200"/>
        <w:jc w:val="both"/>
        <w:rPr>
          <w:rFonts w:hint="eastAsia" w:ascii="宋体" w:hAnsi="宋体" w:eastAsia="宋体" w:cs="宋体"/>
          <w:color w:val="auto"/>
          <w:kern w:val="2"/>
          <w:sz w:val="24"/>
          <w:szCs w:val="24"/>
          <w:highlight w:val="none"/>
          <w:u w:val="single"/>
          <w:lang w:val="en-US" w:eastAsia="zh-CN" w:bidi="ar-SA"/>
        </w:rPr>
      </w:pPr>
      <w:r>
        <w:rPr>
          <w:rFonts w:hint="eastAsia" w:ascii="宋体" w:hAnsi="宋体" w:eastAsia="宋体" w:cs="宋体"/>
          <w:color w:val="auto"/>
          <w:kern w:val="2"/>
          <w:sz w:val="24"/>
          <w:szCs w:val="24"/>
          <w:highlight w:val="none"/>
          <w:lang w:val="en-US" w:eastAsia="zh-CN" w:bidi="ar-SA"/>
        </w:rPr>
        <w:t>3.3.4 承包人主要施工管理人员离开施工现场的批准要求：</w:t>
      </w:r>
      <w:r>
        <w:rPr>
          <w:rFonts w:hint="eastAsia" w:ascii="宋体" w:hAnsi="宋体" w:eastAsia="宋体" w:cs="宋体"/>
          <w:color w:val="auto"/>
          <w:kern w:val="2"/>
          <w:sz w:val="24"/>
          <w:szCs w:val="24"/>
          <w:highlight w:val="none"/>
          <w:u w:val="single"/>
          <w:lang w:val="en-US" w:eastAsia="zh-CN" w:bidi="ar-SA"/>
        </w:rPr>
        <w:t xml:space="preserve">须经发包人或监理人书面同意 </w:t>
      </w:r>
      <w:r>
        <w:rPr>
          <w:rFonts w:hint="eastAsia" w:ascii="宋体" w:hAnsi="宋体" w:eastAsia="宋体" w:cs="宋体"/>
          <w:color w:val="auto"/>
          <w:kern w:val="2"/>
          <w:sz w:val="24"/>
          <w:szCs w:val="24"/>
          <w:highlight w:val="none"/>
          <w:lang w:val="en-US" w:eastAsia="zh-CN" w:bidi="ar-SA"/>
        </w:rPr>
        <w:t>。</w:t>
      </w:r>
    </w:p>
    <w:p w14:paraId="039B31AE">
      <w:pPr>
        <w:widowControl w:val="0"/>
        <w:spacing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3.3.5 承包人擅自更换主要施工管理人员的违约责任：</w:t>
      </w:r>
      <w:r>
        <w:rPr>
          <w:rFonts w:hint="eastAsia" w:ascii="宋体" w:hAnsi="宋体" w:eastAsia="宋体" w:cs="宋体"/>
          <w:color w:val="auto"/>
          <w:kern w:val="2"/>
          <w:sz w:val="24"/>
          <w:szCs w:val="24"/>
          <w:highlight w:val="none"/>
          <w:u w:val="single"/>
          <w:lang w:val="en-US" w:eastAsia="zh-CN" w:bidi="ar-SA"/>
        </w:rPr>
        <w:t>项目技术负责人、专职安全员及其承诺的其他在场管理人员未经发包人书面同意不准擅自更换，如需要更换必须经业主同意才能更换</w:t>
      </w:r>
      <w:r>
        <w:rPr>
          <w:rFonts w:hint="eastAsia" w:ascii="宋体" w:hAnsi="宋体" w:eastAsia="宋体" w:cs="宋体"/>
          <w:color w:val="auto"/>
          <w:kern w:val="2"/>
          <w:sz w:val="24"/>
          <w:szCs w:val="24"/>
          <w:highlight w:val="none"/>
          <w:lang w:val="en-US" w:eastAsia="zh-CN" w:bidi="ar-SA"/>
        </w:rPr>
        <w:t>。</w:t>
      </w:r>
    </w:p>
    <w:p w14:paraId="1A4CAED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承包人主要施工管理人员擅自离开施工现场的违约责任：</w:t>
      </w:r>
      <w:r>
        <w:rPr>
          <w:rFonts w:hint="eastAsia" w:ascii="宋体" w:hAnsi="宋体" w:eastAsia="宋体" w:cs="宋体"/>
          <w:color w:val="auto"/>
          <w:sz w:val="24"/>
          <w:szCs w:val="24"/>
          <w:highlight w:val="none"/>
          <w:u w:val="single"/>
        </w:rPr>
        <w:t>待定。</w:t>
      </w:r>
    </w:p>
    <w:p w14:paraId="109B31C3">
      <w:pPr>
        <w:keepNext/>
        <w:keepLines/>
        <w:spacing w:line="400" w:lineRule="exact"/>
        <w:outlineLvl w:val="2"/>
        <w:rPr>
          <w:rFonts w:ascii="Times New Roman" w:hAnsi="Times New Roman" w:eastAsia="黑体" w:cs="Times New Roman"/>
          <w:b/>
          <w:bCs/>
          <w:color w:val="auto"/>
          <w:sz w:val="24"/>
          <w:szCs w:val="24"/>
          <w:highlight w:val="none"/>
          <w:lang w:val="zh-CN"/>
        </w:rPr>
      </w:pPr>
      <w:r>
        <w:rPr>
          <w:rFonts w:ascii="Times New Roman" w:hAnsi="Times New Roman" w:eastAsia="黑体" w:cs="Times New Roman"/>
          <w:b/>
          <w:bCs/>
          <w:color w:val="auto"/>
          <w:sz w:val="24"/>
          <w:szCs w:val="24"/>
          <w:highlight w:val="none"/>
          <w:lang w:val="zh-CN"/>
        </w:rPr>
        <w:t>3</w:t>
      </w:r>
      <w:bookmarkStart w:id="247" w:name="_Toc292559869"/>
      <w:bookmarkStart w:id="248" w:name="_Toc296346660"/>
      <w:bookmarkStart w:id="249" w:name="_Toc296347158"/>
      <w:bookmarkStart w:id="250" w:name="_Toc296503159"/>
      <w:bookmarkStart w:id="251" w:name="_Toc296944498"/>
      <w:bookmarkStart w:id="252" w:name="_Toc300934945"/>
      <w:bookmarkStart w:id="253" w:name="_Toc297048345"/>
      <w:bookmarkStart w:id="254" w:name="_Toc296890987"/>
      <w:bookmarkStart w:id="255" w:name="_Toc304295523"/>
      <w:bookmarkStart w:id="256" w:name="_Toc297123492"/>
      <w:bookmarkStart w:id="257" w:name="_Toc292559364"/>
      <w:bookmarkStart w:id="258" w:name="_Toc297120459"/>
      <w:bookmarkStart w:id="259" w:name="_Toc296891199"/>
      <w:bookmarkStart w:id="260" w:name="_Toc303539102"/>
      <w:bookmarkStart w:id="261" w:name="_Toc312677988"/>
      <w:bookmarkStart w:id="262" w:name="_Toc297216151"/>
      <w:r>
        <w:rPr>
          <w:rFonts w:ascii="Times New Roman" w:hAnsi="Times New Roman" w:eastAsia="黑体" w:cs="Times New Roman"/>
          <w:b/>
          <w:bCs/>
          <w:color w:val="auto"/>
          <w:sz w:val="24"/>
          <w:szCs w:val="24"/>
          <w:highlight w:val="none"/>
          <w:lang w:val="zh-CN"/>
        </w:rPr>
        <w:t xml:space="preserve">.5 </w:t>
      </w:r>
      <w:r>
        <w:rPr>
          <w:rFonts w:hint="eastAsia" w:ascii="Times New Roman" w:hAnsi="宋体" w:eastAsia="黑体" w:cs="黑体"/>
          <w:b/>
          <w:bCs/>
          <w:color w:val="auto"/>
          <w:sz w:val="24"/>
          <w:szCs w:val="24"/>
          <w:highlight w:val="none"/>
          <w:lang w:val="zh-CN"/>
        </w:rPr>
        <w:t>分包</w:t>
      </w:r>
      <w:bookmarkEnd w:id="242"/>
      <w:bookmarkEnd w:id="243"/>
      <w:bookmarkEnd w:id="244"/>
      <w:bookmarkEnd w:id="245"/>
      <w:bookmarkEnd w:id="246"/>
    </w:p>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14:paraId="3A17D6E0">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3</w:t>
      </w:r>
      <w:bookmarkStart w:id="263" w:name="_Toc296944499"/>
      <w:bookmarkStart w:id="264" w:name="_Toc292559870"/>
      <w:bookmarkStart w:id="265" w:name="_Toc296503160"/>
      <w:bookmarkStart w:id="266" w:name="_Toc297120460"/>
      <w:bookmarkStart w:id="267" w:name="_Toc292559365"/>
      <w:bookmarkStart w:id="268" w:name="_Toc296346661"/>
      <w:bookmarkStart w:id="269" w:name="_Toc304295524"/>
      <w:bookmarkStart w:id="270" w:name="_Toc297048346"/>
      <w:bookmarkStart w:id="271" w:name="_Toc296890988"/>
      <w:bookmarkStart w:id="272" w:name="_Toc296891200"/>
      <w:bookmarkStart w:id="273" w:name="_Toc300934946"/>
      <w:bookmarkStart w:id="274" w:name="_Toc312677989"/>
      <w:bookmarkStart w:id="275" w:name="_Toc297216152"/>
      <w:bookmarkStart w:id="276" w:name="_Toc318581158"/>
      <w:bookmarkStart w:id="277" w:name="_Toc296347159"/>
      <w:bookmarkStart w:id="278" w:name="_Toc297123493"/>
      <w:bookmarkStart w:id="279" w:name="_Toc303539103"/>
      <w:r>
        <w:rPr>
          <w:rFonts w:ascii="Times New Roman" w:hAnsi="Times New Roman" w:eastAsia="宋体" w:cs="Times New Roman"/>
          <w:color w:val="auto"/>
          <w:sz w:val="24"/>
          <w:szCs w:val="24"/>
          <w:highlight w:val="none"/>
        </w:rPr>
        <w:t xml:space="preserve">.5.1 </w:t>
      </w:r>
      <w:r>
        <w:rPr>
          <w:rFonts w:hint="eastAsia" w:ascii="Times New Roman" w:hAnsi="宋体" w:eastAsia="宋体" w:cs="宋体"/>
          <w:color w:val="auto"/>
          <w:sz w:val="24"/>
          <w:szCs w:val="24"/>
          <w:highlight w:val="none"/>
        </w:rPr>
        <w:t>分包的一般约定</w:t>
      </w:r>
    </w:p>
    <w:p w14:paraId="6BBAD1C7">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禁止分包的工程包括：</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本项目全部工程内容，本项目不允许任何形式分包、转包</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712E4027">
      <w:pPr>
        <w:spacing w:line="400" w:lineRule="exact"/>
        <w:ind w:firstLine="480" w:firstLineChars="200"/>
        <w:jc w:val="left"/>
        <w:rPr>
          <w:rFonts w:hint="eastAsia" w:ascii="Times New Roman" w:hAnsi="宋体" w:eastAsia="宋体" w:cs="Times New Roman"/>
          <w:color w:val="auto"/>
          <w:sz w:val="24"/>
          <w:szCs w:val="24"/>
          <w:highlight w:val="none"/>
        </w:rPr>
      </w:pPr>
      <w:r>
        <w:rPr>
          <w:rFonts w:hint="eastAsia" w:ascii="Times New Roman" w:hAnsi="宋体" w:eastAsia="宋体" w:cs="宋体"/>
          <w:color w:val="auto"/>
          <w:sz w:val="24"/>
          <w:szCs w:val="24"/>
          <w:highlight w:val="none"/>
        </w:rPr>
        <w:t>主体结构、关键性工作的范围：</w:t>
      </w:r>
      <w:r>
        <w:rPr>
          <w:rFonts w:ascii="Times New Roman" w:hAnsi="Times New Roman"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本工程所有施工内容不得分包</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14:paraId="667E4454">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3</w:t>
      </w:r>
      <w:bookmarkStart w:id="280" w:name="_Toc312677990"/>
      <w:bookmarkStart w:id="281" w:name="_Toc318581159"/>
      <w:r>
        <w:rPr>
          <w:rFonts w:ascii="Times New Roman" w:hAnsi="Times New Roman" w:eastAsia="宋体" w:cs="Times New Roman"/>
          <w:color w:val="auto"/>
          <w:sz w:val="24"/>
          <w:szCs w:val="24"/>
          <w:highlight w:val="none"/>
        </w:rPr>
        <w:t xml:space="preserve">.5.2 </w:t>
      </w:r>
      <w:r>
        <w:rPr>
          <w:rFonts w:hint="eastAsia" w:ascii="Times New Roman" w:hAnsi="宋体" w:eastAsia="宋体" w:cs="宋体"/>
          <w:color w:val="auto"/>
          <w:sz w:val="24"/>
          <w:szCs w:val="24"/>
          <w:highlight w:val="none"/>
        </w:rPr>
        <w:t>分包的确定</w:t>
      </w:r>
    </w:p>
    <w:p w14:paraId="77182B47">
      <w:pPr>
        <w:spacing w:line="400" w:lineRule="exact"/>
        <w:ind w:firstLine="480" w:firstLineChars="200"/>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允许分包的专业工程包括：</w:t>
      </w:r>
      <w:r>
        <w:rPr>
          <w:rFonts w:ascii="Times New Roman" w:hAnsi="Times New Roman" w:eastAsia="宋体" w:cs="Times New Roman"/>
          <w:color w:val="auto"/>
          <w:sz w:val="24"/>
          <w:szCs w:val="24"/>
          <w:highlight w:val="none"/>
          <w:u w:val="single"/>
        </w:rPr>
        <w:t xml:space="preserve"> </w:t>
      </w:r>
      <w:r>
        <w:rPr>
          <w:rFonts w:hint="eastAsia" w:cs="Times New Roman"/>
          <w:color w:val="auto"/>
          <w:sz w:val="24"/>
          <w:szCs w:val="24"/>
          <w:highlight w:val="none"/>
          <w:u w:val="single"/>
          <w:lang w:eastAsia="zh-CN"/>
        </w:rPr>
        <w:t>不允许分包</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bookmarkEnd w:id="280"/>
    <w:bookmarkEnd w:id="281"/>
    <w:p w14:paraId="4EE388CC">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282" w:name="_Toc373478358"/>
      <w:bookmarkStart w:id="283" w:name="_Toc9850541"/>
      <w:bookmarkStart w:id="284" w:name="_Toc373227711"/>
      <w:bookmarkStart w:id="285" w:name="_Toc389065277"/>
      <w:bookmarkStart w:id="286" w:name="_Toc407135213"/>
      <w:r>
        <w:rPr>
          <w:rFonts w:ascii="Times New Roman" w:hAnsi="Times New Roman" w:eastAsia="黑体" w:cs="Times New Roman"/>
          <w:b/>
          <w:bCs/>
          <w:color w:val="auto"/>
          <w:sz w:val="24"/>
          <w:szCs w:val="24"/>
          <w:highlight w:val="none"/>
          <w:lang w:val="zh-CN"/>
        </w:rPr>
        <w:t xml:space="preserve">3.6 </w:t>
      </w:r>
      <w:r>
        <w:rPr>
          <w:rFonts w:hint="eastAsia" w:ascii="Times New Roman" w:hAnsi="Times New Roman" w:eastAsia="黑体" w:cs="黑体"/>
          <w:b/>
          <w:bCs/>
          <w:color w:val="auto"/>
          <w:sz w:val="24"/>
          <w:szCs w:val="24"/>
          <w:highlight w:val="none"/>
          <w:lang w:val="zh-CN"/>
        </w:rPr>
        <w:t>工程照管与成品、半成品保护</w:t>
      </w:r>
      <w:bookmarkEnd w:id="282"/>
      <w:bookmarkEnd w:id="283"/>
      <w:bookmarkEnd w:id="284"/>
      <w:bookmarkEnd w:id="285"/>
      <w:bookmarkEnd w:id="286"/>
    </w:p>
    <w:p w14:paraId="474F0FDA">
      <w:pPr>
        <w:spacing w:line="400" w:lineRule="exact"/>
        <w:ind w:firstLine="480" w:firstLineChars="200"/>
        <w:rPr>
          <w:rFonts w:ascii="Times New Roman" w:hAnsi="Times New Roman" w:eastAsia="宋体" w:cs="Times New Roman"/>
          <w:color w:val="auto"/>
          <w:kern w:val="0"/>
          <w:sz w:val="24"/>
          <w:szCs w:val="24"/>
          <w:highlight w:val="none"/>
          <w:u w:val="single"/>
        </w:rPr>
      </w:pPr>
      <w:r>
        <w:rPr>
          <w:rFonts w:hint="eastAsia" w:ascii="Times New Roman" w:hAnsi="宋体" w:eastAsia="宋体" w:cs="宋体"/>
          <w:color w:val="auto"/>
          <w:kern w:val="0"/>
          <w:sz w:val="24"/>
          <w:szCs w:val="24"/>
          <w:highlight w:val="none"/>
        </w:rPr>
        <w:t>承包人负责照管工程及工程相关的材料、工程设备的起始时间：</w:t>
      </w:r>
      <w:r>
        <w:rPr>
          <w:rFonts w:ascii="宋体" w:hAnsi="Courier New" w:eastAsia="宋体" w:cs="Times New Roman"/>
          <w:color w:val="auto"/>
          <w:kern w:val="0"/>
          <w:sz w:val="24"/>
          <w:szCs w:val="24"/>
          <w:highlight w:val="none"/>
          <w:u w:val="single"/>
        </w:rPr>
        <w:t>自发包人向承包人移交施工现场之日起，</w:t>
      </w:r>
      <w:r>
        <w:rPr>
          <w:rFonts w:hint="eastAsia" w:ascii="宋体" w:hAnsi="Courier New" w:eastAsia="宋体" w:cs="Times New Roman"/>
          <w:color w:val="auto"/>
          <w:kern w:val="0"/>
          <w:sz w:val="24"/>
          <w:szCs w:val="24"/>
          <w:highlight w:val="none"/>
          <w:u w:val="single"/>
        </w:rPr>
        <w:t>至本合同约定项目通过竣工验收后承包人向发包人移交之日止</w:t>
      </w:r>
      <w:r>
        <w:rPr>
          <w:rFonts w:hint="eastAsia" w:ascii="Times New Roman" w:hAnsi="宋体" w:eastAsia="宋体" w:cs="宋体"/>
          <w:color w:val="auto"/>
          <w:kern w:val="0"/>
          <w:sz w:val="24"/>
          <w:szCs w:val="24"/>
          <w:highlight w:val="none"/>
        </w:rPr>
        <w:t>。</w:t>
      </w:r>
    </w:p>
    <w:p w14:paraId="4499084C">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287" w:name="_Toc389065278"/>
      <w:bookmarkStart w:id="288" w:name="_Toc373227712"/>
      <w:bookmarkStart w:id="289" w:name="_Toc373478359"/>
      <w:bookmarkStart w:id="290" w:name="_Toc407135214"/>
      <w:bookmarkStart w:id="291" w:name="_Toc9850542"/>
      <w:r>
        <w:rPr>
          <w:rFonts w:ascii="Times New Roman" w:hAnsi="Times New Roman" w:eastAsia="黑体" w:cs="Times New Roman"/>
          <w:b/>
          <w:bCs/>
          <w:color w:val="auto"/>
          <w:sz w:val="24"/>
          <w:szCs w:val="24"/>
          <w:highlight w:val="none"/>
          <w:lang w:val="zh-CN"/>
        </w:rPr>
        <w:t xml:space="preserve">3.7 </w:t>
      </w:r>
      <w:r>
        <w:rPr>
          <w:rFonts w:hint="eastAsia" w:ascii="Times New Roman" w:hAnsi="宋体" w:eastAsia="黑体" w:cs="黑体"/>
          <w:b/>
          <w:bCs/>
          <w:color w:val="auto"/>
          <w:sz w:val="24"/>
          <w:szCs w:val="24"/>
          <w:highlight w:val="none"/>
          <w:lang w:val="zh-CN"/>
        </w:rPr>
        <w:t>履约</w:t>
      </w:r>
      <w:bookmarkEnd w:id="287"/>
      <w:bookmarkEnd w:id="288"/>
      <w:bookmarkEnd w:id="289"/>
      <w:r>
        <w:rPr>
          <w:rFonts w:hint="eastAsia" w:ascii="Times New Roman" w:hAnsi="宋体" w:eastAsia="黑体" w:cs="黑体"/>
          <w:b/>
          <w:bCs/>
          <w:color w:val="auto"/>
          <w:sz w:val="24"/>
          <w:szCs w:val="24"/>
          <w:highlight w:val="none"/>
          <w:lang w:val="zh-CN"/>
        </w:rPr>
        <w:t>保证金</w:t>
      </w:r>
      <w:bookmarkEnd w:id="290"/>
      <w:bookmarkEnd w:id="291"/>
    </w:p>
    <w:p w14:paraId="3A5B9A6E">
      <w:pPr>
        <w:spacing w:line="400" w:lineRule="exact"/>
        <w:ind w:firstLine="480" w:firstLineChars="200"/>
        <w:jc w:val="left"/>
        <w:rPr>
          <w:rFonts w:ascii="Times New Roman" w:hAnsi="Times New Roman" w:eastAsia="宋体" w:cs="Times New Roman"/>
          <w:color w:val="auto"/>
          <w:sz w:val="24"/>
          <w:szCs w:val="24"/>
          <w:highlight w:val="none"/>
        </w:rPr>
      </w:pPr>
      <w:bookmarkStart w:id="292" w:name="_Toc351203636"/>
      <w:bookmarkStart w:id="293" w:name="_Toc373478360"/>
      <w:bookmarkStart w:id="294" w:name="_Toc373227713"/>
      <w:bookmarkStart w:id="295" w:name="_Toc389065279"/>
      <w:r>
        <w:rPr>
          <w:rFonts w:hint="eastAsia" w:ascii="Times New Roman" w:hAnsi="宋体" w:eastAsia="宋体" w:cs="宋体"/>
          <w:color w:val="auto"/>
          <w:sz w:val="24"/>
          <w:szCs w:val="24"/>
          <w:highlight w:val="none"/>
        </w:rPr>
        <w:t>承包人提供履约担保的形式、金额及</w:t>
      </w:r>
      <w:r>
        <w:rPr>
          <w:rFonts w:hint="eastAsia" w:ascii="Times New Roman" w:hAnsi="宋体" w:eastAsia="宋体" w:cs="宋体"/>
          <w:color w:val="auto"/>
          <w:sz w:val="24"/>
          <w:szCs w:val="24"/>
          <w:highlight w:val="none"/>
          <w:lang w:eastAsia="zh-CN"/>
        </w:rPr>
        <w:t>期限</w:t>
      </w:r>
      <w:r>
        <w:rPr>
          <w:rFonts w:hint="eastAsia" w:ascii="Times New Roman" w:hAnsi="宋体" w:eastAsia="宋体" w:cs="宋体"/>
          <w:color w:val="auto"/>
          <w:sz w:val="24"/>
          <w:szCs w:val="24"/>
          <w:highlight w:val="none"/>
        </w:rPr>
        <w:t>：</w:t>
      </w:r>
      <w:r>
        <w:rPr>
          <w:rFonts w:hint="eastAsia" w:ascii="Times New Roman" w:hAnsi="宋体" w:eastAsia="宋体" w:cs="宋体"/>
          <w:color w:val="auto"/>
          <w:sz w:val="24"/>
          <w:szCs w:val="24"/>
          <w:highlight w:val="none"/>
          <w:u w:val="single"/>
        </w:rPr>
        <w:t xml:space="preserve">    无       。</w:t>
      </w:r>
    </w:p>
    <w:p w14:paraId="36BF1FC2">
      <w:pPr>
        <w:keepNext/>
        <w:keepLines/>
        <w:spacing w:before="60" w:after="60" w:line="400" w:lineRule="exact"/>
        <w:outlineLvl w:val="1"/>
        <w:rPr>
          <w:rFonts w:ascii="Arial" w:hAnsi="Arial" w:eastAsia="黑体" w:cs="Times New Roman"/>
          <w:b/>
          <w:bCs/>
          <w:color w:val="auto"/>
          <w:sz w:val="24"/>
          <w:szCs w:val="24"/>
          <w:highlight w:val="none"/>
          <w:lang w:val="zh-CN"/>
        </w:rPr>
      </w:pPr>
      <w:bookmarkStart w:id="296" w:name="_Toc407135215"/>
      <w:bookmarkStart w:id="297" w:name="_Toc9850543"/>
      <w:r>
        <w:rPr>
          <w:rFonts w:ascii="Arial" w:hAnsi="Arial" w:eastAsia="黑体" w:cs="Times New Roman"/>
          <w:b/>
          <w:bCs/>
          <w:color w:val="auto"/>
          <w:sz w:val="24"/>
          <w:szCs w:val="24"/>
          <w:highlight w:val="none"/>
          <w:lang w:val="zh-CN"/>
        </w:rPr>
        <w:t>4</w:t>
      </w:r>
      <w:bookmarkStart w:id="298" w:name="_Toc297120462"/>
      <w:bookmarkStart w:id="299" w:name="_Toc296346663"/>
      <w:bookmarkStart w:id="300" w:name="_Toc296347161"/>
      <w:bookmarkStart w:id="301" w:name="_Toc267251413"/>
      <w:bookmarkStart w:id="302" w:name="_Toc296891202"/>
      <w:bookmarkStart w:id="303" w:name="_Toc296890990"/>
      <w:bookmarkStart w:id="304" w:name="_Toc292559871"/>
      <w:bookmarkStart w:id="305" w:name="_Toc292559366"/>
      <w:bookmarkStart w:id="306" w:name="_Toc297048348"/>
      <w:bookmarkStart w:id="307" w:name="_Toc296944501"/>
      <w:bookmarkStart w:id="308" w:name="_Toc296503162"/>
      <w:r>
        <w:rPr>
          <w:rFonts w:ascii="Arial" w:hAnsi="Arial" w:eastAsia="黑体" w:cs="Times New Roman"/>
          <w:b/>
          <w:bCs/>
          <w:color w:val="auto"/>
          <w:sz w:val="24"/>
          <w:szCs w:val="24"/>
          <w:highlight w:val="none"/>
          <w:lang w:val="zh-CN"/>
        </w:rPr>
        <w:t xml:space="preserve">. </w:t>
      </w:r>
      <w:r>
        <w:rPr>
          <w:rFonts w:hint="eastAsia" w:ascii="Arial" w:hAnsi="宋体" w:eastAsia="黑体" w:cs="黑体"/>
          <w:b/>
          <w:bCs/>
          <w:color w:val="auto"/>
          <w:sz w:val="24"/>
          <w:szCs w:val="24"/>
          <w:highlight w:val="none"/>
          <w:lang w:val="zh-CN"/>
        </w:rPr>
        <w:t>监</w:t>
      </w:r>
      <w:bookmarkEnd w:id="298"/>
      <w:bookmarkEnd w:id="299"/>
      <w:bookmarkEnd w:id="300"/>
      <w:bookmarkEnd w:id="301"/>
      <w:bookmarkEnd w:id="302"/>
      <w:bookmarkEnd w:id="303"/>
      <w:bookmarkEnd w:id="304"/>
      <w:bookmarkEnd w:id="305"/>
      <w:bookmarkEnd w:id="306"/>
      <w:bookmarkEnd w:id="307"/>
      <w:bookmarkEnd w:id="308"/>
      <w:r>
        <w:rPr>
          <w:rFonts w:hint="eastAsia" w:ascii="Arial" w:hAnsi="宋体" w:eastAsia="黑体" w:cs="黑体"/>
          <w:b/>
          <w:bCs/>
          <w:color w:val="auto"/>
          <w:sz w:val="24"/>
          <w:szCs w:val="24"/>
          <w:highlight w:val="none"/>
          <w:lang w:val="zh-CN"/>
        </w:rPr>
        <w:t>理人</w:t>
      </w:r>
      <w:bookmarkEnd w:id="292"/>
      <w:bookmarkEnd w:id="293"/>
      <w:bookmarkEnd w:id="294"/>
      <w:bookmarkEnd w:id="295"/>
      <w:bookmarkEnd w:id="296"/>
      <w:bookmarkEnd w:id="297"/>
    </w:p>
    <w:p w14:paraId="15117399">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309" w:name="_Toc9850544"/>
      <w:bookmarkStart w:id="310" w:name="_Toc373478361"/>
      <w:bookmarkStart w:id="311" w:name="_Toc407135216"/>
      <w:bookmarkStart w:id="312" w:name="_Toc389065280"/>
      <w:bookmarkStart w:id="313" w:name="_Toc373227714"/>
      <w:r>
        <w:rPr>
          <w:rFonts w:ascii="Times New Roman" w:hAnsi="Times New Roman" w:eastAsia="黑体" w:cs="Times New Roman"/>
          <w:b/>
          <w:bCs/>
          <w:color w:val="auto"/>
          <w:sz w:val="24"/>
          <w:szCs w:val="24"/>
          <w:highlight w:val="none"/>
          <w:lang w:val="zh-CN"/>
        </w:rPr>
        <w:t xml:space="preserve">4.1 </w:t>
      </w:r>
      <w:r>
        <w:rPr>
          <w:rFonts w:hint="eastAsia" w:ascii="Times New Roman" w:hAnsi="Times New Roman" w:eastAsia="黑体" w:cs="黑体"/>
          <w:b/>
          <w:bCs/>
          <w:color w:val="auto"/>
          <w:sz w:val="24"/>
          <w:szCs w:val="24"/>
          <w:highlight w:val="none"/>
          <w:lang w:val="zh-CN"/>
        </w:rPr>
        <w:t>监理人的一般规定</w:t>
      </w:r>
      <w:bookmarkEnd w:id="309"/>
      <w:bookmarkEnd w:id="310"/>
      <w:bookmarkEnd w:id="311"/>
      <w:bookmarkEnd w:id="312"/>
      <w:bookmarkEnd w:id="313"/>
    </w:p>
    <w:p w14:paraId="50CDAE4B">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关于监理人的监理内容：</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263A9A3D">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关于监理人的监理权限：</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r>
        <w:rPr>
          <w:rFonts w:ascii="Times New Roman" w:hAnsi="Times New Roman" w:eastAsia="宋体" w:cs="Times New Roman"/>
          <w:color w:val="auto"/>
          <w:sz w:val="24"/>
          <w:szCs w:val="24"/>
          <w:highlight w:val="none"/>
        </w:rPr>
        <w:t xml:space="preserve"> </w:t>
      </w:r>
    </w:p>
    <w:p w14:paraId="2505B9C0">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关于监理人在施工现场的办公场所、生活场所的提供和费用承担的约定：</w:t>
      </w:r>
      <w:r>
        <w:rPr>
          <w:rFonts w:hint="eastAsia" w:ascii="宋体" w:hAnsi="Courier New" w:eastAsia="宋体" w:cs="Times New Roman"/>
          <w:color w:val="auto"/>
          <w:sz w:val="24"/>
          <w:szCs w:val="24"/>
          <w:highlight w:val="none"/>
          <w:u w:val="single"/>
        </w:rPr>
        <w:t>由委托人提供办公场所、生活场所</w:t>
      </w:r>
      <w:r>
        <w:rPr>
          <w:rFonts w:hint="eastAsia" w:ascii="Times New Roman" w:hAnsi="宋体" w:eastAsia="宋体" w:cs="宋体"/>
          <w:color w:val="auto"/>
          <w:sz w:val="24"/>
          <w:szCs w:val="24"/>
          <w:highlight w:val="none"/>
        </w:rPr>
        <w:t>。</w:t>
      </w:r>
    </w:p>
    <w:p w14:paraId="5D3AC92D">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314" w:name="_Toc389065281"/>
      <w:bookmarkStart w:id="315" w:name="_Toc407135217"/>
      <w:bookmarkStart w:id="316" w:name="_Toc373478362"/>
      <w:bookmarkStart w:id="317" w:name="_Toc9850545"/>
      <w:bookmarkStart w:id="318" w:name="_Toc373227715"/>
      <w:r>
        <w:rPr>
          <w:rFonts w:ascii="Times New Roman" w:hAnsi="Times New Roman" w:eastAsia="黑体" w:cs="Times New Roman"/>
          <w:b/>
          <w:bCs/>
          <w:color w:val="auto"/>
          <w:sz w:val="24"/>
          <w:szCs w:val="24"/>
          <w:highlight w:val="none"/>
          <w:lang w:val="zh-CN"/>
        </w:rPr>
        <w:t xml:space="preserve">4.2 </w:t>
      </w:r>
      <w:r>
        <w:rPr>
          <w:rFonts w:hint="eastAsia" w:ascii="Times New Roman" w:hAnsi="宋体" w:eastAsia="黑体" w:cs="黑体"/>
          <w:b/>
          <w:bCs/>
          <w:color w:val="auto"/>
          <w:sz w:val="24"/>
          <w:szCs w:val="24"/>
          <w:highlight w:val="none"/>
          <w:lang w:val="zh-CN"/>
        </w:rPr>
        <w:t>监理人员</w:t>
      </w:r>
      <w:bookmarkEnd w:id="314"/>
      <w:bookmarkEnd w:id="315"/>
      <w:bookmarkEnd w:id="316"/>
      <w:bookmarkEnd w:id="317"/>
      <w:bookmarkEnd w:id="318"/>
    </w:p>
    <w:p w14:paraId="27C6FCB4">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总监理工程师：</w:t>
      </w:r>
    </w:p>
    <w:p w14:paraId="2B1F21F6">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宋体" w:eastAsia="宋体" w:cs="Times New Roman"/>
          <w:color w:val="auto"/>
          <w:sz w:val="24"/>
          <w:szCs w:val="24"/>
          <w:highlight w:val="none"/>
        </w:rPr>
        <w:t>姓</w:t>
      </w:r>
      <w:r>
        <w:rPr>
          <w:rFonts w:ascii="Times New Roman" w:hAnsi="Times New Roman" w:eastAsia="宋体" w:cs="Times New Roman"/>
          <w:color w:val="auto"/>
          <w:sz w:val="24"/>
          <w:szCs w:val="24"/>
          <w:highlight w:val="none"/>
        </w:rPr>
        <w:t xml:space="preserve">    </w:t>
      </w:r>
      <w:r>
        <w:rPr>
          <w:rFonts w:ascii="Times New Roman" w:hAnsi="宋体" w:eastAsia="宋体" w:cs="Times New Roman"/>
          <w:color w:val="auto"/>
          <w:sz w:val="24"/>
          <w:szCs w:val="24"/>
          <w:highlight w:val="none"/>
        </w:rPr>
        <w:t>名：</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宋体" w:eastAsia="宋体" w:cs="Times New Roman"/>
          <w:color w:val="auto"/>
          <w:sz w:val="24"/>
          <w:szCs w:val="24"/>
          <w:highlight w:val="none"/>
        </w:rPr>
        <w:t>；</w:t>
      </w:r>
    </w:p>
    <w:p w14:paraId="50772907">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宋体" w:eastAsia="宋体" w:cs="Times New Roman"/>
          <w:color w:val="auto"/>
          <w:sz w:val="24"/>
          <w:szCs w:val="24"/>
          <w:highlight w:val="none"/>
        </w:rPr>
        <w:t>职</w:t>
      </w:r>
      <w:r>
        <w:rPr>
          <w:rFonts w:ascii="Times New Roman" w:hAnsi="Times New Roman" w:eastAsia="宋体" w:cs="Times New Roman"/>
          <w:color w:val="auto"/>
          <w:sz w:val="24"/>
          <w:szCs w:val="24"/>
          <w:highlight w:val="none"/>
        </w:rPr>
        <w:t xml:space="preserve">    </w:t>
      </w:r>
      <w:r>
        <w:rPr>
          <w:rFonts w:ascii="Times New Roman" w:hAnsi="宋体" w:eastAsia="宋体" w:cs="Times New Roman"/>
          <w:color w:val="auto"/>
          <w:sz w:val="24"/>
          <w:szCs w:val="24"/>
          <w:highlight w:val="none"/>
        </w:rPr>
        <w:t>务：</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宋体" w:eastAsia="宋体" w:cs="Times New Roman"/>
          <w:color w:val="auto"/>
          <w:sz w:val="24"/>
          <w:szCs w:val="24"/>
          <w:highlight w:val="none"/>
        </w:rPr>
        <w:t>；</w:t>
      </w:r>
    </w:p>
    <w:p w14:paraId="101F7E3A">
      <w:pPr>
        <w:spacing w:line="400" w:lineRule="exact"/>
        <w:ind w:firstLine="480" w:firstLineChars="200"/>
        <w:rPr>
          <w:rFonts w:hint="eastAsia" w:ascii="Times New Roman" w:hAnsi="宋体" w:eastAsia="宋体" w:cs="Times New Roman"/>
          <w:color w:val="auto"/>
          <w:sz w:val="24"/>
          <w:szCs w:val="24"/>
          <w:highlight w:val="none"/>
        </w:rPr>
      </w:pPr>
      <w:r>
        <w:rPr>
          <w:rFonts w:ascii="Times New Roman" w:hAnsi="宋体" w:eastAsia="宋体" w:cs="Times New Roman"/>
          <w:color w:val="auto"/>
          <w:sz w:val="24"/>
          <w:szCs w:val="24"/>
          <w:highlight w:val="none"/>
        </w:rPr>
        <w:t>监理工程师执业资格证书号：</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宋体" w:eastAsia="宋体" w:cs="Times New Roman"/>
          <w:color w:val="auto"/>
          <w:sz w:val="24"/>
          <w:szCs w:val="24"/>
          <w:highlight w:val="none"/>
        </w:rPr>
        <w:t>；</w:t>
      </w:r>
    </w:p>
    <w:p w14:paraId="0B8546A8">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宋体" w:eastAsia="宋体" w:cs="Times New Roman"/>
          <w:color w:val="auto"/>
          <w:sz w:val="24"/>
          <w:szCs w:val="24"/>
          <w:highlight w:val="none"/>
        </w:rPr>
        <w:t>联系电话：</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宋体" w:eastAsia="宋体" w:cs="Times New Roman"/>
          <w:color w:val="auto"/>
          <w:sz w:val="24"/>
          <w:szCs w:val="24"/>
          <w:highlight w:val="none"/>
        </w:rPr>
        <w:t>；</w:t>
      </w:r>
    </w:p>
    <w:p w14:paraId="2F053E04">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宋体" w:eastAsia="宋体" w:cs="Times New Roman"/>
          <w:color w:val="auto"/>
          <w:sz w:val="24"/>
          <w:szCs w:val="24"/>
          <w:highlight w:val="none"/>
        </w:rPr>
        <w:t>电子信箱：</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宋体" w:eastAsia="宋体" w:cs="Times New Roman"/>
          <w:color w:val="auto"/>
          <w:sz w:val="24"/>
          <w:szCs w:val="24"/>
          <w:highlight w:val="none"/>
        </w:rPr>
        <w:t>；</w:t>
      </w:r>
    </w:p>
    <w:p w14:paraId="48E942E5">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宋体" w:eastAsia="宋体" w:cs="Times New Roman"/>
          <w:color w:val="auto"/>
          <w:sz w:val="24"/>
          <w:szCs w:val="24"/>
          <w:highlight w:val="none"/>
        </w:rPr>
        <w:t>通信地址：</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宋体" w:eastAsia="宋体" w:cs="Times New Roman"/>
          <w:color w:val="auto"/>
          <w:sz w:val="24"/>
          <w:szCs w:val="24"/>
          <w:highlight w:val="none"/>
        </w:rPr>
        <w:t>；</w:t>
      </w:r>
    </w:p>
    <w:p w14:paraId="1B5157D5">
      <w:pPr>
        <w:spacing w:line="400" w:lineRule="exact"/>
        <w:ind w:firstLine="480" w:firstLineChars="200"/>
        <w:rPr>
          <w:rFonts w:ascii="Times New Roman" w:hAnsi="Times New Roman" w:eastAsia="宋体" w:cs="Times New Roman"/>
          <w:color w:val="auto"/>
          <w:sz w:val="24"/>
          <w:szCs w:val="24"/>
          <w:highlight w:val="none"/>
        </w:rPr>
      </w:pPr>
      <w:r>
        <w:rPr>
          <w:rFonts w:ascii="Times New Roman" w:hAnsi="宋体" w:eastAsia="宋体" w:cs="Times New Roman"/>
          <w:color w:val="auto"/>
          <w:sz w:val="24"/>
          <w:szCs w:val="24"/>
          <w:highlight w:val="none"/>
        </w:rPr>
        <w:t>关于监理人的其他约定：</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ascii="Times New Roman" w:hAnsi="宋体" w:eastAsia="宋体" w:cs="Times New Roman"/>
          <w:color w:val="auto"/>
          <w:sz w:val="24"/>
          <w:szCs w:val="24"/>
          <w:highlight w:val="none"/>
          <w:u w:val="single"/>
        </w:rPr>
        <w:t></w:t>
      </w:r>
      <w:r>
        <w:rPr>
          <w:rFonts w:ascii="Times New Roman" w:hAnsi="宋体" w:eastAsia="宋体" w:cs="Times New Roman"/>
          <w:color w:val="auto"/>
          <w:sz w:val="24"/>
          <w:szCs w:val="24"/>
          <w:highlight w:val="none"/>
        </w:rPr>
        <w:t>。</w:t>
      </w:r>
    </w:p>
    <w:p w14:paraId="0BBE4DA3">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319" w:name="_Toc389065282"/>
      <w:bookmarkStart w:id="320" w:name="_Toc373227716"/>
      <w:bookmarkStart w:id="321" w:name="_Toc407135218"/>
      <w:bookmarkStart w:id="322" w:name="_Toc373478363"/>
      <w:bookmarkStart w:id="323" w:name="_Toc9850546"/>
      <w:r>
        <w:rPr>
          <w:rFonts w:ascii="Times New Roman" w:hAnsi="Times New Roman" w:eastAsia="黑体" w:cs="Times New Roman"/>
          <w:b/>
          <w:bCs/>
          <w:color w:val="auto"/>
          <w:sz w:val="24"/>
          <w:szCs w:val="24"/>
          <w:highlight w:val="none"/>
          <w:lang w:val="zh-CN"/>
        </w:rPr>
        <w:t xml:space="preserve">4.4 </w:t>
      </w:r>
      <w:r>
        <w:rPr>
          <w:rFonts w:hint="eastAsia" w:ascii="Times New Roman" w:hAnsi="宋体" w:eastAsia="黑体" w:cs="黑体"/>
          <w:b/>
          <w:bCs/>
          <w:color w:val="auto"/>
          <w:sz w:val="24"/>
          <w:szCs w:val="24"/>
          <w:highlight w:val="none"/>
          <w:lang w:val="zh-CN"/>
        </w:rPr>
        <w:t>商定或确定</w:t>
      </w:r>
      <w:bookmarkEnd w:id="319"/>
      <w:bookmarkEnd w:id="320"/>
      <w:bookmarkEnd w:id="321"/>
      <w:bookmarkEnd w:id="322"/>
      <w:bookmarkEnd w:id="323"/>
    </w:p>
    <w:p w14:paraId="64725292">
      <w:pPr>
        <w:spacing w:line="400" w:lineRule="exact"/>
        <w:ind w:firstLine="480" w:firstLineChars="200"/>
        <w:rPr>
          <w:rFonts w:ascii="Times New Roman" w:hAnsi="Times New Roman" w:eastAsia="宋体" w:cs="Times New Roman"/>
          <w:color w:val="auto"/>
          <w:sz w:val="24"/>
          <w:szCs w:val="24"/>
          <w:highlight w:val="none"/>
        </w:rPr>
      </w:pPr>
      <w:bookmarkStart w:id="324" w:name="_Toc267251418"/>
      <w:r>
        <w:rPr>
          <w:rFonts w:hint="eastAsia" w:ascii="Times New Roman" w:hAnsi="宋体" w:eastAsia="宋体" w:cs="宋体"/>
          <w:color w:val="auto"/>
          <w:sz w:val="24"/>
          <w:szCs w:val="24"/>
          <w:highlight w:val="none"/>
        </w:rPr>
        <w:t>在发包人和承包人不能通过协商达成一致意见时，发包人授权监理人对以下事项进行确定：</w:t>
      </w:r>
    </w:p>
    <w:p w14:paraId="62834C46">
      <w:pPr>
        <w:autoSpaceDE w:val="0"/>
        <w:autoSpaceDN w:val="0"/>
        <w:adjustRightInd w:val="0"/>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w:t>
      </w:r>
      <w:r>
        <w:rPr>
          <w:rFonts w:ascii="Times New Roman" w:hAnsi="Times New Roman" w:eastAsia="宋体" w:cs="Times New Roman"/>
          <w:color w:val="auto"/>
          <w:kern w:val="0"/>
          <w:sz w:val="24"/>
          <w:szCs w:val="24"/>
          <w:highlight w:val="none"/>
        </w:rPr>
        <w:t>1</w:t>
      </w:r>
      <w:r>
        <w:rPr>
          <w:rFonts w:hint="eastAsia" w:ascii="Times New Roman" w:hAnsi="宋体" w:eastAsia="宋体" w:cs="宋体"/>
          <w:color w:val="auto"/>
          <w:kern w:val="0"/>
          <w:sz w:val="24"/>
          <w:szCs w:val="24"/>
          <w:highlight w:val="none"/>
        </w:rPr>
        <w:t>）</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签订合同时约定</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6D84CB38">
      <w:pPr>
        <w:autoSpaceDE w:val="0"/>
        <w:autoSpaceDN w:val="0"/>
        <w:adjustRightInd w:val="0"/>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w:t>
      </w:r>
      <w:r>
        <w:rPr>
          <w:rFonts w:ascii="Times New Roman" w:hAnsi="Times New Roman" w:eastAsia="宋体" w:cs="Times New Roman"/>
          <w:color w:val="auto"/>
          <w:kern w:val="0"/>
          <w:sz w:val="24"/>
          <w:szCs w:val="24"/>
          <w:highlight w:val="none"/>
        </w:rPr>
        <w:t>2</w:t>
      </w:r>
      <w:r>
        <w:rPr>
          <w:rFonts w:hint="eastAsia" w:ascii="Times New Roman" w:hAnsi="宋体" w:eastAsia="宋体" w:cs="宋体"/>
          <w:color w:val="auto"/>
          <w:kern w:val="0"/>
          <w:sz w:val="24"/>
          <w:szCs w:val="24"/>
          <w:highlight w:val="none"/>
        </w:rPr>
        <w:t>）</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签订合同时约定</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36B4CED6">
      <w:pPr>
        <w:autoSpaceDE w:val="0"/>
        <w:autoSpaceDN w:val="0"/>
        <w:adjustRightInd w:val="0"/>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w:t>
      </w:r>
      <w:r>
        <w:rPr>
          <w:rFonts w:ascii="Times New Roman" w:hAnsi="Times New Roman" w:eastAsia="宋体" w:cs="Times New Roman"/>
          <w:color w:val="auto"/>
          <w:kern w:val="0"/>
          <w:sz w:val="24"/>
          <w:szCs w:val="24"/>
          <w:highlight w:val="none"/>
        </w:rPr>
        <w:t>3</w:t>
      </w:r>
      <w:r>
        <w:rPr>
          <w:rFonts w:hint="eastAsia" w:ascii="Times New Roman" w:hAnsi="宋体" w:eastAsia="宋体" w:cs="宋体"/>
          <w:color w:val="auto"/>
          <w:kern w:val="0"/>
          <w:sz w:val="24"/>
          <w:szCs w:val="24"/>
          <w:highlight w:val="none"/>
        </w:rPr>
        <w:t>）</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签订合同时约定</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28AA8789">
      <w:pPr>
        <w:keepNext/>
        <w:keepLines/>
        <w:spacing w:before="60" w:after="60" w:line="400" w:lineRule="exact"/>
        <w:outlineLvl w:val="1"/>
        <w:rPr>
          <w:rFonts w:ascii="Arial" w:hAnsi="Arial" w:eastAsia="黑体" w:cs="Times New Roman"/>
          <w:b/>
          <w:bCs/>
          <w:color w:val="auto"/>
          <w:sz w:val="24"/>
          <w:szCs w:val="24"/>
          <w:highlight w:val="none"/>
          <w:lang w:val="zh-CN"/>
        </w:rPr>
      </w:pPr>
      <w:bookmarkStart w:id="325" w:name="_Toc389065283"/>
      <w:bookmarkStart w:id="326" w:name="_Toc373227717"/>
      <w:bookmarkStart w:id="327" w:name="_Toc9850547"/>
      <w:bookmarkStart w:id="328" w:name="_Toc407135219"/>
      <w:bookmarkStart w:id="329" w:name="_Toc373478364"/>
      <w:bookmarkStart w:id="330" w:name="_Toc351203637"/>
      <w:r>
        <w:rPr>
          <w:rFonts w:ascii="Arial" w:hAnsi="Arial" w:eastAsia="黑体" w:cs="Times New Roman"/>
          <w:b/>
          <w:bCs/>
          <w:color w:val="auto"/>
          <w:sz w:val="24"/>
          <w:szCs w:val="24"/>
          <w:highlight w:val="none"/>
          <w:lang w:val="zh-CN"/>
        </w:rPr>
        <w:t>5</w:t>
      </w:r>
      <w:bookmarkEnd w:id="324"/>
      <w:bookmarkStart w:id="331" w:name="_Toc297120463"/>
      <w:bookmarkStart w:id="332" w:name="_Toc296890991"/>
      <w:bookmarkStart w:id="333" w:name="_Toc297048349"/>
      <w:bookmarkStart w:id="334" w:name="_Toc296347162"/>
      <w:bookmarkStart w:id="335" w:name="_Toc296944502"/>
      <w:bookmarkStart w:id="336" w:name="_Toc292559367"/>
      <w:bookmarkStart w:id="337" w:name="_Toc296503163"/>
      <w:bookmarkStart w:id="338" w:name="_Toc292559872"/>
      <w:bookmarkStart w:id="339" w:name="_Toc296891203"/>
      <w:bookmarkStart w:id="340" w:name="_Toc296346664"/>
      <w:r>
        <w:rPr>
          <w:rFonts w:ascii="Arial" w:hAnsi="Arial" w:eastAsia="黑体" w:cs="Times New Roman"/>
          <w:b/>
          <w:bCs/>
          <w:color w:val="auto"/>
          <w:sz w:val="24"/>
          <w:szCs w:val="24"/>
          <w:highlight w:val="none"/>
          <w:lang w:val="zh-CN"/>
        </w:rPr>
        <w:t xml:space="preserve">. </w:t>
      </w:r>
      <w:r>
        <w:rPr>
          <w:rFonts w:hint="eastAsia" w:ascii="Arial" w:hAnsi="宋体" w:eastAsia="黑体" w:cs="黑体"/>
          <w:b/>
          <w:bCs/>
          <w:color w:val="auto"/>
          <w:sz w:val="24"/>
          <w:szCs w:val="24"/>
          <w:highlight w:val="none"/>
          <w:lang w:val="zh-CN"/>
        </w:rPr>
        <w:t>工程质量</w:t>
      </w:r>
      <w:bookmarkEnd w:id="325"/>
      <w:bookmarkEnd w:id="326"/>
      <w:bookmarkEnd w:id="327"/>
      <w:bookmarkEnd w:id="328"/>
      <w:bookmarkEnd w:id="329"/>
      <w:bookmarkEnd w:id="330"/>
    </w:p>
    <w:p w14:paraId="5B406367">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341" w:name="_Toc407135220"/>
      <w:bookmarkStart w:id="342" w:name="_Toc373478365"/>
      <w:bookmarkStart w:id="343" w:name="_Toc9850548"/>
      <w:bookmarkStart w:id="344" w:name="_Toc389065284"/>
      <w:bookmarkStart w:id="345" w:name="_Toc373227718"/>
      <w:r>
        <w:rPr>
          <w:rFonts w:ascii="Times New Roman" w:hAnsi="Times New Roman" w:eastAsia="黑体" w:cs="Times New Roman"/>
          <w:b/>
          <w:bCs/>
          <w:color w:val="auto"/>
          <w:sz w:val="24"/>
          <w:szCs w:val="24"/>
          <w:highlight w:val="none"/>
          <w:lang w:val="zh-CN"/>
        </w:rPr>
        <w:t xml:space="preserve">5.1 </w:t>
      </w:r>
      <w:r>
        <w:rPr>
          <w:rFonts w:hint="eastAsia" w:ascii="Times New Roman" w:hAnsi="宋体" w:eastAsia="黑体" w:cs="黑体"/>
          <w:b/>
          <w:bCs/>
          <w:color w:val="auto"/>
          <w:sz w:val="24"/>
          <w:szCs w:val="24"/>
          <w:highlight w:val="none"/>
          <w:lang w:val="zh-CN"/>
        </w:rPr>
        <w:t>质量要求</w:t>
      </w:r>
      <w:bookmarkEnd w:id="341"/>
      <w:bookmarkEnd w:id="342"/>
      <w:bookmarkEnd w:id="343"/>
      <w:bookmarkEnd w:id="344"/>
      <w:bookmarkEnd w:id="345"/>
    </w:p>
    <w:p w14:paraId="11105A45">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ascii="Times New Roman" w:hAnsi="Times New Roman" w:eastAsia="宋体" w:cs="Times New Roman"/>
          <w:color w:val="auto"/>
          <w:sz w:val="24"/>
          <w:szCs w:val="24"/>
          <w:highlight w:val="none"/>
        </w:rPr>
        <w:t>5</w:t>
      </w:r>
      <w:bookmarkStart w:id="346" w:name="_Toc297123496"/>
      <w:bookmarkStart w:id="347" w:name="_Toc312677997"/>
      <w:bookmarkStart w:id="348" w:name="_Toc304295527"/>
      <w:bookmarkStart w:id="349" w:name="_Toc303539106"/>
      <w:bookmarkStart w:id="350" w:name="_Toc300934949"/>
      <w:bookmarkStart w:id="351" w:name="_Toc297216155"/>
      <w:bookmarkStart w:id="352" w:name="_Toc318581164"/>
      <w:r>
        <w:rPr>
          <w:rFonts w:ascii="Times New Roman" w:hAnsi="Times New Roman" w:eastAsia="宋体" w:cs="Times New Roman"/>
          <w:color w:val="auto"/>
          <w:sz w:val="24"/>
          <w:szCs w:val="24"/>
          <w:highlight w:val="none"/>
        </w:rPr>
        <w:t xml:space="preserve">.1.1 </w:t>
      </w:r>
      <w:r>
        <w:rPr>
          <w:rFonts w:hint="eastAsia" w:ascii="Times New Roman" w:hAnsi="宋体" w:eastAsia="宋体" w:cs="宋体"/>
          <w:color w:val="auto"/>
          <w:sz w:val="24"/>
          <w:szCs w:val="24"/>
          <w:highlight w:val="none"/>
        </w:rPr>
        <w:t>特殊质量标准和要求：</w:t>
      </w:r>
      <w:r>
        <w:rPr>
          <w:rFonts w:ascii="Times New Roman" w:hAnsi="Times New Roman" w:eastAsia="宋体" w:cs="Times New Roman"/>
          <w:color w:val="auto"/>
          <w:sz w:val="24"/>
          <w:szCs w:val="24"/>
          <w:highlight w:val="none"/>
          <w:u w:val="single"/>
        </w:rPr>
        <w:t xml:space="preserve">  </w:t>
      </w:r>
      <w:r>
        <w:rPr>
          <w:rFonts w:hint="eastAsia" w:ascii="宋体" w:hAnsi="宋体" w:eastAsia="宋体" w:cs="宋体"/>
          <w:color w:val="auto"/>
          <w:sz w:val="24"/>
          <w:szCs w:val="24"/>
          <w:highlight w:val="none"/>
          <w:u w:val="single"/>
        </w:rPr>
        <w:t>合格</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6DA9FE2D">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关于工程奖项的约定：</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 xml:space="preserve">无 </w:t>
      </w:r>
      <w:r>
        <w:rPr>
          <w:rFonts w:hint="eastAsia" w:ascii="Times New Roman" w:hAnsi="Times New Roman" w:eastAsia="宋体" w:cs="Times New Roman"/>
          <w:color w:val="auto"/>
          <w:sz w:val="24"/>
          <w:szCs w:val="24"/>
          <w:highlight w:val="none"/>
        </w:rPr>
        <w:t>。</w:t>
      </w:r>
    </w:p>
    <w:p w14:paraId="0104C34E">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5.3 </w:t>
      </w:r>
      <w:r>
        <w:rPr>
          <w:rFonts w:hint="eastAsia" w:ascii="Times New Roman" w:hAnsi="宋体" w:eastAsia="宋体" w:cs="宋体"/>
          <w:color w:val="auto"/>
          <w:sz w:val="24"/>
          <w:szCs w:val="24"/>
          <w:highlight w:val="none"/>
        </w:rPr>
        <w:t>隐蔽工程检查</w:t>
      </w:r>
    </w:p>
    <w:p w14:paraId="5C3AC10C">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ascii="Times New Roman" w:hAnsi="Times New Roman" w:eastAsia="宋体" w:cs="Times New Roman"/>
          <w:color w:val="auto"/>
          <w:sz w:val="24"/>
          <w:szCs w:val="24"/>
          <w:highlight w:val="none"/>
        </w:rPr>
        <w:t>5.3.2</w:t>
      </w:r>
      <w:r>
        <w:rPr>
          <w:rFonts w:hint="eastAsia" w:ascii="Times New Roman" w:hAnsi="宋体" w:eastAsia="宋体" w:cs="宋体"/>
          <w:color w:val="auto"/>
          <w:sz w:val="24"/>
          <w:szCs w:val="24"/>
          <w:highlight w:val="none"/>
        </w:rPr>
        <w:t>承包人提前通知监理人隐蔽工程检查的期限的约定：工程隐蔽或中间验收前</w:t>
      </w:r>
      <w:r>
        <w:rPr>
          <w:rFonts w:ascii="Times New Roman" w:hAnsi="Times New Roman" w:eastAsia="宋体" w:cs="Times New Roman"/>
          <w:color w:val="auto"/>
          <w:sz w:val="24"/>
          <w:szCs w:val="24"/>
          <w:highlight w:val="none"/>
        </w:rPr>
        <w:t>12</w:t>
      </w:r>
      <w:r>
        <w:rPr>
          <w:rFonts w:hint="eastAsia" w:ascii="Times New Roman" w:hAnsi="宋体" w:eastAsia="宋体" w:cs="宋体"/>
          <w:color w:val="auto"/>
          <w:sz w:val="24"/>
          <w:szCs w:val="24"/>
          <w:highlight w:val="none"/>
        </w:rPr>
        <w:t>小时以书面形式通知发包人和监理工程师验收的内容、时间、地点，承包人准备验收记录单（最好是印制的表格）由双方签证。验收合格，承包人可进行隐蔽和继续施工；验收不合格，双方</w:t>
      </w:r>
      <w:r>
        <w:rPr>
          <w:rFonts w:hint="eastAsia" w:ascii="Times New Roman" w:hAnsi="宋体" w:eastAsia="宋体" w:cs="宋体"/>
          <w:color w:val="auto"/>
          <w:sz w:val="24"/>
          <w:szCs w:val="24"/>
          <w:highlight w:val="none"/>
          <w:lang w:eastAsia="zh-CN"/>
        </w:rPr>
        <w:t>商定</w:t>
      </w:r>
      <w:r>
        <w:rPr>
          <w:rFonts w:hint="eastAsia" w:ascii="Times New Roman" w:hAnsi="宋体" w:eastAsia="宋体" w:cs="宋体"/>
          <w:color w:val="auto"/>
          <w:sz w:val="24"/>
          <w:szCs w:val="24"/>
          <w:highlight w:val="none"/>
        </w:rPr>
        <w:t>时限内修改后按上述循序重新验收。</w:t>
      </w:r>
    </w:p>
    <w:p w14:paraId="44F0AC37">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监理人不能按时进行检查时，应提前</w:t>
      </w:r>
      <w:r>
        <w:rPr>
          <w:rFonts w:ascii="Times New Roman" w:hAnsi="Times New Roman"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24</w:t>
      </w:r>
      <w:r>
        <w:rPr>
          <w:rFonts w:ascii="宋体" w:hAnsi="宋体"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小时提交书面延期要求。</w:t>
      </w:r>
    </w:p>
    <w:p w14:paraId="4F2CFFB5">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关于延期最长不得超过：</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48</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小时。</w:t>
      </w:r>
    </w:p>
    <w:p w14:paraId="63AD9323">
      <w:pPr>
        <w:keepNext/>
        <w:keepLines/>
        <w:spacing w:before="60" w:after="60" w:line="400" w:lineRule="exact"/>
        <w:outlineLvl w:val="1"/>
        <w:rPr>
          <w:rFonts w:ascii="Arial" w:hAnsi="Arial" w:eastAsia="黑体" w:cs="Times New Roman"/>
          <w:b/>
          <w:bCs/>
          <w:color w:val="auto"/>
          <w:sz w:val="24"/>
          <w:szCs w:val="24"/>
          <w:highlight w:val="none"/>
          <w:lang w:val="zh-CN"/>
        </w:rPr>
      </w:pPr>
      <w:bookmarkStart w:id="353" w:name="_Toc407135221"/>
      <w:bookmarkStart w:id="354" w:name="_Toc9850549"/>
      <w:bookmarkStart w:id="355" w:name="_Toc373478366"/>
      <w:bookmarkStart w:id="356" w:name="_Toc373227719"/>
      <w:bookmarkStart w:id="357" w:name="_Toc351203638"/>
      <w:bookmarkStart w:id="358" w:name="_Toc389065285"/>
      <w:r>
        <w:rPr>
          <w:rFonts w:ascii="Arial" w:hAnsi="Arial" w:eastAsia="黑体" w:cs="Times New Roman"/>
          <w:b/>
          <w:bCs/>
          <w:color w:val="auto"/>
          <w:sz w:val="24"/>
          <w:szCs w:val="24"/>
          <w:highlight w:val="none"/>
          <w:lang w:val="zh-CN"/>
        </w:rPr>
        <w:t xml:space="preserve">6. </w:t>
      </w:r>
      <w:r>
        <w:rPr>
          <w:rFonts w:hint="eastAsia" w:ascii="Arial" w:hAnsi="Arial" w:eastAsia="黑体" w:cs="黑体"/>
          <w:b/>
          <w:bCs/>
          <w:color w:val="auto"/>
          <w:sz w:val="24"/>
          <w:szCs w:val="24"/>
          <w:highlight w:val="none"/>
          <w:lang w:val="zh-CN"/>
        </w:rPr>
        <w:t>安全文明施工与环境保护</w:t>
      </w:r>
      <w:bookmarkEnd w:id="353"/>
      <w:bookmarkEnd w:id="354"/>
      <w:bookmarkEnd w:id="355"/>
      <w:bookmarkEnd w:id="356"/>
      <w:bookmarkEnd w:id="357"/>
      <w:bookmarkEnd w:id="358"/>
    </w:p>
    <w:p w14:paraId="0144FF10">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359" w:name="_Toc407135222"/>
      <w:bookmarkStart w:id="360" w:name="_Toc9850550"/>
      <w:bookmarkStart w:id="361" w:name="_Toc373227720"/>
      <w:bookmarkStart w:id="362" w:name="_Toc389065286"/>
      <w:bookmarkStart w:id="363" w:name="_Toc373478367"/>
      <w:r>
        <w:rPr>
          <w:rFonts w:ascii="Times New Roman" w:hAnsi="Times New Roman" w:eastAsia="黑体" w:cs="Times New Roman"/>
          <w:b/>
          <w:bCs/>
          <w:color w:val="auto"/>
          <w:sz w:val="24"/>
          <w:szCs w:val="24"/>
          <w:highlight w:val="none"/>
          <w:lang w:val="zh-CN"/>
        </w:rPr>
        <w:t xml:space="preserve">6.1 </w:t>
      </w:r>
      <w:r>
        <w:rPr>
          <w:rFonts w:hint="eastAsia" w:ascii="Times New Roman" w:hAnsi="Times New Roman" w:eastAsia="黑体" w:cs="黑体"/>
          <w:b/>
          <w:bCs/>
          <w:color w:val="auto"/>
          <w:sz w:val="24"/>
          <w:szCs w:val="24"/>
          <w:highlight w:val="none"/>
          <w:lang w:val="zh-CN"/>
        </w:rPr>
        <w:t>安全文明施工</w:t>
      </w:r>
      <w:bookmarkEnd w:id="359"/>
      <w:bookmarkEnd w:id="360"/>
      <w:bookmarkEnd w:id="361"/>
      <w:bookmarkEnd w:id="362"/>
      <w:bookmarkEnd w:id="363"/>
    </w:p>
    <w:p w14:paraId="58A60B31">
      <w:pPr>
        <w:spacing w:line="400" w:lineRule="exact"/>
        <w:ind w:firstLine="480" w:firstLineChars="200"/>
        <w:jc w:val="left"/>
        <w:rPr>
          <w:rFonts w:hint="eastAsia" w:ascii="Times New Roman" w:hAnsi="宋体"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6.1.1 </w:t>
      </w:r>
      <w:r>
        <w:rPr>
          <w:rFonts w:hint="eastAsia" w:ascii="Times New Roman" w:hAnsi="宋体" w:eastAsia="宋体" w:cs="宋体"/>
          <w:color w:val="auto"/>
          <w:sz w:val="24"/>
          <w:szCs w:val="24"/>
          <w:highlight w:val="none"/>
        </w:rPr>
        <w:t>项目安全生产的达标目标及相应事项的约定：</w:t>
      </w:r>
      <w:r>
        <w:rPr>
          <w:rFonts w:hint="eastAsia" w:ascii="宋体" w:hAnsi="Courier New" w:eastAsia="宋体" w:cs="Times New Roman"/>
          <w:color w:val="auto"/>
          <w:sz w:val="24"/>
          <w:szCs w:val="24"/>
          <w:highlight w:val="none"/>
          <w:u w:val="single"/>
        </w:rPr>
        <w:t>要求达到《建筑施工安全检查标准》（JGJ59-2011）标准</w:t>
      </w:r>
      <w:r>
        <w:rPr>
          <w:rFonts w:hint="eastAsia" w:ascii="Times New Roman" w:hAnsi="宋体" w:eastAsia="宋体" w:cs="宋体"/>
          <w:color w:val="auto"/>
          <w:sz w:val="24"/>
          <w:szCs w:val="24"/>
          <w:highlight w:val="none"/>
        </w:rPr>
        <w:t>。</w:t>
      </w:r>
    </w:p>
    <w:p w14:paraId="1D906FE7">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关于安全文明施工奖项的约定：</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582AD563">
      <w:pPr>
        <w:spacing w:line="400" w:lineRule="exact"/>
        <w:ind w:firstLine="480" w:firstLineChars="200"/>
        <w:jc w:val="left"/>
        <w:rPr>
          <w:rFonts w:hint="eastAsia" w:ascii="Times New Roman" w:hAnsi="Times New Roman" w:eastAsia="宋体" w:cs="Times New Roman"/>
          <w:color w:val="auto"/>
          <w:sz w:val="24"/>
          <w:szCs w:val="24"/>
          <w:highlight w:val="none"/>
          <w:u w:val="single"/>
          <w:lang w:eastAsia="zh-CN"/>
        </w:rPr>
      </w:pPr>
      <w:r>
        <w:rPr>
          <w:rFonts w:ascii="Times New Roman" w:hAnsi="Times New Roman" w:eastAsia="宋体" w:cs="Times New Roman"/>
          <w:color w:val="auto"/>
          <w:sz w:val="24"/>
          <w:szCs w:val="24"/>
          <w:highlight w:val="none"/>
        </w:rPr>
        <w:t xml:space="preserve">6.1.4 </w:t>
      </w:r>
      <w:r>
        <w:rPr>
          <w:rFonts w:hint="eastAsia" w:ascii="Times New Roman" w:hAnsi="宋体" w:eastAsia="宋体" w:cs="宋体"/>
          <w:color w:val="auto"/>
          <w:sz w:val="24"/>
          <w:szCs w:val="24"/>
          <w:highlight w:val="none"/>
        </w:rPr>
        <w:t>关于治安保卫的特别约定：</w:t>
      </w:r>
      <w:r>
        <w:rPr>
          <w:rFonts w:hint="eastAsia" w:ascii="Times New Roman" w:hAnsi="宋体" w:eastAsia="宋体" w:cs="宋体"/>
          <w:color w:val="auto"/>
          <w:sz w:val="24"/>
          <w:szCs w:val="24"/>
          <w:highlight w:val="none"/>
          <w:u w:val="single"/>
        </w:rPr>
        <w:t>承包人应承担施工安全保卫工作及非夜间施工照明的责任，承包人应采取一切合理的预防措施，防止人员伤亡、财产损失事故，费用由承包人承担。承包人生活设施及施</w:t>
      </w:r>
      <w:r>
        <w:rPr>
          <w:rFonts w:hint="eastAsia" w:ascii="Times New Roman" w:hAnsi="宋体" w:eastAsia="宋体" w:cs="宋体"/>
          <w:color w:val="auto"/>
          <w:sz w:val="24"/>
          <w:szCs w:val="24"/>
          <w:highlight w:val="none"/>
          <w:u w:val="single"/>
          <w:lang w:eastAsia="zh-CN"/>
        </w:rPr>
        <w:t>工现</w:t>
      </w:r>
      <w:r>
        <w:rPr>
          <w:rFonts w:hint="eastAsia" w:ascii="Times New Roman" w:hAnsi="宋体" w:eastAsia="宋体" w:cs="宋体"/>
          <w:color w:val="auto"/>
          <w:sz w:val="24"/>
          <w:szCs w:val="24"/>
          <w:highlight w:val="none"/>
          <w:u w:val="single"/>
        </w:rPr>
        <w:t>场应自费配备消防设备，防止火灾发生。</w:t>
      </w:r>
      <w:r>
        <w:rPr>
          <w:rFonts w:hint="eastAsia" w:hAnsi="宋体" w:cs="宋体"/>
          <w:color w:val="auto"/>
          <w:sz w:val="24"/>
          <w:szCs w:val="24"/>
          <w:highlight w:val="none"/>
          <w:u w:val="single"/>
          <w:lang w:eastAsia="zh-CN"/>
        </w:rPr>
        <w:t>如在合同期内，发生安全生产事故所造成的一切经济损失，均由承包人自行负责。</w:t>
      </w:r>
    </w:p>
    <w:p w14:paraId="0087842B">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关于编制施工场地治安管理计划的约定：</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由施工单位在编制施工组织时同步编制</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5A26237D">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6.1.5 </w:t>
      </w:r>
      <w:r>
        <w:rPr>
          <w:rFonts w:hint="eastAsia" w:ascii="Times New Roman" w:hAnsi="宋体" w:eastAsia="宋体" w:cs="宋体"/>
          <w:color w:val="auto"/>
          <w:sz w:val="24"/>
          <w:szCs w:val="24"/>
          <w:highlight w:val="none"/>
        </w:rPr>
        <w:t>文明施工</w:t>
      </w:r>
    </w:p>
    <w:p w14:paraId="54AA2155">
      <w:pPr>
        <w:spacing w:line="400" w:lineRule="exact"/>
        <w:ind w:firstLine="480" w:firstLineChars="200"/>
        <w:jc w:val="left"/>
        <w:rPr>
          <w:rFonts w:ascii="Times New Roman" w:hAnsi="Times New Roman" w:eastAsia="宋体" w:cs="Times New Roman"/>
          <w:b/>
          <w:bCs/>
          <w:color w:val="auto"/>
          <w:sz w:val="24"/>
          <w:szCs w:val="24"/>
          <w:highlight w:val="none"/>
          <w:u w:val="single"/>
        </w:rPr>
      </w:pPr>
      <w:r>
        <w:rPr>
          <w:rFonts w:hint="eastAsia" w:ascii="Times New Roman" w:hAnsi="宋体" w:eastAsia="宋体" w:cs="宋体"/>
          <w:color w:val="auto"/>
          <w:sz w:val="24"/>
          <w:szCs w:val="24"/>
          <w:highlight w:val="none"/>
        </w:rPr>
        <w:t>合同当事人对文明施工的要求：</w:t>
      </w:r>
      <w:r>
        <w:rPr>
          <w:rFonts w:ascii="Times New Roman" w:hAnsi="Times New Roman" w:eastAsia="宋体" w:cs="Times New Roman"/>
          <w:color w:val="auto"/>
          <w:sz w:val="24"/>
          <w:szCs w:val="24"/>
          <w:highlight w:val="none"/>
          <w:u w:val="single"/>
        </w:rPr>
        <w:t xml:space="preserve">                                                </w:t>
      </w:r>
    </w:p>
    <w:p w14:paraId="31A3CAB3">
      <w:pPr>
        <w:spacing w:line="400" w:lineRule="exact"/>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按文明施工规范要求施工</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宋体"/>
          <w:color w:val="auto"/>
          <w:sz w:val="24"/>
          <w:szCs w:val="24"/>
          <w:highlight w:val="none"/>
        </w:rPr>
        <w:t>。</w:t>
      </w:r>
    </w:p>
    <w:p w14:paraId="6DEDAA88">
      <w:pPr>
        <w:spacing w:line="400" w:lineRule="exact"/>
        <w:ind w:firstLine="480" w:firstLineChars="200"/>
        <w:jc w:val="left"/>
        <w:rPr>
          <w:rFonts w:hint="eastAsia" w:ascii="Times New Roman" w:hAnsi="宋体" w:eastAsia="宋体" w:cs="Times New Roman"/>
          <w:color w:val="auto"/>
          <w:sz w:val="24"/>
          <w:szCs w:val="24"/>
          <w:highlight w:val="none"/>
        </w:rPr>
      </w:pPr>
      <w:r>
        <w:rPr>
          <w:rFonts w:ascii="Times New Roman" w:hAnsi="Times New Roman" w:eastAsia="宋体" w:cs="Times New Roman"/>
          <w:color w:val="auto"/>
          <w:sz w:val="24"/>
          <w:szCs w:val="24"/>
          <w:highlight w:val="none"/>
        </w:rPr>
        <w:t>6.1.6</w:t>
      </w:r>
      <w:r>
        <w:rPr>
          <w:rFonts w:ascii="Times New Roman" w:hAnsi="宋体" w:eastAsia="宋体" w:cs="宋体"/>
          <w:color w:val="auto"/>
          <w:kern w:val="0"/>
          <w:sz w:val="24"/>
          <w:szCs w:val="24"/>
          <w:highlight w:val="none"/>
        </w:rPr>
        <w:t>关于安全</w:t>
      </w:r>
      <w:r>
        <w:rPr>
          <w:rFonts w:hint="eastAsia" w:ascii="Times New Roman" w:hAnsi="宋体" w:eastAsia="宋体" w:cs="宋体"/>
          <w:color w:val="auto"/>
          <w:kern w:val="0"/>
          <w:sz w:val="24"/>
          <w:szCs w:val="24"/>
          <w:highlight w:val="none"/>
        </w:rPr>
        <w:t>生产</w:t>
      </w:r>
      <w:r>
        <w:rPr>
          <w:rFonts w:ascii="Times New Roman" w:hAnsi="宋体" w:eastAsia="宋体" w:cs="宋体"/>
          <w:color w:val="auto"/>
          <w:kern w:val="0"/>
          <w:sz w:val="24"/>
          <w:szCs w:val="24"/>
          <w:highlight w:val="none"/>
        </w:rPr>
        <w:t>费</w:t>
      </w:r>
      <w:r>
        <w:rPr>
          <w:rFonts w:hint="eastAsia" w:ascii="Times New Roman" w:hAnsi="宋体" w:eastAsia="宋体" w:cs="宋体"/>
          <w:color w:val="auto"/>
          <w:kern w:val="0"/>
          <w:sz w:val="24"/>
          <w:szCs w:val="24"/>
          <w:highlight w:val="none"/>
        </w:rPr>
        <w:t>总额、</w:t>
      </w:r>
      <w:r>
        <w:rPr>
          <w:rFonts w:ascii="Times New Roman" w:hAnsi="宋体" w:eastAsia="宋体" w:cs="宋体"/>
          <w:color w:val="auto"/>
          <w:kern w:val="0"/>
          <w:sz w:val="24"/>
          <w:szCs w:val="24"/>
          <w:highlight w:val="none"/>
        </w:rPr>
        <w:t>支付比例</w:t>
      </w:r>
      <w:r>
        <w:rPr>
          <w:rFonts w:hint="eastAsia" w:ascii="Times New Roman" w:hAnsi="宋体" w:eastAsia="宋体" w:cs="宋体"/>
          <w:color w:val="auto"/>
          <w:kern w:val="0"/>
          <w:sz w:val="24"/>
          <w:szCs w:val="24"/>
          <w:highlight w:val="none"/>
        </w:rPr>
        <w:t>、</w:t>
      </w:r>
      <w:r>
        <w:rPr>
          <w:rFonts w:ascii="Times New Roman" w:hAnsi="宋体" w:eastAsia="宋体" w:cs="宋体"/>
          <w:color w:val="auto"/>
          <w:kern w:val="0"/>
          <w:sz w:val="24"/>
          <w:szCs w:val="24"/>
          <w:highlight w:val="none"/>
        </w:rPr>
        <w:t>支付期限</w:t>
      </w:r>
      <w:r>
        <w:rPr>
          <w:rFonts w:hint="eastAsia" w:ascii="Times New Roman" w:hAnsi="宋体" w:eastAsia="宋体" w:cs="宋体"/>
          <w:color w:val="auto"/>
          <w:kern w:val="0"/>
          <w:sz w:val="24"/>
          <w:szCs w:val="24"/>
          <w:highlight w:val="none"/>
        </w:rPr>
        <w:t>、转入和结余收回</w:t>
      </w:r>
      <w:r>
        <w:rPr>
          <w:rFonts w:ascii="Times New Roman" w:hAnsi="宋体" w:eastAsia="宋体" w:cs="宋体"/>
          <w:color w:val="auto"/>
          <w:kern w:val="0"/>
          <w:sz w:val="24"/>
          <w:szCs w:val="24"/>
          <w:highlight w:val="none"/>
        </w:rPr>
        <w:t>的约定：</w:t>
      </w:r>
    </w:p>
    <w:p w14:paraId="0E28377C">
      <w:pPr>
        <w:autoSpaceDE w:val="0"/>
        <w:autoSpaceDN w:val="0"/>
        <w:adjustRightInd w:val="0"/>
        <w:spacing w:line="400" w:lineRule="exact"/>
        <w:ind w:firstLine="480" w:firstLineChars="200"/>
        <w:jc w:val="left"/>
        <w:rPr>
          <w:rFonts w:hint="eastAsia" w:ascii="Times New Roman" w:hAnsi="宋体"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w:t>
      </w:r>
      <w:r>
        <w:rPr>
          <w:rFonts w:ascii="Times New Roman" w:hAnsi="宋体" w:eastAsia="宋体" w:cs="Times New Roman"/>
          <w:color w:val="auto"/>
          <w:kern w:val="0"/>
          <w:sz w:val="24"/>
          <w:szCs w:val="24"/>
          <w:highlight w:val="none"/>
        </w:rPr>
        <w:t>1</w:t>
      </w:r>
      <w:r>
        <w:rPr>
          <w:rFonts w:hint="eastAsia" w:ascii="Times New Roman" w:hAnsi="宋体" w:eastAsia="宋体" w:cs="宋体"/>
          <w:color w:val="auto"/>
          <w:kern w:val="0"/>
          <w:sz w:val="24"/>
          <w:szCs w:val="24"/>
          <w:highlight w:val="none"/>
        </w:rPr>
        <w:t>）本合同价款已包含安全文明施工费</w:t>
      </w:r>
      <w:r>
        <w:rPr>
          <w:rFonts w:hint="eastAsia" w:ascii="宋体" w:hAnsi="宋体" w:eastAsia="宋体" w:cs="Times New Roman"/>
          <w:color w:val="auto"/>
          <w:kern w:val="0"/>
          <w:sz w:val="24"/>
          <w:szCs w:val="24"/>
          <w:highlight w:val="none"/>
          <w:u w:val="single"/>
        </w:rPr>
        <w:t>成交合同价中的安全文明施工费金额</w:t>
      </w:r>
      <w:r>
        <w:rPr>
          <w:rFonts w:hint="eastAsia" w:ascii="Times New Roman" w:hAnsi="宋体" w:eastAsia="宋体" w:cs="宋体"/>
          <w:color w:val="auto"/>
          <w:kern w:val="0"/>
          <w:sz w:val="24"/>
          <w:szCs w:val="24"/>
          <w:highlight w:val="none"/>
        </w:rPr>
        <w:t>。</w:t>
      </w:r>
    </w:p>
    <w:p w14:paraId="53648EE6">
      <w:pPr>
        <w:autoSpaceDE w:val="0"/>
        <w:autoSpaceDN w:val="0"/>
        <w:adjustRightInd w:val="0"/>
        <w:spacing w:line="400" w:lineRule="exact"/>
        <w:ind w:firstLine="480" w:firstLineChars="200"/>
        <w:jc w:val="left"/>
        <w:rPr>
          <w:rFonts w:hint="eastAsia" w:ascii="Times New Roman" w:hAnsi="宋体"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w:t>
      </w:r>
      <w:r>
        <w:rPr>
          <w:rFonts w:ascii="Times New Roman" w:hAnsi="宋体" w:eastAsia="宋体" w:cs="Times New Roman"/>
          <w:color w:val="auto"/>
          <w:kern w:val="0"/>
          <w:sz w:val="24"/>
          <w:szCs w:val="24"/>
          <w:highlight w:val="none"/>
        </w:rPr>
        <w:t>2</w:t>
      </w:r>
      <w:r>
        <w:rPr>
          <w:rFonts w:hint="eastAsia" w:ascii="Times New Roman" w:hAnsi="宋体" w:eastAsia="宋体" w:cs="宋体"/>
          <w:color w:val="auto"/>
          <w:kern w:val="0"/>
          <w:sz w:val="24"/>
          <w:szCs w:val="24"/>
          <w:highlight w:val="none"/>
        </w:rPr>
        <w:t>）使用要求：专款专用。具体按</w:t>
      </w:r>
      <w:r>
        <w:rPr>
          <w:rFonts w:hint="eastAsia" w:ascii="Times New Roman" w:hAnsi="宋体" w:eastAsia="宋体" w:cs="宋体"/>
          <w:color w:val="auto"/>
          <w:kern w:val="0"/>
          <w:sz w:val="24"/>
          <w:szCs w:val="24"/>
          <w:highlight w:val="none"/>
          <w:u w:val="single"/>
        </w:rPr>
        <w:t>《广西壮族自治区建设工程安全文明施工费使用管理细则》（桂建质〔</w:t>
      </w:r>
      <w:r>
        <w:rPr>
          <w:rFonts w:ascii="Times New Roman" w:hAnsi="宋体" w:eastAsia="宋体" w:cs="Times New Roman"/>
          <w:color w:val="auto"/>
          <w:kern w:val="0"/>
          <w:sz w:val="24"/>
          <w:szCs w:val="24"/>
          <w:highlight w:val="none"/>
          <w:u w:val="single"/>
        </w:rPr>
        <w:t>2015</w:t>
      </w:r>
      <w:r>
        <w:rPr>
          <w:rFonts w:hint="eastAsia" w:ascii="Times New Roman" w:hAnsi="宋体" w:eastAsia="宋体" w:cs="宋体"/>
          <w:color w:val="auto"/>
          <w:kern w:val="0"/>
          <w:sz w:val="24"/>
          <w:szCs w:val="24"/>
          <w:highlight w:val="none"/>
          <w:u w:val="single"/>
        </w:rPr>
        <w:t>〕</w:t>
      </w:r>
      <w:r>
        <w:rPr>
          <w:rFonts w:ascii="Times New Roman" w:hAnsi="宋体" w:eastAsia="宋体" w:cs="Times New Roman"/>
          <w:color w:val="auto"/>
          <w:kern w:val="0"/>
          <w:sz w:val="24"/>
          <w:szCs w:val="24"/>
          <w:highlight w:val="none"/>
          <w:u w:val="single"/>
        </w:rPr>
        <w:t>16</w:t>
      </w:r>
      <w:r>
        <w:rPr>
          <w:rFonts w:hint="eastAsia" w:ascii="Times New Roman" w:hAnsi="宋体" w:eastAsia="宋体" w:cs="宋体"/>
          <w:color w:val="auto"/>
          <w:kern w:val="0"/>
          <w:sz w:val="24"/>
          <w:szCs w:val="24"/>
          <w:highlight w:val="none"/>
          <w:u w:val="single"/>
        </w:rPr>
        <w:t>号）</w:t>
      </w:r>
      <w:r>
        <w:rPr>
          <w:rFonts w:hint="eastAsia" w:ascii="Times New Roman" w:hAnsi="宋体" w:eastAsia="宋体" w:cs="宋体"/>
          <w:color w:val="auto"/>
          <w:kern w:val="0"/>
          <w:sz w:val="24"/>
          <w:szCs w:val="24"/>
          <w:highlight w:val="none"/>
        </w:rPr>
        <w:t>和</w:t>
      </w:r>
      <w:r>
        <w:rPr>
          <w:rFonts w:ascii="Times New Roman" w:hAnsi="宋体" w:eastAsia="宋体" w:cs="Times New Roman"/>
          <w:color w:val="auto"/>
          <w:kern w:val="0"/>
          <w:sz w:val="24"/>
          <w:szCs w:val="24"/>
          <w:highlight w:val="none"/>
          <w:u w:val="single"/>
        </w:rPr>
        <w:t xml:space="preserve">  </w:t>
      </w:r>
      <w:r>
        <w:rPr>
          <w:rFonts w:hint="eastAsia" w:ascii="Times New Roman" w:hAnsi="宋体" w:eastAsia="宋体" w:cs="Times New Roman"/>
          <w:color w:val="auto"/>
          <w:kern w:val="0"/>
          <w:sz w:val="24"/>
          <w:szCs w:val="24"/>
          <w:highlight w:val="none"/>
          <w:u w:val="single"/>
        </w:rPr>
        <w:t xml:space="preserve">防城港 </w:t>
      </w:r>
      <w:r>
        <w:rPr>
          <w:rFonts w:hint="eastAsia" w:ascii="Times New Roman" w:hAnsi="宋体" w:eastAsia="宋体" w:cs="宋体"/>
          <w:color w:val="auto"/>
          <w:kern w:val="0"/>
          <w:sz w:val="24"/>
          <w:szCs w:val="24"/>
          <w:highlight w:val="none"/>
        </w:rPr>
        <w:t>市相关规定执行。</w:t>
      </w:r>
    </w:p>
    <w:p w14:paraId="53AAE825">
      <w:pPr>
        <w:autoSpaceDE w:val="0"/>
        <w:autoSpaceDN w:val="0"/>
        <w:adjustRightInd w:val="0"/>
        <w:spacing w:line="360" w:lineRule="auto"/>
        <w:ind w:firstLine="480" w:firstLineChars="200"/>
        <w:jc w:val="left"/>
        <w:rPr>
          <w:rFonts w:hint="eastAsia" w:ascii="宋体" w:hAnsi="宋体" w:eastAsia="宋体" w:cs="宋体"/>
          <w:color w:val="auto"/>
          <w:kern w:val="0"/>
          <w:sz w:val="24"/>
          <w:szCs w:val="24"/>
          <w:highlight w:val="none"/>
        </w:rPr>
      </w:pPr>
      <w:bookmarkStart w:id="364" w:name="_Toc389065287"/>
      <w:bookmarkStart w:id="365" w:name="_Toc373478368"/>
      <w:bookmarkStart w:id="366" w:name="_Toc373227721"/>
      <w:bookmarkStart w:id="367" w:name="_Toc407135223"/>
      <w:bookmarkStart w:id="368" w:name="_Toc9850551"/>
      <w:r>
        <w:rPr>
          <w:rFonts w:hint="eastAsia" w:ascii="宋体" w:hAnsi="宋体" w:eastAsia="宋体" w:cs="宋体"/>
          <w:color w:val="auto"/>
          <w:kern w:val="0"/>
          <w:sz w:val="24"/>
          <w:szCs w:val="24"/>
          <w:highlight w:val="none"/>
        </w:rPr>
        <w:t>（3）支付约定：在本合同签订后</w:t>
      </w:r>
      <w:r>
        <w:rPr>
          <w:rFonts w:hint="eastAsia" w:ascii="宋体" w:hAnsi="宋体" w:eastAsia="宋体" w:cs="宋体"/>
          <w:color w:val="auto"/>
          <w:kern w:val="0"/>
          <w:sz w:val="24"/>
          <w:szCs w:val="24"/>
          <w:highlight w:val="none"/>
          <w:u w:val="single"/>
        </w:rPr>
        <w:t xml:space="preserve"> 14 </w:t>
      </w:r>
      <w:r>
        <w:rPr>
          <w:rFonts w:hint="eastAsia" w:ascii="宋体" w:hAnsi="宋体" w:eastAsia="宋体" w:cs="宋体"/>
          <w:color w:val="auto"/>
          <w:kern w:val="0"/>
          <w:sz w:val="24"/>
          <w:szCs w:val="24"/>
          <w:highlight w:val="none"/>
        </w:rPr>
        <w:t>日内，预付全部安全文明施工费。</w:t>
      </w:r>
    </w:p>
    <w:p w14:paraId="0E1328AE">
      <w:pPr>
        <w:keepNext/>
        <w:keepLines/>
        <w:spacing w:line="400" w:lineRule="exact"/>
        <w:outlineLvl w:val="2"/>
        <w:rPr>
          <w:rFonts w:ascii="Times New Roman" w:hAnsi="Times New Roman" w:eastAsia="黑体" w:cs="Times New Roman"/>
          <w:b/>
          <w:bCs/>
          <w:color w:val="auto"/>
          <w:sz w:val="24"/>
          <w:szCs w:val="24"/>
          <w:highlight w:val="none"/>
          <w:lang w:val="zh-CN"/>
        </w:rPr>
      </w:pPr>
      <w:r>
        <w:rPr>
          <w:rFonts w:ascii="Times New Roman" w:hAnsi="Times New Roman" w:eastAsia="黑体" w:cs="Times New Roman"/>
          <w:b/>
          <w:bCs/>
          <w:color w:val="auto"/>
          <w:sz w:val="24"/>
          <w:szCs w:val="24"/>
          <w:highlight w:val="none"/>
          <w:lang w:val="zh-CN"/>
        </w:rPr>
        <w:t xml:space="preserve">6.3 </w:t>
      </w:r>
      <w:r>
        <w:rPr>
          <w:rFonts w:hint="eastAsia" w:ascii="Times New Roman" w:hAnsi="宋体" w:eastAsia="黑体" w:cs="黑体"/>
          <w:b/>
          <w:bCs/>
          <w:color w:val="auto"/>
          <w:sz w:val="24"/>
          <w:szCs w:val="24"/>
          <w:highlight w:val="none"/>
          <w:lang w:val="zh-CN"/>
        </w:rPr>
        <w:t>环境保护</w:t>
      </w:r>
      <w:bookmarkEnd w:id="364"/>
      <w:bookmarkEnd w:id="365"/>
      <w:bookmarkEnd w:id="366"/>
      <w:bookmarkEnd w:id="367"/>
      <w:bookmarkEnd w:id="368"/>
    </w:p>
    <w:p w14:paraId="5A6909F3">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u w:val="single"/>
        </w:rPr>
        <w:t>因施工需要，经发包人批准，由承包人办理有关施工场地交通、环卫和施工噪音管理等手续，费用由承包人负责。</w:t>
      </w:r>
    </w:p>
    <w:p w14:paraId="5C8A50E9">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u w:val="single"/>
        </w:rPr>
        <w:t>经过城市道路的施工车辆，必须按交警、城管、运输等部门相关规定执行。由于施工车辆造成的道路、环境等污染，其责任和费用均由承包人承担。</w:t>
      </w:r>
    </w:p>
    <w:bookmarkEnd w:id="346"/>
    <w:bookmarkEnd w:id="347"/>
    <w:bookmarkEnd w:id="348"/>
    <w:bookmarkEnd w:id="349"/>
    <w:bookmarkEnd w:id="350"/>
    <w:bookmarkEnd w:id="351"/>
    <w:bookmarkEnd w:id="352"/>
    <w:p w14:paraId="73397737">
      <w:pPr>
        <w:keepNext/>
        <w:keepLines/>
        <w:spacing w:before="60" w:after="60" w:line="400" w:lineRule="exact"/>
        <w:outlineLvl w:val="1"/>
        <w:rPr>
          <w:rFonts w:ascii="Arial" w:hAnsi="Arial" w:eastAsia="黑体" w:cs="Times New Roman"/>
          <w:b/>
          <w:bCs/>
          <w:color w:val="auto"/>
          <w:sz w:val="24"/>
          <w:szCs w:val="24"/>
          <w:highlight w:val="none"/>
          <w:lang w:val="zh-CN"/>
        </w:rPr>
      </w:pPr>
      <w:bookmarkStart w:id="369" w:name="_Toc9850552"/>
      <w:bookmarkStart w:id="370" w:name="_Toc351203639"/>
      <w:bookmarkStart w:id="371" w:name="_Toc407135224"/>
      <w:bookmarkStart w:id="372" w:name="_Toc373478369"/>
      <w:bookmarkStart w:id="373" w:name="_Toc373227722"/>
      <w:bookmarkStart w:id="374" w:name="_Toc389065288"/>
      <w:r>
        <w:rPr>
          <w:rFonts w:ascii="Arial" w:hAnsi="Arial" w:eastAsia="黑体" w:cs="Times New Roman"/>
          <w:b/>
          <w:bCs/>
          <w:color w:val="auto"/>
          <w:sz w:val="24"/>
          <w:szCs w:val="24"/>
          <w:highlight w:val="none"/>
          <w:lang w:val="zh-CN"/>
        </w:rPr>
        <w:t xml:space="preserve">7. </w:t>
      </w:r>
      <w:r>
        <w:rPr>
          <w:rFonts w:hint="eastAsia" w:ascii="Arial" w:hAnsi="Arial" w:eastAsia="黑体" w:cs="黑体"/>
          <w:b/>
          <w:bCs/>
          <w:color w:val="auto"/>
          <w:sz w:val="24"/>
          <w:szCs w:val="24"/>
          <w:highlight w:val="none"/>
          <w:lang w:val="zh-CN"/>
        </w:rPr>
        <w:t>工期和进度</w:t>
      </w:r>
      <w:bookmarkEnd w:id="369"/>
      <w:bookmarkEnd w:id="370"/>
      <w:bookmarkEnd w:id="371"/>
      <w:bookmarkEnd w:id="372"/>
      <w:bookmarkEnd w:id="373"/>
      <w:bookmarkEnd w:id="374"/>
    </w:p>
    <w:p w14:paraId="3D89123E">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375" w:name="_Toc389065289"/>
      <w:bookmarkStart w:id="376" w:name="_Toc9850553"/>
      <w:bookmarkStart w:id="377" w:name="_Toc373478370"/>
      <w:bookmarkStart w:id="378" w:name="_Toc407135225"/>
      <w:bookmarkStart w:id="379" w:name="_Toc373227723"/>
      <w:r>
        <w:rPr>
          <w:rFonts w:ascii="Times New Roman" w:hAnsi="Times New Roman" w:eastAsia="黑体" w:cs="Times New Roman"/>
          <w:b/>
          <w:bCs/>
          <w:color w:val="auto"/>
          <w:sz w:val="24"/>
          <w:szCs w:val="24"/>
          <w:highlight w:val="none"/>
          <w:lang w:val="zh-CN"/>
        </w:rPr>
        <w:t xml:space="preserve">7.1 </w:t>
      </w:r>
      <w:r>
        <w:rPr>
          <w:rFonts w:hint="eastAsia" w:ascii="Times New Roman" w:hAnsi="Times New Roman" w:eastAsia="黑体" w:cs="黑体"/>
          <w:b/>
          <w:bCs/>
          <w:color w:val="auto"/>
          <w:sz w:val="24"/>
          <w:szCs w:val="24"/>
          <w:highlight w:val="none"/>
          <w:lang w:val="zh-CN"/>
        </w:rPr>
        <w:t>施工组织设计</w:t>
      </w:r>
      <w:bookmarkEnd w:id="375"/>
      <w:bookmarkEnd w:id="376"/>
      <w:bookmarkEnd w:id="377"/>
      <w:bookmarkEnd w:id="378"/>
      <w:bookmarkEnd w:id="379"/>
    </w:p>
    <w:p w14:paraId="5314ADA5">
      <w:pPr>
        <w:autoSpaceDE w:val="0"/>
        <w:autoSpaceDN w:val="0"/>
        <w:adjustRightInd w:val="0"/>
        <w:spacing w:line="400" w:lineRule="exact"/>
        <w:ind w:firstLine="480" w:firstLineChars="200"/>
        <w:jc w:val="left"/>
        <w:rPr>
          <w:rFonts w:ascii="Times New Roman" w:hAnsi="Times New Roman" w:eastAsia="宋体" w:cs="Times New Roman"/>
          <w:color w:val="auto"/>
          <w:sz w:val="24"/>
          <w:szCs w:val="24"/>
          <w:highlight w:val="none"/>
          <w:u w:val="single"/>
        </w:rPr>
      </w:pPr>
      <w:r>
        <w:rPr>
          <w:rFonts w:ascii="Times New Roman" w:hAnsi="Times New Roman" w:eastAsia="宋体" w:cs="Times New Roman"/>
          <w:color w:val="auto"/>
          <w:sz w:val="24"/>
          <w:szCs w:val="24"/>
          <w:highlight w:val="none"/>
        </w:rPr>
        <w:t xml:space="preserve">7.1.1 </w:t>
      </w:r>
      <w:r>
        <w:rPr>
          <w:rFonts w:hint="eastAsia" w:ascii="Times New Roman" w:hAnsi="宋体" w:eastAsia="宋体" w:cs="宋体"/>
          <w:color w:val="auto"/>
          <w:sz w:val="24"/>
          <w:szCs w:val="24"/>
          <w:highlight w:val="none"/>
        </w:rPr>
        <w:t>合</w:t>
      </w:r>
      <w:r>
        <w:rPr>
          <w:rFonts w:hint="eastAsia" w:ascii="Times New Roman" w:hAnsi="宋体" w:eastAsia="宋体" w:cs="宋体"/>
          <w:color w:val="auto"/>
          <w:kern w:val="0"/>
          <w:sz w:val="24"/>
          <w:szCs w:val="24"/>
          <w:highlight w:val="none"/>
        </w:rPr>
        <w:t>同当事人约定的施工组织设计应包括的其他内容：</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按通用合同条款执行</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7ED6F43D">
      <w:pPr>
        <w:autoSpaceDE w:val="0"/>
        <w:autoSpaceDN w:val="0"/>
        <w:adjustRightInd w:val="0"/>
        <w:spacing w:line="400" w:lineRule="exact"/>
        <w:ind w:firstLine="480" w:firstLineChars="200"/>
        <w:jc w:val="lef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sz w:val="24"/>
          <w:szCs w:val="24"/>
          <w:highlight w:val="none"/>
        </w:rPr>
        <w:t xml:space="preserve">7.1.2 </w:t>
      </w:r>
      <w:r>
        <w:rPr>
          <w:rFonts w:hint="eastAsia" w:ascii="Times New Roman" w:hAnsi="宋体" w:eastAsia="宋体" w:cs="宋体"/>
          <w:color w:val="auto"/>
          <w:kern w:val="0"/>
          <w:sz w:val="24"/>
          <w:szCs w:val="24"/>
          <w:highlight w:val="none"/>
        </w:rPr>
        <w:t>施工组织设计的提交和修改</w:t>
      </w:r>
    </w:p>
    <w:p w14:paraId="665BE92F">
      <w:pPr>
        <w:autoSpaceDE w:val="0"/>
        <w:autoSpaceDN w:val="0"/>
        <w:adjustRightInd w:val="0"/>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kern w:val="0"/>
          <w:sz w:val="24"/>
          <w:szCs w:val="24"/>
          <w:highlight w:val="none"/>
        </w:rPr>
        <w:t>承包人提交详细施工组织设计的期限的约定：</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按通用合同条款执行</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2DD65177">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发包人和监理人在收到详细的施工组织设计后确认或提出修改意见的期限：</w:t>
      </w:r>
      <w:r>
        <w:rPr>
          <w:rFonts w:hint="eastAsia" w:ascii="宋体" w:hAnsi="Courier New" w:eastAsia="宋体" w:cs="Times New Roman"/>
          <w:color w:val="auto"/>
          <w:sz w:val="24"/>
          <w:szCs w:val="24"/>
          <w:highlight w:val="none"/>
          <w:u w:val="single"/>
        </w:rPr>
        <w:t>按通用合同条款执行</w:t>
      </w:r>
      <w:r>
        <w:rPr>
          <w:rFonts w:hint="eastAsia" w:ascii="Times New Roman" w:hAnsi="宋体" w:eastAsia="宋体" w:cs="宋体"/>
          <w:color w:val="auto"/>
          <w:sz w:val="24"/>
          <w:szCs w:val="24"/>
          <w:highlight w:val="none"/>
        </w:rPr>
        <w:t>。</w:t>
      </w:r>
    </w:p>
    <w:p w14:paraId="42C3EACC">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380" w:name="_Toc373478371"/>
      <w:bookmarkStart w:id="381" w:name="_Toc389065290"/>
      <w:bookmarkStart w:id="382" w:name="_Toc373227724"/>
      <w:bookmarkStart w:id="383" w:name="_Toc407135226"/>
      <w:bookmarkStart w:id="384" w:name="_Toc9850554"/>
      <w:r>
        <w:rPr>
          <w:rFonts w:ascii="Times New Roman" w:hAnsi="Times New Roman" w:eastAsia="黑体" w:cs="Times New Roman"/>
          <w:b/>
          <w:bCs/>
          <w:color w:val="auto"/>
          <w:sz w:val="24"/>
          <w:szCs w:val="24"/>
          <w:highlight w:val="none"/>
          <w:lang w:val="zh-CN"/>
        </w:rPr>
        <w:t>7</w:t>
      </w:r>
      <w:bookmarkStart w:id="385" w:name="_Toc304295541"/>
      <w:bookmarkStart w:id="386" w:name="_Toc303539123"/>
      <w:bookmarkStart w:id="387" w:name="_Toc297123514"/>
      <w:bookmarkStart w:id="388" w:name="_Toc312677479"/>
      <w:bookmarkStart w:id="389" w:name="_Toc312678005"/>
      <w:bookmarkStart w:id="390" w:name="_Toc297216173"/>
      <w:bookmarkStart w:id="391" w:name="_Toc300934966"/>
      <w:r>
        <w:rPr>
          <w:rFonts w:ascii="Times New Roman" w:hAnsi="Times New Roman" w:eastAsia="黑体" w:cs="Times New Roman"/>
          <w:b/>
          <w:bCs/>
          <w:color w:val="auto"/>
          <w:sz w:val="24"/>
          <w:szCs w:val="24"/>
          <w:highlight w:val="none"/>
          <w:lang w:val="zh-CN"/>
        </w:rPr>
        <w:t xml:space="preserve">.2 </w:t>
      </w:r>
      <w:r>
        <w:rPr>
          <w:rFonts w:hint="eastAsia" w:ascii="Times New Roman" w:hAnsi="Times New Roman" w:eastAsia="黑体" w:cs="黑体"/>
          <w:b/>
          <w:bCs/>
          <w:color w:val="auto"/>
          <w:sz w:val="24"/>
          <w:szCs w:val="24"/>
          <w:highlight w:val="none"/>
          <w:lang w:val="zh-CN"/>
        </w:rPr>
        <w:t>施工进度计划</w:t>
      </w:r>
      <w:bookmarkEnd w:id="380"/>
      <w:bookmarkEnd w:id="381"/>
      <w:bookmarkEnd w:id="382"/>
      <w:bookmarkEnd w:id="383"/>
      <w:bookmarkEnd w:id="384"/>
    </w:p>
    <w:p w14:paraId="3506D708">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7.2.2 </w:t>
      </w:r>
      <w:r>
        <w:rPr>
          <w:rFonts w:hint="eastAsia" w:ascii="Times New Roman" w:hAnsi="宋体" w:eastAsia="宋体" w:cs="宋体"/>
          <w:color w:val="auto"/>
          <w:sz w:val="24"/>
          <w:szCs w:val="24"/>
          <w:highlight w:val="none"/>
        </w:rPr>
        <w:t>施工进度计划的修订</w:t>
      </w:r>
    </w:p>
    <w:p w14:paraId="4D591833">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发包人和监理人在收到修订的施工进度计划后确认或提出修改意见的期限：</w:t>
      </w:r>
      <w:r>
        <w:rPr>
          <w:rFonts w:hint="eastAsia" w:ascii="宋体" w:hAnsi="宋体" w:eastAsia="宋体" w:cs="宋体"/>
          <w:color w:val="auto"/>
          <w:sz w:val="24"/>
          <w:szCs w:val="24"/>
          <w:highlight w:val="none"/>
          <w:u w:val="single"/>
        </w:rPr>
        <w:t>收到修订合同进度计划后7天</w:t>
      </w:r>
      <w:r>
        <w:rPr>
          <w:rFonts w:hint="eastAsia" w:ascii="Times New Roman" w:hAnsi="宋体" w:eastAsia="宋体" w:cs="宋体"/>
          <w:color w:val="auto"/>
          <w:sz w:val="24"/>
          <w:szCs w:val="24"/>
          <w:highlight w:val="none"/>
        </w:rPr>
        <w:t>。</w:t>
      </w:r>
    </w:p>
    <w:p w14:paraId="0EB91E24">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392" w:name="_Toc373478372"/>
      <w:bookmarkStart w:id="393" w:name="_Toc373227725"/>
      <w:bookmarkStart w:id="394" w:name="_Toc407135227"/>
      <w:bookmarkStart w:id="395" w:name="_Toc9850555"/>
      <w:bookmarkStart w:id="396" w:name="_Toc389065291"/>
      <w:r>
        <w:rPr>
          <w:rFonts w:ascii="Times New Roman" w:hAnsi="Times New Roman" w:eastAsia="黑体" w:cs="Times New Roman"/>
          <w:b/>
          <w:bCs/>
          <w:color w:val="auto"/>
          <w:sz w:val="24"/>
          <w:szCs w:val="24"/>
          <w:highlight w:val="none"/>
          <w:lang w:val="zh-CN"/>
        </w:rPr>
        <w:t xml:space="preserve">7.3 </w:t>
      </w:r>
      <w:r>
        <w:rPr>
          <w:rFonts w:hint="eastAsia" w:ascii="Times New Roman" w:hAnsi="Times New Roman" w:eastAsia="黑体" w:cs="黑体"/>
          <w:b/>
          <w:bCs/>
          <w:color w:val="auto"/>
          <w:sz w:val="24"/>
          <w:szCs w:val="24"/>
          <w:highlight w:val="none"/>
          <w:lang w:val="zh-CN"/>
        </w:rPr>
        <w:t>开工</w:t>
      </w:r>
      <w:bookmarkEnd w:id="392"/>
      <w:bookmarkEnd w:id="393"/>
      <w:bookmarkEnd w:id="394"/>
      <w:bookmarkEnd w:id="395"/>
      <w:bookmarkEnd w:id="396"/>
    </w:p>
    <w:p w14:paraId="185D5E7A">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7.3.1 </w:t>
      </w:r>
      <w:r>
        <w:rPr>
          <w:rFonts w:hint="eastAsia" w:ascii="Times New Roman" w:hAnsi="宋体" w:eastAsia="宋体" w:cs="宋体"/>
          <w:color w:val="auto"/>
          <w:sz w:val="24"/>
          <w:szCs w:val="24"/>
          <w:highlight w:val="none"/>
        </w:rPr>
        <w:t>开工准备</w:t>
      </w:r>
    </w:p>
    <w:p w14:paraId="1C23A011">
      <w:pPr>
        <w:spacing w:line="400" w:lineRule="exact"/>
        <w:ind w:firstLine="426"/>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关于承包人提交</w:t>
      </w:r>
      <w:r>
        <w:rPr>
          <w:rFonts w:hint="eastAsia" w:ascii="Times New Roman" w:hAnsi="宋体" w:eastAsia="宋体" w:cs="宋体"/>
          <w:color w:val="auto"/>
          <w:kern w:val="0"/>
          <w:sz w:val="24"/>
          <w:szCs w:val="24"/>
          <w:highlight w:val="none"/>
        </w:rPr>
        <w:t>工程开工报审表的期限：</w:t>
      </w:r>
      <w:r>
        <w:rPr>
          <w:rFonts w:hint="eastAsia" w:ascii="宋体" w:hAnsi="Courier New" w:eastAsia="宋体" w:cs="Times New Roman"/>
          <w:color w:val="auto"/>
          <w:sz w:val="24"/>
          <w:szCs w:val="24"/>
          <w:highlight w:val="none"/>
          <w:u w:val="single"/>
        </w:rPr>
        <w:t>按通用条款7.3.1条执行</w:t>
      </w:r>
      <w:r>
        <w:rPr>
          <w:rFonts w:hint="eastAsia" w:ascii="Times New Roman" w:hAnsi="宋体" w:eastAsia="宋体" w:cs="宋体"/>
          <w:color w:val="auto"/>
          <w:sz w:val="24"/>
          <w:szCs w:val="24"/>
          <w:highlight w:val="none"/>
        </w:rPr>
        <w:t>。</w:t>
      </w:r>
    </w:p>
    <w:p w14:paraId="3B9E3596">
      <w:pPr>
        <w:spacing w:line="400" w:lineRule="exact"/>
        <w:ind w:firstLine="426"/>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关于发包人应完成的其他开工准备工作及期限：</w:t>
      </w:r>
      <w:r>
        <w:rPr>
          <w:rFonts w:hint="eastAsia" w:ascii="宋体" w:hAnsi="Courier New" w:eastAsia="宋体" w:cs="Times New Roman"/>
          <w:color w:val="auto"/>
          <w:sz w:val="24"/>
          <w:szCs w:val="24"/>
          <w:highlight w:val="none"/>
          <w:u w:val="single"/>
        </w:rPr>
        <w:t>按通用条款7.3.1条执行</w:t>
      </w:r>
      <w:r>
        <w:rPr>
          <w:rFonts w:hint="eastAsia" w:ascii="Times New Roman" w:hAnsi="宋体" w:eastAsia="宋体" w:cs="宋体"/>
          <w:color w:val="auto"/>
          <w:sz w:val="24"/>
          <w:szCs w:val="24"/>
          <w:highlight w:val="none"/>
        </w:rPr>
        <w:t>。</w:t>
      </w:r>
    </w:p>
    <w:p w14:paraId="4F7A05F7">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关于承包人应完成的其他开工准备工作及期限：</w:t>
      </w:r>
      <w:r>
        <w:rPr>
          <w:rFonts w:hint="eastAsia" w:ascii="宋体" w:hAnsi="Courier New" w:eastAsia="宋体" w:cs="Times New Roman"/>
          <w:color w:val="auto"/>
          <w:sz w:val="24"/>
          <w:szCs w:val="24"/>
          <w:highlight w:val="none"/>
          <w:u w:val="single"/>
        </w:rPr>
        <w:t>按通用条款7.3.1条执行</w:t>
      </w:r>
      <w:r>
        <w:rPr>
          <w:rFonts w:hint="eastAsia" w:ascii="Times New Roman" w:hAnsi="宋体" w:eastAsia="宋体" w:cs="宋体"/>
          <w:color w:val="auto"/>
          <w:sz w:val="24"/>
          <w:szCs w:val="24"/>
          <w:highlight w:val="none"/>
        </w:rPr>
        <w:t>。</w:t>
      </w:r>
    </w:p>
    <w:p w14:paraId="58960713">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7.3.2 </w:t>
      </w:r>
      <w:r>
        <w:rPr>
          <w:rFonts w:hint="eastAsia" w:ascii="Times New Roman" w:hAnsi="宋体" w:eastAsia="宋体" w:cs="宋体"/>
          <w:color w:val="auto"/>
          <w:sz w:val="24"/>
          <w:szCs w:val="24"/>
          <w:highlight w:val="none"/>
        </w:rPr>
        <w:t>开工通知</w:t>
      </w:r>
    </w:p>
    <w:p w14:paraId="1FA350A9">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因发包人原因造成监理人未能在计划开工日期之日起</w:t>
      </w:r>
      <w:r>
        <w:rPr>
          <w:rFonts w:hint="eastAsia" w:ascii="宋体" w:hAnsi="Courier New" w:eastAsia="宋体" w:cs="Times New Roman"/>
          <w:color w:val="auto"/>
          <w:sz w:val="24"/>
          <w:szCs w:val="24"/>
          <w:highlight w:val="none"/>
          <w:u w:val="single"/>
        </w:rPr>
        <w:t>60</w:t>
      </w:r>
      <w:r>
        <w:rPr>
          <w:rFonts w:ascii="宋体" w:hAnsi="Courier New"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天内发出开工通知的，承包人有权提出价格调整要求，或者解除合同。</w:t>
      </w:r>
    </w:p>
    <w:bookmarkEnd w:id="385"/>
    <w:bookmarkEnd w:id="386"/>
    <w:bookmarkEnd w:id="387"/>
    <w:bookmarkEnd w:id="388"/>
    <w:bookmarkEnd w:id="389"/>
    <w:bookmarkEnd w:id="390"/>
    <w:bookmarkEnd w:id="391"/>
    <w:p w14:paraId="7002CB8F">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397" w:name="_Toc373227726"/>
      <w:bookmarkStart w:id="398" w:name="_Toc407135228"/>
      <w:bookmarkStart w:id="399" w:name="_Toc9850556"/>
      <w:bookmarkStart w:id="400" w:name="_Toc389065292"/>
      <w:bookmarkStart w:id="401" w:name="_Toc373478373"/>
      <w:r>
        <w:rPr>
          <w:rFonts w:ascii="Times New Roman" w:hAnsi="Times New Roman" w:eastAsia="黑体" w:cs="Times New Roman"/>
          <w:b/>
          <w:bCs/>
          <w:color w:val="auto"/>
          <w:sz w:val="24"/>
          <w:szCs w:val="24"/>
          <w:highlight w:val="none"/>
          <w:lang w:val="zh-CN"/>
        </w:rPr>
        <w:t xml:space="preserve">7.4 </w:t>
      </w:r>
      <w:r>
        <w:rPr>
          <w:rFonts w:hint="eastAsia" w:ascii="Times New Roman" w:hAnsi="宋体" w:eastAsia="黑体" w:cs="黑体"/>
          <w:b/>
          <w:bCs/>
          <w:color w:val="auto"/>
          <w:sz w:val="24"/>
          <w:szCs w:val="24"/>
          <w:highlight w:val="none"/>
          <w:lang w:val="zh-CN"/>
        </w:rPr>
        <w:t>测量放线</w:t>
      </w:r>
      <w:bookmarkEnd w:id="397"/>
      <w:bookmarkEnd w:id="398"/>
      <w:bookmarkEnd w:id="399"/>
      <w:bookmarkEnd w:id="400"/>
      <w:bookmarkEnd w:id="401"/>
    </w:p>
    <w:p w14:paraId="7F97BB4C">
      <w:pPr>
        <w:spacing w:line="400" w:lineRule="exact"/>
        <w:ind w:firstLine="480" w:firstLineChars="200"/>
        <w:jc w:val="left"/>
        <w:rPr>
          <w:rFonts w:hint="eastAsia" w:ascii="Times New Roman" w:hAnsi="宋体" w:eastAsia="宋体" w:cs="Times New Roman"/>
          <w:color w:val="auto"/>
          <w:sz w:val="24"/>
          <w:szCs w:val="24"/>
          <w:highlight w:val="none"/>
        </w:rPr>
      </w:pPr>
      <w:r>
        <w:rPr>
          <w:rFonts w:ascii="Times New Roman" w:hAnsi="Times New Roman" w:eastAsia="宋体" w:cs="Times New Roman"/>
          <w:color w:val="auto"/>
          <w:sz w:val="24"/>
          <w:szCs w:val="24"/>
          <w:highlight w:val="none"/>
        </w:rPr>
        <w:t>7.4.1</w:t>
      </w:r>
      <w:r>
        <w:rPr>
          <w:rFonts w:hint="eastAsia" w:ascii="Times New Roman" w:hAnsi="宋体" w:eastAsia="宋体" w:cs="宋体"/>
          <w:color w:val="auto"/>
          <w:sz w:val="24"/>
          <w:szCs w:val="24"/>
          <w:highlight w:val="none"/>
        </w:rPr>
        <w:t>发包人通过监理人向承包人提供测量基准点、基准线和水准点及其书面资料的期限：</w:t>
      </w:r>
    </w:p>
    <w:p w14:paraId="5BCF3F7E">
      <w:pPr>
        <w:spacing w:line="400" w:lineRule="exact"/>
        <w:jc w:val="left"/>
        <w:rPr>
          <w:rFonts w:ascii="Times New Roman" w:hAnsi="Times New Roman" w:eastAsia="宋体" w:cs="Times New Roman"/>
          <w:color w:val="auto"/>
          <w:sz w:val="24"/>
          <w:szCs w:val="24"/>
          <w:highlight w:val="none"/>
          <w:u w:val="single"/>
        </w:rPr>
      </w:pP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合同签订后开工前</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3050C7AF">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402" w:name="_Toc9850557"/>
      <w:bookmarkStart w:id="403" w:name="_Toc373227727"/>
      <w:bookmarkStart w:id="404" w:name="_Toc389065293"/>
      <w:bookmarkStart w:id="405" w:name="_Toc373478374"/>
      <w:bookmarkStart w:id="406" w:name="_Toc407135229"/>
      <w:r>
        <w:rPr>
          <w:rFonts w:ascii="Times New Roman" w:hAnsi="Times New Roman" w:eastAsia="黑体" w:cs="Times New Roman"/>
          <w:b/>
          <w:bCs/>
          <w:color w:val="auto"/>
          <w:sz w:val="24"/>
          <w:szCs w:val="24"/>
          <w:highlight w:val="none"/>
          <w:lang w:val="zh-CN"/>
        </w:rPr>
        <w:t>7</w:t>
      </w:r>
      <w:bookmarkStart w:id="407" w:name="_Toc312677484"/>
      <w:bookmarkStart w:id="408" w:name="_Toc303539125"/>
      <w:bookmarkStart w:id="409" w:name="_Toc297216175"/>
      <w:bookmarkStart w:id="410" w:name="_Toc300934968"/>
      <w:bookmarkStart w:id="411" w:name="_Toc304295546"/>
      <w:bookmarkStart w:id="412" w:name="_Toc312678010"/>
      <w:bookmarkStart w:id="413" w:name="_Toc297123516"/>
      <w:r>
        <w:rPr>
          <w:rFonts w:ascii="Times New Roman" w:hAnsi="Times New Roman" w:eastAsia="黑体" w:cs="Times New Roman"/>
          <w:b/>
          <w:bCs/>
          <w:color w:val="auto"/>
          <w:sz w:val="24"/>
          <w:szCs w:val="24"/>
          <w:highlight w:val="none"/>
          <w:lang w:val="zh-CN"/>
        </w:rPr>
        <w:t xml:space="preserve">.5 </w:t>
      </w:r>
      <w:r>
        <w:rPr>
          <w:rFonts w:hint="eastAsia" w:ascii="Times New Roman" w:hAnsi="宋体" w:eastAsia="黑体" w:cs="黑体"/>
          <w:b/>
          <w:bCs/>
          <w:color w:val="auto"/>
          <w:sz w:val="24"/>
          <w:szCs w:val="24"/>
          <w:highlight w:val="none"/>
          <w:lang w:val="zh-CN"/>
        </w:rPr>
        <w:t>工期延误</w:t>
      </w:r>
      <w:bookmarkEnd w:id="402"/>
      <w:bookmarkEnd w:id="403"/>
      <w:bookmarkEnd w:id="404"/>
      <w:bookmarkEnd w:id="405"/>
      <w:bookmarkEnd w:id="406"/>
    </w:p>
    <w:bookmarkEnd w:id="407"/>
    <w:bookmarkEnd w:id="408"/>
    <w:bookmarkEnd w:id="409"/>
    <w:bookmarkEnd w:id="410"/>
    <w:bookmarkEnd w:id="411"/>
    <w:bookmarkEnd w:id="412"/>
    <w:bookmarkEnd w:id="413"/>
    <w:p w14:paraId="487BF3C7">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7.5.1 </w:t>
      </w:r>
      <w:r>
        <w:rPr>
          <w:rFonts w:hint="eastAsia" w:ascii="Times New Roman" w:hAnsi="宋体" w:eastAsia="宋体" w:cs="宋体"/>
          <w:color w:val="auto"/>
          <w:sz w:val="24"/>
          <w:szCs w:val="24"/>
          <w:highlight w:val="none"/>
        </w:rPr>
        <w:t>因发包人原因导致工期延误</w:t>
      </w:r>
    </w:p>
    <w:p w14:paraId="0759C4B8">
      <w:pPr>
        <w:spacing w:line="400" w:lineRule="exact"/>
        <w:ind w:firstLine="480" w:firstLineChars="200"/>
        <w:jc w:val="left"/>
        <w:rPr>
          <w:rFonts w:hint="eastAsia" w:ascii="Times New Roman" w:hAnsi="宋体" w:eastAsia="宋体" w:cs="宋体"/>
          <w:color w:val="auto"/>
          <w:sz w:val="24"/>
          <w:szCs w:val="24"/>
          <w:highlight w:val="none"/>
        </w:rPr>
      </w:pPr>
      <w:r>
        <w:rPr>
          <w:rFonts w:hint="eastAsia" w:ascii="Times New Roman" w:hAnsi="宋体" w:eastAsia="宋体" w:cs="宋体"/>
          <w:color w:val="auto"/>
          <w:sz w:val="24"/>
          <w:szCs w:val="24"/>
          <w:highlight w:val="none"/>
        </w:rPr>
        <w:t>（</w:t>
      </w:r>
      <w:r>
        <w:rPr>
          <w:rFonts w:ascii="Times New Roman" w:hAnsi="Times New Roman" w:eastAsia="宋体" w:cs="Times New Roman"/>
          <w:color w:val="auto"/>
          <w:sz w:val="24"/>
          <w:szCs w:val="24"/>
          <w:highlight w:val="none"/>
        </w:rPr>
        <w:t>7</w:t>
      </w:r>
      <w:r>
        <w:rPr>
          <w:rFonts w:hint="eastAsia" w:ascii="Times New Roman" w:hAnsi="宋体" w:eastAsia="宋体" w:cs="宋体"/>
          <w:color w:val="auto"/>
          <w:sz w:val="24"/>
          <w:szCs w:val="24"/>
          <w:highlight w:val="none"/>
        </w:rPr>
        <w:t>）因发包人原因导致工期延误的其他情形：</w:t>
      </w:r>
      <w:r>
        <w:rPr>
          <w:rFonts w:hint="eastAsia" w:ascii="宋体" w:hAnsi="宋体" w:eastAsia="宋体" w:cs="宋体"/>
          <w:color w:val="auto"/>
          <w:sz w:val="24"/>
          <w:szCs w:val="24"/>
          <w:highlight w:val="none"/>
          <w:u w:val="single"/>
        </w:rPr>
        <w:t>①重大图纸变更影响关</w:t>
      </w:r>
      <w:r>
        <w:rPr>
          <w:rFonts w:hint="eastAsia" w:ascii="宋体" w:hAnsi="宋体" w:eastAsia="宋体" w:cs="宋体"/>
          <w:color w:val="auto"/>
          <w:sz w:val="24"/>
          <w:szCs w:val="24"/>
          <w:highlight w:val="none"/>
          <w:u w:val="single"/>
          <w:lang w:val="en-US" w:eastAsia="zh-CN"/>
        </w:rPr>
        <w:t>键</w:t>
      </w:r>
      <w:r>
        <w:rPr>
          <w:rFonts w:hint="eastAsia" w:ascii="宋体" w:hAnsi="宋体" w:eastAsia="宋体" w:cs="宋体"/>
          <w:color w:val="auto"/>
          <w:sz w:val="24"/>
          <w:szCs w:val="24"/>
          <w:highlight w:val="none"/>
          <w:u w:val="single"/>
        </w:rPr>
        <w:t>线路工序施工；②施工期间如因停电、停水连续</w:t>
      </w:r>
      <w:r>
        <w:rPr>
          <w:rFonts w:ascii="宋体" w:hAnsi="宋体" w:eastAsia="宋体" w:cs="宋体"/>
          <w:color w:val="auto"/>
          <w:sz w:val="24"/>
          <w:szCs w:val="24"/>
          <w:highlight w:val="none"/>
          <w:u w:val="single"/>
        </w:rPr>
        <w:t>8</w:t>
      </w:r>
      <w:r>
        <w:rPr>
          <w:rFonts w:hint="eastAsia" w:ascii="宋体" w:hAnsi="宋体" w:eastAsia="宋体" w:cs="宋体"/>
          <w:color w:val="auto"/>
          <w:sz w:val="24"/>
          <w:szCs w:val="24"/>
          <w:highlight w:val="none"/>
          <w:u w:val="single"/>
        </w:rPr>
        <w:t>小时以上或一周内间歇性停水、停电累计</w:t>
      </w:r>
      <w:r>
        <w:rPr>
          <w:rFonts w:ascii="宋体" w:hAnsi="宋体" w:eastAsia="宋体" w:cs="宋体"/>
          <w:color w:val="auto"/>
          <w:sz w:val="24"/>
          <w:szCs w:val="24"/>
          <w:highlight w:val="none"/>
          <w:u w:val="single"/>
        </w:rPr>
        <w:t>8</w:t>
      </w:r>
      <w:r>
        <w:rPr>
          <w:rFonts w:hint="eastAsia" w:ascii="宋体" w:hAnsi="宋体" w:eastAsia="宋体" w:cs="宋体"/>
          <w:color w:val="auto"/>
          <w:sz w:val="24"/>
          <w:szCs w:val="24"/>
          <w:highlight w:val="none"/>
          <w:u w:val="single"/>
        </w:rPr>
        <w:t>小时（含</w:t>
      </w:r>
      <w:r>
        <w:rPr>
          <w:rFonts w:ascii="宋体" w:hAnsi="宋体" w:eastAsia="宋体" w:cs="宋体"/>
          <w:color w:val="auto"/>
          <w:sz w:val="24"/>
          <w:szCs w:val="24"/>
          <w:highlight w:val="none"/>
          <w:u w:val="single"/>
        </w:rPr>
        <w:t>8</w:t>
      </w:r>
      <w:r>
        <w:rPr>
          <w:rFonts w:hint="eastAsia" w:ascii="宋体" w:hAnsi="宋体" w:eastAsia="宋体" w:cs="宋体"/>
          <w:color w:val="auto"/>
          <w:sz w:val="24"/>
          <w:szCs w:val="24"/>
          <w:highlight w:val="none"/>
          <w:u w:val="single"/>
        </w:rPr>
        <w:t>小时）影响正常施工的。③政府指令性停工。④在施工过程中遇到地下障碍物、溶洞、岩石、文物或地下管线的。⑤因发包人未能及时确认变更价格或甲供材料提供延误的。⑥非承包人的责任造成的工期延误其他情形</w:t>
      </w:r>
      <w:r>
        <w:rPr>
          <w:rFonts w:ascii="Times New Roman" w:hAnsi="宋体" w:eastAsia="宋体" w:cs="Times New Roman"/>
          <w:color w:val="auto"/>
          <w:sz w:val="24"/>
          <w:szCs w:val="24"/>
          <w:highlight w:val="none"/>
        </w:rPr>
        <w:t xml:space="preserve"> </w:t>
      </w:r>
      <w:r>
        <w:rPr>
          <w:rFonts w:hint="eastAsia" w:ascii="Times New Roman" w:hAnsi="宋体" w:eastAsia="宋体" w:cs="宋体"/>
          <w:color w:val="auto"/>
          <w:sz w:val="24"/>
          <w:szCs w:val="24"/>
          <w:highlight w:val="none"/>
        </w:rPr>
        <w:t>。</w:t>
      </w:r>
    </w:p>
    <w:p w14:paraId="7CE652A9">
      <w:pPr>
        <w:spacing w:line="400" w:lineRule="exact"/>
        <w:ind w:firstLine="480" w:firstLineChars="200"/>
        <w:jc w:val="left"/>
        <w:rPr>
          <w:rFonts w:hint="eastAsia" w:ascii="Times New Roman" w:hAnsi="宋体" w:eastAsia="宋体" w:cs="宋体"/>
          <w:color w:val="auto"/>
          <w:sz w:val="24"/>
          <w:szCs w:val="24"/>
          <w:highlight w:val="none"/>
          <w:u w:val="single"/>
        </w:rPr>
      </w:pPr>
      <w:r>
        <w:rPr>
          <w:rFonts w:hint="eastAsia" w:ascii="Times New Roman" w:hAnsi="宋体" w:eastAsia="宋体" w:cs="宋体"/>
          <w:color w:val="auto"/>
          <w:sz w:val="24"/>
          <w:szCs w:val="24"/>
          <w:highlight w:val="none"/>
          <w:u w:val="single"/>
        </w:rPr>
        <w:t>因发包人原因未按计划开工日期开工或因征地原因造成工期延误的，双方均不承担责任，发包人应按实际开工日期顺延竣工日期，确保实际工期不低于合同约定的工期总日历天数。</w:t>
      </w:r>
    </w:p>
    <w:p w14:paraId="38C437C8">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7</w:t>
      </w:r>
      <w:bookmarkStart w:id="414" w:name="_Toc318581169"/>
      <w:bookmarkStart w:id="415" w:name="_Toc312678012"/>
      <w:bookmarkStart w:id="416" w:name="_Toc312677486"/>
      <w:bookmarkStart w:id="417" w:name="_Toc300934970"/>
      <w:bookmarkStart w:id="418" w:name="_Toc303539127"/>
      <w:bookmarkStart w:id="419" w:name="_Toc304295548"/>
      <w:bookmarkStart w:id="420" w:name="_Toc297123518"/>
      <w:bookmarkStart w:id="421" w:name="_Toc297216177"/>
      <w:r>
        <w:rPr>
          <w:rFonts w:ascii="Times New Roman" w:hAnsi="Times New Roman" w:eastAsia="宋体" w:cs="Times New Roman"/>
          <w:color w:val="auto"/>
          <w:sz w:val="24"/>
          <w:szCs w:val="24"/>
          <w:highlight w:val="none"/>
        </w:rPr>
        <w:t xml:space="preserve">.5.2 </w:t>
      </w:r>
      <w:r>
        <w:rPr>
          <w:rFonts w:hint="eastAsia" w:ascii="Times New Roman" w:hAnsi="宋体" w:eastAsia="宋体" w:cs="宋体"/>
          <w:color w:val="auto"/>
          <w:sz w:val="24"/>
          <w:szCs w:val="24"/>
          <w:highlight w:val="none"/>
        </w:rPr>
        <w:t>因承包人原因导致工期延误</w:t>
      </w:r>
    </w:p>
    <w:bookmarkEnd w:id="414"/>
    <w:bookmarkEnd w:id="415"/>
    <w:bookmarkEnd w:id="416"/>
    <w:p w14:paraId="12A0596C">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双方约定经监理工程师确认，工期相应顺延的情况：</w:t>
      </w:r>
      <w:r>
        <w:rPr>
          <w:rFonts w:hint="eastAsia" w:ascii="宋体" w:hAnsi="宋体" w:eastAsia="宋体" w:cs="Times New Roman"/>
          <w:color w:val="auto"/>
          <w:sz w:val="24"/>
          <w:szCs w:val="24"/>
          <w:highlight w:val="none"/>
          <w:u w:val="single"/>
        </w:rPr>
        <w:t>因发包人原因或不可抗力或不利物质条件造成的工期顺延，其他因承包人原因造成的工期不得相应顺延</w:t>
      </w:r>
      <w:r>
        <w:rPr>
          <w:rFonts w:hint="eastAsia" w:ascii="Times New Roman" w:hAnsi="宋体" w:eastAsia="宋体" w:cs="宋体"/>
          <w:color w:val="auto"/>
          <w:sz w:val="24"/>
          <w:szCs w:val="24"/>
          <w:highlight w:val="none"/>
        </w:rPr>
        <w:t>。</w:t>
      </w:r>
    </w:p>
    <w:p w14:paraId="2AB25953">
      <w:pPr>
        <w:spacing w:line="400" w:lineRule="exact"/>
        <w:ind w:firstLine="480" w:firstLineChars="200"/>
        <w:jc w:val="left"/>
        <w:rPr>
          <w:rFonts w:hint="eastAsia" w:ascii="Times New Roman" w:hAnsi="宋体" w:eastAsia="宋体" w:cs="宋体"/>
          <w:color w:val="auto"/>
          <w:sz w:val="24"/>
          <w:szCs w:val="24"/>
          <w:highlight w:val="none"/>
          <w:u w:val="single"/>
        </w:rPr>
      </w:pPr>
      <w:r>
        <w:rPr>
          <w:rFonts w:hint="eastAsia" w:ascii="Times New Roman" w:hAnsi="宋体" w:eastAsia="宋体" w:cs="宋体"/>
          <w:color w:val="auto"/>
          <w:sz w:val="24"/>
          <w:szCs w:val="24"/>
          <w:highlight w:val="none"/>
        </w:rPr>
        <w:t>因</w:t>
      </w:r>
      <w:bookmarkStart w:id="422" w:name="_Toc312678013"/>
      <w:bookmarkStart w:id="423" w:name="_Toc318581170"/>
      <w:bookmarkStart w:id="424" w:name="_Toc312677487"/>
      <w:r>
        <w:rPr>
          <w:rFonts w:hint="eastAsia" w:ascii="Times New Roman" w:hAnsi="宋体" w:eastAsia="宋体" w:cs="宋体"/>
          <w:color w:val="auto"/>
          <w:sz w:val="24"/>
          <w:szCs w:val="24"/>
          <w:highlight w:val="none"/>
        </w:rPr>
        <w:t>承包人原因造成工期延误，逾期竣工违约金的计算方法为：</w:t>
      </w:r>
      <w:r>
        <w:rPr>
          <w:rFonts w:ascii="宋体" w:hAnsi="宋体" w:eastAsia="宋体" w:cs="Times New Roman"/>
          <w:color w:val="auto"/>
          <w:sz w:val="24"/>
          <w:szCs w:val="24"/>
          <w:highlight w:val="none"/>
          <w:u w:val="single"/>
        </w:rPr>
        <w:t>非上述原因，承包人不能按合同约定的时间竣工，承包人应承担违约责任。应向发包人支付误期赔偿费（赔偿费</w:t>
      </w:r>
      <w:r>
        <w:rPr>
          <w:rFonts w:hint="eastAsia" w:ascii="宋体" w:hAnsi="宋体" w:eastAsia="宋体" w:cs="Times New Roman"/>
          <w:color w:val="auto"/>
          <w:sz w:val="24"/>
          <w:szCs w:val="24"/>
          <w:highlight w:val="none"/>
          <w:u w:val="single"/>
        </w:rPr>
        <w:t>按逾期竣工的项目工程罚款，每延误一天,按该工程合同价款</w:t>
      </w:r>
      <w:r>
        <w:rPr>
          <w:rFonts w:ascii="宋体" w:hAnsi="宋体" w:eastAsia="宋体" w:cs="Times New Roman"/>
          <w:color w:val="auto"/>
          <w:sz w:val="24"/>
          <w:szCs w:val="24"/>
          <w:highlight w:val="none"/>
          <w:u w:val="single"/>
        </w:rPr>
        <w:t>扣除发包人材料价款、暂估专业工程、暂列金额后</w:t>
      </w:r>
      <w:r>
        <w:rPr>
          <w:rFonts w:hint="eastAsia" w:ascii="宋体" w:hAnsi="宋体" w:eastAsia="宋体" w:cs="Times New Roman"/>
          <w:color w:val="auto"/>
          <w:sz w:val="24"/>
          <w:szCs w:val="24"/>
          <w:highlight w:val="none"/>
          <w:u w:val="single"/>
        </w:rPr>
        <w:t>的万分之一处罚,罚款直接从结算款中扣除。</w:t>
      </w:r>
      <w:r>
        <w:rPr>
          <w:rFonts w:ascii="宋体" w:hAnsi="宋体" w:eastAsia="宋体" w:cs="Times New Roman"/>
          <w:color w:val="auto"/>
          <w:sz w:val="24"/>
          <w:szCs w:val="24"/>
          <w:highlight w:val="none"/>
          <w:u w:val="single"/>
        </w:rPr>
        <w:t>），误期时间从规定竣工日期起直到相应工程竣工验收各方签章日期之间的天数（扣除发包人批准顺延的工期）。发包人可从应向承包人支付的任何金额中扣除此项赔款费或其他方式收回此款，此赔偿款的支付并不能解除承包人应完成工程的责任或合同规定的其他责任</w:t>
      </w:r>
      <w:r>
        <w:rPr>
          <w:rFonts w:hint="eastAsia" w:ascii="Times New Roman" w:hAnsi="宋体" w:eastAsia="宋体" w:cs="宋体"/>
          <w:color w:val="auto"/>
          <w:sz w:val="24"/>
          <w:szCs w:val="24"/>
          <w:highlight w:val="none"/>
          <w:u w:val="single"/>
        </w:rPr>
        <w:t>。</w:t>
      </w:r>
      <w:bookmarkEnd w:id="417"/>
      <w:bookmarkEnd w:id="418"/>
      <w:bookmarkEnd w:id="419"/>
      <w:bookmarkEnd w:id="420"/>
      <w:bookmarkEnd w:id="421"/>
      <w:bookmarkEnd w:id="422"/>
      <w:bookmarkEnd w:id="423"/>
      <w:bookmarkEnd w:id="424"/>
    </w:p>
    <w:p w14:paraId="36EE4C5F">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因承包人原因造成工期延误，逾</w:t>
      </w:r>
      <w:bookmarkStart w:id="425" w:name="_Toc312678014"/>
      <w:bookmarkStart w:id="426" w:name="_Toc318581171"/>
      <w:r>
        <w:rPr>
          <w:rFonts w:hint="eastAsia" w:ascii="Times New Roman" w:hAnsi="宋体" w:eastAsia="宋体" w:cs="宋体"/>
          <w:color w:val="auto"/>
          <w:sz w:val="24"/>
          <w:szCs w:val="24"/>
          <w:highlight w:val="none"/>
        </w:rPr>
        <w:t>期竣工违约金的上限：</w:t>
      </w:r>
      <w:r>
        <w:rPr>
          <w:rFonts w:hint="eastAsia" w:ascii="宋体" w:hAnsi="宋体" w:eastAsia="宋体" w:cs="宋体"/>
          <w:color w:val="auto"/>
          <w:sz w:val="24"/>
          <w:szCs w:val="24"/>
          <w:highlight w:val="none"/>
          <w:u w:val="single"/>
        </w:rPr>
        <w:t>逾期竣工的单项工程结算造价</w:t>
      </w:r>
      <w:r>
        <w:rPr>
          <w:rFonts w:hint="eastAsia" w:ascii="Times New Roman" w:hAnsi="宋体" w:eastAsia="宋体" w:cs="宋体"/>
          <w:color w:val="auto"/>
          <w:sz w:val="24"/>
          <w:szCs w:val="24"/>
          <w:highlight w:val="none"/>
          <w:u w:val="single"/>
        </w:rPr>
        <w:t>的</w:t>
      </w:r>
      <w:r>
        <w:rPr>
          <w:rFonts w:hint="eastAsia" w:ascii="Times New Roman" w:hAnsi="Times New Roman" w:eastAsia="宋体" w:cs="Times New Roman"/>
          <w:color w:val="auto"/>
          <w:sz w:val="24"/>
          <w:szCs w:val="24"/>
          <w:highlight w:val="none"/>
          <w:u w:val="single"/>
        </w:rPr>
        <w:t>1</w:t>
      </w:r>
      <w:r>
        <w:rPr>
          <w:rFonts w:ascii="Times New Roman" w:hAnsi="Times New Roman" w:eastAsia="宋体" w:cs="Times New Roman"/>
          <w:color w:val="auto"/>
          <w:sz w:val="24"/>
          <w:szCs w:val="24"/>
          <w:highlight w:val="none"/>
          <w:u w:val="single"/>
        </w:rPr>
        <w:t>%</w:t>
      </w:r>
      <w:r>
        <w:rPr>
          <w:rFonts w:hint="eastAsia" w:ascii="Times New Roman" w:hAnsi="宋体" w:eastAsia="宋体" w:cs="宋体"/>
          <w:color w:val="auto"/>
          <w:sz w:val="24"/>
          <w:szCs w:val="24"/>
          <w:highlight w:val="none"/>
        </w:rPr>
        <w:t>。</w:t>
      </w:r>
    </w:p>
    <w:bookmarkEnd w:id="425"/>
    <w:bookmarkEnd w:id="426"/>
    <w:p w14:paraId="7F92A30B">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427" w:name="_Toc389065294"/>
      <w:bookmarkStart w:id="428" w:name="_Toc407135230"/>
      <w:bookmarkStart w:id="429" w:name="_Toc373478375"/>
      <w:bookmarkStart w:id="430" w:name="_Toc373227728"/>
      <w:bookmarkStart w:id="431" w:name="_Toc9850558"/>
      <w:r>
        <w:rPr>
          <w:rFonts w:ascii="Times New Roman" w:hAnsi="Times New Roman" w:eastAsia="黑体" w:cs="Times New Roman"/>
          <w:b/>
          <w:bCs/>
          <w:color w:val="auto"/>
          <w:sz w:val="24"/>
          <w:szCs w:val="24"/>
          <w:highlight w:val="none"/>
          <w:lang w:val="zh-CN"/>
        </w:rPr>
        <w:t>7</w:t>
      </w:r>
      <w:bookmarkStart w:id="432" w:name="_Toc300934971"/>
      <w:bookmarkStart w:id="433" w:name="_Toc304295549"/>
      <w:bookmarkStart w:id="434" w:name="_Toc312678015"/>
      <w:bookmarkStart w:id="435" w:name="_Toc297123519"/>
      <w:bookmarkStart w:id="436" w:name="_Toc303539128"/>
      <w:bookmarkStart w:id="437" w:name="_Toc297216178"/>
      <w:r>
        <w:rPr>
          <w:rFonts w:ascii="Times New Roman" w:hAnsi="Times New Roman" w:eastAsia="黑体" w:cs="Times New Roman"/>
          <w:b/>
          <w:bCs/>
          <w:color w:val="auto"/>
          <w:sz w:val="24"/>
          <w:szCs w:val="24"/>
          <w:highlight w:val="none"/>
          <w:lang w:val="zh-CN"/>
        </w:rPr>
        <w:t xml:space="preserve">.6 </w:t>
      </w:r>
      <w:r>
        <w:rPr>
          <w:rFonts w:hint="eastAsia" w:ascii="Times New Roman" w:hAnsi="Times New Roman" w:eastAsia="黑体" w:cs="黑体"/>
          <w:b/>
          <w:bCs/>
          <w:color w:val="auto"/>
          <w:sz w:val="24"/>
          <w:szCs w:val="24"/>
          <w:highlight w:val="none"/>
          <w:lang w:val="zh-CN"/>
        </w:rPr>
        <w:t>不</w:t>
      </w:r>
      <w:bookmarkEnd w:id="432"/>
      <w:bookmarkEnd w:id="433"/>
      <w:bookmarkEnd w:id="434"/>
      <w:bookmarkEnd w:id="435"/>
      <w:bookmarkEnd w:id="436"/>
      <w:bookmarkEnd w:id="437"/>
      <w:r>
        <w:rPr>
          <w:rFonts w:hint="eastAsia" w:ascii="Times New Roman" w:hAnsi="Times New Roman" w:eastAsia="黑体" w:cs="黑体"/>
          <w:b/>
          <w:bCs/>
          <w:color w:val="auto"/>
          <w:sz w:val="24"/>
          <w:szCs w:val="24"/>
          <w:highlight w:val="none"/>
          <w:lang w:val="zh-CN"/>
        </w:rPr>
        <w:t>利物质条件</w:t>
      </w:r>
      <w:bookmarkEnd w:id="427"/>
      <w:bookmarkEnd w:id="428"/>
      <w:bookmarkEnd w:id="429"/>
      <w:bookmarkEnd w:id="430"/>
      <w:bookmarkEnd w:id="431"/>
    </w:p>
    <w:p w14:paraId="28B77B5B">
      <w:pPr>
        <w:spacing w:line="400" w:lineRule="exact"/>
        <w:ind w:firstLine="480" w:firstLineChars="200"/>
        <w:jc w:val="left"/>
        <w:rPr>
          <w:rFonts w:ascii="Times New Roman" w:hAnsi="Times New Roman" w:eastAsia="宋体" w:cs="Times New Roman"/>
          <w:color w:val="auto"/>
          <w:sz w:val="24"/>
          <w:szCs w:val="24"/>
          <w:highlight w:val="none"/>
          <w:u w:val="single"/>
        </w:rPr>
      </w:pPr>
      <w:bookmarkStart w:id="438" w:name="_Toc318581172"/>
      <w:bookmarkStart w:id="439" w:name="_Toc300934972"/>
      <w:bookmarkStart w:id="440" w:name="_Toc312678016"/>
      <w:bookmarkStart w:id="441" w:name="_Toc297123520"/>
      <w:bookmarkStart w:id="442" w:name="_Toc304295550"/>
      <w:bookmarkStart w:id="443" w:name="_Toc297216179"/>
      <w:bookmarkStart w:id="444" w:name="_Toc303539129"/>
      <w:r>
        <w:rPr>
          <w:rFonts w:hint="eastAsia" w:ascii="Times New Roman" w:hAnsi="宋体" w:eastAsia="宋体" w:cs="宋体"/>
          <w:color w:val="auto"/>
          <w:sz w:val="24"/>
          <w:szCs w:val="24"/>
          <w:highlight w:val="none"/>
        </w:rPr>
        <w:t>不利物质条件的其他情形和有关约定：</w:t>
      </w:r>
      <w:r>
        <w:rPr>
          <w:rFonts w:hint="eastAsia" w:ascii="宋体" w:hAnsi="宋体" w:eastAsia="宋体" w:cs="Times New Roman"/>
          <w:color w:val="auto"/>
          <w:sz w:val="24"/>
          <w:szCs w:val="24"/>
          <w:highlight w:val="none"/>
          <w:u w:val="single"/>
        </w:rPr>
        <w:t>按通用条款7.6执行</w:t>
      </w:r>
      <w:r>
        <w:rPr>
          <w:rFonts w:hint="eastAsia" w:ascii="Times New Roman" w:hAnsi="宋体" w:eastAsia="宋体" w:cs="宋体"/>
          <w:color w:val="auto"/>
          <w:sz w:val="24"/>
          <w:szCs w:val="24"/>
          <w:highlight w:val="none"/>
        </w:rPr>
        <w:t>。</w:t>
      </w:r>
    </w:p>
    <w:bookmarkEnd w:id="438"/>
    <w:bookmarkEnd w:id="439"/>
    <w:bookmarkEnd w:id="440"/>
    <w:bookmarkEnd w:id="441"/>
    <w:bookmarkEnd w:id="442"/>
    <w:bookmarkEnd w:id="443"/>
    <w:bookmarkEnd w:id="444"/>
    <w:p w14:paraId="12C3F1A5">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445" w:name="_Toc389065295"/>
      <w:bookmarkStart w:id="446" w:name="_Toc373227729"/>
      <w:bookmarkStart w:id="447" w:name="_Toc373478376"/>
      <w:bookmarkStart w:id="448" w:name="_Toc407135231"/>
      <w:bookmarkStart w:id="449" w:name="_Toc9850559"/>
      <w:r>
        <w:rPr>
          <w:rFonts w:ascii="Times New Roman" w:hAnsi="Times New Roman" w:eastAsia="黑体" w:cs="Times New Roman"/>
          <w:b/>
          <w:bCs/>
          <w:color w:val="auto"/>
          <w:sz w:val="24"/>
          <w:szCs w:val="24"/>
          <w:highlight w:val="none"/>
          <w:lang w:val="zh-CN"/>
        </w:rPr>
        <w:t>7</w:t>
      </w:r>
      <w:bookmarkStart w:id="450" w:name="_Toc303539130"/>
      <w:bookmarkStart w:id="451" w:name="_Toc297216180"/>
      <w:bookmarkStart w:id="452" w:name="_Toc297123521"/>
      <w:bookmarkStart w:id="453" w:name="_Toc300934973"/>
      <w:bookmarkStart w:id="454" w:name="_Toc304295551"/>
      <w:bookmarkStart w:id="455" w:name="_Toc312678017"/>
      <w:r>
        <w:rPr>
          <w:rFonts w:ascii="Times New Roman" w:hAnsi="Times New Roman" w:eastAsia="黑体" w:cs="Times New Roman"/>
          <w:b/>
          <w:bCs/>
          <w:color w:val="auto"/>
          <w:sz w:val="24"/>
          <w:szCs w:val="24"/>
          <w:highlight w:val="none"/>
          <w:lang w:val="zh-CN"/>
        </w:rPr>
        <w:t xml:space="preserve">.7 </w:t>
      </w:r>
      <w:r>
        <w:rPr>
          <w:rFonts w:hint="eastAsia" w:ascii="Times New Roman" w:hAnsi="Times New Roman" w:eastAsia="黑体" w:cs="黑体"/>
          <w:b/>
          <w:bCs/>
          <w:color w:val="auto"/>
          <w:sz w:val="24"/>
          <w:szCs w:val="24"/>
          <w:highlight w:val="none"/>
          <w:lang w:val="zh-CN"/>
        </w:rPr>
        <w:t>异常恶劣的气候条件</w:t>
      </w:r>
      <w:bookmarkEnd w:id="445"/>
      <w:bookmarkEnd w:id="446"/>
      <w:bookmarkEnd w:id="447"/>
      <w:bookmarkEnd w:id="448"/>
      <w:bookmarkEnd w:id="449"/>
    </w:p>
    <w:bookmarkEnd w:id="450"/>
    <w:bookmarkEnd w:id="451"/>
    <w:bookmarkEnd w:id="452"/>
    <w:bookmarkEnd w:id="453"/>
    <w:bookmarkEnd w:id="454"/>
    <w:bookmarkEnd w:id="455"/>
    <w:p w14:paraId="7FE6C75C">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发包人和承包人同意以下情形视为异常恶劣的气候条件：</w:t>
      </w:r>
    </w:p>
    <w:p w14:paraId="5E3A8D04">
      <w:pPr>
        <w:spacing w:line="400" w:lineRule="exact"/>
        <w:ind w:firstLine="480" w:firstLineChars="200"/>
        <w:jc w:val="left"/>
        <w:rPr>
          <w:rFonts w:hint="eastAsia" w:ascii="Times New Roman" w:hAnsi="宋体" w:eastAsia="宋体" w:cs="Times New Roman"/>
          <w:color w:val="auto"/>
          <w:sz w:val="24"/>
          <w:szCs w:val="24"/>
          <w:highlight w:val="none"/>
          <w:u w:val="single"/>
        </w:rPr>
      </w:pPr>
      <w:r>
        <w:rPr>
          <w:rFonts w:hint="eastAsia" w:ascii="Times New Roman" w:hAnsi="宋体" w:eastAsia="宋体" w:cs="宋体"/>
          <w:color w:val="auto"/>
          <w:sz w:val="24"/>
          <w:szCs w:val="24"/>
          <w:highlight w:val="none"/>
        </w:rPr>
        <w:t>（</w:t>
      </w:r>
      <w:r>
        <w:rPr>
          <w:rFonts w:ascii="Times New Roman" w:hAnsi="Times New Roman" w:eastAsia="宋体" w:cs="Times New Roman"/>
          <w:color w:val="auto"/>
          <w:sz w:val="24"/>
          <w:szCs w:val="24"/>
          <w:highlight w:val="none"/>
        </w:rPr>
        <w:t>1</w:t>
      </w:r>
      <w:r>
        <w:rPr>
          <w:rFonts w:hint="eastAsia" w:ascii="Times New Roman" w:hAnsi="宋体" w:eastAsia="宋体" w:cs="宋体"/>
          <w:color w:val="auto"/>
          <w:sz w:val="24"/>
          <w:szCs w:val="24"/>
          <w:highlight w:val="none"/>
        </w:rPr>
        <w:t>）</w:t>
      </w:r>
      <w:r>
        <w:rPr>
          <w:rFonts w:hint="eastAsia" w:ascii="Times New Roman" w:hAnsi="宋体" w:eastAsia="宋体" w:cs="Times New Roman"/>
          <w:color w:val="auto"/>
          <w:sz w:val="24"/>
          <w:szCs w:val="24"/>
          <w:highlight w:val="none"/>
          <w:u w:val="single"/>
        </w:rPr>
        <w:t>日降雨量大于200mm的雨日超过 1 天；</w:t>
      </w:r>
    </w:p>
    <w:p w14:paraId="0C23506D">
      <w:pPr>
        <w:spacing w:line="400" w:lineRule="exact"/>
        <w:ind w:firstLine="480" w:firstLineChars="200"/>
        <w:jc w:val="left"/>
        <w:rPr>
          <w:rFonts w:hint="eastAsia" w:ascii="Times New Roman" w:hAnsi="宋体" w:eastAsia="宋体" w:cs="Times New Roman"/>
          <w:color w:val="auto"/>
          <w:sz w:val="24"/>
          <w:szCs w:val="24"/>
          <w:highlight w:val="none"/>
          <w:u w:val="single"/>
        </w:rPr>
      </w:pPr>
      <w:r>
        <w:rPr>
          <w:rFonts w:hint="eastAsia" w:ascii="Times New Roman" w:hAnsi="宋体" w:eastAsia="宋体" w:cs="Times New Roman"/>
          <w:color w:val="auto"/>
          <w:sz w:val="24"/>
          <w:szCs w:val="24"/>
          <w:highlight w:val="none"/>
        </w:rPr>
        <w:t>（2）</w:t>
      </w:r>
      <w:r>
        <w:rPr>
          <w:rFonts w:hint="eastAsia" w:ascii="Times New Roman" w:hAnsi="宋体" w:eastAsia="宋体" w:cs="Times New Roman"/>
          <w:color w:val="auto"/>
          <w:sz w:val="24"/>
          <w:szCs w:val="24"/>
          <w:highlight w:val="none"/>
          <w:u w:val="single"/>
        </w:rPr>
        <w:t>10 级以上的持续 1 日的大风（以气象部门鉴定为准）；</w:t>
      </w:r>
    </w:p>
    <w:p w14:paraId="262CF23F">
      <w:pPr>
        <w:spacing w:line="400" w:lineRule="exact"/>
        <w:ind w:firstLine="480" w:firstLineChars="200"/>
        <w:jc w:val="left"/>
        <w:rPr>
          <w:rFonts w:hint="eastAsia" w:ascii="Times New Roman" w:hAnsi="宋体" w:eastAsia="宋体" w:cs="Times New Roman"/>
          <w:color w:val="auto"/>
          <w:sz w:val="24"/>
          <w:szCs w:val="24"/>
          <w:highlight w:val="none"/>
          <w:u w:val="single"/>
        </w:rPr>
      </w:pPr>
      <w:r>
        <w:rPr>
          <w:rFonts w:hint="eastAsia" w:ascii="Times New Roman" w:hAnsi="宋体" w:eastAsia="宋体" w:cs="Times New Roman"/>
          <w:color w:val="auto"/>
          <w:sz w:val="24"/>
          <w:szCs w:val="24"/>
          <w:highlight w:val="none"/>
        </w:rPr>
        <w:t>（3）</w:t>
      </w:r>
      <w:r>
        <w:rPr>
          <w:rFonts w:hint="eastAsia" w:ascii="Times New Roman" w:hAnsi="宋体" w:eastAsia="宋体" w:cs="Times New Roman"/>
          <w:color w:val="auto"/>
          <w:sz w:val="24"/>
          <w:szCs w:val="24"/>
          <w:highlight w:val="none"/>
          <w:u w:val="single"/>
        </w:rPr>
        <w:t>日气温超过 40</w:t>
      </w:r>
      <w:r>
        <w:rPr>
          <w:rFonts w:ascii="Times New Roman" w:hAnsi="宋体" w:eastAsia="宋体" w:cs="Times New Roman"/>
          <w:color w:val="auto"/>
          <w:sz w:val="24"/>
          <w:szCs w:val="24"/>
          <w:highlight w:val="none"/>
          <w:u w:val="single"/>
        </w:rPr>
        <w:t>℃</w:t>
      </w:r>
      <w:r>
        <w:rPr>
          <w:rFonts w:hint="eastAsia" w:ascii="Times New Roman" w:hAnsi="宋体" w:eastAsia="宋体" w:cs="Times New Roman"/>
          <w:color w:val="auto"/>
          <w:sz w:val="24"/>
          <w:szCs w:val="24"/>
          <w:highlight w:val="none"/>
          <w:u w:val="single"/>
        </w:rPr>
        <w:t>的高温大于 2 天；</w:t>
      </w:r>
    </w:p>
    <w:p w14:paraId="1300E9BC">
      <w:pPr>
        <w:spacing w:line="400" w:lineRule="exact"/>
        <w:ind w:firstLine="480" w:firstLineChars="200"/>
        <w:jc w:val="left"/>
        <w:rPr>
          <w:rFonts w:hint="eastAsia" w:ascii="Times New Roman" w:hAnsi="宋体" w:eastAsia="宋体" w:cs="Times New Roman"/>
          <w:color w:val="auto"/>
          <w:sz w:val="24"/>
          <w:szCs w:val="24"/>
          <w:highlight w:val="none"/>
          <w:u w:val="single"/>
        </w:rPr>
      </w:pPr>
      <w:r>
        <w:rPr>
          <w:rFonts w:hint="eastAsia" w:ascii="Times New Roman" w:hAnsi="宋体" w:eastAsia="宋体" w:cs="Times New Roman"/>
          <w:color w:val="auto"/>
          <w:sz w:val="24"/>
          <w:szCs w:val="24"/>
          <w:highlight w:val="none"/>
        </w:rPr>
        <w:t>（4）</w:t>
      </w:r>
      <w:r>
        <w:rPr>
          <w:rFonts w:hint="eastAsia" w:ascii="Times New Roman" w:hAnsi="宋体" w:eastAsia="宋体" w:cs="Times New Roman"/>
          <w:color w:val="auto"/>
          <w:sz w:val="24"/>
          <w:szCs w:val="24"/>
          <w:highlight w:val="none"/>
          <w:u w:val="single"/>
        </w:rPr>
        <w:t>日气温低于 -10℃的严寒大于 2 天。</w:t>
      </w:r>
    </w:p>
    <w:p w14:paraId="7FFDC910">
      <w:pPr>
        <w:spacing w:line="400" w:lineRule="exact"/>
        <w:ind w:firstLine="480" w:firstLineChars="200"/>
        <w:jc w:val="left"/>
        <w:rPr>
          <w:rFonts w:hint="eastAsia" w:ascii="Times New Roman" w:hAnsi="宋体" w:eastAsia="宋体" w:cs="Times New Roman"/>
          <w:color w:val="auto"/>
          <w:sz w:val="24"/>
          <w:szCs w:val="24"/>
          <w:highlight w:val="none"/>
          <w:u w:val="single"/>
        </w:rPr>
      </w:pPr>
      <w:r>
        <w:rPr>
          <w:rFonts w:hint="eastAsia" w:ascii="Times New Roman" w:hAnsi="宋体" w:eastAsia="宋体" w:cs="Times New Roman"/>
          <w:color w:val="auto"/>
          <w:sz w:val="24"/>
          <w:szCs w:val="24"/>
          <w:highlight w:val="none"/>
        </w:rPr>
        <w:t>（5）</w:t>
      </w:r>
      <w:r>
        <w:rPr>
          <w:rFonts w:hint="eastAsia" w:ascii="Times New Roman" w:hAnsi="宋体" w:eastAsia="宋体" w:cs="Times New Roman"/>
          <w:color w:val="auto"/>
          <w:sz w:val="24"/>
          <w:szCs w:val="24"/>
          <w:highlight w:val="none"/>
          <w:u w:val="single"/>
        </w:rPr>
        <w:t>造成工程损坏的冰雹和大雪灾害；</w:t>
      </w:r>
    </w:p>
    <w:p w14:paraId="5CF67743">
      <w:pPr>
        <w:spacing w:line="400" w:lineRule="exact"/>
        <w:ind w:firstLine="480" w:firstLineChars="200"/>
        <w:jc w:val="left"/>
        <w:rPr>
          <w:rFonts w:hint="eastAsia" w:ascii="Times New Roman" w:hAnsi="宋体" w:eastAsia="宋体" w:cs="Times New Roman"/>
          <w:color w:val="auto"/>
          <w:sz w:val="24"/>
          <w:szCs w:val="24"/>
          <w:highlight w:val="none"/>
          <w:u w:val="single"/>
        </w:rPr>
      </w:pPr>
      <w:r>
        <w:rPr>
          <w:rFonts w:hint="eastAsia" w:ascii="Times New Roman" w:hAnsi="宋体" w:eastAsia="宋体" w:cs="Times New Roman"/>
          <w:color w:val="auto"/>
          <w:sz w:val="24"/>
          <w:szCs w:val="24"/>
          <w:highlight w:val="none"/>
        </w:rPr>
        <w:t>（6）</w:t>
      </w:r>
      <w:r>
        <w:rPr>
          <w:rFonts w:hint="eastAsia" w:ascii="Times New Roman" w:hAnsi="宋体" w:eastAsia="宋体" w:cs="Times New Roman"/>
          <w:color w:val="auto"/>
          <w:sz w:val="24"/>
          <w:szCs w:val="24"/>
          <w:highlight w:val="none"/>
          <w:u w:val="single"/>
        </w:rPr>
        <w:t>6 级以上的地震；</w:t>
      </w:r>
    </w:p>
    <w:p w14:paraId="03870DF3">
      <w:pPr>
        <w:spacing w:line="400" w:lineRule="exact"/>
        <w:ind w:firstLine="480" w:firstLineChars="200"/>
        <w:jc w:val="left"/>
        <w:rPr>
          <w:rFonts w:hint="eastAsia" w:ascii="Times New Roman" w:hAnsi="宋体" w:eastAsia="宋体" w:cs="Times New Roman"/>
          <w:color w:val="auto"/>
          <w:sz w:val="24"/>
          <w:szCs w:val="24"/>
          <w:highlight w:val="none"/>
          <w:u w:val="single"/>
        </w:rPr>
      </w:pPr>
      <w:r>
        <w:rPr>
          <w:rFonts w:hint="eastAsia" w:ascii="Times New Roman" w:hAnsi="宋体" w:eastAsia="宋体" w:cs="Times New Roman"/>
          <w:color w:val="auto"/>
          <w:sz w:val="24"/>
          <w:szCs w:val="24"/>
          <w:highlight w:val="none"/>
        </w:rPr>
        <w:t>（7）</w:t>
      </w:r>
      <w:r>
        <w:rPr>
          <w:rFonts w:hint="eastAsia" w:ascii="Times New Roman" w:hAnsi="宋体" w:eastAsia="宋体" w:cs="Times New Roman"/>
          <w:color w:val="auto"/>
          <w:sz w:val="24"/>
          <w:szCs w:val="24"/>
          <w:highlight w:val="none"/>
          <w:u w:val="single"/>
        </w:rPr>
        <w:t>50 年一遇及以上的洪水；</w:t>
      </w:r>
    </w:p>
    <w:p w14:paraId="7336F836">
      <w:pPr>
        <w:spacing w:line="400" w:lineRule="exact"/>
        <w:ind w:firstLine="480" w:firstLineChars="200"/>
        <w:jc w:val="left"/>
        <w:rPr>
          <w:rFonts w:hint="eastAsia" w:ascii="Times New Roman" w:hAnsi="宋体" w:eastAsia="宋体" w:cs="Times New Roman"/>
          <w:color w:val="auto"/>
          <w:sz w:val="24"/>
          <w:szCs w:val="24"/>
          <w:highlight w:val="none"/>
          <w:u w:val="single"/>
        </w:rPr>
      </w:pPr>
      <w:r>
        <w:rPr>
          <w:rFonts w:hint="eastAsia" w:ascii="Times New Roman" w:hAnsi="宋体" w:eastAsia="宋体" w:cs="Times New Roman"/>
          <w:color w:val="auto"/>
          <w:sz w:val="24"/>
          <w:szCs w:val="24"/>
          <w:highlight w:val="none"/>
        </w:rPr>
        <w:t>（8）</w:t>
      </w:r>
      <w:r>
        <w:rPr>
          <w:rFonts w:hint="eastAsia" w:ascii="Times New Roman" w:hAnsi="宋体" w:eastAsia="宋体" w:cs="Times New Roman"/>
          <w:color w:val="auto"/>
          <w:sz w:val="24"/>
          <w:szCs w:val="24"/>
          <w:highlight w:val="none"/>
          <w:u w:val="single"/>
        </w:rPr>
        <w:t>其他异常恶劣气候灾害</w:t>
      </w:r>
      <w:r>
        <w:rPr>
          <w:rFonts w:ascii="Times New Roman" w:hAnsi="宋体" w:eastAsia="宋体" w:cs="Times New Roman"/>
          <w:color w:val="auto"/>
          <w:sz w:val="24"/>
          <w:szCs w:val="24"/>
          <w:highlight w:val="none"/>
          <w:u w:val="single"/>
        </w:rPr>
        <w:t>。</w:t>
      </w:r>
    </w:p>
    <w:p w14:paraId="148CDFDB">
      <w:pPr>
        <w:keepNext/>
        <w:keepLines/>
        <w:spacing w:line="400" w:lineRule="exact"/>
        <w:outlineLvl w:val="2"/>
        <w:rPr>
          <w:rFonts w:ascii="Times New Roman" w:hAnsi="Times New Roman" w:eastAsia="黑体" w:cs="Times New Roman"/>
          <w:b/>
          <w:bCs/>
          <w:color w:val="auto"/>
          <w:sz w:val="24"/>
          <w:szCs w:val="24"/>
          <w:highlight w:val="none"/>
        </w:rPr>
      </w:pPr>
      <w:bookmarkStart w:id="456" w:name="_Toc407135232"/>
      <w:bookmarkStart w:id="457" w:name="_Toc373478377"/>
      <w:bookmarkStart w:id="458" w:name="_Toc9850560"/>
      <w:bookmarkStart w:id="459" w:name="_Toc373227730"/>
      <w:bookmarkStart w:id="460" w:name="_Toc389065296"/>
      <w:r>
        <w:rPr>
          <w:rFonts w:ascii="Times New Roman" w:hAnsi="Times New Roman" w:eastAsia="黑体" w:cs="Times New Roman"/>
          <w:b/>
          <w:bCs/>
          <w:color w:val="auto"/>
          <w:sz w:val="24"/>
          <w:szCs w:val="24"/>
          <w:highlight w:val="none"/>
        </w:rPr>
        <w:t xml:space="preserve">7.9 </w:t>
      </w:r>
      <w:r>
        <w:rPr>
          <w:rFonts w:hint="eastAsia" w:ascii="Times New Roman" w:hAnsi="宋体" w:eastAsia="黑体" w:cs="黑体"/>
          <w:b/>
          <w:bCs/>
          <w:color w:val="auto"/>
          <w:sz w:val="24"/>
          <w:szCs w:val="24"/>
          <w:highlight w:val="none"/>
          <w:lang w:val="zh-CN"/>
        </w:rPr>
        <w:t>提前竣工</w:t>
      </w:r>
      <w:bookmarkEnd w:id="456"/>
      <w:bookmarkEnd w:id="457"/>
      <w:bookmarkEnd w:id="458"/>
      <w:bookmarkEnd w:id="459"/>
      <w:bookmarkEnd w:id="460"/>
    </w:p>
    <w:p w14:paraId="0D61E3ED">
      <w:pPr>
        <w:spacing w:line="400" w:lineRule="exact"/>
        <w:ind w:firstLine="480" w:firstLineChars="200"/>
        <w:jc w:val="left"/>
        <w:rPr>
          <w:rFonts w:hint="eastAsia" w:ascii="Times New Roman" w:hAnsi="宋体" w:eastAsia="宋体" w:cs="Times New Roman"/>
          <w:color w:val="auto"/>
          <w:sz w:val="24"/>
          <w:szCs w:val="24"/>
          <w:highlight w:val="none"/>
        </w:rPr>
      </w:pPr>
      <w:r>
        <w:rPr>
          <w:rFonts w:ascii="Times New Roman" w:hAnsi="Times New Roman" w:eastAsia="宋体" w:cs="Times New Roman"/>
          <w:color w:val="auto"/>
          <w:sz w:val="24"/>
          <w:szCs w:val="24"/>
          <w:highlight w:val="none"/>
        </w:rPr>
        <w:t>7.9.2</w:t>
      </w:r>
      <w:r>
        <w:rPr>
          <w:rFonts w:hint="eastAsia" w:ascii="Times New Roman" w:hAnsi="宋体" w:eastAsia="宋体" w:cs="宋体"/>
          <w:color w:val="auto"/>
          <w:sz w:val="24"/>
          <w:szCs w:val="24"/>
          <w:highlight w:val="none"/>
        </w:rPr>
        <w:t>提前竣工（赶工）增加费的计算方法：</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无</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7CEA464B">
      <w:pPr>
        <w:keepNext/>
        <w:keepLines/>
        <w:spacing w:before="60" w:after="60" w:line="400" w:lineRule="exact"/>
        <w:outlineLvl w:val="1"/>
        <w:rPr>
          <w:rFonts w:ascii="Arial" w:hAnsi="Arial" w:eastAsia="黑体" w:cs="Times New Roman"/>
          <w:b/>
          <w:bCs/>
          <w:color w:val="auto"/>
          <w:sz w:val="24"/>
          <w:szCs w:val="24"/>
          <w:highlight w:val="none"/>
          <w:lang w:val="zh-CN"/>
        </w:rPr>
      </w:pPr>
      <w:bookmarkStart w:id="461" w:name="_Toc351203640"/>
      <w:bookmarkStart w:id="462" w:name="_Toc9850561"/>
      <w:bookmarkStart w:id="463" w:name="_Toc373227731"/>
      <w:bookmarkStart w:id="464" w:name="_Toc407135233"/>
      <w:bookmarkStart w:id="465" w:name="_Toc389065297"/>
      <w:bookmarkStart w:id="466" w:name="_Toc373478378"/>
      <w:r>
        <w:rPr>
          <w:rFonts w:ascii="Arial" w:hAnsi="Arial" w:eastAsia="黑体" w:cs="Times New Roman"/>
          <w:b/>
          <w:bCs/>
          <w:color w:val="auto"/>
          <w:sz w:val="24"/>
          <w:szCs w:val="24"/>
          <w:highlight w:val="none"/>
          <w:lang w:val="zh-CN"/>
        </w:rPr>
        <w:t xml:space="preserve">8. </w:t>
      </w:r>
      <w:r>
        <w:rPr>
          <w:rFonts w:hint="eastAsia" w:ascii="Arial" w:hAnsi="Arial" w:eastAsia="黑体" w:cs="黑体"/>
          <w:b/>
          <w:bCs/>
          <w:color w:val="auto"/>
          <w:sz w:val="24"/>
          <w:szCs w:val="24"/>
          <w:highlight w:val="none"/>
          <w:lang w:val="zh-CN"/>
        </w:rPr>
        <w:t>材料与设备</w:t>
      </w:r>
      <w:bookmarkEnd w:id="461"/>
      <w:bookmarkEnd w:id="462"/>
      <w:bookmarkEnd w:id="463"/>
      <w:bookmarkEnd w:id="464"/>
      <w:bookmarkEnd w:id="465"/>
      <w:bookmarkEnd w:id="466"/>
    </w:p>
    <w:bookmarkEnd w:id="331"/>
    <w:bookmarkEnd w:id="332"/>
    <w:bookmarkEnd w:id="333"/>
    <w:bookmarkEnd w:id="334"/>
    <w:bookmarkEnd w:id="335"/>
    <w:bookmarkEnd w:id="336"/>
    <w:bookmarkEnd w:id="337"/>
    <w:bookmarkEnd w:id="338"/>
    <w:bookmarkEnd w:id="339"/>
    <w:bookmarkEnd w:id="340"/>
    <w:p w14:paraId="45CD57D9">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467" w:name="_Toc373227732"/>
      <w:bookmarkStart w:id="468" w:name="_Toc9850562"/>
      <w:bookmarkStart w:id="469" w:name="_Toc407135234"/>
      <w:bookmarkStart w:id="470" w:name="_Toc389065298"/>
      <w:bookmarkStart w:id="471" w:name="_Toc373478379"/>
      <w:r>
        <w:rPr>
          <w:rFonts w:ascii="Times New Roman" w:hAnsi="Times New Roman" w:eastAsia="黑体" w:cs="Times New Roman"/>
          <w:b/>
          <w:bCs/>
          <w:color w:val="auto"/>
          <w:sz w:val="24"/>
          <w:szCs w:val="24"/>
          <w:highlight w:val="none"/>
          <w:lang w:val="zh-CN"/>
        </w:rPr>
        <w:t xml:space="preserve">8.2 </w:t>
      </w:r>
      <w:r>
        <w:rPr>
          <w:rFonts w:hint="eastAsia" w:ascii="Times New Roman" w:hAnsi="Times New Roman" w:eastAsia="黑体" w:cs="黑体"/>
          <w:b/>
          <w:bCs/>
          <w:color w:val="auto"/>
          <w:sz w:val="24"/>
          <w:szCs w:val="24"/>
          <w:highlight w:val="none"/>
          <w:lang w:val="zh-CN"/>
        </w:rPr>
        <w:t>承包人采购材料与工程设备</w:t>
      </w:r>
      <w:bookmarkEnd w:id="467"/>
      <w:bookmarkEnd w:id="468"/>
      <w:bookmarkEnd w:id="469"/>
      <w:bookmarkEnd w:id="470"/>
      <w:bookmarkEnd w:id="471"/>
    </w:p>
    <w:p w14:paraId="341A1927">
      <w:pPr>
        <w:autoSpaceDE w:val="0"/>
        <w:autoSpaceDN w:val="0"/>
        <w:adjustRightInd w:val="0"/>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Times New Roman" w:eastAsia="宋体" w:cs="宋体"/>
          <w:color w:val="auto"/>
          <w:kern w:val="0"/>
          <w:sz w:val="24"/>
          <w:szCs w:val="24"/>
          <w:highlight w:val="none"/>
        </w:rPr>
        <w:t>除已标价工程量清单中明确的材料、工程设备外，由承包人负责材料和工程设备的采购、运输和保管。</w:t>
      </w:r>
    </w:p>
    <w:p w14:paraId="40A6AB23">
      <w:pPr>
        <w:autoSpaceDE w:val="0"/>
        <w:autoSpaceDN w:val="0"/>
        <w:adjustRightInd w:val="0"/>
        <w:spacing w:line="400" w:lineRule="exact"/>
        <w:ind w:firstLine="480" w:firstLineChars="200"/>
        <w:jc w:val="left"/>
        <w:rPr>
          <w:rFonts w:ascii="Times New Roman" w:hAnsi="Times New Roman" w:eastAsia="宋体" w:cs="Times New Roman"/>
          <w:color w:val="auto"/>
          <w:sz w:val="24"/>
          <w:szCs w:val="24"/>
          <w:highlight w:val="none"/>
        </w:rPr>
      </w:pPr>
      <w:bookmarkStart w:id="472" w:name="_Toc389065299"/>
      <w:bookmarkStart w:id="473" w:name="_Toc373227733"/>
      <w:bookmarkStart w:id="474" w:name="_Toc373478380"/>
      <w:r>
        <w:rPr>
          <w:rFonts w:hint="eastAsia" w:ascii="Times New Roman" w:hAnsi="Times New Roman" w:eastAsia="宋体" w:cs="宋体"/>
          <w:color w:val="auto"/>
          <w:sz w:val="24"/>
          <w:szCs w:val="24"/>
          <w:highlight w:val="none"/>
        </w:rPr>
        <w:t>对发包人在招标时有“参照或相当于</w:t>
      </w:r>
      <w:r>
        <w:rPr>
          <w:rFonts w:ascii="Times New Roman" w:hAnsi="Times New Roman" w:eastAsia="宋体" w:cs="Times New Roman"/>
          <w:color w:val="auto"/>
          <w:sz w:val="24"/>
          <w:szCs w:val="24"/>
          <w:highlight w:val="none"/>
        </w:rPr>
        <w:t>**</w:t>
      </w:r>
      <w:r>
        <w:rPr>
          <w:rFonts w:hint="eastAsia" w:ascii="Times New Roman" w:hAnsi="Times New Roman" w:eastAsia="宋体" w:cs="宋体"/>
          <w:color w:val="auto"/>
          <w:sz w:val="24"/>
          <w:szCs w:val="24"/>
          <w:highlight w:val="none"/>
        </w:rPr>
        <w:t>品牌、级别”约定的材料或设备，承包人采购时必须按类似于或优于所约定品牌、等级进行采购，施工期间该部分材料或设备如未超过招标约定的风险幅度的，结算时按投标单价支付，不得调整。</w:t>
      </w:r>
    </w:p>
    <w:p w14:paraId="72BCE569">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475" w:name="_Toc407135235"/>
      <w:bookmarkStart w:id="476" w:name="_Toc9850563"/>
      <w:r>
        <w:rPr>
          <w:rFonts w:ascii="Times New Roman" w:hAnsi="Times New Roman" w:eastAsia="黑体" w:cs="Times New Roman"/>
          <w:b/>
          <w:bCs/>
          <w:color w:val="auto"/>
          <w:sz w:val="24"/>
          <w:szCs w:val="24"/>
          <w:highlight w:val="none"/>
          <w:lang w:val="zh-CN"/>
        </w:rPr>
        <w:t>8</w:t>
      </w:r>
      <w:bookmarkStart w:id="477" w:name="_Toc280868654"/>
      <w:bookmarkStart w:id="478" w:name="_Toc304295556"/>
      <w:bookmarkStart w:id="479" w:name="_Toc296944506"/>
      <w:bookmarkStart w:id="480" w:name="_Toc312678019"/>
      <w:bookmarkStart w:id="481" w:name="_Toc296890995"/>
      <w:bookmarkStart w:id="482" w:name="_Toc296347166"/>
      <w:bookmarkStart w:id="483" w:name="_Toc312677493"/>
      <w:bookmarkStart w:id="484" w:name="_Toc297123527"/>
      <w:bookmarkStart w:id="485" w:name="_Toc292559372"/>
      <w:bookmarkStart w:id="486" w:name="_Toc296891207"/>
      <w:bookmarkStart w:id="487" w:name="_Toc297216186"/>
      <w:bookmarkStart w:id="488" w:name="_Toc297120467"/>
      <w:bookmarkStart w:id="489" w:name="_Toc300934979"/>
      <w:bookmarkStart w:id="490" w:name="_Toc303539136"/>
      <w:bookmarkStart w:id="491" w:name="_Toc292559877"/>
      <w:bookmarkStart w:id="492" w:name="_Toc297048353"/>
      <w:bookmarkStart w:id="493" w:name="_Toc296346668"/>
      <w:bookmarkStart w:id="494" w:name="_Toc296503167"/>
      <w:bookmarkStart w:id="495" w:name="_Toc280868656"/>
      <w:bookmarkStart w:id="496" w:name="_Toc280868655"/>
      <w:bookmarkStart w:id="497" w:name="_Toc267251424"/>
      <w:r>
        <w:rPr>
          <w:rFonts w:ascii="Times New Roman" w:hAnsi="Times New Roman" w:eastAsia="黑体" w:cs="Times New Roman"/>
          <w:b/>
          <w:bCs/>
          <w:color w:val="auto"/>
          <w:sz w:val="24"/>
          <w:szCs w:val="24"/>
          <w:highlight w:val="none"/>
          <w:lang w:val="zh-CN"/>
        </w:rPr>
        <w:t xml:space="preserve">.4 </w:t>
      </w:r>
      <w:r>
        <w:rPr>
          <w:rFonts w:hint="eastAsia" w:ascii="Times New Roman" w:hAnsi="Times New Roman" w:eastAsia="黑体" w:cs="黑体"/>
          <w:b/>
          <w:bCs/>
          <w:color w:val="auto"/>
          <w:sz w:val="24"/>
          <w:szCs w:val="24"/>
          <w:highlight w:val="none"/>
          <w:lang w:val="zh-CN"/>
        </w:rPr>
        <w:t>材料与工程设备的保管与使用</w:t>
      </w:r>
      <w:bookmarkEnd w:id="472"/>
      <w:bookmarkEnd w:id="473"/>
      <w:bookmarkEnd w:id="474"/>
      <w:bookmarkEnd w:id="475"/>
      <w:bookmarkEnd w:id="476"/>
    </w:p>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14:paraId="672F491E">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ascii="Times New Roman" w:hAnsi="Times New Roman" w:eastAsia="宋体" w:cs="Times New Roman"/>
          <w:color w:val="auto"/>
          <w:sz w:val="24"/>
          <w:szCs w:val="24"/>
          <w:highlight w:val="none"/>
        </w:rPr>
        <w:t>8</w:t>
      </w:r>
      <w:bookmarkStart w:id="498" w:name="_Toc292559878"/>
      <w:bookmarkStart w:id="499" w:name="_Toc292559373"/>
      <w:bookmarkStart w:id="500" w:name="_Toc303539137"/>
      <w:bookmarkStart w:id="501" w:name="_Toc297123528"/>
      <w:bookmarkStart w:id="502" w:name="_Toc297120468"/>
      <w:bookmarkStart w:id="503" w:name="_Toc304295557"/>
      <w:bookmarkStart w:id="504" w:name="_Toc312678020"/>
      <w:bookmarkStart w:id="505" w:name="_Toc296890996"/>
      <w:bookmarkStart w:id="506" w:name="_Toc296944507"/>
      <w:bookmarkStart w:id="507" w:name="_Toc300934980"/>
      <w:bookmarkStart w:id="508" w:name="_Toc296891208"/>
      <w:bookmarkStart w:id="509" w:name="_Toc296346669"/>
      <w:bookmarkStart w:id="510" w:name="_Toc296347167"/>
      <w:bookmarkStart w:id="511" w:name="_Toc297048354"/>
      <w:bookmarkStart w:id="512" w:name="_Toc297216187"/>
      <w:bookmarkStart w:id="513" w:name="_Toc296503168"/>
      <w:bookmarkStart w:id="514" w:name="_Toc312677494"/>
      <w:bookmarkStart w:id="515" w:name="_Toc318581173"/>
      <w:r>
        <w:rPr>
          <w:rFonts w:ascii="Times New Roman" w:hAnsi="Times New Roman" w:eastAsia="宋体" w:cs="Times New Roman"/>
          <w:color w:val="auto"/>
          <w:sz w:val="24"/>
          <w:szCs w:val="24"/>
          <w:highlight w:val="none"/>
        </w:rPr>
        <w:t>.4.1</w:t>
      </w:r>
      <w:r>
        <w:rPr>
          <w:rFonts w:hint="eastAsia" w:ascii="Times New Roman" w:hAnsi="宋体" w:eastAsia="宋体" w:cs="宋体"/>
          <w:color w:val="auto"/>
          <w:sz w:val="24"/>
          <w:szCs w:val="24"/>
          <w:highlight w:val="none"/>
        </w:rPr>
        <w:t>发包人供应的材料设备的保管费用的承担：</w:t>
      </w:r>
      <w:r>
        <w:rPr>
          <w:rFonts w:ascii="Times New Roman" w:hAnsi="Times New Roman" w:eastAsia="宋体" w:cs="Times New Roman"/>
          <w:color w:val="auto"/>
          <w:sz w:val="24"/>
          <w:szCs w:val="24"/>
          <w:highlight w:val="none"/>
          <w:u w:val="single"/>
        </w:rPr>
        <w:t xml:space="preserve">    </w:t>
      </w:r>
      <w:r>
        <w:rPr>
          <w:rFonts w:hint="eastAsia" w:ascii="宋体" w:hAnsi="宋体" w:eastAsia="宋体" w:cs="宋体"/>
          <w:color w:val="auto"/>
          <w:sz w:val="24"/>
          <w:szCs w:val="24"/>
          <w:highlight w:val="none"/>
          <w:u w:val="single"/>
        </w:rPr>
        <w:t>无</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bookmarkEnd w:id="498"/>
    <w:bookmarkEnd w:id="499"/>
    <w:p w14:paraId="06C512CA">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516" w:name="_Toc407135236"/>
      <w:bookmarkStart w:id="517" w:name="_Toc373227734"/>
      <w:bookmarkStart w:id="518" w:name="_Toc373478381"/>
      <w:bookmarkStart w:id="519" w:name="_Toc389065300"/>
      <w:bookmarkStart w:id="520" w:name="_Toc9850564"/>
      <w:r>
        <w:rPr>
          <w:rFonts w:ascii="Times New Roman" w:hAnsi="Times New Roman" w:eastAsia="黑体" w:cs="Times New Roman"/>
          <w:b/>
          <w:bCs/>
          <w:color w:val="auto"/>
          <w:sz w:val="24"/>
          <w:szCs w:val="24"/>
          <w:highlight w:val="none"/>
          <w:lang w:val="zh-CN"/>
        </w:rPr>
        <w:t xml:space="preserve">8.6 </w:t>
      </w:r>
      <w:r>
        <w:rPr>
          <w:rFonts w:hint="eastAsia" w:ascii="Times New Roman" w:hAnsi="宋体" w:eastAsia="黑体" w:cs="黑体"/>
          <w:b/>
          <w:bCs/>
          <w:color w:val="auto"/>
          <w:sz w:val="24"/>
          <w:szCs w:val="24"/>
          <w:highlight w:val="none"/>
          <w:lang w:val="zh-CN"/>
        </w:rPr>
        <w:t>样品</w:t>
      </w:r>
      <w:bookmarkEnd w:id="516"/>
      <w:bookmarkEnd w:id="517"/>
      <w:bookmarkEnd w:id="518"/>
      <w:bookmarkEnd w:id="519"/>
      <w:bookmarkEnd w:id="520"/>
    </w:p>
    <w:p w14:paraId="7113F105">
      <w:pPr>
        <w:autoSpaceDE w:val="0"/>
        <w:autoSpaceDN w:val="0"/>
        <w:adjustRightInd w:val="0"/>
        <w:spacing w:line="400" w:lineRule="exact"/>
        <w:ind w:firstLine="480" w:firstLineChars="200"/>
        <w:jc w:val="lef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xml:space="preserve">8.6.1 </w:t>
      </w:r>
      <w:r>
        <w:rPr>
          <w:rFonts w:hint="eastAsia" w:ascii="Times New Roman" w:hAnsi="宋体" w:eastAsia="宋体" w:cs="宋体"/>
          <w:color w:val="auto"/>
          <w:kern w:val="0"/>
          <w:sz w:val="24"/>
          <w:szCs w:val="24"/>
          <w:highlight w:val="none"/>
        </w:rPr>
        <w:t>样品的报送与封存</w:t>
      </w:r>
    </w:p>
    <w:p w14:paraId="39571B7F">
      <w:pPr>
        <w:autoSpaceDE w:val="0"/>
        <w:autoSpaceDN w:val="0"/>
        <w:adjustRightInd w:val="0"/>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kern w:val="0"/>
          <w:sz w:val="24"/>
          <w:szCs w:val="24"/>
          <w:highlight w:val="none"/>
        </w:rPr>
        <w:t>需要承包人报送样品的材料或工程设备，样品的种类、名称、规格、数量要求：</w:t>
      </w:r>
      <w:r>
        <w:rPr>
          <w:rFonts w:hint="eastAsia" w:ascii="Times New Roman" w:hAnsi="宋体" w:eastAsia="宋体" w:cs="宋体"/>
          <w:color w:val="auto"/>
          <w:sz w:val="24"/>
          <w:szCs w:val="24"/>
          <w:highlight w:val="none"/>
          <w:u w:val="single"/>
        </w:rPr>
        <w:t>主要材料涉及品种、款式、颜色等方面内容的，承包人应提交准备合格的材料样品送发包人选定。</w:t>
      </w:r>
    </w:p>
    <w:p w14:paraId="2D7F1738">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521" w:name="_Toc389065301"/>
      <w:bookmarkStart w:id="522" w:name="_Toc373478382"/>
      <w:bookmarkStart w:id="523" w:name="_Toc9850565"/>
      <w:bookmarkStart w:id="524" w:name="_Toc407135237"/>
      <w:bookmarkStart w:id="525" w:name="_Toc373227735"/>
      <w:r>
        <w:rPr>
          <w:rFonts w:ascii="Times New Roman" w:hAnsi="Times New Roman" w:eastAsia="黑体" w:cs="Times New Roman"/>
          <w:b/>
          <w:bCs/>
          <w:color w:val="auto"/>
          <w:sz w:val="24"/>
          <w:szCs w:val="24"/>
          <w:highlight w:val="none"/>
          <w:lang w:val="zh-CN"/>
        </w:rPr>
        <w:t xml:space="preserve">8.8 </w:t>
      </w:r>
      <w:r>
        <w:rPr>
          <w:rFonts w:hint="eastAsia" w:ascii="Times New Roman" w:hAnsi="Times New Roman" w:eastAsia="黑体" w:cs="黑体"/>
          <w:b/>
          <w:bCs/>
          <w:color w:val="auto"/>
          <w:sz w:val="24"/>
          <w:szCs w:val="24"/>
          <w:highlight w:val="none"/>
          <w:lang w:val="zh-CN"/>
        </w:rPr>
        <w:t>施工设备和临时设施</w:t>
      </w:r>
      <w:bookmarkEnd w:id="521"/>
      <w:bookmarkEnd w:id="522"/>
      <w:bookmarkEnd w:id="523"/>
      <w:bookmarkEnd w:id="524"/>
      <w:bookmarkEnd w:id="525"/>
    </w:p>
    <w:p w14:paraId="671F8732">
      <w:pPr>
        <w:autoSpaceDE w:val="0"/>
        <w:autoSpaceDN w:val="0"/>
        <w:adjustRightInd w:val="0"/>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8.8.1 </w:t>
      </w:r>
      <w:r>
        <w:rPr>
          <w:rFonts w:hint="eastAsia" w:ascii="Times New Roman" w:hAnsi="宋体" w:eastAsia="宋体" w:cs="宋体"/>
          <w:color w:val="auto"/>
          <w:sz w:val="24"/>
          <w:szCs w:val="24"/>
          <w:highlight w:val="none"/>
        </w:rPr>
        <w:t>承包人提供的施工设备和临时设施</w:t>
      </w:r>
    </w:p>
    <w:p w14:paraId="063E6FFA">
      <w:pPr>
        <w:autoSpaceDE w:val="0"/>
        <w:autoSpaceDN w:val="0"/>
        <w:adjustRightInd w:val="0"/>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除专用合同条款另有约定的其他独立承包人和监理人指示的他人提供条件外，承包人运入施工场地的所有施工设备以及在施工场地建设的临时设施仅限于用于合同工程。</w:t>
      </w:r>
      <w:r>
        <w:rPr>
          <w:rFonts w:hint="eastAsia" w:ascii="宋体" w:hAnsi="宋体" w:eastAsia="宋体" w:cs="宋体"/>
          <w:color w:val="auto"/>
          <w:sz w:val="24"/>
          <w:szCs w:val="24"/>
          <w:highlight w:val="none"/>
        </w:rPr>
        <w:t>承包人用于本工程的主要机械设备清单见合同附件4。</w:t>
      </w:r>
    </w:p>
    <w:p w14:paraId="0D232FDE">
      <w:pPr>
        <w:autoSpaceDE w:val="0"/>
        <w:autoSpaceDN w:val="0"/>
        <w:adjustRightInd w:val="0"/>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关于修建临时设施费用承担的约定：</w:t>
      </w:r>
    </w:p>
    <w:p w14:paraId="5CAEACAF">
      <w:pPr>
        <w:autoSpaceDE w:val="0"/>
        <w:autoSpaceDN w:val="0"/>
        <w:adjustRightInd w:val="0"/>
        <w:spacing w:line="400" w:lineRule="exact"/>
        <w:ind w:firstLine="480" w:firstLineChars="200"/>
        <w:jc w:val="left"/>
        <w:rPr>
          <w:rFonts w:hint="eastAsia"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u w:val="single"/>
        </w:rPr>
        <w:t>①承包人的临时用地（含项目部驻地等）租用费（含拆迁补偿）、临时用地的环保、恢复、临时用地的青苗补偿及地面附着物拆除等费用均由承包人负责，以上费用在报价中综合考虑。</w:t>
      </w:r>
    </w:p>
    <w:p w14:paraId="36B51507">
      <w:pPr>
        <w:autoSpaceDE w:val="0"/>
        <w:autoSpaceDN w:val="0"/>
        <w:adjustRightInd w:val="0"/>
        <w:spacing w:line="400" w:lineRule="exact"/>
        <w:ind w:firstLine="480" w:firstLineChars="200"/>
        <w:jc w:val="left"/>
        <w:rPr>
          <w:rFonts w:hint="eastAsia"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u w:val="single"/>
        </w:rPr>
        <w:t>②承包人负责合同实施期间其合同段内临时交通道路（含场内外连接公共交通道路）和交通设施的修建、维修、养护和交通管理工作，并承担一切费用。</w:t>
      </w:r>
    </w:p>
    <w:p w14:paraId="7A3A4A40">
      <w:pPr>
        <w:autoSpaceDE w:val="0"/>
        <w:autoSpaceDN w:val="0"/>
        <w:adjustRightInd w:val="0"/>
        <w:spacing w:line="400" w:lineRule="exact"/>
        <w:ind w:firstLine="480" w:firstLineChars="200"/>
        <w:jc w:val="left"/>
        <w:rPr>
          <w:rFonts w:hint="eastAsia" w:ascii="Times New Roman"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u w:val="single"/>
        </w:rPr>
        <w:t>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r>
        <w:rPr>
          <w:rFonts w:hint="eastAsia" w:ascii="Times New Roman" w:hAnsi="宋体" w:eastAsia="宋体" w:cs="Times New Roman"/>
          <w:color w:val="auto"/>
          <w:sz w:val="24"/>
          <w:szCs w:val="24"/>
          <w:highlight w:val="none"/>
          <w:u w:val="single"/>
        </w:rPr>
        <w:t>。</w:t>
      </w:r>
    </w:p>
    <w:p w14:paraId="2E5AB3FE">
      <w:pPr>
        <w:autoSpaceDE w:val="0"/>
        <w:autoSpaceDN w:val="0"/>
        <w:adjustRightInd w:val="0"/>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8.8.2 </w:t>
      </w:r>
      <w:r>
        <w:rPr>
          <w:rFonts w:hint="eastAsia" w:ascii="Times New Roman" w:hAnsi="宋体" w:eastAsia="宋体" w:cs="宋体"/>
          <w:color w:val="auto"/>
          <w:sz w:val="24"/>
          <w:szCs w:val="24"/>
          <w:highlight w:val="none"/>
        </w:rPr>
        <w:t>发包人提供的施工设备和临时设施</w:t>
      </w:r>
    </w:p>
    <w:p w14:paraId="7EEFFA8F">
      <w:pPr>
        <w:autoSpaceDE w:val="0"/>
        <w:autoSpaceDN w:val="0"/>
        <w:adjustRightInd w:val="0"/>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发包人提供的施工设备和临时设施：</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742AC483">
      <w:pPr>
        <w:autoSpaceDE w:val="0"/>
        <w:autoSpaceDN w:val="0"/>
        <w:adjustRightInd w:val="0"/>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发包人提供的施工设备和临时设施的运行、维护、拆除、清运费用的承担人：</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14:paraId="15F2A9E3">
      <w:pPr>
        <w:keepNext/>
        <w:keepLines/>
        <w:spacing w:before="60" w:after="60" w:line="400" w:lineRule="exact"/>
        <w:outlineLvl w:val="1"/>
        <w:rPr>
          <w:rFonts w:ascii="Arial" w:hAnsi="Arial" w:eastAsia="黑体" w:cs="Times New Roman"/>
          <w:b/>
          <w:bCs/>
          <w:color w:val="auto"/>
          <w:sz w:val="24"/>
          <w:szCs w:val="24"/>
          <w:highlight w:val="none"/>
          <w:lang w:val="zh-CN"/>
        </w:rPr>
      </w:pPr>
      <w:bookmarkStart w:id="526" w:name="_Toc373478383"/>
      <w:bookmarkStart w:id="527" w:name="_Toc351203641"/>
      <w:bookmarkStart w:id="528" w:name="_Toc373227736"/>
      <w:bookmarkStart w:id="529" w:name="_Toc9850566"/>
      <w:bookmarkStart w:id="530" w:name="_Toc407135238"/>
      <w:bookmarkStart w:id="531" w:name="_Toc389065302"/>
      <w:r>
        <w:rPr>
          <w:rFonts w:ascii="Arial" w:hAnsi="Arial" w:eastAsia="黑体" w:cs="Times New Roman"/>
          <w:b/>
          <w:bCs/>
          <w:color w:val="auto"/>
          <w:sz w:val="24"/>
          <w:szCs w:val="24"/>
          <w:highlight w:val="none"/>
          <w:lang w:val="zh-CN"/>
        </w:rPr>
        <w:t>9</w:t>
      </w:r>
      <w:bookmarkEnd w:id="495"/>
      <w:bookmarkEnd w:id="496"/>
      <w:bookmarkEnd w:id="497"/>
      <w:bookmarkStart w:id="532" w:name="_Toc300934982"/>
      <w:bookmarkStart w:id="533" w:name="_Toc304295559"/>
      <w:bookmarkStart w:id="534" w:name="_Toc312677495"/>
      <w:bookmarkStart w:id="535" w:name="_Toc297123533"/>
      <w:bookmarkStart w:id="536" w:name="_Toc312678021"/>
      <w:bookmarkStart w:id="537" w:name="_Toc297216192"/>
      <w:bookmarkStart w:id="538" w:name="_Toc303539139"/>
      <w:bookmarkStart w:id="539" w:name="_Toc296891001"/>
      <w:bookmarkStart w:id="540" w:name="_Toc292559883"/>
      <w:bookmarkStart w:id="541" w:name="_Toc297048359"/>
      <w:bookmarkStart w:id="542" w:name="_Toc296891213"/>
      <w:bookmarkStart w:id="543" w:name="_Toc267251428"/>
      <w:bookmarkStart w:id="544" w:name="_Toc297120473"/>
      <w:bookmarkStart w:id="545" w:name="_Toc296503173"/>
      <w:bookmarkStart w:id="546" w:name="_Toc292559378"/>
      <w:bookmarkStart w:id="547" w:name="_Toc296347172"/>
      <w:bookmarkStart w:id="548" w:name="_Toc296944512"/>
      <w:bookmarkStart w:id="549" w:name="_Toc296346674"/>
      <w:bookmarkStart w:id="550" w:name="_Toc267251427"/>
      <w:r>
        <w:rPr>
          <w:rFonts w:ascii="Arial" w:hAnsi="Arial" w:eastAsia="黑体" w:cs="Times New Roman"/>
          <w:b/>
          <w:bCs/>
          <w:color w:val="auto"/>
          <w:sz w:val="24"/>
          <w:szCs w:val="24"/>
          <w:highlight w:val="none"/>
          <w:lang w:val="zh-CN"/>
        </w:rPr>
        <w:t xml:space="preserve">. </w:t>
      </w:r>
      <w:r>
        <w:rPr>
          <w:rFonts w:hint="eastAsia" w:ascii="Arial" w:hAnsi="Arial" w:eastAsia="黑体" w:cs="黑体"/>
          <w:b/>
          <w:bCs/>
          <w:color w:val="auto"/>
          <w:sz w:val="24"/>
          <w:szCs w:val="24"/>
          <w:highlight w:val="none"/>
          <w:lang w:val="zh-CN"/>
        </w:rPr>
        <w:t>试验与检验</w:t>
      </w:r>
      <w:bookmarkEnd w:id="526"/>
      <w:bookmarkEnd w:id="527"/>
      <w:bookmarkEnd w:id="528"/>
      <w:bookmarkEnd w:id="529"/>
      <w:bookmarkEnd w:id="530"/>
      <w:bookmarkEnd w:id="531"/>
    </w:p>
    <w:bookmarkEnd w:id="532"/>
    <w:bookmarkEnd w:id="533"/>
    <w:bookmarkEnd w:id="534"/>
    <w:bookmarkEnd w:id="535"/>
    <w:bookmarkEnd w:id="536"/>
    <w:bookmarkEnd w:id="537"/>
    <w:bookmarkEnd w:id="538"/>
    <w:p w14:paraId="13C44E53">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551" w:name="_Toc407135239"/>
      <w:bookmarkStart w:id="552" w:name="_Toc9850567"/>
      <w:bookmarkStart w:id="553" w:name="_Toc373227737"/>
      <w:bookmarkStart w:id="554" w:name="_Toc389065303"/>
      <w:bookmarkStart w:id="555" w:name="_Toc373478384"/>
      <w:r>
        <w:rPr>
          <w:rFonts w:ascii="Times New Roman" w:hAnsi="Times New Roman" w:eastAsia="黑体" w:cs="Times New Roman"/>
          <w:b/>
          <w:bCs/>
          <w:color w:val="auto"/>
          <w:sz w:val="24"/>
          <w:szCs w:val="24"/>
          <w:highlight w:val="none"/>
          <w:lang w:val="zh-CN"/>
        </w:rPr>
        <w:t>9</w:t>
      </w:r>
      <w:bookmarkStart w:id="556" w:name="_Toc304295560"/>
      <w:bookmarkStart w:id="557" w:name="_Toc303539140"/>
      <w:bookmarkStart w:id="558" w:name="_Toc300934983"/>
      <w:bookmarkStart w:id="559" w:name="_Toc312677496"/>
      <w:bookmarkStart w:id="560" w:name="_Toc297123534"/>
      <w:bookmarkStart w:id="561" w:name="_Toc312678022"/>
      <w:bookmarkStart w:id="562" w:name="_Toc297216193"/>
      <w:r>
        <w:rPr>
          <w:rFonts w:ascii="Times New Roman" w:hAnsi="Times New Roman" w:eastAsia="黑体" w:cs="Times New Roman"/>
          <w:b/>
          <w:bCs/>
          <w:color w:val="auto"/>
          <w:sz w:val="24"/>
          <w:szCs w:val="24"/>
          <w:highlight w:val="none"/>
          <w:lang w:val="zh-CN"/>
        </w:rPr>
        <w:t xml:space="preserve">.1 </w:t>
      </w:r>
      <w:r>
        <w:rPr>
          <w:rFonts w:hint="eastAsia" w:ascii="Times New Roman" w:hAnsi="Times New Roman" w:eastAsia="黑体" w:cs="黑体"/>
          <w:b/>
          <w:bCs/>
          <w:color w:val="auto"/>
          <w:sz w:val="24"/>
          <w:szCs w:val="24"/>
          <w:highlight w:val="none"/>
          <w:lang w:val="zh-CN"/>
        </w:rPr>
        <w:t>试验设备与试验人员</w:t>
      </w:r>
      <w:bookmarkEnd w:id="551"/>
      <w:bookmarkEnd w:id="552"/>
      <w:bookmarkEnd w:id="553"/>
      <w:bookmarkEnd w:id="554"/>
      <w:bookmarkEnd w:id="555"/>
    </w:p>
    <w:bookmarkEnd w:id="556"/>
    <w:bookmarkEnd w:id="557"/>
    <w:bookmarkEnd w:id="558"/>
    <w:bookmarkEnd w:id="559"/>
    <w:bookmarkEnd w:id="560"/>
    <w:bookmarkEnd w:id="561"/>
    <w:bookmarkEnd w:id="562"/>
    <w:p w14:paraId="55A254F3">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9</w:t>
      </w:r>
      <w:bookmarkStart w:id="563" w:name="_Toc300934984"/>
      <w:bookmarkStart w:id="564" w:name="_Toc297123535"/>
      <w:bookmarkStart w:id="565" w:name="_Toc303539141"/>
      <w:bookmarkStart w:id="566" w:name="_Toc297216194"/>
      <w:bookmarkStart w:id="567" w:name="_Toc304295561"/>
      <w:bookmarkStart w:id="568" w:name="_Toc312677497"/>
      <w:bookmarkStart w:id="569" w:name="_Toc312678023"/>
      <w:bookmarkStart w:id="570" w:name="_Toc318581174"/>
      <w:r>
        <w:rPr>
          <w:rFonts w:ascii="Times New Roman" w:hAnsi="Times New Roman" w:eastAsia="宋体" w:cs="Times New Roman"/>
          <w:color w:val="auto"/>
          <w:sz w:val="24"/>
          <w:szCs w:val="24"/>
          <w:highlight w:val="none"/>
        </w:rPr>
        <w:t xml:space="preserve">.1.2 </w:t>
      </w:r>
      <w:r>
        <w:rPr>
          <w:rFonts w:hint="eastAsia" w:ascii="Times New Roman" w:hAnsi="宋体" w:eastAsia="宋体" w:cs="宋体"/>
          <w:color w:val="auto"/>
          <w:sz w:val="24"/>
          <w:szCs w:val="24"/>
          <w:highlight w:val="none"/>
        </w:rPr>
        <w:t>试验设备</w:t>
      </w:r>
    </w:p>
    <w:p w14:paraId="157029A3">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施工现场需要配置的试验场所：</w:t>
      </w:r>
      <w:bookmarkEnd w:id="563"/>
      <w:bookmarkEnd w:id="564"/>
      <w:bookmarkEnd w:id="565"/>
      <w:bookmarkEnd w:id="566"/>
      <w:bookmarkEnd w:id="567"/>
      <w:bookmarkEnd w:id="568"/>
      <w:bookmarkEnd w:id="569"/>
      <w:bookmarkStart w:id="571" w:name="_Toc297216195"/>
      <w:bookmarkStart w:id="572" w:name="_Toc312677498"/>
      <w:bookmarkStart w:id="573" w:name="_Toc312678024"/>
      <w:bookmarkStart w:id="574" w:name="_Toc300934985"/>
      <w:bookmarkStart w:id="575" w:name="_Toc303539142"/>
      <w:bookmarkStart w:id="576" w:name="_Toc297123536"/>
      <w:bookmarkStart w:id="577" w:name="_Toc304295562"/>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无</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41DB25A8">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施工现场需要配备的试验设备：</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无</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336DED36">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施工现场需要具备的其他试验条件：</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无</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753E0AFD">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578" w:name="_Toc407135240"/>
      <w:bookmarkStart w:id="579" w:name="_Toc373227738"/>
      <w:bookmarkStart w:id="580" w:name="_Toc9850568"/>
      <w:bookmarkStart w:id="581" w:name="_Toc373478385"/>
      <w:bookmarkStart w:id="582" w:name="_Toc389065304"/>
      <w:r>
        <w:rPr>
          <w:rFonts w:ascii="Times New Roman" w:hAnsi="Times New Roman" w:eastAsia="黑体" w:cs="Times New Roman"/>
          <w:b/>
          <w:bCs/>
          <w:color w:val="auto"/>
          <w:sz w:val="24"/>
          <w:szCs w:val="24"/>
          <w:highlight w:val="none"/>
          <w:lang w:val="zh-CN"/>
        </w:rPr>
        <w:t xml:space="preserve">9.4 </w:t>
      </w:r>
      <w:r>
        <w:rPr>
          <w:rFonts w:hint="eastAsia" w:ascii="Times New Roman" w:hAnsi="宋体" w:eastAsia="黑体" w:cs="黑体"/>
          <w:b/>
          <w:bCs/>
          <w:color w:val="auto"/>
          <w:sz w:val="24"/>
          <w:szCs w:val="24"/>
          <w:highlight w:val="none"/>
          <w:lang w:val="zh-CN"/>
        </w:rPr>
        <w:t>现场工艺试验</w:t>
      </w:r>
      <w:bookmarkEnd w:id="578"/>
      <w:bookmarkEnd w:id="579"/>
      <w:bookmarkEnd w:id="580"/>
      <w:bookmarkEnd w:id="581"/>
      <w:bookmarkEnd w:id="582"/>
      <w:r>
        <w:rPr>
          <w:rFonts w:ascii="Times New Roman" w:hAnsi="Times New Roman" w:eastAsia="黑体" w:cs="Times New Roman"/>
          <w:b/>
          <w:bCs/>
          <w:color w:val="auto"/>
          <w:sz w:val="24"/>
          <w:szCs w:val="24"/>
          <w:highlight w:val="none"/>
          <w:lang w:val="zh-CN"/>
        </w:rPr>
        <w:t xml:space="preserve"> </w:t>
      </w:r>
    </w:p>
    <w:p w14:paraId="5E3DE650">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现场工艺试验的有关约定：</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无</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2DB42922">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583" w:name="_Toc407135241"/>
      <w:bookmarkStart w:id="584" w:name="_Toc9850569"/>
      <w:r>
        <w:rPr>
          <w:rFonts w:ascii="Times New Roman" w:hAnsi="Times New Roman" w:eastAsia="黑体" w:cs="Times New Roman"/>
          <w:b/>
          <w:bCs/>
          <w:color w:val="auto"/>
          <w:sz w:val="24"/>
          <w:szCs w:val="24"/>
          <w:highlight w:val="none"/>
          <w:lang w:val="zh-CN"/>
        </w:rPr>
        <w:t xml:space="preserve">9.5 </w:t>
      </w:r>
      <w:r>
        <w:rPr>
          <w:rFonts w:hint="eastAsia" w:ascii="Times New Roman" w:hAnsi="宋体" w:eastAsia="黑体" w:cs="黑体"/>
          <w:b/>
          <w:bCs/>
          <w:color w:val="auto"/>
          <w:sz w:val="24"/>
          <w:szCs w:val="24"/>
          <w:highlight w:val="none"/>
          <w:lang w:val="zh-CN"/>
        </w:rPr>
        <w:t>检验费用</w:t>
      </w:r>
      <w:bookmarkEnd w:id="583"/>
      <w:bookmarkEnd w:id="584"/>
    </w:p>
    <w:p w14:paraId="4672FF91">
      <w:pPr>
        <w:spacing w:line="400" w:lineRule="exact"/>
        <w:ind w:firstLine="470" w:firstLineChars="196"/>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根据《建设工程质量检测管理办法》（建设部令第</w:t>
      </w:r>
      <w:r>
        <w:rPr>
          <w:rFonts w:ascii="Times New Roman" w:hAnsi="Times New Roman" w:eastAsia="宋体" w:cs="Times New Roman"/>
          <w:color w:val="auto"/>
          <w:sz w:val="24"/>
          <w:szCs w:val="24"/>
          <w:highlight w:val="none"/>
        </w:rPr>
        <w:t>141</w:t>
      </w:r>
      <w:r>
        <w:rPr>
          <w:rFonts w:hint="eastAsia" w:ascii="Times New Roman" w:hAnsi="宋体" w:eastAsia="宋体" w:cs="宋体"/>
          <w:color w:val="auto"/>
          <w:sz w:val="24"/>
          <w:szCs w:val="24"/>
          <w:highlight w:val="none"/>
        </w:rPr>
        <w:t>号）以及《广西壮族自治区建设工程质量检测管理规定》</w:t>
      </w:r>
      <w:r>
        <w:rPr>
          <w:rFonts w:hint="eastAsia" w:ascii="Times New Roman" w:hAnsi="Times New Roman" w:eastAsia="宋体" w:cs="宋体"/>
          <w:color w:val="auto"/>
          <w:sz w:val="24"/>
          <w:szCs w:val="24"/>
          <w:highlight w:val="none"/>
        </w:rPr>
        <w:t>（</w:t>
      </w:r>
      <w:r>
        <w:rPr>
          <w:rFonts w:hint="eastAsia" w:ascii="Times New Roman" w:hAnsi="宋体" w:eastAsia="宋体" w:cs="宋体"/>
          <w:color w:val="auto"/>
          <w:sz w:val="24"/>
          <w:szCs w:val="24"/>
          <w:highlight w:val="none"/>
        </w:rPr>
        <w:t>桂建管</w:t>
      </w:r>
      <w:r>
        <w:rPr>
          <w:rFonts w:hint="eastAsia" w:ascii="Times New Roman" w:hAnsi="Times New Roman" w:eastAsia="宋体" w:cs="宋体"/>
          <w:color w:val="auto"/>
          <w:sz w:val="24"/>
          <w:szCs w:val="24"/>
          <w:highlight w:val="none"/>
        </w:rPr>
        <w:t>〔</w:t>
      </w:r>
      <w:r>
        <w:rPr>
          <w:rFonts w:ascii="Times New Roman" w:hAnsi="Times New Roman" w:eastAsia="宋体" w:cs="Times New Roman"/>
          <w:color w:val="auto"/>
          <w:sz w:val="24"/>
          <w:szCs w:val="24"/>
          <w:highlight w:val="none"/>
        </w:rPr>
        <w:t>2013</w:t>
      </w:r>
      <w:r>
        <w:rPr>
          <w:rFonts w:hint="eastAsia" w:ascii="Times New Roman" w:hAnsi="Times New Roman" w:eastAsia="宋体" w:cs="宋体"/>
          <w:color w:val="auto"/>
          <w:sz w:val="24"/>
          <w:szCs w:val="24"/>
          <w:highlight w:val="none"/>
        </w:rPr>
        <w:t>〕</w:t>
      </w:r>
      <w:r>
        <w:rPr>
          <w:rFonts w:ascii="Times New Roman" w:hAnsi="Times New Roman" w:eastAsia="宋体" w:cs="Times New Roman"/>
          <w:color w:val="auto"/>
          <w:sz w:val="24"/>
          <w:szCs w:val="24"/>
          <w:highlight w:val="none"/>
        </w:rPr>
        <w:t>11</w:t>
      </w:r>
      <w:r>
        <w:rPr>
          <w:rFonts w:hint="eastAsia" w:ascii="Times New Roman" w:hAnsi="宋体" w:eastAsia="宋体" w:cs="宋体"/>
          <w:color w:val="auto"/>
          <w:sz w:val="24"/>
          <w:szCs w:val="24"/>
          <w:highlight w:val="none"/>
        </w:rPr>
        <w:t>号</w:t>
      </w:r>
      <w:r>
        <w:rPr>
          <w:rFonts w:hint="eastAsia" w:ascii="Times New Roman" w:hAnsi="Times New Roman" w:eastAsia="宋体" w:cs="宋体"/>
          <w:color w:val="auto"/>
          <w:sz w:val="24"/>
          <w:szCs w:val="24"/>
          <w:highlight w:val="none"/>
        </w:rPr>
        <w:t>）</w:t>
      </w:r>
      <w:r>
        <w:rPr>
          <w:rFonts w:hint="eastAsia" w:ascii="Times New Roman" w:hAnsi="宋体" w:eastAsia="宋体" w:cs="宋体"/>
          <w:color w:val="auto"/>
          <w:sz w:val="24"/>
          <w:szCs w:val="24"/>
          <w:highlight w:val="none"/>
        </w:rPr>
        <w:t>规定，工程质量检测业务由发包人委托有相应资质的检测机构检测。费用从发包人的项目建设经费中支出并直接支付给检测机构，不计入合同价款内。</w:t>
      </w:r>
    </w:p>
    <w:bookmarkEnd w:id="570"/>
    <w:bookmarkEnd w:id="571"/>
    <w:bookmarkEnd w:id="572"/>
    <w:bookmarkEnd w:id="573"/>
    <w:bookmarkEnd w:id="574"/>
    <w:bookmarkEnd w:id="575"/>
    <w:bookmarkEnd w:id="576"/>
    <w:bookmarkEnd w:id="577"/>
    <w:p w14:paraId="0ED56F43">
      <w:pPr>
        <w:keepNext/>
        <w:keepLines/>
        <w:spacing w:before="60" w:after="60" w:line="400" w:lineRule="exact"/>
        <w:outlineLvl w:val="1"/>
        <w:rPr>
          <w:rFonts w:ascii="Arial" w:hAnsi="Arial" w:eastAsia="黑体" w:cs="Times New Roman"/>
          <w:b/>
          <w:bCs/>
          <w:color w:val="auto"/>
          <w:sz w:val="24"/>
          <w:szCs w:val="24"/>
          <w:highlight w:val="none"/>
          <w:lang w:val="zh-CN"/>
        </w:rPr>
      </w:pPr>
      <w:bookmarkStart w:id="585" w:name="_Toc351203642"/>
      <w:bookmarkStart w:id="586" w:name="_Toc373478386"/>
      <w:bookmarkStart w:id="587" w:name="_Toc373227739"/>
      <w:bookmarkStart w:id="588" w:name="_Toc389065305"/>
      <w:bookmarkStart w:id="589" w:name="_Toc9850570"/>
      <w:bookmarkStart w:id="590" w:name="_Toc407135242"/>
      <w:r>
        <w:rPr>
          <w:rFonts w:ascii="Arial" w:hAnsi="Arial" w:eastAsia="黑体" w:cs="Times New Roman"/>
          <w:b/>
          <w:bCs/>
          <w:color w:val="auto"/>
          <w:sz w:val="24"/>
          <w:szCs w:val="24"/>
          <w:highlight w:val="none"/>
          <w:lang w:val="zh-CN"/>
        </w:rPr>
        <w:t>1</w:t>
      </w:r>
      <w:bookmarkEnd w:id="539"/>
      <w:bookmarkEnd w:id="540"/>
      <w:bookmarkEnd w:id="541"/>
      <w:bookmarkEnd w:id="542"/>
      <w:bookmarkEnd w:id="543"/>
      <w:bookmarkEnd w:id="544"/>
      <w:bookmarkEnd w:id="545"/>
      <w:bookmarkEnd w:id="546"/>
      <w:bookmarkEnd w:id="547"/>
      <w:bookmarkEnd w:id="548"/>
      <w:bookmarkEnd w:id="549"/>
      <w:bookmarkEnd w:id="550"/>
      <w:bookmarkStart w:id="591" w:name="_Toc296346694"/>
      <w:bookmarkStart w:id="592" w:name="_Toc297120493"/>
      <w:bookmarkStart w:id="593" w:name="_Toc303539146"/>
      <w:bookmarkStart w:id="594" w:name="_Toc292559398"/>
      <w:bookmarkStart w:id="595" w:name="_Toc292559903"/>
      <w:bookmarkStart w:id="596" w:name="_Toc296891233"/>
      <w:bookmarkStart w:id="597" w:name="_Toc297216199"/>
      <w:bookmarkStart w:id="598" w:name="_Toc296944532"/>
      <w:bookmarkStart w:id="599" w:name="_Toc297123540"/>
      <w:bookmarkStart w:id="600" w:name="_Toc296347192"/>
      <w:bookmarkStart w:id="601" w:name="_Toc297048379"/>
      <w:bookmarkStart w:id="602" w:name="_Toc304295566"/>
      <w:bookmarkStart w:id="603" w:name="_Toc296891021"/>
      <w:bookmarkStart w:id="604" w:name="_Toc300934989"/>
      <w:bookmarkStart w:id="605" w:name="_Toc296503193"/>
      <w:bookmarkStart w:id="606" w:name="_Toc312678025"/>
      <w:bookmarkStart w:id="607" w:name="_Toc312677499"/>
      <w:bookmarkStart w:id="608" w:name="_Toc267251433"/>
      <w:bookmarkStart w:id="609" w:name="_Toc267251435"/>
      <w:bookmarkStart w:id="610" w:name="_Toc267251441"/>
      <w:bookmarkStart w:id="611" w:name="_Toc267251437"/>
      <w:bookmarkStart w:id="612" w:name="_Toc267251439"/>
      <w:bookmarkStart w:id="613" w:name="_Toc267251440"/>
      <w:bookmarkStart w:id="614" w:name="_Toc267251442"/>
      <w:r>
        <w:rPr>
          <w:rFonts w:ascii="Arial" w:hAnsi="Arial" w:eastAsia="黑体" w:cs="Times New Roman"/>
          <w:b/>
          <w:bCs/>
          <w:color w:val="auto"/>
          <w:sz w:val="24"/>
          <w:szCs w:val="24"/>
          <w:highlight w:val="none"/>
          <w:lang w:val="zh-CN"/>
        </w:rPr>
        <w:t xml:space="preserve">0. </w:t>
      </w:r>
      <w:r>
        <w:rPr>
          <w:rFonts w:hint="eastAsia" w:ascii="Arial" w:hAnsi="宋体" w:eastAsia="黑体" w:cs="黑体"/>
          <w:b/>
          <w:bCs/>
          <w:color w:val="auto"/>
          <w:sz w:val="24"/>
          <w:szCs w:val="24"/>
          <w:highlight w:val="none"/>
          <w:lang w:val="zh-CN"/>
        </w:rPr>
        <w:t>变更</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bookmarkEnd w:id="606"/>
    <w:bookmarkEnd w:id="607"/>
    <w:p w14:paraId="410165B1">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615" w:name="_Toc407135243"/>
      <w:bookmarkStart w:id="616" w:name="_Toc373478387"/>
      <w:bookmarkStart w:id="617" w:name="_Toc373227740"/>
      <w:bookmarkStart w:id="618" w:name="_Toc389065306"/>
      <w:bookmarkStart w:id="619" w:name="_Toc9850571"/>
      <w:r>
        <w:rPr>
          <w:rFonts w:ascii="Times New Roman" w:hAnsi="Times New Roman" w:eastAsia="黑体" w:cs="Times New Roman"/>
          <w:b/>
          <w:bCs/>
          <w:color w:val="auto"/>
          <w:sz w:val="24"/>
          <w:szCs w:val="24"/>
          <w:highlight w:val="none"/>
          <w:lang w:val="zh-CN"/>
        </w:rPr>
        <w:t>1</w:t>
      </w:r>
      <w:bookmarkStart w:id="620" w:name="_Toc297120494"/>
      <w:bookmarkStart w:id="621" w:name="_Toc312677500"/>
      <w:bookmarkStart w:id="622" w:name="_Toc304295567"/>
      <w:bookmarkStart w:id="623" w:name="_Toc303539147"/>
      <w:bookmarkStart w:id="624" w:name="_Toc296891234"/>
      <w:bookmarkStart w:id="625" w:name="_Toc296944533"/>
      <w:bookmarkStart w:id="626" w:name="_Toc300934990"/>
      <w:bookmarkStart w:id="627" w:name="_Toc296891022"/>
      <w:bookmarkStart w:id="628" w:name="_Toc297048380"/>
      <w:bookmarkStart w:id="629" w:name="_Toc312678026"/>
      <w:bookmarkStart w:id="630" w:name="_Toc296346695"/>
      <w:bookmarkStart w:id="631" w:name="_Toc292559399"/>
      <w:bookmarkStart w:id="632" w:name="_Toc297216200"/>
      <w:bookmarkStart w:id="633" w:name="_Toc296347193"/>
      <w:bookmarkStart w:id="634" w:name="_Toc297123541"/>
      <w:bookmarkStart w:id="635" w:name="_Toc296503194"/>
      <w:bookmarkStart w:id="636" w:name="_Toc292559904"/>
      <w:r>
        <w:rPr>
          <w:rFonts w:ascii="Times New Roman" w:hAnsi="Times New Roman" w:eastAsia="黑体" w:cs="Times New Roman"/>
          <w:b/>
          <w:bCs/>
          <w:color w:val="auto"/>
          <w:sz w:val="24"/>
          <w:szCs w:val="24"/>
          <w:highlight w:val="none"/>
          <w:lang w:val="zh-CN"/>
        </w:rPr>
        <w:t xml:space="preserve">0.1 </w:t>
      </w:r>
      <w:r>
        <w:rPr>
          <w:rFonts w:hint="eastAsia" w:ascii="Times New Roman" w:hAnsi="宋体" w:eastAsia="黑体" w:cs="黑体"/>
          <w:b/>
          <w:bCs/>
          <w:color w:val="auto"/>
          <w:sz w:val="24"/>
          <w:szCs w:val="24"/>
          <w:highlight w:val="none"/>
          <w:lang w:val="zh-CN"/>
        </w:rPr>
        <w:t>变更的范围</w:t>
      </w:r>
      <w:bookmarkEnd w:id="615"/>
      <w:bookmarkEnd w:id="616"/>
      <w:bookmarkEnd w:id="617"/>
      <w:bookmarkEnd w:id="618"/>
      <w:bookmarkEnd w:id="619"/>
    </w:p>
    <w:p w14:paraId="05C0D67F">
      <w:pPr>
        <w:spacing w:line="400" w:lineRule="exact"/>
        <w:ind w:firstLine="426"/>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关于</w:t>
      </w:r>
      <w:r>
        <w:rPr>
          <w:rFonts w:hint="eastAsia" w:ascii="Times New Roman" w:hAnsi="宋体" w:eastAsia="宋体" w:cs="宋体"/>
          <w:color w:val="auto"/>
          <w:sz w:val="24"/>
          <w:szCs w:val="24"/>
          <w:highlight w:val="none"/>
          <w:lang w:eastAsia="zh-CN"/>
        </w:rPr>
        <w:t>变更</w:t>
      </w:r>
      <w:r>
        <w:rPr>
          <w:rFonts w:hint="eastAsia" w:ascii="Times New Roman" w:hAnsi="宋体" w:eastAsia="宋体" w:cs="宋体"/>
          <w:color w:val="auto"/>
          <w:sz w:val="24"/>
          <w:szCs w:val="24"/>
          <w:highlight w:val="none"/>
        </w:rPr>
        <w:t>范围的约定：</w:t>
      </w:r>
      <w:r>
        <w:rPr>
          <w:rFonts w:ascii="Times New Roman" w:hAnsi="Times New Roman" w:eastAsia="宋体" w:cs="Times New Roman"/>
          <w:color w:val="auto"/>
          <w:sz w:val="24"/>
          <w:szCs w:val="24"/>
          <w:highlight w:val="none"/>
          <w:u w:val="single"/>
        </w:rPr>
        <w:t xml:space="preserve">       </w:t>
      </w:r>
      <w:r>
        <w:rPr>
          <w:rFonts w:hint="eastAsia" w:ascii="宋体" w:hAnsi="宋体" w:eastAsia="宋体" w:cs="宋体"/>
          <w:color w:val="auto"/>
          <w:sz w:val="24"/>
          <w:szCs w:val="24"/>
          <w:highlight w:val="none"/>
          <w:u w:val="single"/>
        </w:rPr>
        <w:t>按通用合同条款执行</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666F9E2A">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637" w:name="_Toc389065307"/>
      <w:bookmarkStart w:id="638" w:name="_Toc9850572"/>
      <w:bookmarkStart w:id="639" w:name="_Toc373227741"/>
      <w:bookmarkStart w:id="640" w:name="_Toc373478388"/>
      <w:bookmarkStart w:id="641" w:name="_Toc407135244"/>
      <w:r>
        <w:rPr>
          <w:rFonts w:ascii="Times New Roman" w:hAnsi="Times New Roman" w:eastAsia="黑体" w:cs="Times New Roman"/>
          <w:b/>
          <w:bCs/>
          <w:color w:val="auto"/>
          <w:sz w:val="24"/>
          <w:szCs w:val="24"/>
          <w:highlight w:val="none"/>
          <w:lang w:val="zh-CN"/>
        </w:rPr>
        <w:t xml:space="preserve">10.3 </w:t>
      </w:r>
      <w:r>
        <w:rPr>
          <w:rFonts w:hint="eastAsia" w:ascii="Times New Roman" w:hAnsi="宋体" w:eastAsia="黑体" w:cs="黑体"/>
          <w:b/>
          <w:bCs/>
          <w:color w:val="auto"/>
          <w:sz w:val="24"/>
          <w:szCs w:val="24"/>
          <w:highlight w:val="none"/>
          <w:lang w:val="zh-CN"/>
        </w:rPr>
        <w:t>变更程序</w:t>
      </w:r>
      <w:bookmarkEnd w:id="637"/>
      <w:bookmarkEnd w:id="638"/>
      <w:bookmarkEnd w:id="639"/>
      <w:bookmarkEnd w:id="640"/>
      <w:bookmarkEnd w:id="641"/>
    </w:p>
    <w:p w14:paraId="7C70C34F">
      <w:pPr>
        <w:spacing w:line="400" w:lineRule="exact"/>
        <w:ind w:firstLine="504" w:firstLineChars="21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10.3.1</w:t>
      </w:r>
      <w:r>
        <w:rPr>
          <w:rFonts w:hint="eastAsia" w:ascii="Times New Roman" w:hAnsi="Times New Roman" w:eastAsia="宋体" w:cs="Times New Roman"/>
          <w:color w:val="auto"/>
          <w:sz w:val="24"/>
          <w:szCs w:val="24"/>
          <w:highlight w:val="none"/>
        </w:rPr>
        <w:t>国有投资项目：</w:t>
      </w:r>
    </w:p>
    <w:p w14:paraId="0CA25F66">
      <w:pPr>
        <w:spacing w:line="400" w:lineRule="exact"/>
        <w:ind w:firstLine="504" w:firstLineChars="210"/>
        <w:rPr>
          <w:rFonts w:hint="eastAsia" w:ascii="Times New Roman" w:hAnsi="宋体" w:eastAsia="宋体" w:cs="Times New Roman"/>
          <w:bCs/>
          <w:color w:val="auto"/>
          <w:sz w:val="24"/>
          <w:szCs w:val="24"/>
          <w:highlight w:val="none"/>
        </w:rPr>
      </w:pPr>
      <w:r>
        <w:rPr>
          <w:rFonts w:hint="eastAsia" w:ascii="Times New Roman" w:hAnsi="宋体" w:eastAsia="宋体" w:cs="Times New Roman"/>
          <w:bCs/>
          <w:color w:val="auto"/>
          <w:sz w:val="24"/>
          <w:szCs w:val="24"/>
          <w:highlight w:val="none"/>
        </w:rPr>
        <w:t>⑴设计变更和工程签证，按各市政府或相关部门的规定办理。属不可抗力（自然灾害、突发事件等）造成变更的，按特事特办原则予以办理。</w:t>
      </w:r>
    </w:p>
    <w:p w14:paraId="2AFE28D2">
      <w:pPr>
        <w:spacing w:line="400" w:lineRule="exact"/>
        <w:ind w:firstLine="504" w:firstLineChars="210"/>
        <w:rPr>
          <w:rFonts w:hint="eastAsia" w:ascii="Times New Roman" w:hAnsi="宋体" w:eastAsia="宋体" w:cs="Times New Roman"/>
          <w:bCs/>
          <w:color w:val="auto"/>
          <w:sz w:val="24"/>
          <w:szCs w:val="24"/>
          <w:highlight w:val="none"/>
        </w:rPr>
      </w:pPr>
      <w:r>
        <w:rPr>
          <w:rFonts w:hint="eastAsia" w:ascii="Times New Roman" w:hAnsi="宋体" w:eastAsia="宋体" w:cs="Times New Roman"/>
          <w:bCs/>
          <w:color w:val="auto"/>
          <w:sz w:val="24"/>
          <w:szCs w:val="24"/>
          <w:highlight w:val="none"/>
        </w:rPr>
        <w:t>⑵建设单位在实施项目过程中，若发生单价变动，由发包人、承包人、监理或造价咨询等单位共同商定并签字确认。</w:t>
      </w:r>
    </w:p>
    <w:p w14:paraId="7A40AC13">
      <w:pPr>
        <w:spacing w:line="400" w:lineRule="exact"/>
        <w:ind w:firstLine="504" w:firstLineChars="210"/>
        <w:rPr>
          <w:rFonts w:hint="eastAsia" w:ascii="Times New Roman" w:hAnsi="宋体" w:eastAsia="宋体" w:cs="Times New Roman"/>
          <w:bCs/>
          <w:color w:val="auto"/>
          <w:sz w:val="24"/>
          <w:szCs w:val="24"/>
          <w:highlight w:val="none"/>
        </w:rPr>
      </w:pPr>
      <w:r>
        <w:rPr>
          <w:rFonts w:hint="eastAsia" w:ascii="Times New Roman" w:hAnsi="宋体" w:eastAsia="宋体" w:cs="Times New Roman"/>
          <w:bCs/>
          <w:color w:val="auto"/>
          <w:sz w:val="24"/>
          <w:szCs w:val="24"/>
          <w:highlight w:val="none"/>
        </w:rPr>
        <w:t>⑶</w:t>
      </w:r>
      <w:r>
        <w:rPr>
          <w:rFonts w:ascii="Times New Roman" w:hAnsi="宋体" w:eastAsia="宋体" w:cs="Times New Roman"/>
          <w:bCs/>
          <w:color w:val="auto"/>
          <w:sz w:val="24"/>
          <w:szCs w:val="24"/>
          <w:highlight w:val="none"/>
        </w:rPr>
        <w:t xml:space="preserve"> </w:t>
      </w:r>
      <w:r>
        <w:rPr>
          <w:rFonts w:hint="eastAsia" w:ascii="Times New Roman" w:hAnsi="宋体" w:eastAsia="宋体" w:cs="Times New Roman"/>
          <w:bCs/>
          <w:color w:val="auto"/>
          <w:sz w:val="24"/>
          <w:szCs w:val="24"/>
          <w:highlight w:val="none"/>
        </w:rPr>
        <w:t>当合同规定的合同价款调整情况发生后，承包人未在规定时间内通知发包人，或者未在规定时间内提出调整报告，发包人可以根据有关资料，决定是否调整和调整的金额，并书面通知承包人。</w:t>
      </w:r>
    </w:p>
    <w:p w14:paraId="2236054B">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10.3.2 </w:t>
      </w:r>
      <w:r>
        <w:rPr>
          <w:rFonts w:hint="eastAsia" w:ascii="Times New Roman" w:hAnsi="Times New Roman" w:eastAsia="宋体" w:cs="宋体"/>
          <w:color w:val="auto"/>
          <w:sz w:val="24"/>
          <w:szCs w:val="24"/>
          <w:highlight w:val="none"/>
        </w:rPr>
        <w:t>非国有投资项目：</w:t>
      </w:r>
      <w:r>
        <w:rPr>
          <w:rFonts w:ascii="Times New Roman" w:hAnsi="Times New Roman" w:eastAsia="宋体" w:cs="Times New Roman"/>
          <w:color w:val="auto"/>
          <w:sz w:val="24"/>
          <w:szCs w:val="24"/>
          <w:highlight w:val="none"/>
        </w:rPr>
        <w:t xml:space="preserve"> </w:t>
      </w:r>
    </w:p>
    <w:p w14:paraId="269289C4">
      <w:pPr>
        <w:spacing w:line="400" w:lineRule="exact"/>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无</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2005DAF0">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642" w:name="_Toc407135245"/>
      <w:bookmarkStart w:id="643" w:name="_Toc373227742"/>
      <w:bookmarkStart w:id="644" w:name="_Toc389065308"/>
      <w:bookmarkStart w:id="645" w:name="_Toc9850573"/>
      <w:bookmarkStart w:id="646" w:name="_Toc373478389"/>
      <w:r>
        <w:rPr>
          <w:rFonts w:ascii="Times New Roman" w:hAnsi="Times New Roman" w:eastAsia="黑体" w:cs="Times New Roman"/>
          <w:b/>
          <w:bCs/>
          <w:color w:val="auto"/>
          <w:sz w:val="24"/>
          <w:szCs w:val="24"/>
          <w:highlight w:val="none"/>
          <w:lang w:val="zh-CN"/>
        </w:rPr>
        <w:t xml:space="preserve">10.4 </w:t>
      </w:r>
      <w:r>
        <w:rPr>
          <w:rFonts w:hint="eastAsia" w:ascii="Times New Roman" w:hAnsi="宋体" w:eastAsia="黑体" w:cs="黑体"/>
          <w:b/>
          <w:bCs/>
          <w:color w:val="auto"/>
          <w:sz w:val="24"/>
          <w:szCs w:val="24"/>
          <w:highlight w:val="none"/>
          <w:lang w:val="zh-CN"/>
        </w:rPr>
        <w:t>变更估价</w:t>
      </w:r>
      <w:bookmarkEnd w:id="642"/>
      <w:bookmarkEnd w:id="643"/>
      <w:bookmarkEnd w:id="644"/>
      <w:bookmarkEnd w:id="645"/>
      <w:bookmarkEnd w:id="646"/>
    </w:p>
    <w:p w14:paraId="497EEB6F">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10.4.1 </w:t>
      </w:r>
      <w:r>
        <w:rPr>
          <w:rFonts w:hint="eastAsia" w:ascii="Times New Roman" w:hAnsi="宋体" w:eastAsia="宋体" w:cs="宋体"/>
          <w:color w:val="auto"/>
          <w:sz w:val="24"/>
          <w:szCs w:val="24"/>
          <w:highlight w:val="none"/>
        </w:rPr>
        <w:t>变更估价原则</w:t>
      </w:r>
    </w:p>
    <w:p w14:paraId="3DAE322A">
      <w:pPr>
        <w:spacing w:line="400" w:lineRule="exact"/>
        <w:ind w:firstLine="480" w:firstLineChars="200"/>
        <w:jc w:val="left"/>
        <w:rPr>
          <w:rFonts w:hint="eastAsia" w:ascii="Times New Roman" w:hAnsi="宋体" w:eastAsia="宋体" w:cs="Times New Roman"/>
          <w:color w:val="auto"/>
          <w:sz w:val="24"/>
          <w:szCs w:val="24"/>
          <w:highlight w:val="none"/>
        </w:rPr>
      </w:pPr>
      <w:r>
        <w:rPr>
          <w:rFonts w:hint="eastAsia" w:ascii="Times New Roman" w:hAnsi="宋体" w:eastAsia="宋体" w:cs="宋体"/>
          <w:color w:val="auto"/>
          <w:sz w:val="24"/>
          <w:szCs w:val="24"/>
          <w:highlight w:val="none"/>
        </w:rPr>
        <w:t>关于变更估价的约定</w:t>
      </w:r>
      <w:r>
        <w:rPr>
          <w:rFonts w:ascii="Times New Roman" w:hAnsi="Times New Roman" w:eastAsia="宋体" w:cs="Times New Roman"/>
          <w:color w:val="auto"/>
          <w:sz w:val="24"/>
          <w:szCs w:val="24"/>
          <w:highlight w:val="none"/>
        </w:rPr>
        <w:t xml:space="preserve">: </w:t>
      </w:r>
      <w:bookmarkStart w:id="647" w:name="_Toc251051742"/>
      <w:r>
        <w:rPr>
          <w:rFonts w:hint="eastAsia" w:ascii="Times New Roman" w:hAnsi="宋体" w:eastAsia="宋体" w:cs="宋体"/>
          <w:color w:val="auto"/>
          <w:sz w:val="24"/>
          <w:szCs w:val="24"/>
          <w:highlight w:val="none"/>
          <w:u w:val="single"/>
        </w:rPr>
        <w:t>工程变更合同价款按下列方法进行：（</w:t>
      </w:r>
      <w:r>
        <w:rPr>
          <w:rFonts w:ascii="Times New Roman" w:hAnsi="Times New Roman" w:eastAsia="宋体" w:cs="Times New Roman"/>
          <w:color w:val="auto"/>
          <w:sz w:val="24"/>
          <w:szCs w:val="24"/>
          <w:highlight w:val="none"/>
          <w:u w:val="single"/>
        </w:rPr>
        <w:t>1</w:t>
      </w:r>
      <w:r>
        <w:rPr>
          <w:rFonts w:hint="eastAsia" w:ascii="Times New Roman" w:hAnsi="宋体" w:eastAsia="宋体" w:cs="宋体"/>
          <w:color w:val="auto"/>
          <w:sz w:val="24"/>
          <w:szCs w:val="24"/>
          <w:highlight w:val="none"/>
          <w:u w:val="single"/>
        </w:rPr>
        <w:t>）合同中已有相同清单项目的，按合同该清单项目价格进行计算；（</w:t>
      </w:r>
      <w:r>
        <w:rPr>
          <w:rFonts w:ascii="Times New Roman" w:hAnsi="Times New Roman" w:eastAsia="宋体" w:cs="Times New Roman"/>
          <w:color w:val="auto"/>
          <w:sz w:val="24"/>
          <w:szCs w:val="24"/>
          <w:highlight w:val="none"/>
          <w:u w:val="single"/>
        </w:rPr>
        <w:t>2</w:t>
      </w:r>
      <w:r>
        <w:rPr>
          <w:rFonts w:hint="eastAsia" w:ascii="Times New Roman" w:hAnsi="宋体" w:eastAsia="宋体" w:cs="宋体"/>
          <w:color w:val="auto"/>
          <w:sz w:val="24"/>
          <w:szCs w:val="24"/>
          <w:highlight w:val="none"/>
          <w:u w:val="single"/>
        </w:rPr>
        <w:t>）合同中只有类似清单项目的，参照该类似清单项目价格进行计算；（</w:t>
      </w:r>
      <w:r>
        <w:rPr>
          <w:rFonts w:ascii="Times New Roman" w:hAnsi="Times New Roman" w:eastAsia="宋体" w:cs="Times New Roman"/>
          <w:color w:val="auto"/>
          <w:sz w:val="24"/>
          <w:szCs w:val="24"/>
          <w:highlight w:val="none"/>
          <w:u w:val="single"/>
        </w:rPr>
        <w:t>3</w:t>
      </w:r>
      <w:r>
        <w:rPr>
          <w:rFonts w:hint="eastAsia" w:ascii="Times New Roman" w:hAnsi="宋体" w:eastAsia="宋体" w:cs="宋体"/>
          <w:color w:val="auto"/>
          <w:sz w:val="24"/>
          <w:szCs w:val="24"/>
          <w:highlight w:val="none"/>
          <w:u w:val="single"/>
        </w:rPr>
        <w:t>）合同中没有适用或类似清单项目的价格计算方法：有定额的套定额，</w:t>
      </w:r>
      <w:r>
        <w:rPr>
          <w:rFonts w:ascii="宋体" w:hAnsi="宋体" w:eastAsia="宋体" w:cs="Times New Roman"/>
          <w:bCs/>
          <w:color w:val="auto"/>
          <w:sz w:val="24"/>
          <w:szCs w:val="24"/>
          <w:highlight w:val="none"/>
          <w:u w:val="single"/>
        </w:rPr>
        <w:t>并乘以下浮系数</w:t>
      </w:r>
      <w:r>
        <w:rPr>
          <w:rFonts w:hint="eastAsia" w:ascii="宋体" w:hAnsi="Courier New" w:eastAsia="宋体" w:cs="Times New Roman"/>
          <w:bCs/>
          <w:color w:val="auto"/>
          <w:sz w:val="24"/>
          <w:szCs w:val="24"/>
          <w:highlight w:val="none"/>
          <w:u w:val="single"/>
        </w:rPr>
        <w:t>（成交价/经审定的工程招标控制价</w:t>
      </w:r>
      <w:r>
        <w:rPr>
          <w:rFonts w:hint="eastAsia" w:ascii="宋体" w:hAnsi="宋体" w:eastAsia="宋体" w:cs="Times New Roman"/>
          <w:bCs/>
          <w:color w:val="auto"/>
          <w:sz w:val="24"/>
          <w:szCs w:val="24"/>
          <w:highlight w:val="none"/>
          <w:u w:val="single"/>
        </w:rPr>
        <w:t>）</w:t>
      </w:r>
      <w:r>
        <w:rPr>
          <w:rFonts w:ascii="宋体" w:hAnsi="宋体" w:eastAsia="宋体" w:cs="Times New Roman"/>
          <w:bCs/>
          <w:color w:val="auto"/>
          <w:sz w:val="24"/>
          <w:szCs w:val="24"/>
          <w:highlight w:val="none"/>
          <w:u w:val="single"/>
        </w:rPr>
        <w:t>计算</w:t>
      </w:r>
      <w:r>
        <w:rPr>
          <w:rFonts w:hint="eastAsia" w:ascii="Times New Roman" w:hAnsi="宋体" w:eastAsia="宋体" w:cs="宋体"/>
          <w:color w:val="auto"/>
          <w:sz w:val="24"/>
          <w:szCs w:val="24"/>
          <w:highlight w:val="none"/>
          <w:u w:val="single"/>
        </w:rPr>
        <w:t>，其中：材料设备价格按施工期间的《防城港市建设工程造价信息》相应信息价的加权平均值计算，《防城港市建设工程造价信息》没有相应信息价的，由建设单位、施工单位、监理单位或造价咨询单位根据市场行情协商确定；无定额可套的，由建设单位、施工单位、监理单位或造价咨询单位根据市场行情协商确定包含除税金以外所有费用的税前综合价格</w:t>
      </w:r>
      <w:bookmarkEnd w:id="647"/>
      <w:r>
        <w:rPr>
          <w:rFonts w:hint="eastAsia" w:ascii="Times New Roman" w:hAnsi="宋体" w:eastAsia="宋体" w:cs="宋体"/>
          <w:color w:val="auto"/>
          <w:sz w:val="24"/>
          <w:szCs w:val="24"/>
          <w:highlight w:val="none"/>
        </w:rPr>
        <w:t>。以上约定同时适用于招标工程量清单缺项以及工程量清单项目特征与图纸不符时的价款确定。</w:t>
      </w:r>
    </w:p>
    <w:p w14:paraId="38B7F500">
      <w:pPr>
        <w:spacing w:line="400" w:lineRule="exact"/>
        <w:ind w:firstLine="480" w:firstLineChars="200"/>
        <w:jc w:val="left"/>
        <w:rPr>
          <w:rFonts w:ascii="Times New Roman" w:hAnsi="Times New Roman" w:eastAsia="宋体" w:cs="宋体"/>
          <w:color w:val="auto"/>
          <w:sz w:val="24"/>
          <w:szCs w:val="24"/>
          <w:highlight w:val="none"/>
          <w:u w:val="single"/>
        </w:rPr>
      </w:pPr>
      <w:r>
        <w:rPr>
          <w:rFonts w:hint="eastAsia" w:ascii="Times New Roman" w:hAnsi="Times New Roman" w:eastAsia="宋体" w:cs="宋体"/>
          <w:color w:val="auto"/>
          <w:sz w:val="24"/>
          <w:szCs w:val="24"/>
          <w:highlight w:val="none"/>
          <w:u w:val="single"/>
        </w:rPr>
        <w:t>工程变更导致实际完成的变更工程量与已标价清单或预算书中列明的该项目工程量有偏差时，其综合单价的确定按专用条款“</w:t>
      </w:r>
      <w:r>
        <w:rPr>
          <w:rFonts w:ascii="Times New Roman" w:hAnsi="Times New Roman" w:eastAsia="宋体" w:cs="Times New Roman"/>
          <w:color w:val="auto"/>
          <w:sz w:val="24"/>
          <w:szCs w:val="24"/>
          <w:highlight w:val="none"/>
          <w:u w:val="single"/>
        </w:rPr>
        <w:t>1.13</w:t>
      </w:r>
      <w:r>
        <w:rPr>
          <w:rFonts w:hint="eastAsia" w:ascii="Times New Roman" w:hAnsi="Times New Roman" w:eastAsia="宋体" w:cs="宋体"/>
          <w:color w:val="auto"/>
          <w:sz w:val="24"/>
          <w:szCs w:val="24"/>
          <w:highlight w:val="none"/>
          <w:u w:val="single"/>
        </w:rPr>
        <w:t>工程量清单错误的修正”执行。</w:t>
      </w:r>
    </w:p>
    <w:p w14:paraId="67EA1E53">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648" w:name="_Toc373478390"/>
      <w:bookmarkStart w:id="649" w:name="_Toc373227743"/>
      <w:bookmarkStart w:id="650" w:name="_Toc9850574"/>
      <w:bookmarkStart w:id="651" w:name="_Toc407135246"/>
      <w:bookmarkStart w:id="652" w:name="_Toc389065309"/>
      <w:r>
        <w:rPr>
          <w:rFonts w:ascii="Times New Roman" w:hAnsi="Times New Roman" w:eastAsia="黑体" w:cs="Times New Roman"/>
          <w:b/>
          <w:bCs/>
          <w:color w:val="auto"/>
          <w:sz w:val="24"/>
          <w:szCs w:val="24"/>
          <w:highlight w:val="none"/>
          <w:lang w:val="zh-CN"/>
        </w:rPr>
        <w:t>1</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Start w:id="653" w:name="_Toc297120497"/>
      <w:bookmarkStart w:id="654" w:name="_Toc296346698"/>
      <w:bookmarkStart w:id="655" w:name="_Toc292559907"/>
      <w:bookmarkStart w:id="656" w:name="_Toc296503197"/>
      <w:bookmarkStart w:id="657" w:name="_Toc296347196"/>
      <w:bookmarkStart w:id="658" w:name="_Toc296891025"/>
      <w:bookmarkStart w:id="659" w:name="_Toc297216203"/>
      <w:bookmarkStart w:id="660" w:name="_Toc292559402"/>
      <w:bookmarkStart w:id="661" w:name="_Toc297123544"/>
      <w:bookmarkStart w:id="662" w:name="_Toc296944536"/>
      <w:bookmarkStart w:id="663" w:name="_Toc296891237"/>
      <w:bookmarkStart w:id="664" w:name="_Toc300934993"/>
      <w:bookmarkStart w:id="665" w:name="_Toc297048383"/>
      <w:bookmarkStart w:id="666" w:name="_Toc303539150"/>
      <w:bookmarkStart w:id="667" w:name="_Toc304295570"/>
      <w:bookmarkStart w:id="668" w:name="_Toc312678029"/>
      <w:bookmarkStart w:id="669" w:name="_Toc312677503"/>
      <w:r>
        <w:rPr>
          <w:rFonts w:ascii="Times New Roman" w:hAnsi="Times New Roman" w:eastAsia="黑体" w:cs="Times New Roman"/>
          <w:b/>
          <w:bCs/>
          <w:color w:val="auto"/>
          <w:sz w:val="24"/>
          <w:szCs w:val="24"/>
          <w:highlight w:val="none"/>
          <w:lang w:val="zh-CN"/>
        </w:rPr>
        <w:t xml:space="preserve">0.5 </w:t>
      </w:r>
      <w:r>
        <w:rPr>
          <w:rFonts w:hint="eastAsia" w:ascii="Times New Roman" w:hAnsi="Times New Roman" w:eastAsia="黑体" w:cs="黑体"/>
          <w:b/>
          <w:bCs/>
          <w:color w:val="auto"/>
          <w:sz w:val="24"/>
          <w:szCs w:val="24"/>
          <w:highlight w:val="none"/>
          <w:lang w:val="zh-CN"/>
        </w:rPr>
        <w:t>承</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Start w:id="670" w:name="_Toc296891243"/>
      <w:bookmarkStart w:id="671" w:name="_Toc297120503"/>
      <w:bookmarkStart w:id="672" w:name="_Toc292559913"/>
      <w:bookmarkStart w:id="673" w:name="_Toc296503203"/>
      <w:bookmarkStart w:id="674" w:name="_Toc292559408"/>
      <w:bookmarkStart w:id="675" w:name="_Toc296891031"/>
      <w:bookmarkStart w:id="676" w:name="_Toc296346704"/>
      <w:bookmarkStart w:id="677" w:name="_Toc297048389"/>
      <w:bookmarkStart w:id="678" w:name="_Toc297123545"/>
      <w:bookmarkStart w:id="679" w:name="_Toc300934994"/>
      <w:bookmarkStart w:id="680" w:name="_Toc297216204"/>
      <w:bookmarkStart w:id="681" w:name="_Toc296944542"/>
      <w:bookmarkStart w:id="682" w:name="_Toc303539151"/>
      <w:bookmarkStart w:id="683" w:name="_Toc296347202"/>
      <w:r>
        <w:rPr>
          <w:rFonts w:hint="eastAsia" w:ascii="Times New Roman" w:hAnsi="Times New Roman" w:eastAsia="黑体" w:cs="黑体"/>
          <w:b/>
          <w:bCs/>
          <w:color w:val="auto"/>
          <w:sz w:val="24"/>
          <w:szCs w:val="24"/>
          <w:highlight w:val="none"/>
          <w:lang w:val="zh-CN"/>
        </w:rPr>
        <w:t>包人的合理化建议</w:t>
      </w:r>
      <w:bookmarkEnd w:id="648"/>
      <w:bookmarkEnd w:id="649"/>
      <w:bookmarkEnd w:id="650"/>
      <w:bookmarkEnd w:id="651"/>
      <w:bookmarkEnd w:id="652"/>
    </w:p>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14:paraId="4CC2AAD1">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监理人审查承包人合理化建议的期限：</w:t>
      </w:r>
      <w:r>
        <w:rPr>
          <w:rFonts w:ascii="Times New Roman" w:hAnsi="Times New Roman" w:eastAsia="宋体" w:cs="Times New Roman"/>
          <w:color w:val="auto"/>
          <w:sz w:val="24"/>
          <w:szCs w:val="24"/>
          <w:highlight w:val="none"/>
          <w:u w:val="single"/>
        </w:rPr>
        <w:t xml:space="preserve">     </w:t>
      </w:r>
      <w:r>
        <w:rPr>
          <w:rFonts w:hint="eastAsia" w:ascii="宋体" w:hAnsi="宋体" w:eastAsia="宋体" w:cs="宋体"/>
          <w:color w:val="auto"/>
          <w:sz w:val="24"/>
          <w:szCs w:val="24"/>
          <w:highlight w:val="none"/>
          <w:u w:val="single"/>
        </w:rPr>
        <w:t>7天内</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1CEB4A0F">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发包人审批承包人合理化建议的期限：</w:t>
      </w:r>
      <w:r>
        <w:rPr>
          <w:rFonts w:ascii="Times New Roman" w:hAnsi="Times New Roman" w:eastAsia="宋体" w:cs="Times New Roman"/>
          <w:color w:val="auto"/>
          <w:sz w:val="24"/>
          <w:szCs w:val="24"/>
          <w:highlight w:val="none"/>
          <w:u w:val="single"/>
        </w:rPr>
        <w:t xml:space="preserve">    </w:t>
      </w:r>
      <w:r>
        <w:rPr>
          <w:rFonts w:hint="eastAsia" w:ascii="宋体" w:hAnsi="宋体" w:eastAsia="宋体" w:cs="宋体"/>
          <w:color w:val="auto"/>
          <w:sz w:val="24"/>
          <w:szCs w:val="24"/>
          <w:highlight w:val="none"/>
          <w:u w:val="single"/>
        </w:rPr>
        <w:t>7天内</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7EAB603F">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承</w:t>
      </w:r>
      <w:bookmarkStart w:id="684" w:name="_Toc303539152"/>
      <w:bookmarkStart w:id="685" w:name="_Toc297123546"/>
      <w:bookmarkStart w:id="686" w:name="_Toc296891032"/>
      <w:bookmarkStart w:id="687" w:name="_Toc296944543"/>
      <w:bookmarkStart w:id="688" w:name="_Toc312677504"/>
      <w:bookmarkStart w:id="689" w:name="_Toc318581175"/>
      <w:bookmarkStart w:id="690" w:name="_Toc296503204"/>
      <w:bookmarkStart w:id="691" w:name="_Toc296346705"/>
      <w:bookmarkStart w:id="692" w:name="_Toc296347203"/>
      <w:bookmarkStart w:id="693" w:name="_Toc304295571"/>
      <w:bookmarkStart w:id="694" w:name="_Toc297048390"/>
      <w:bookmarkStart w:id="695" w:name="_Toc292559409"/>
      <w:bookmarkStart w:id="696" w:name="_Toc297216205"/>
      <w:bookmarkStart w:id="697" w:name="_Toc300934995"/>
      <w:bookmarkStart w:id="698" w:name="_Toc312678030"/>
      <w:bookmarkStart w:id="699" w:name="_Toc297120504"/>
      <w:bookmarkStart w:id="700" w:name="_Toc292559914"/>
      <w:bookmarkStart w:id="701" w:name="_Toc296891244"/>
      <w:r>
        <w:rPr>
          <w:rFonts w:hint="eastAsia" w:ascii="Times New Roman" w:hAnsi="宋体" w:eastAsia="宋体" w:cs="宋体"/>
          <w:color w:val="auto"/>
          <w:sz w:val="24"/>
          <w:szCs w:val="24"/>
          <w:highlight w:val="none"/>
        </w:rPr>
        <w:t>包人提出的合理化建议降低了合同价格或者提高了工程经济效益的奖励的方法和金额为：</w:t>
      </w:r>
      <w:r>
        <w:rPr>
          <w:rFonts w:ascii="Times New Roman" w:hAnsi="Times New Roman" w:eastAsia="宋体" w:cs="Times New Roman"/>
          <w:color w:val="auto"/>
          <w:sz w:val="24"/>
          <w:szCs w:val="24"/>
          <w:highlight w:val="none"/>
          <w:u w:val="single"/>
        </w:rPr>
        <w:t xml:space="preserve">  </w:t>
      </w:r>
      <w:r>
        <w:rPr>
          <w:rFonts w:hint="eastAsia" w:ascii="宋体" w:hAnsi="宋体" w:eastAsia="宋体" w:cs="宋体"/>
          <w:color w:val="auto"/>
          <w:sz w:val="24"/>
          <w:szCs w:val="24"/>
          <w:highlight w:val="none"/>
          <w:u w:val="single"/>
        </w:rPr>
        <w:t>无</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14:paraId="64174F05">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702" w:name="_Toc407135247"/>
      <w:bookmarkStart w:id="703" w:name="_Toc389065310"/>
      <w:bookmarkStart w:id="704" w:name="_Toc373227744"/>
      <w:bookmarkStart w:id="705" w:name="_Toc9850575"/>
      <w:bookmarkStart w:id="706" w:name="_Toc373478391"/>
      <w:r>
        <w:rPr>
          <w:rFonts w:ascii="Times New Roman" w:hAnsi="Times New Roman" w:eastAsia="黑体" w:cs="Times New Roman"/>
          <w:b/>
          <w:bCs/>
          <w:color w:val="auto"/>
          <w:sz w:val="24"/>
          <w:szCs w:val="24"/>
          <w:highlight w:val="none"/>
          <w:lang w:val="zh-CN"/>
        </w:rPr>
        <w:t>1</w:t>
      </w:r>
      <w:bookmarkStart w:id="707" w:name="_Toc297120499"/>
      <w:bookmarkStart w:id="708" w:name="_Toc296346700"/>
      <w:bookmarkStart w:id="709" w:name="_Toc296503199"/>
      <w:bookmarkStart w:id="710" w:name="_Toc312677507"/>
      <w:bookmarkStart w:id="711" w:name="_Toc292559909"/>
      <w:bookmarkStart w:id="712" w:name="_Toc312678033"/>
      <w:bookmarkStart w:id="713" w:name="_Toc297123548"/>
      <w:bookmarkStart w:id="714" w:name="_Toc304295574"/>
      <w:bookmarkStart w:id="715" w:name="_Toc303539154"/>
      <w:bookmarkStart w:id="716" w:name="_Toc296891027"/>
      <w:bookmarkStart w:id="717" w:name="_Toc296944538"/>
      <w:bookmarkStart w:id="718" w:name="_Toc297048385"/>
      <w:bookmarkStart w:id="719" w:name="_Toc297216207"/>
      <w:bookmarkStart w:id="720" w:name="_Toc292559404"/>
      <w:bookmarkStart w:id="721" w:name="_Toc296891239"/>
      <w:bookmarkStart w:id="722" w:name="_Toc296347198"/>
      <w:bookmarkStart w:id="723" w:name="_Toc300934997"/>
      <w:r>
        <w:rPr>
          <w:rFonts w:ascii="Times New Roman" w:hAnsi="Times New Roman" w:eastAsia="黑体" w:cs="Times New Roman"/>
          <w:b/>
          <w:bCs/>
          <w:color w:val="auto"/>
          <w:sz w:val="24"/>
          <w:szCs w:val="24"/>
          <w:highlight w:val="none"/>
          <w:lang w:val="zh-CN"/>
        </w:rPr>
        <w:t xml:space="preserve">0.7 </w:t>
      </w:r>
      <w:r>
        <w:rPr>
          <w:rFonts w:hint="eastAsia" w:ascii="Times New Roman" w:hAnsi="宋体" w:eastAsia="黑体" w:cs="黑体"/>
          <w:b/>
          <w:bCs/>
          <w:color w:val="auto"/>
          <w:sz w:val="24"/>
          <w:szCs w:val="24"/>
          <w:highlight w:val="none"/>
          <w:lang w:val="zh-CN"/>
        </w:rPr>
        <w:t>暂估价</w:t>
      </w:r>
      <w:bookmarkEnd w:id="702"/>
      <w:bookmarkEnd w:id="703"/>
      <w:bookmarkEnd w:id="704"/>
      <w:bookmarkEnd w:id="705"/>
      <w:bookmarkEnd w:id="706"/>
    </w:p>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14:paraId="0D075D93">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kern w:val="0"/>
          <w:sz w:val="24"/>
          <w:szCs w:val="24"/>
          <w:highlight w:val="none"/>
        </w:rPr>
        <w:t>暂</w:t>
      </w:r>
      <w:bookmarkStart w:id="724" w:name="_Toc318581176"/>
      <w:bookmarkStart w:id="725" w:name="_Toc312677508"/>
      <w:bookmarkStart w:id="726" w:name="_Toc312678034"/>
      <w:r>
        <w:rPr>
          <w:rFonts w:hint="eastAsia" w:ascii="Times New Roman" w:hAnsi="宋体" w:eastAsia="宋体" w:cs="宋体"/>
          <w:color w:val="auto"/>
          <w:kern w:val="0"/>
          <w:sz w:val="24"/>
          <w:szCs w:val="24"/>
          <w:highlight w:val="none"/>
        </w:rPr>
        <w:t>估价材料和工程设备的明细详见已标价工程量清单《</w:t>
      </w:r>
      <w:r>
        <w:rPr>
          <w:rFonts w:hint="eastAsia" w:ascii="Times New Roman" w:hAnsi="Times New Roman" w:eastAsia="宋体" w:cs="宋体"/>
          <w:color w:val="auto"/>
          <w:sz w:val="24"/>
          <w:szCs w:val="24"/>
          <w:highlight w:val="none"/>
        </w:rPr>
        <w:t>材料（工程设备）暂估价格及调整表》</w:t>
      </w:r>
      <w:r>
        <w:rPr>
          <w:rFonts w:hint="eastAsia" w:ascii="Times New Roman" w:hAnsi="宋体" w:eastAsia="宋体" w:cs="宋体"/>
          <w:color w:val="auto"/>
          <w:kern w:val="0"/>
          <w:sz w:val="24"/>
          <w:szCs w:val="24"/>
          <w:highlight w:val="none"/>
        </w:rPr>
        <w:t>（表</w:t>
      </w:r>
      <w:r>
        <w:rPr>
          <w:rFonts w:ascii="Times New Roman" w:hAnsi="宋体" w:eastAsia="宋体" w:cs="Times New Roman"/>
          <w:color w:val="auto"/>
          <w:kern w:val="0"/>
          <w:sz w:val="24"/>
          <w:szCs w:val="24"/>
          <w:highlight w:val="none"/>
        </w:rPr>
        <w:t>12-2</w:t>
      </w:r>
      <w:r>
        <w:rPr>
          <w:rFonts w:hint="eastAsia" w:ascii="Times New Roman" w:hAnsi="宋体" w:eastAsia="宋体" w:cs="宋体"/>
          <w:color w:val="auto"/>
          <w:kern w:val="0"/>
          <w:sz w:val="24"/>
          <w:szCs w:val="24"/>
          <w:highlight w:val="none"/>
        </w:rPr>
        <w:t>）和《</w:t>
      </w:r>
      <w:r>
        <w:rPr>
          <w:rFonts w:hint="eastAsia" w:ascii="Times New Roman" w:hAnsi="Times New Roman" w:eastAsia="宋体" w:cs="宋体"/>
          <w:color w:val="auto"/>
          <w:sz w:val="24"/>
          <w:szCs w:val="24"/>
          <w:highlight w:val="none"/>
        </w:rPr>
        <w:t>专业工程暂估价表》（</w:t>
      </w:r>
      <w:r>
        <w:rPr>
          <w:rFonts w:hint="eastAsia" w:ascii="Times New Roman" w:hAnsi="宋体" w:eastAsia="宋体" w:cs="宋体"/>
          <w:color w:val="auto"/>
          <w:kern w:val="0"/>
          <w:sz w:val="24"/>
          <w:szCs w:val="24"/>
          <w:highlight w:val="none"/>
        </w:rPr>
        <w:t>表</w:t>
      </w:r>
      <w:r>
        <w:rPr>
          <w:rFonts w:ascii="Times New Roman" w:hAnsi="宋体" w:eastAsia="宋体" w:cs="Times New Roman"/>
          <w:color w:val="auto"/>
          <w:kern w:val="0"/>
          <w:sz w:val="24"/>
          <w:szCs w:val="24"/>
          <w:highlight w:val="none"/>
        </w:rPr>
        <w:t>12-3</w:t>
      </w:r>
      <w:r>
        <w:rPr>
          <w:rFonts w:hint="eastAsia" w:ascii="Times New Roman" w:hAnsi="宋体" w:eastAsia="宋体" w:cs="宋体"/>
          <w:color w:val="auto"/>
          <w:kern w:val="0"/>
          <w:sz w:val="24"/>
          <w:szCs w:val="24"/>
          <w:highlight w:val="none"/>
        </w:rPr>
        <w:t>）。</w:t>
      </w:r>
    </w:p>
    <w:bookmarkEnd w:id="724"/>
    <w:bookmarkEnd w:id="725"/>
    <w:bookmarkEnd w:id="726"/>
    <w:p w14:paraId="3D286258">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w:t>
      </w:r>
      <w:bookmarkStart w:id="727" w:name="_Toc312678035"/>
      <w:bookmarkStart w:id="728" w:name="_Toc312677509"/>
      <w:bookmarkStart w:id="729" w:name="_Toc318581177"/>
      <w:r>
        <w:rPr>
          <w:rFonts w:ascii="Times New Roman" w:hAnsi="Times New Roman" w:eastAsia="宋体" w:cs="Times New Roman"/>
          <w:color w:val="auto"/>
          <w:sz w:val="24"/>
          <w:szCs w:val="24"/>
          <w:highlight w:val="none"/>
        </w:rPr>
        <w:t xml:space="preserve">0.7.1 </w:t>
      </w:r>
      <w:r>
        <w:rPr>
          <w:rFonts w:hint="eastAsia" w:ascii="Times New Roman" w:hAnsi="宋体" w:eastAsia="宋体" w:cs="宋体"/>
          <w:color w:val="auto"/>
          <w:sz w:val="24"/>
          <w:szCs w:val="24"/>
          <w:highlight w:val="none"/>
        </w:rPr>
        <w:t>依法必须招标的暂估价项目</w:t>
      </w:r>
    </w:p>
    <w:bookmarkEnd w:id="727"/>
    <w:bookmarkEnd w:id="728"/>
    <w:bookmarkEnd w:id="729"/>
    <w:p w14:paraId="0AD68699">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对于依法必须招标的暂估价项目的确认和批准采取第</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种方式确定。</w:t>
      </w:r>
    </w:p>
    <w:p w14:paraId="2E729F2B">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10.7.2 </w:t>
      </w:r>
      <w:r>
        <w:rPr>
          <w:rFonts w:hint="eastAsia" w:ascii="Times New Roman" w:hAnsi="宋体" w:eastAsia="宋体" w:cs="宋体"/>
          <w:color w:val="auto"/>
          <w:sz w:val="24"/>
          <w:szCs w:val="24"/>
          <w:highlight w:val="none"/>
        </w:rPr>
        <w:t>不属于依法必须招标的暂估价项目</w:t>
      </w:r>
    </w:p>
    <w:p w14:paraId="38384244">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对于不属于依法必须招标的暂估价项目的确认和批准采取第</w:t>
      </w:r>
      <w:r>
        <w:rPr>
          <w:rFonts w:hint="eastAsia" w:ascii="宋体" w:hAnsi="宋体" w:eastAsia="宋体" w:cs="宋体"/>
          <w:color w:val="auto"/>
          <w:sz w:val="24"/>
          <w:szCs w:val="24"/>
          <w:highlight w:val="none"/>
          <w:u w:val="single"/>
        </w:rPr>
        <w:t xml:space="preserve">  / </w:t>
      </w:r>
      <w:r>
        <w:rPr>
          <w:rFonts w:ascii="Times New Roman" w:hAnsi="Times New Roman" w:eastAsia="宋体" w:cs="Times New Roman"/>
          <w:color w:val="auto"/>
          <w:sz w:val="24"/>
          <w:szCs w:val="24"/>
          <w:highlight w:val="none"/>
        </w:rPr>
        <w:t xml:space="preserve"> </w:t>
      </w:r>
      <w:r>
        <w:rPr>
          <w:rFonts w:hint="eastAsia" w:ascii="Times New Roman" w:hAnsi="宋体" w:eastAsia="宋体" w:cs="宋体"/>
          <w:color w:val="auto"/>
          <w:sz w:val="24"/>
          <w:szCs w:val="24"/>
          <w:highlight w:val="none"/>
        </w:rPr>
        <w:t>种方式确定。</w:t>
      </w:r>
    </w:p>
    <w:p w14:paraId="1D0E09DA">
      <w:pPr>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sz w:val="24"/>
          <w:szCs w:val="24"/>
          <w:highlight w:val="none"/>
        </w:rPr>
        <w:t>第</w:t>
      </w:r>
      <w:r>
        <w:rPr>
          <w:rFonts w:ascii="Times New Roman" w:hAnsi="Times New Roman" w:eastAsia="宋体" w:cs="Times New Roman"/>
          <w:color w:val="auto"/>
          <w:sz w:val="24"/>
          <w:szCs w:val="24"/>
          <w:highlight w:val="none"/>
        </w:rPr>
        <w:t>3</w:t>
      </w:r>
      <w:r>
        <w:rPr>
          <w:rFonts w:hint="eastAsia" w:ascii="Times New Roman" w:hAnsi="宋体" w:eastAsia="宋体" w:cs="宋体"/>
          <w:color w:val="auto"/>
          <w:sz w:val="24"/>
          <w:szCs w:val="24"/>
          <w:highlight w:val="none"/>
        </w:rPr>
        <w:t>种方式：</w:t>
      </w:r>
      <w:r>
        <w:rPr>
          <w:rFonts w:hint="eastAsia" w:ascii="Times New Roman" w:hAnsi="宋体" w:eastAsia="宋体" w:cs="宋体"/>
          <w:color w:val="auto"/>
          <w:kern w:val="0"/>
          <w:sz w:val="24"/>
          <w:szCs w:val="24"/>
          <w:highlight w:val="none"/>
        </w:rPr>
        <w:t>承包人直接实施的暂估价项目</w:t>
      </w:r>
    </w:p>
    <w:p w14:paraId="18004EBD">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承包人直接实施的暂估价项目的约定：</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无</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7DF7A9DF">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730" w:name="_Toc373227745"/>
      <w:bookmarkStart w:id="731" w:name="_Toc407135248"/>
      <w:bookmarkStart w:id="732" w:name="_Toc389065311"/>
      <w:bookmarkStart w:id="733" w:name="_Toc9850576"/>
      <w:bookmarkStart w:id="734" w:name="_Toc373478392"/>
      <w:r>
        <w:rPr>
          <w:rFonts w:ascii="Times New Roman" w:hAnsi="Times New Roman" w:eastAsia="黑体" w:cs="Times New Roman"/>
          <w:b/>
          <w:bCs/>
          <w:color w:val="auto"/>
          <w:sz w:val="24"/>
          <w:szCs w:val="24"/>
          <w:highlight w:val="none"/>
          <w:lang w:val="zh-CN"/>
        </w:rPr>
        <w:t xml:space="preserve">10.8 </w:t>
      </w:r>
      <w:r>
        <w:rPr>
          <w:rFonts w:hint="eastAsia" w:ascii="Times New Roman" w:hAnsi="宋体" w:eastAsia="黑体" w:cs="黑体"/>
          <w:b/>
          <w:bCs/>
          <w:color w:val="auto"/>
          <w:sz w:val="24"/>
          <w:szCs w:val="24"/>
          <w:highlight w:val="none"/>
          <w:lang w:val="zh-CN"/>
        </w:rPr>
        <w:t>暂列金额</w:t>
      </w:r>
      <w:bookmarkEnd w:id="730"/>
      <w:bookmarkEnd w:id="731"/>
      <w:bookmarkEnd w:id="732"/>
      <w:bookmarkEnd w:id="733"/>
      <w:bookmarkEnd w:id="734"/>
    </w:p>
    <w:p w14:paraId="51882CC8">
      <w:pPr>
        <w:autoSpaceDE w:val="0"/>
        <w:autoSpaceDN w:val="0"/>
        <w:adjustRightInd w:val="0"/>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kern w:val="0"/>
          <w:sz w:val="24"/>
          <w:szCs w:val="24"/>
          <w:highlight w:val="none"/>
        </w:rPr>
        <w:t>合同当事人关于暂列金额使用的约定：</w:t>
      </w:r>
      <w:r>
        <w:rPr>
          <w:rFonts w:hint="eastAsia" w:ascii="宋体" w:hAnsi="宋体" w:eastAsia="宋体" w:cs="宋体"/>
          <w:color w:val="auto"/>
          <w:sz w:val="24"/>
          <w:szCs w:val="24"/>
          <w:highlight w:val="none"/>
          <w:u w:val="single"/>
        </w:rPr>
        <w:t>由承包人根据发包人要求编制，并按工程进度提前7日向发包人提交</w:t>
      </w:r>
      <w:r>
        <w:rPr>
          <w:rFonts w:hint="eastAsia" w:ascii="Times New Roman" w:hAnsi="宋体" w:eastAsia="宋体" w:cs="宋体"/>
          <w:color w:val="auto"/>
          <w:kern w:val="0"/>
          <w:sz w:val="24"/>
          <w:szCs w:val="24"/>
          <w:highlight w:val="none"/>
        </w:rPr>
        <w:t>。</w:t>
      </w:r>
    </w:p>
    <w:p w14:paraId="7C76C87C">
      <w:pPr>
        <w:keepNext/>
        <w:keepLines/>
        <w:numPr>
          <w:ilvl w:val="0"/>
          <w:numId w:val="2"/>
        </w:numPr>
        <w:spacing w:before="60" w:after="60" w:line="400" w:lineRule="exact"/>
        <w:outlineLvl w:val="1"/>
        <w:rPr>
          <w:rFonts w:ascii="Arial" w:hAnsi="Arial" w:eastAsia="黑体" w:cs="Times New Roman"/>
          <w:b/>
          <w:bCs/>
          <w:color w:val="auto"/>
          <w:sz w:val="24"/>
          <w:szCs w:val="24"/>
          <w:highlight w:val="none"/>
          <w:lang w:val="zh-CN"/>
        </w:rPr>
      </w:pPr>
      <w:bookmarkStart w:id="735" w:name="_Toc407135249"/>
      <w:bookmarkStart w:id="736" w:name="_Toc351203643"/>
      <w:bookmarkStart w:id="737" w:name="_Toc9850577"/>
      <w:bookmarkStart w:id="738" w:name="_Toc389065312"/>
      <w:bookmarkStart w:id="739" w:name="_Toc373227746"/>
      <w:bookmarkStart w:id="740" w:name="_Toc373478393"/>
      <w:r>
        <w:rPr>
          <w:rFonts w:hint="eastAsia" w:ascii="Arial" w:hAnsi="宋体" w:eastAsia="黑体" w:cs="黑体"/>
          <w:b/>
          <w:bCs/>
          <w:color w:val="auto"/>
          <w:sz w:val="24"/>
          <w:szCs w:val="24"/>
          <w:highlight w:val="none"/>
          <w:lang w:val="zh-CN"/>
        </w:rPr>
        <w:t>价格调整</w:t>
      </w:r>
      <w:bookmarkEnd w:id="735"/>
      <w:bookmarkEnd w:id="736"/>
      <w:bookmarkEnd w:id="737"/>
      <w:bookmarkEnd w:id="738"/>
      <w:bookmarkEnd w:id="739"/>
      <w:bookmarkEnd w:id="740"/>
    </w:p>
    <w:p w14:paraId="237DA37F">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741" w:name="_Toc9850578"/>
      <w:bookmarkStart w:id="742" w:name="_Toc373478394"/>
      <w:bookmarkStart w:id="743" w:name="_Toc407135250"/>
      <w:bookmarkStart w:id="744" w:name="_Toc389065313"/>
      <w:bookmarkStart w:id="745" w:name="_Toc373227747"/>
      <w:bookmarkStart w:id="746" w:name="_Toc304295577"/>
      <w:bookmarkStart w:id="747" w:name="_Toc296346702"/>
      <w:bookmarkStart w:id="748" w:name="_Toc312678039"/>
      <w:bookmarkStart w:id="749" w:name="_Toc297048387"/>
      <w:bookmarkStart w:id="750" w:name="_Toc296891241"/>
      <w:bookmarkStart w:id="751" w:name="_Toc296891029"/>
      <w:bookmarkStart w:id="752" w:name="_Toc292559911"/>
      <w:bookmarkStart w:id="753" w:name="_Toc297123550"/>
      <w:bookmarkStart w:id="754" w:name="_Toc296944540"/>
      <w:bookmarkStart w:id="755" w:name="_Toc292559406"/>
      <w:bookmarkStart w:id="756" w:name="_Toc296347200"/>
      <w:bookmarkStart w:id="757" w:name="_Toc297216209"/>
      <w:bookmarkStart w:id="758" w:name="_Toc300935000"/>
      <w:bookmarkStart w:id="759" w:name="_Toc296503201"/>
      <w:bookmarkStart w:id="760" w:name="_Toc303539157"/>
      <w:bookmarkStart w:id="761" w:name="_Toc297120501"/>
      <w:r>
        <w:rPr>
          <w:rFonts w:ascii="Times New Roman" w:hAnsi="Times New Roman" w:eastAsia="黑体" w:cs="Times New Roman"/>
          <w:b/>
          <w:bCs/>
          <w:color w:val="auto"/>
          <w:sz w:val="24"/>
          <w:szCs w:val="24"/>
          <w:highlight w:val="none"/>
          <w:lang w:val="zh-CN"/>
        </w:rPr>
        <w:t xml:space="preserve">11.1 </w:t>
      </w:r>
      <w:r>
        <w:rPr>
          <w:rFonts w:hint="eastAsia" w:ascii="Times New Roman" w:hAnsi="Times New Roman" w:eastAsia="黑体" w:cs="黑体"/>
          <w:b/>
          <w:bCs/>
          <w:color w:val="auto"/>
          <w:sz w:val="24"/>
          <w:szCs w:val="24"/>
          <w:highlight w:val="none"/>
          <w:lang w:val="zh-CN"/>
        </w:rPr>
        <w:t>市场价格波动引起的调整</w:t>
      </w:r>
      <w:bookmarkEnd w:id="741"/>
      <w:bookmarkEnd w:id="742"/>
      <w:bookmarkEnd w:id="743"/>
      <w:bookmarkEnd w:id="744"/>
      <w:bookmarkEnd w:id="745"/>
    </w:p>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14:paraId="73B21FDE">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kern w:val="0"/>
          <w:sz w:val="24"/>
          <w:szCs w:val="24"/>
          <w:highlight w:val="none"/>
        </w:rPr>
        <w:t>市场价格波动是否调整合同价格的约定：</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lang w:val="en-US" w:eastAsia="zh-CN"/>
        </w:rPr>
        <w:t>否</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1E23E7FE">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因市场价格波动调整合同价格，采用以下第</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种方式对合同价格进行调整：</w:t>
      </w:r>
    </w:p>
    <w:p w14:paraId="7C00C1CA">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第</w:t>
      </w:r>
      <w:r>
        <w:rPr>
          <w:rFonts w:ascii="Times New Roman" w:hAnsi="Times New Roman" w:eastAsia="宋体" w:cs="Times New Roman"/>
          <w:color w:val="auto"/>
          <w:sz w:val="24"/>
          <w:szCs w:val="24"/>
          <w:highlight w:val="none"/>
        </w:rPr>
        <w:t>1</w:t>
      </w:r>
      <w:r>
        <w:rPr>
          <w:rFonts w:hint="eastAsia" w:ascii="Times New Roman" w:hAnsi="宋体" w:eastAsia="宋体" w:cs="宋体"/>
          <w:color w:val="auto"/>
          <w:sz w:val="24"/>
          <w:szCs w:val="24"/>
          <w:highlight w:val="none"/>
        </w:rPr>
        <w:t>种方式：采用价格指数进行价格调整。</w:t>
      </w:r>
    </w:p>
    <w:p w14:paraId="409B8FE9">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关于各可调因子、定值和变值权重，以及基本价格指数及其来源的约定：</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w:t>
      </w:r>
      <w:r>
        <w:rPr>
          <w:rFonts w:ascii="宋体" w:hAnsi="Courier New"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r>
        <w:rPr>
          <w:rFonts w:ascii="Times New Roman" w:hAnsi="Times New Roman" w:eastAsia="宋体" w:cs="Times New Roman"/>
          <w:color w:val="auto"/>
          <w:sz w:val="24"/>
          <w:szCs w:val="24"/>
          <w:highlight w:val="none"/>
        </w:rPr>
        <w:t xml:space="preserve">  </w:t>
      </w:r>
    </w:p>
    <w:p w14:paraId="5E7FD80C">
      <w:pPr>
        <w:spacing w:line="400" w:lineRule="exact"/>
        <w:ind w:firstLine="480" w:firstLineChars="200"/>
        <w:jc w:val="left"/>
        <w:rPr>
          <w:rFonts w:hint="eastAsia" w:ascii="Times New Roman" w:hAnsi="宋体" w:eastAsia="宋体" w:cs="Times New Roman"/>
          <w:color w:val="auto"/>
          <w:sz w:val="24"/>
          <w:szCs w:val="24"/>
          <w:highlight w:val="none"/>
        </w:rPr>
      </w:pPr>
      <w:r>
        <w:rPr>
          <w:rFonts w:hint="eastAsia" w:ascii="Times New Roman" w:hAnsi="宋体" w:eastAsia="宋体" w:cs="宋体"/>
          <w:color w:val="auto"/>
          <w:sz w:val="24"/>
          <w:szCs w:val="24"/>
          <w:highlight w:val="none"/>
        </w:rPr>
        <w:t>第</w:t>
      </w:r>
      <w:r>
        <w:rPr>
          <w:rFonts w:ascii="Times New Roman" w:hAnsi="Times New Roman" w:eastAsia="宋体" w:cs="Times New Roman"/>
          <w:color w:val="auto"/>
          <w:sz w:val="24"/>
          <w:szCs w:val="24"/>
          <w:highlight w:val="none"/>
        </w:rPr>
        <w:t>2</w:t>
      </w:r>
      <w:r>
        <w:rPr>
          <w:rFonts w:hint="eastAsia" w:ascii="Times New Roman" w:hAnsi="宋体" w:eastAsia="宋体" w:cs="宋体"/>
          <w:color w:val="auto"/>
          <w:sz w:val="24"/>
          <w:szCs w:val="24"/>
          <w:highlight w:val="none"/>
        </w:rPr>
        <w:t>种方式：采用造价信息进行价格调整。</w:t>
      </w:r>
    </w:p>
    <w:p w14:paraId="497B0231">
      <w:pPr>
        <w:spacing w:line="400" w:lineRule="exact"/>
        <w:ind w:firstLine="480" w:firstLineChars="200"/>
        <w:jc w:val="left"/>
        <w:rPr>
          <w:rFonts w:hint="eastAsia" w:ascii="Times New Roman" w:hAnsi="宋体" w:eastAsia="宋体" w:cs="Times New Roman"/>
          <w:color w:val="auto"/>
          <w:sz w:val="24"/>
          <w:szCs w:val="24"/>
          <w:highlight w:val="none"/>
        </w:rPr>
      </w:pPr>
      <w:r>
        <w:rPr>
          <w:rFonts w:hint="eastAsia" w:ascii="Times New Roman" w:hAnsi="宋体" w:eastAsia="宋体" w:cs="宋体"/>
          <w:color w:val="auto"/>
          <w:sz w:val="24"/>
          <w:szCs w:val="24"/>
          <w:highlight w:val="none"/>
        </w:rPr>
        <w:t>（</w:t>
      </w:r>
      <w:r>
        <w:rPr>
          <w:rFonts w:ascii="Times New Roman" w:hAnsi="Times New Roman" w:eastAsia="宋体" w:cs="Times New Roman"/>
          <w:color w:val="auto"/>
          <w:sz w:val="24"/>
          <w:szCs w:val="24"/>
          <w:highlight w:val="none"/>
        </w:rPr>
        <w:t>1</w:t>
      </w:r>
      <w:r>
        <w:rPr>
          <w:rFonts w:hint="eastAsia" w:ascii="Times New Roman" w:hAnsi="宋体" w:eastAsia="宋体" w:cs="宋体"/>
          <w:color w:val="auto"/>
          <w:sz w:val="24"/>
          <w:szCs w:val="24"/>
          <w:highlight w:val="none"/>
        </w:rPr>
        <w:t>）允许调整的主要材料和设备、基期价格、风险系数、投标报价详见《承包人提供主要材料和设备一览表》</w:t>
      </w:r>
      <w:r>
        <w:rPr>
          <w:rFonts w:hint="eastAsia" w:ascii="Times New Roman" w:hAnsi="宋体" w:eastAsia="宋体" w:cs="宋体"/>
          <w:color w:val="auto"/>
          <w:sz w:val="24"/>
          <w:szCs w:val="24"/>
          <w:highlight w:val="none"/>
          <w:lang w:eastAsia="zh-CN"/>
        </w:rPr>
        <w:t>，</w:t>
      </w:r>
      <w:r>
        <w:rPr>
          <w:rFonts w:hint="eastAsia" w:ascii="Times New Roman" w:hAnsi="宋体" w:eastAsia="宋体" w:cs="宋体"/>
          <w:color w:val="auto"/>
          <w:sz w:val="24"/>
          <w:szCs w:val="24"/>
          <w:highlight w:val="none"/>
        </w:rPr>
        <w:t>价</w:t>
      </w:r>
      <w:r>
        <w:rPr>
          <w:rFonts w:ascii="Times New Roman" w:hAnsi="宋体" w:eastAsia="宋体" w:cs="宋体"/>
          <w:color w:val="auto"/>
          <w:sz w:val="24"/>
          <w:szCs w:val="24"/>
          <w:highlight w:val="none"/>
        </w:rPr>
        <w:t>差</w:t>
      </w:r>
      <w:r>
        <w:rPr>
          <w:rFonts w:hint="eastAsia" w:ascii="Calibri" w:hAnsi="宋体" w:eastAsia="宋体" w:cs="宋体"/>
          <w:color w:val="auto"/>
          <w:sz w:val="24"/>
          <w:szCs w:val="24"/>
          <w:highlight w:val="none"/>
        </w:rPr>
        <w:t>调整部分仅计算税金，除此表列明的材料、设备外，其余材料设备价差原则上不予调整。</w:t>
      </w:r>
    </w:p>
    <w:p w14:paraId="6D5585AA">
      <w:pPr>
        <w:spacing w:line="400" w:lineRule="exact"/>
        <w:ind w:firstLine="480" w:firstLineChars="200"/>
        <w:jc w:val="left"/>
        <w:rPr>
          <w:rFonts w:hint="eastAsia" w:ascii="Times New Roman" w:hAnsi="宋体" w:eastAsia="宋体" w:cs="Times New Roman"/>
          <w:color w:val="auto"/>
          <w:sz w:val="24"/>
          <w:szCs w:val="24"/>
          <w:highlight w:val="none"/>
        </w:rPr>
      </w:pPr>
      <w:r>
        <w:rPr>
          <w:rFonts w:hint="eastAsia" w:ascii="Times New Roman" w:hAnsi="宋体" w:eastAsia="宋体" w:cs="宋体"/>
          <w:color w:val="auto"/>
          <w:sz w:val="24"/>
          <w:szCs w:val="24"/>
          <w:highlight w:val="none"/>
        </w:rPr>
        <w:t>（</w:t>
      </w:r>
      <w:r>
        <w:rPr>
          <w:rFonts w:ascii="Times New Roman" w:hAnsi="Times New Roman" w:eastAsia="宋体" w:cs="Times New Roman"/>
          <w:color w:val="auto"/>
          <w:sz w:val="24"/>
          <w:szCs w:val="24"/>
          <w:highlight w:val="none"/>
        </w:rPr>
        <w:t>2</w:t>
      </w:r>
      <w:r>
        <w:rPr>
          <w:rFonts w:hint="eastAsia" w:ascii="Times New Roman" w:hAnsi="宋体" w:eastAsia="宋体" w:cs="宋体"/>
          <w:color w:val="auto"/>
          <w:sz w:val="24"/>
          <w:szCs w:val="24"/>
          <w:highlight w:val="none"/>
        </w:rPr>
        <w:t>）主要材料和设备确认价：</w:t>
      </w:r>
    </w:p>
    <w:p w14:paraId="0B1FF076">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按施工期间《</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 xml:space="preserve">防城港 </w:t>
      </w:r>
      <w:r>
        <w:rPr>
          <w:rFonts w:hint="eastAsia" w:ascii="Times New Roman" w:hAnsi="宋体" w:eastAsia="宋体" w:cs="宋体"/>
          <w:color w:val="auto"/>
          <w:sz w:val="24"/>
          <w:szCs w:val="24"/>
          <w:highlight w:val="none"/>
        </w:rPr>
        <w:t>市建设工程造价信息》2026年第</w:t>
      </w:r>
      <w:r>
        <w:rPr>
          <w:rFonts w:hint="eastAsia" w:hAnsi="宋体" w:cs="宋体"/>
          <w:color w:val="auto"/>
          <w:sz w:val="24"/>
          <w:szCs w:val="24"/>
          <w:highlight w:val="none"/>
          <w:lang w:val="en-US" w:eastAsia="zh-CN"/>
        </w:rPr>
        <w:t>6</w:t>
      </w:r>
      <w:r>
        <w:rPr>
          <w:rFonts w:hint="eastAsia" w:ascii="Times New Roman" w:hAnsi="宋体" w:eastAsia="宋体" w:cs="宋体"/>
          <w:color w:val="auto"/>
          <w:sz w:val="24"/>
          <w:szCs w:val="24"/>
          <w:highlight w:val="none"/>
        </w:rPr>
        <w:t>期除税价格材料信息价的加权平均价计算，信息价没有的按通用条款规定</w:t>
      </w:r>
      <w:r>
        <w:rPr>
          <w:rFonts w:hint="eastAsia" w:ascii="Times New Roman" w:hAnsi="宋体" w:eastAsia="宋体" w:cs="宋体"/>
          <w:color w:val="auto"/>
          <w:sz w:val="24"/>
          <w:szCs w:val="24"/>
          <w:highlight w:val="none"/>
          <w:lang w:val="en-US" w:eastAsia="zh-CN"/>
        </w:rPr>
        <w:t>或参考同期周边地市发布的价格或参照市场价及市场询价。</w:t>
      </w:r>
    </w:p>
    <w:p w14:paraId="41677008">
      <w:pPr>
        <w:spacing w:line="400" w:lineRule="exact"/>
        <w:ind w:firstLine="480" w:firstLineChars="200"/>
        <w:jc w:val="left"/>
        <w:rPr>
          <w:rFonts w:hint="eastAsia" w:ascii="Times New Roman" w:hAnsi="宋体" w:eastAsia="宋体" w:cs="Times New Roman"/>
          <w:color w:val="auto"/>
          <w:sz w:val="24"/>
          <w:szCs w:val="24"/>
          <w:highlight w:val="none"/>
        </w:rPr>
      </w:pPr>
      <w:r>
        <w:rPr>
          <w:rFonts w:hint="eastAsia" w:ascii="Times New Roman" w:hAnsi="宋体" w:eastAsia="宋体" w:cs="宋体"/>
          <w:color w:val="auto"/>
          <w:sz w:val="24"/>
          <w:szCs w:val="24"/>
          <w:highlight w:val="none"/>
        </w:rPr>
        <w:t>（</w:t>
      </w:r>
      <w:r>
        <w:rPr>
          <w:rFonts w:ascii="Times New Roman" w:hAnsi="Times New Roman" w:eastAsia="宋体" w:cs="Times New Roman"/>
          <w:color w:val="auto"/>
          <w:sz w:val="24"/>
          <w:szCs w:val="24"/>
          <w:highlight w:val="none"/>
        </w:rPr>
        <w:t>3</w:t>
      </w:r>
      <w:r>
        <w:rPr>
          <w:rFonts w:hint="eastAsia" w:ascii="Times New Roman" w:hAnsi="宋体" w:eastAsia="宋体" w:cs="宋体"/>
          <w:color w:val="auto"/>
          <w:sz w:val="24"/>
          <w:szCs w:val="24"/>
          <w:highlight w:val="none"/>
        </w:rPr>
        <w:t>）价差计算方法：</w:t>
      </w:r>
    </w:p>
    <w:p w14:paraId="5B862A07">
      <w:pPr>
        <w:spacing w:line="400" w:lineRule="exact"/>
        <w:ind w:firstLine="480" w:firstLineChars="200"/>
        <w:jc w:val="left"/>
        <w:rPr>
          <w:rFonts w:hint="eastAsia" w:ascii="Times New Roman" w:hAnsi="宋体" w:eastAsia="宋体" w:cs="Times New Roman"/>
          <w:color w:val="auto"/>
          <w:sz w:val="24"/>
          <w:szCs w:val="24"/>
          <w:highlight w:val="none"/>
        </w:rPr>
      </w:pPr>
      <w:r>
        <w:rPr>
          <w:rFonts w:hint="eastAsia" w:ascii="Times New Roman" w:hAnsi="宋体" w:eastAsia="宋体" w:cs="宋体"/>
          <w:color w:val="auto"/>
          <w:sz w:val="24"/>
          <w:szCs w:val="24"/>
          <w:highlight w:val="none"/>
        </w:rPr>
        <w:t>①《承包人提供主要材料和设备一览表》中载明的材料和设备投标报价低于基准价格的：合同履行期间材料和设备单价涨幅以基准价格为基础超过约定的风险范围时，或材料和设备单价跌幅以投标报价为基础超过约定的风险范围时，对其超过部分进行价差调整，价差计算公式：价格上涨价差=确认价-基准价*（1+风险系数），价格下跌价差=确认价-投标报价*（1+风险系数）。</w:t>
      </w:r>
    </w:p>
    <w:p w14:paraId="0D520F18">
      <w:pPr>
        <w:spacing w:line="400" w:lineRule="exact"/>
        <w:ind w:firstLine="480" w:firstLineChars="200"/>
        <w:jc w:val="left"/>
        <w:rPr>
          <w:rFonts w:hint="eastAsia" w:ascii="Times New Roman" w:hAnsi="宋体" w:eastAsia="宋体" w:cs="Times New Roman"/>
          <w:color w:val="auto"/>
          <w:sz w:val="24"/>
          <w:szCs w:val="24"/>
          <w:highlight w:val="none"/>
        </w:rPr>
      </w:pPr>
      <w:r>
        <w:rPr>
          <w:rFonts w:hint="eastAsia" w:ascii="Times New Roman" w:hAnsi="宋体" w:eastAsia="宋体" w:cs="宋体"/>
          <w:color w:val="auto"/>
          <w:sz w:val="24"/>
          <w:szCs w:val="24"/>
          <w:highlight w:val="none"/>
        </w:rPr>
        <w:t>②承包人在《承包人提供主要材料和设备一览表》中载明的材料和设备投标报价高于基准价格的：合同履行期间材料和设备单价跌幅以基准价格为基础超过约定的风险范围时，或材料和设备单价涨幅以投标报价为基础超过约定的风险范围时，对其超过部分进行价差调整。价差计算公式：价格上涨价差=确认价-投标报价*（1+风险系数），价格下跌价差=确认价-基准价*（1+风险系数。）</w:t>
      </w:r>
    </w:p>
    <w:p w14:paraId="61C802BB">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③承包人在《承包人提供主要材料和设备一览表》中载明的材料和设备单价等于基准单价的：合同履行期间材料和设备单价涨跌幅以基准单价为基础超过约定的风险范围时，对其超过部分进行价差调整。价差计算公式：上涨或下跌价差=确认价-基准单价*（1+风险系数））</w:t>
      </w:r>
    </w:p>
    <w:p w14:paraId="67B64598">
      <w:pPr>
        <w:spacing w:line="400" w:lineRule="exact"/>
        <w:ind w:firstLine="645"/>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第</w:t>
      </w:r>
      <w:r>
        <w:rPr>
          <w:rFonts w:ascii="Times New Roman" w:hAnsi="宋体" w:eastAsia="宋体" w:cs="Times New Roman"/>
          <w:color w:val="auto"/>
          <w:sz w:val="24"/>
          <w:szCs w:val="24"/>
          <w:highlight w:val="none"/>
        </w:rPr>
        <w:t>3</w:t>
      </w:r>
      <w:r>
        <w:rPr>
          <w:rFonts w:hint="eastAsia" w:ascii="Times New Roman" w:hAnsi="宋体" w:eastAsia="宋体" w:cs="宋体"/>
          <w:color w:val="auto"/>
          <w:sz w:val="24"/>
          <w:szCs w:val="24"/>
          <w:highlight w:val="none"/>
        </w:rPr>
        <w:t>种方式：</w:t>
      </w:r>
      <w:r>
        <w:rPr>
          <w:rFonts w:ascii="Times New Roman" w:hAnsi="Times New Roman" w:eastAsia="宋体" w:cs="Times New Roman"/>
          <w:color w:val="auto"/>
          <w:sz w:val="24"/>
          <w:szCs w:val="24"/>
          <w:highlight w:val="none"/>
          <w:u w:val="single"/>
        </w:rPr>
        <w:t xml:space="preserve">               </w:t>
      </w:r>
      <w:r>
        <w:rPr>
          <w:rFonts w:ascii="宋体" w:hAnsi="Courier New"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w:t>
      </w:r>
      <w:r>
        <w:rPr>
          <w:rFonts w:ascii="宋体" w:hAnsi="Courier New"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rPr>
        <w:t xml:space="preserve"> </w:t>
      </w:r>
      <w:r>
        <w:rPr>
          <w:rFonts w:hint="eastAsia" w:ascii="Times New Roman" w:hAnsi="Times New Roman" w:eastAsia="宋体" w:cs="宋体"/>
          <w:color w:val="auto"/>
          <w:sz w:val="24"/>
          <w:szCs w:val="24"/>
          <w:highlight w:val="none"/>
        </w:rPr>
        <w:t>。</w:t>
      </w:r>
    </w:p>
    <w:bookmarkEnd w:id="608"/>
    <w:bookmarkEnd w:id="609"/>
    <w:bookmarkEnd w:id="610"/>
    <w:bookmarkEnd w:id="611"/>
    <w:bookmarkEnd w:id="612"/>
    <w:bookmarkEnd w:id="613"/>
    <w:p w14:paraId="5E3B9780">
      <w:pPr>
        <w:keepNext/>
        <w:keepLines/>
        <w:spacing w:before="60" w:after="60" w:line="400" w:lineRule="exact"/>
        <w:outlineLvl w:val="1"/>
        <w:rPr>
          <w:rFonts w:ascii="Arial" w:hAnsi="Arial" w:eastAsia="黑体" w:cs="Times New Roman"/>
          <w:b/>
          <w:bCs/>
          <w:color w:val="auto"/>
          <w:sz w:val="24"/>
          <w:szCs w:val="24"/>
          <w:highlight w:val="none"/>
          <w:lang w:val="zh-CN"/>
        </w:rPr>
      </w:pPr>
      <w:bookmarkStart w:id="762" w:name="_Toc292559410"/>
      <w:bookmarkStart w:id="763" w:name="_Toc296891033"/>
      <w:bookmarkStart w:id="764" w:name="_Toc292559915"/>
      <w:bookmarkStart w:id="765" w:name="_Toc297120505"/>
      <w:bookmarkStart w:id="766" w:name="_Toc296346706"/>
      <w:bookmarkStart w:id="767" w:name="_Toc296944544"/>
      <w:bookmarkStart w:id="768" w:name="_Toc296503205"/>
      <w:bookmarkStart w:id="769" w:name="_Toc296347204"/>
      <w:bookmarkStart w:id="770" w:name="_Toc297048391"/>
      <w:bookmarkStart w:id="771" w:name="_Toc296891245"/>
      <w:bookmarkStart w:id="772" w:name="_Toc373478395"/>
      <w:bookmarkStart w:id="773" w:name="_Toc9850579"/>
      <w:bookmarkStart w:id="774" w:name="_Toc407135251"/>
      <w:bookmarkStart w:id="775" w:name="_Toc373227748"/>
      <w:bookmarkStart w:id="776" w:name="_Toc351203644"/>
      <w:bookmarkStart w:id="777" w:name="_Toc297216211"/>
      <w:bookmarkStart w:id="778" w:name="_Toc300935002"/>
      <w:bookmarkStart w:id="779" w:name="_Toc303539159"/>
      <w:bookmarkStart w:id="780" w:name="_Toc304295579"/>
      <w:bookmarkStart w:id="781" w:name="_Toc297123552"/>
      <w:bookmarkStart w:id="782" w:name="_Toc312678040"/>
      <w:r>
        <w:rPr>
          <w:rFonts w:ascii="Arial" w:hAnsi="Arial" w:eastAsia="黑体" w:cs="Times New Roman"/>
          <w:b/>
          <w:bCs/>
          <w:color w:val="auto"/>
          <w:sz w:val="24"/>
          <w:szCs w:val="24"/>
          <w:highlight w:val="none"/>
          <w:lang w:val="zh-CN"/>
        </w:rPr>
        <w:t xml:space="preserve">12. </w:t>
      </w:r>
      <w:bookmarkEnd w:id="762"/>
      <w:bookmarkEnd w:id="763"/>
      <w:bookmarkEnd w:id="764"/>
      <w:bookmarkEnd w:id="765"/>
      <w:bookmarkEnd w:id="766"/>
      <w:bookmarkEnd w:id="767"/>
      <w:bookmarkEnd w:id="768"/>
      <w:bookmarkEnd w:id="769"/>
      <w:bookmarkEnd w:id="770"/>
      <w:bookmarkEnd w:id="771"/>
      <w:r>
        <w:rPr>
          <w:rFonts w:hint="eastAsia" w:ascii="Arial" w:hAnsi="Arial" w:eastAsia="黑体" w:cs="黑体"/>
          <w:b/>
          <w:bCs/>
          <w:color w:val="auto"/>
          <w:sz w:val="24"/>
          <w:szCs w:val="24"/>
          <w:highlight w:val="none"/>
          <w:lang w:val="zh-CN"/>
        </w:rPr>
        <w:t>合同价格、计量与支付</w:t>
      </w:r>
      <w:bookmarkEnd w:id="772"/>
      <w:bookmarkEnd w:id="773"/>
      <w:bookmarkEnd w:id="774"/>
      <w:bookmarkEnd w:id="775"/>
      <w:bookmarkEnd w:id="776"/>
    </w:p>
    <w:bookmarkEnd w:id="777"/>
    <w:bookmarkEnd w:id="778"/>
    <w:bookmarkEnd w:id="779"/>
    <w:bookmarkEnd w:id="780"/>
    <w:bookmarkEnd w:id="781"/>
    <w:bookmarkEnd w:id="782"/>
    <w:p w14:paraId="19995595">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783" w:name="_Toc292559916"/>
      <w:bookmarkStart w:id="784" w:name="_Toc267251461"/>
      <w:bookmarkStart w:id="785" w:name="_Toc292559411"/>
      <w:bookmarkStart w:id="786" w:name="_Toc296503206"/>
      <w:bookmarkStart w:id="787" w:name="_Toc296347205"/>
      <w:bookmarkStart w:id="788" w:name="_Toc297048392"/>
      <w:bookmarkStart w:id="789" w:name="_Toc296346707"/>
      <w:bookmarkStart w:id="790" w:name="_Toc296944545"/>
      <w:bookmarkStart w:id="791" w:name="_Toc296891246"/>
      <w:bookmarkStart w:id="792" w:name="_Toc297120506"/>
      <w:bookmarkStart w:id="793" w:name="_Toc296891034"/>
      <w:bookmarkStart w:id="794" w:name="_Toc407135252"/>
      <w:bookmarkStart w:id="795" w:name="_Toc389065314"/>
      <w:bookmarkStart w:id="796" w:name="_Toc373227749"/>
      <w:bookmarkStart w:id="797" w:name="_Toc373478396"/>
      <w:bookmarkStart w:id="798" w:name="_Toc9850580"/>
      <w:bookmarkStart w:id="799" w:name="_Toc303539160"/>
      <w:bookmarkStart w:id="800" w:name="_Toc297216212"/>
      <w:bookmarkStart w:id="801" w:name="_Toc297123553"/>
      <w:bookmarkStart w:id="802" w:name="_Toc312678041"/>
      <w:bookmarkStart w:id="803" w:name="_Toc300935003"/>
      <w:bookmarkStart w:id="804" w:name="_Toc304295580"/>
      <w:r>
        <w:rPr>
          <w:rFonts w:ascii="Times New Roman" w:hAnsi="Times New Roman" w:eastAsia="黑体" w:cs="Times New Roman"/>
          <w:b/>
          <w:bCs/>
          <w:color w:val="auto"/>
          <w:sz w:val="24"/>
          <w:szCs w:val="24"/>
          <w:highlight w:val="none"/>
          <w:lang w:val="zh-CN"/>
        </w:rPr>
        <w:t xml:space="preserve">12.1 </w:t>
      </w:r>
      <w:r>
        <w:rPr>
          <w:rFonts w:hint="eastAsia" w:ascii="Times New Roman" w:hAnsi="宋体" w:eastAsia="黑体" w:cs="黑体"/>
          <w:b/>
          <w:bCs/>
          <w:color w:val="auto"/>
          <w:sz w:val="24"/>
          <w:szCs w:val="24"/>
          <w:highlight w:val="none"/>
          <w:lang w:val="zh-CN"/>
        </w:rPr>
        <w:t>合</w:t>
      </w:r>
      <w:bookmarkEnd w:id="783"/>
      <w:bookmarkEnd w:id="784"/>
      <w:bookmarkEnd w:id="785"/>
      <w:r>
        <w:rPr>
          <w:rFonts w:hint="eastAsia" w:ascii="Times New Roman" w:hAnsi="宋体" w:eastAsia="黑体" w:cs="黑体"/>
          <w:b/>
          <w:bCs/>
          <w:color w:val="auto"/>
          <w:sz w:val="24"/>
          <w:szCs w:val="24"/>
          <w:highlight w:val="none"/>
          <w:lang w:val="zh-CN"/>
        </w:rPr>
        <w:t>同价</w:t>
      </w:r>
      <w:bookmarkEnd w:id="786"/>
      <w:bookmarkEnd w:id="787"/>
      <w:bookmarkEnd w:id="788"/>
      <w:bookmarkEnd w:id="789"/>
      <w:bookmarkEnd w:id="790"/>
      <w:bookmarkEnd w:id="791"/>
      <w:bookmarkEnd w:id="792"/>
      <w:bookmarkEnd w:id="793"/>
      <w:r>
        <w:rPr>
          <w:rFonts w:hint="eastAsia" w:ascii="Times New Roman" w:hAnsi="宋体" w:eastAsia="黑体" w:cs="黑体"/>
          <w:b/>
          <w:bCs/>
          <w:color w:val="auto"/>
          <w:sz w:val="24"/>
          <w:szCs w:val="24"/>
          <w:highlight w:val="none"/>
          <w:lang w:val="zh-CN"/>
        </w:rPr>
        <w:t>格形式</w:t>
      </w:r>
      <w:bookmarkEnd w:id="794"/>
      <w:bookmarkEnd w:id="795"/>
      <w:bookmarkEnd w:id="796"/>
      <w:bookmarkEnd w:id="797"/>
      <w:bookmarkEnd w:id="798"/>
    </w:p>
    <w:bookmarkEnd w:id="799"/>
    <w:bookmarkEnd w:id="800"/>
    <w:bookmarkEnd w:id="801"/>
    <w:bookmarkEnd w:id="802"/>
    <w:bookmarkEnd w:id="803"/>
    <w:bookmarkEnd w:id="804"/>
    <w:p w14:paraId="290DC8A6">
      <w:pPr>
        <w:spacing w:line="400" w:lineRule="exact"/>
        <w:ind w:firstLine="480" w:firstLineChars="200"/>
        <w:jc w:val="left"/>
        <w:rPr>
          <w:rFonts w:hint="eastAsia" w:ascii="Times New Roman" w:hAnsi="宋体" w:eastAsia="宋体" w:cs="Times New Roman"/>
          <w:color w:val="auto"/>
          <w:sz w:val="24"/>
          <w:szCs w:val="24"/>
          <w:highlight w:val="none"/>
        </w:rPr>
      </w:pPr>
      <w:bookmarkStart w:id="805" w:name="_Toc373478397"/>
      <w:bookmarkStart w:id="806" w:name="_Toc373227750"/>
      <w:bookmarkStart w:id="807" w:name="_Toc389065315"/>
      <w:bookmarkStart w:id="808" w:name="_Toc312678042"/>
      <w:bookmarkStart w:id="809" w:name="_Toc297216213"/>
      <w:bookmarkStart w:id="810" w:name="_Toc303539161"/>
      <w:bookmarkStart w:id="811" w:name="_Toc304295581"/>
      <w:bookmarkStart w:id="812" w:name="_Toc297123554"/>
      <w:bookmarkStart w:id="813" w:name="_Toc300935004"/>
      <w:bookmarkStart w:id="814" w:name="_Toc296891247"/>
      <w:bookmarkStart w:id="815" w:name="_Toc296503207"/>
      <w:bookmarkStart w:id="816" w:name="_Toc296347206"/>
      <w:bookmarkStart w:id="817" w:name="_Toc292559412"/>
      <w:bookmarkStart w:id="818" w:name="_Toc292559917"/>
      <w:bookmarkStart w:id="819" w:name="_Toc296346708"/>
      <w:bookmarkStart w:id="820" w:name="_Toc297120507"/>
      <w:bookmarkStart w:id="821" w:name="_Toc296891035"/>
      <w:bookmarkStart w:id="822" w:name="_Toc297048393"/>
      <w:bookmarkStart w:id="823" w:name="_Toc296944546"/>
      <w:r>
        <w:rPr>
          <w:rFonts w:hint="eastAsia" w:ascii="Times New Roman" w:hAnsi="宋体" w:eastAsia="宋体" w:cs="宋体"/>
          <w:color w:val="auto"/>
          <w:sz w:val="24"/>
          <w:szCs w:val="24"/>
          <w:highlight w:val="none"/>
        </w:rPr>
        <w:t>本工程采用</w:t>
      </w:r>
      <w:r>
        <w:rPr>
          <w:rFonts w:ascii="宋体" w:hAnsi="宋体" w:eastAsia="宋体" w:cs="Times New Roman"/>
          <w:color w:val="auto"/>
          <w:sz w:val="24"/>
          <w:szCs w:val="24"/>
          <w:highlight w:val="none"/>
          <w:u w:val="single"/>
        </w:rPr>
        <w:t>固定综合单价</w:t>
      </w:r>
      <w:r>
        <w:rPr>
          <w:rFonts w:ascii="宋体" w:hAnsi="Courier New"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合同价格形式，合同价格包含增值税，本工程计价时采用的增值税计税方法为：</w:t>
      </w:r>
      <w:r>
        <w:rPr>
          <w:rFonts w:hint="eastAsia" w:ascii="宋体" w:hAnsi="宋体" w:eastAsia="宋体" w:cs="宋体"/>
          <w:color w:val="auto"/>
          <w:sz w:val="24"/>
          <w:szCs w:val="24"/>
          <w:highlight w:val="none"/>
        </w:rPr>
        <w:sym w:font="Wingdings" w:char="F0FE"/>
      </w:r>
      <w:r>
        <w:rPr>
          <w:rFonts w:hint="eastAsia" w:ascii="Times New Roman" w:hAnsi="宋体" w:eastAsia="宋体" w:cs="宋体"/>
          <w:color w:val="auto"/>
          <w:sz w:val="24"/>
          <w:szCs w:val="24"/>
          <w:highlight w:val="none"/>
        </w:rPr>
        <w:t xml:space="preserve">一般计税法   </w:t>
      </w:r>
      <w:r>
        <w:rPr>
          <w:rFonts w:hint="eastAsia" w:ascii="宋体" w:hAnsi="宋体" w:eastAsia="宋体" w:cs="宋体"/>
          <w:color w:val="auto"/>
          <w:sz w:val="24"/>
          <w:szCs w:val="24"/>
          <w:highlight w:val="none"/>
        </w:rPr>
        <w:t>□</w:t>
      </w:r>
      <w:r>
        <w:rPr>
          <w:rFonts w:hint="eastAsia" w:ascii="Times New Roman" w:hAnsi="宋体" w:eastAsia="宋体" w:cs="宋体"/>
          <w:color w:val="auto"/>
          <w:sz w:val="24"/>
          <w:szCs w:val="24"/>
          <w:highlight w:val="none"/>
        </w:rPr>
        <w:t>简易计税法。</w:t>
      </w:r>
    </w:p>
    <w:p w14:paraId="3EFB2DE9">
      <w:pPr>
        <w:spacing w:line="400" w:lineRule="exact"/>
        <w:ind w:firstLine="480" w:firstLineChars="200"/>
        <w:jc w:val="left"/>
        <w:rPr>
          <w:rFonts w:hint="eastAsia" w:ascii="Times New Roman" w:hAnsi="宋体" w:eastAsia="宋体" w:cs="Times New Roman"/>
          <w:color w:val="auto"/>
          <w:sz w:val="24"/>
          <w:szCs w:val="24"/>
          <w:highlight w:val="none"/>
        </w:rPr>
      </w:pPr>
      <w:r>
        <w:rPr>
          <w:rFonts w:hint="eastAsia" w:ascii="Times New Roman" w:hAnsi="宋体" w:eastAsia="宋体" w:cs="宋体"/>
          <w:color w:val="auto"/>
          <w:sz w:val="24"/>
          <w:szCs w:val="24"/>
          <w:highlight w:val="none"/>
        </w:rPr>
        <w:t>（</w:t>
      </w:r>
      <w:r>
        <w:rPr>
          <w:rFonts w:ascii="Times New Roman" w:hAnsi="宋体" w:eastAsia="宋体" w:cs="Times New Roman"/>
          <w:color w:val="auto"/>
          <w:sz w:val="24"/>
          <w:szCs w:val="24"/>
          <w:highlight w:val="none"/>
        </w:rPr>
        <w:t>1</w:t>
      </w:r>
      <w:r>
        <w:rPr>
          <w:rFonts w:hint="eastAsia" w:ascii="Times New Roman" w:hAnsi="宋体" w:eastAsia="宋体" w:cs="宋体"/>
          <w:color w:val="auto"/>
          <w:sz w:val="24"/>
          <w:szCs w:val="24"/>
          <w:highlight w:val="none"/>
        </w:rPr>
        <w:t>）单价合同。</w:t>
      </w:r>
    </w:p>
    <w:p w14:paraId="00D59EC7">
      <w:pPr>
        <w:spacing w:line="400" w:lineRule="exact"/>
        <w:ind w:firstLine="480" w:firstLineChars="200"/>
        <w:jc w:val="left"/>
        <w:rPr>
          <w:rFonts w:hint="eastAsia" w:ascii="Times New Roman" w:hAnsi="宋体" w:eastAsia="宋体" w:cs="Times New Roman"/>
          <w:color w:val="auto"/>
          <w:sz w:val="24"/>
          <w:szCs w:val="24"/>
          <w:highlight w:val="none"/>
        </w:rPr>
      </w:pPr>
      <w:r>
        <w:rPr>
          <w:rFonts w:hint="eastAsia" w:ascii="Times New Roman" w:hAnsi="宋体" w:eastAsia="宋体" w:cs="宋体"/>
          <w:color w:val="auto"/>
          <w:sz w:val="24"/>
          <w:szCs w:val="24"/>
          <w:highlight w:val="none"/>
        </w:rPr>
        <w:t>采用综合单价合同方式时，工程量按建设单位、监理单位、施工单位三方确认的竣工图结算。</w:t>
      </w:r>
    </w:p>
    <w:p w14:paraId="35378A4F">
      <w:pPr>
        <w:spacing w:line="400" w:lineRule="exact"/>
        <w:ind w:firstLine="480" w:firstLineChars="200"/>
        <w:jc w:val="left"/>
        <w:rPr>
          <w:rFonts w:hint="eastAsia" w:ascii="Times New Roman" w:hAnsi="宋体" w:eastAsia="宋体" w:cs="Times New Roman"/>
          <w:color w:val="auto"/>
          <w:sz w:val="24"/>
          <w:szCs w:val="24"/>
          <w:highlight w:val="none"/>
        </w:rPr>
      </w:pPr>
      <w:r>
        <w:rPr>
          <w:rFonts w:hint="eastAsia" w:ascii="Times New Roman" w:hAnsi="宋体" w:eastAsia="宋体" w:cs="宋体"/>
          <w:color w:val="auto"/>
          <w:sz w:val="24"/>
          <w:szCs w:val="24"/>
          <w:highlight w:val="none"/>
        </w:rPr>
        <w:t>综合单价包含的风险范围：</w:t>
      </w:r>
      <w:r>
        <w:rPr>
          <w:rFonts w:hint="eastAsia" w:ascii="Times New Roman" w:hAnsi="宋体" w:eastAsia="宋体" w:cs="宋体"/>
          <w:color w:val="auto"/>
          <w:sz w:val="24"/>
          <w:szCs w:val="24"/>
          <w:highlight w:val="none"/>
          <w:u w:val="single"/>
        </w:rPr>
        <w:t>除工程变更、项目特征不符、工程量清单缺项、工程量偏差、政策性调整、本工程《承包人提供主要材料和设备一览表》中约定的材料和设备价格变动风险以外的其他风险因素。</w:t>
      </w:r>
    </w:p>
    <w:p w14:paraId="19A898C7">
      <w:pPr>
        <w:spacing w:line="400" w:lineRule="exact"/>
        <w:ind w:firstLine="480" w:firstLineChars="200"/>
        <w:jc w:val="left"/>
        <w:rPr>
          <w:rFonts w:hint="eastAsia" w:ascii="Times New Roman" w:hAnsi="宋体" w:eastAsia="宋体" w:cs="宋体"/>
          <w:color w:val="auto"/>
          <w:sz w:val="24"/>
          <w:szCs w:val="24"/>
          <w:highlight w:val="none"/>
        </w:rPr>
      </w:pPr>
      <w:r>
        <w:rPr>
          <w:rFonts w:hint="eastAsia" w:ascii="Times New Roman" w:hAnsi="宋体" w:eastAsia="宋体" w:cs="宋体"/>
          <w:color w:val="auto"/>
          <w:sz w:val="24"/>
          <w:szCs w:val="24"/>
          <w:highlight w:val="none"/>
        </w:rPr>
        <w:t>风险范围以外合同价格的调整方法：</w:t>
      </w:r>
    </w:p>
    <w:p w14:paraId="6D6A32B8">
      <w:pPr>
        <w:spacing w:line="400" w:lineRule="exact"/>
        <w:ind w:firstLine="480" w:firstLineChars="200"/>
        <w:jc w:val="left"/>
        <w:rPr>
          <w:rFonts w:hint="eastAsia" w:ascii="Times New Roman" w:hAnsi="宋体" w:eastAsia="宋体" w:cs="宋体"/>
          <w:color w:val="auto"/>
          <w:sz w:val="24"/>
          <w:szCs w:val="24"/>
          <w:highlight w:val="none"/>
        </w:rPr>
      </w:pPr>
      <w:r>
        <w:rPr>
          <w:rFonts w:hint="eastAsia" w:ascii="Times New Roman" w:hAnsi="宋体" w:eastAsia="宋体" w:cs="宋体"/>
          <w:color w:val="auto"/>
          <w:sz w:val="24"/>
          <w:szCs w:val="24"/>
          <w:highlight w:val="none"/>
        </w:rPr>
        <w:t>①工程变更</w:t>
      </w:r>
      <w:r>
        <w:rPr>
          <w:rFonts w:hint="eastAsia" w:ascii="Calibri" w:hAnsi="宋体" w:eastAsia="宋体" w:cs="宋体"/>
          <w:color w:val="auto"/>
          <w:sz w:val="24"/>
          <w:szCs w:val="24"/>
          <w:highlight w:val="none"/>
        </w:rPr>
        <w:t>、项目特征不符、工程量清单缺项</w:t>
      </w:r>
      <w:r>
        <w:rPr>
          <w:rFonts w:hint="eastAsia" w:ascii="Times New Roman" w:hAnsi="宋体" w:eastAsia="宋体" w:cs="宋体"/>
          <w:color w:val="auto"/>
          <w:sz w:val="24"/>
          <w:szCs w:val="24"/>
          <w:highlight w:val="none"/>
        </w:rPr>
        <w:t>：按</w:t>
      </w:r>
      <w:r>
        <w:rPr>
          <w:rFonts w:ascii="Times New Roman" w:hAnsi="宋体" w:eastAsia="宋体" w:cs="宋体"/>
          <w:color w:val="auto"/>
          <w:sz w:val="24"/>
          <w:szCs w:val="24"/>
          <w:highlight w:val="none"/>
        </w:rPr>
        <w:t>10.4.1</w:t>
      </w:r>
      <w:r>
        <w:rPr>
          <w:rFonts w:hint="eastAsia" w:ascii="Times New Roman" w:hAnsi="宋体" w:eastAsia="宋体" w:cs="宋体"/>
          <w:color w:val="auto"/>
          <w:sz w:val="24"/>
          <w:szCs w:val="24"/>
          <w:highlight w:val="none"/>
        </w:rPr>
        <w:t>变更估价原则的约定调整。</w:t>
      </w:r>
    </w:p>
    <w:p w14:paraId="1F67061A">
      <w:pPr>
        <w:spacing w:line="400" w:lineRule="exact"/>
        <w:ind w:firstLine="480" w:firstLineChars="200"/>
        <w:jc w:val="left"/>
        <w:rPr>
          <w:rFonts w:hint="eastAsia" w:ascii="Times New Roman" w:hAnsi="宋体" w:eastAsia="宋体" w:cs="宋体"/>
          <w:color w:val="auto"/>
          <w:sz w:val="24"/>
          <w:szCs w:val="24"/>
          <w:highlight w:val="none"/>
        </w:rPr>
      </w:pPr>
      <w:r>
        <w:rPr>
          <w:rFonts w:hint="eastAsia" w:ascii="Times New Roman" w:hAnsi="宋体" w:eastAsia="宋体" w:cs="宋体"/>
          <w:color w:val="auto"/>
          <w:sz w:val="24"/>
          <w:szCs w:val="24"/>
          <w:highlight w:val="none"/>
        </w:rPr>
        <w:t>②</w:t>
      </w:r>
      <w:r>
        <w:rPr>
          <w:rFonts w:hint="eastAsia" w:ascii="Calibri" w:hAnsi="宋体" w:eastAsia="宋体" w:cs="宋体"/>
          <w:color w:val="auto"/>
          <w:sz w:val="24"/>
          <w:szCs w:val="24"/>
          <w:highlight w:val="none"/>
        </w:rPr>
        <w:t>工程量偏差：按1.13工程量清单错误修正的约定调整。</w:t>
      </w:r>
    </w:p>
    <w:p w14:paraId="2C912804">
      <w:pPr>
        <w:spacing w:line="400" w:lineRule="exact"/>
        <w:ind w:firstLine="480" w:firstLineChars="200"/>
        <w:jc w:val="left"/>
        <w:rPr>
          <w:rFonts w:hint="eastAsia" w:ascii="Times New Roman" w:hAnsi="宋体" w:eastAsia="宋体" w:cs="宋体"/>
          <w:color w:val="auto"/>
          <w:sz w:val="24"/>
          <w:szCs w:val="24"/>
          <w:highlight w:val="none"/>
        </w:rPr>
      </w:pPr>
      <w:r>
        <w:rPr>
          <w:rFonts w:hint="eastAsia" w:ascii="Times New Roman" w:hAnsi="宋体" w:eastAsia="宋体" w:cs="宋体"/>
          <w:color w:val="auto"/>
          <w:sz w:val="24"/>
          <w:szCs w:val="24"/>
          <w:highlight w:val="none"/>
        </w:rPr>
        <w:t>③政策性调整：</w:t>
      </w:r>
      <w:r>
        <w:rPr>
          <w:rFonts w:hint="eastAsia" w:ascii="仿宋_GB2312" w:hAnsi="宋体" w:eastAsia="宋体" w:cs="Times New Roman"/>
          <w:color w:val="auto"/>
          <w:sz w:val="24"/>
          <w:szCs w:val="24"/>
          <w:highlight w:val="none"/>
        </w:rPr>
        <w:t>按自治区</w:t>
      </w:r>
      <w:r>
        <w:rPr>
          <w:rFonts w:hint="eastAsia" w:ascii="仿宋_GB2312" w:hAnsi="宋体" w:eastAsia="宋体" w:cs="Times New Roman"/>
          <w:color w:val="auto"/>
          <w:sz w:val="24"/>
          <w:szCs w:val="24"/>
          <w:highlight w:val="none"/>
          <w:lang w:eastAsia="zh-CN"/>
        </w:rPr>
        <w:t>住房和城乡建设厅</w:t>
      </w:r>
      <w:r>
        <w:rPr>
          <w:rFonts w:hint="eastAsia" w:ascii="仿宋_GB2312" w:hAnsi="宋体" w:eastAsia="宋体" w:cs="Times New Roman"/>
          <w:color w:val="auto"/>
          <w:sz w:val="24"/>
          <w:szCs w:val="24"/>
          <w:highlight w:val="none"/>
        </w:rPr>
        <w:t>或工程所在地住房城乡建设主管部门颁布的文件执行</w:t>
      </w:r>
      <w:r>
        <w:rPr>
          <w:rFonts w:hint="eastAsia" w:ascii="Times New Roman" w:hAnsi="宋体" w:eastAsia="宋体" w:cs="宋体"/>
          <w:color w:val="auto"/>
          <w:sz w:val="24"/>
          <w:szCs w:val="24"/>
          <w:highlight w:val="none"/>
        </w:rPr>
        <w:t>。</w:t>
      </w:r>
    </w:p>
    <w:p w14:paraId="2D37F108">
      <w:pPr>
        <w:spacing w:line="400" w:lineRule="exact"/>
        <w:ind w:firstLine="480" w:firstLineChars="200"/>
        <w:jc w:val="left"/>
        <w:rPr>
          <w:rFonts w:hint="eastAsia" w:ascii="Times New Roman" w:hAnsi="宋体" w:eastAsia="宋体" w:cs="宋体"/>
          <w:color w:val="auto"/>
          <w:sz w:val="24"/>
          <w:szCs w:val="24"/>
          <w:highlight w:val="none"/>
        </w:rPr>
      </w:pPr>
      <w:r>
        <w:rPr>
          <w:rFonts w:hint="eastAsia" w:ascii="Times New Roman" w:hAnsi="宋体" w:eastAsia="宋体" w:cs="宋体"/>
          <w:color w:val="auto"/>
          <w:sz w:val="24"/>
          <w:szCs w:val="24"/>
          <w:highlight w:val="none"/>
        </w:rPr>
        <w:t>④材料价格风险：按</w:t>
      </w:r>
      <w:r>
        <w:rPr>
          <w:rFonts w:ascii="Times New Roman" w:hAnsi="宋体" w:eastAsia="宋体" w:cs="宋体"/>
          <w:color w:val="auto"/>
          <w:sz w:val="24"/>
          <w:szCs w:val="24"/>
          <w:highlight w:val="none"/>
        </w:rPr>
        <w:t>11.1</w:t>
      </w:r>
      <w:r>
        <w:rPr>
          <w:rFonts w:hint="eastAsia" w:ascii="Times New Roman" w:hAnsi="宋体" w:eastAsia="宋体" w:cs="宋体"/>
          <w:color w:val="auto"/>
          <w:sz w:val="24"/>
          <w:szCs w:val="24"/>
          <w:highlight w:val="none"/>
        </w:rPr>
        <w:t>的约定调整。</w:t>
      </w:r>
    </w:p>
    <w:p w14:paraId="01FFADD3">
      <w:pPr>
        <w:spacing w:line="400" w:lineRule="exact"/>
        <w:ind w:firstLine="480" w:firstLineChars="200"/>
        <w:jc w:val="left"/>
        <w:rPr>
          <w:rFonts w:hint="eastAsia" w:ascii="Times New Roman" w:hAnsi="宋体" w:eastAsia="宋体" w:cs="Times New Roman"/>
          <w:color w:val="auto"/>
          <w:sz w:val="24"/>
          <w:szCs w:val="24"/>
          <w:highlight w:val="none"/>
        </w:rPr>
      </w:pPr>
      <w:r>
        <w:rPr>
          <w:rFonts w:hint="eastAsia" w:ascii="Times New Roman" w:hAnsi="宋体" w:eastAsia="宋体" w:cs="宋体"/>
          <w:color w:val="auto"/>
          <w:sz w:val="24"/>
          <w:szCs w:val="24"/>
          <w:highlight w:val="none"/>
        </w:rPr>
        <w:t>⑤其它：</w:t>
      </w:r>
      <w:r>
        <w:rPr>
          <w:rFonts w:ascii="Times New Roman" w:hAnsi="宋体"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43FA3CFE">
      <w:pPr>
        <w:spacing w:line="400" w:lineRule="exact"/>
        <w:ind w:firstLine="480" w:firstLineChars="200"/>
        <w:jc w:val="left"/>
        <w:rPr>
          <w:rFonts w:hint="eastAsia" w:ascii="Times New Roman" w:hAnsi="宋体" w:eastAsia="宋体" w:cs="Times New Roman"/>
          <w:color w:val="auto"/>
          <w:sz w:val="24"/>
          <w:szCs w:val="24"/>
          <w:highlight w:val="none"/>
        </w:rPr>
      </w:pPr>
      <w:r>
        <w:rPr>
          <w:rFonts w:hint="eastAsia" w:ascii="Times New Roman" w:hAnsi="宋体" w:eastAsia="宋体" w:cs="宋体"/>
          <w:color w:val="auto"/>
          <w:sz w:val="24"/>
          <w:szCs w:val="24"/>
          <w:highlight w:val="none"/>
        </w:rPr>
        <w:t>（</w:t>
      </w:r>
      <w:r>
        <w:rPr>
          <w:rFonts w:ascii="Times New Roman" w:hAnsi="宋体" w:eastAsia="宋体" w:cs="Times New Roman"/>
          <w:color w:val="auto"/>
          <w:sz w:val="24"/>
          <w:szCs w:val="24"/>
          <w:highlight w:val="none"/>
        </w:rPr>
        <w:t>2</w:t>
      </w:r>
      <w:r>
        <w:rPr>
          <w:rFonts w:hint="eastAsia" w:ascii="Times New Roman" w:hAnsi="宋体" w:eastAsia="宋体" w:cs="宋体"/>
          <w:color w:val="auto"/>
          <w:sz w:val="24"/>
          <w:szCs w:val="24"/>
          <w:highlight w:val="none"/>
        </w:rPr>
        <w:t>）总价合同。</w:t>
      </w:r>
    </w:p>
    <w:p w14:paraId="5A0480A6">
      <w:pPr>
        <w:spacing w:line="400" w:lineRule="exact"/>
        <w:ind w:firstLine="480" w:firstLineChars="200"/>
        <w:jc w:val="left"/>
        <w:rPr>
          <w:rFonts w:hint="eastAsia" w:ascii="Times New Roman" w:hAnsi="宋体" w:eastAsia="宋体" w:cs="Times New Roman"/>
          <w:color w:val="auto"/>
          <w:sz w:val="24"/>
          <w:szCs w:val="24"/>
          <w:highlight w:val="none"/>
        </w:rPr>
      </w:pPr>
      <w:r>
        <w:rPr>
          <w:rFonts w:hint="eastAsia" w:ascii="Times New Roman" w:hAnsi="宋体" w:eastAsia="宋体" w:cs="宋体"/>
          <w:color w:val="auto"/>
          <w:sz w:val="24"/>
          <w:szCs w:val="24"/>
          <w:highlight w:val="none"/>
        </w:rPr>
        <w:t>总价包含的风险范围：包含除工程变更、政策性调整、</w:t>
      </w:r>
      <w:r>
        <w:rPr>
          <w:rFonts w:hint="eastAsia" w:ascii="Times New Roman" w:hAnsi="宋体" w:eastAsia="宋体" w:cs="宋体"/>
          <w:color w:val="auto"/>
          <w:sz w:val="24"/>
          <w:szCs w:val="24"/>
          <w:highlight w:val="none"/>
          <w:u w:val="single"/>
        </w:rPr>
        <w:t>本工程《承包人提供主要材料和设备一览表》中约定的材料和设备价格变动风险以外的其他风险。除工程变更外，结算时不再对招标施工图对应的工程量重新计量</w:t>
      </w:r>
      <w:r>
        <w:rPr>
          <w:rFonts w:ascii="Times New Roman" w:hAnsi="宋体"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76942A92">
      <w:pPr>
        <w:spacing w:line="400" w:lineRule="exact"/>
        <w:ind w:firstLine="480" w:firstLineChars="200"/>
        <w:jc w:val="left"/>
        <w:rPr>
          <w:rFonts w:ascii="Times New Roman" w:hAnsi="Times New Roman" w:eastAsia="宋体" w:cs="宋体"/>
          <w:color w:val="auto"/>
          <w:sz w:val="24"/>
          <w:szCs w:val="24"/>
          <w:highlight w:val="none"/>
        </w:rPr>
      </w:pPr>
      <w:r>
        <w:rPr>
          <w:rFonts w:hint="eastAsia" w:ascii="Times New Roman" w:hAnsi="Times New Roman" w:eastAsia="宋体" w:cs="宋体"/>
          <w:color w:val="auto"/>
          <w:sz w:val="24"/>
          <w:szCs w:val="24"/>
          <w:highlight w:val="none"/>
        </w:rPr>
        <w:t>风险范围以外合同价格的调整方法：</w:t>
      </w:r>
    </w:p>
    <w:p w14:paraId="035EE021">
      <w:pPr>
        <w:spacing w:line="400" w:lineRule="exact"/>
        <w:ind w:firstLine="480" w:firstLineChars="200"/>
        <w:jc w:val="left"/>
        <w:rPr>
          <w:rFonts w:hint="eastAsia" w:ascii="Times New Roman" w:hAnsi="宋体" w:eastAsia="宋体" w:cs="宋体"/>
          <w:color w:val="auto"/>
          <w:sz w:val="24"/>
          <w:szCs w:val="24"/>
          <w:highlight w:val="none"/>
        </w:rPr>
      </w:pPr>
      <w:r>
        <w:rPr>
          <w:rFonts w:ascii="Times New Roman" w:hAnsi="Times New Roman" w:eastAsia="宋体" w:cs="Times New Roman"/>
          <w:color w:val="auto"/>
          <w:sz w:val="24"/>
          <w:szCs w:val="24"/>
          <w:highlight w:val="none"/>
        </w:rPr>
        <w:t xml:space="preserve"> </w:t>
      </w:r>
      <w:r>
        <w:rPr>
          <w:rFonts w:hint="eastAsia" w:ascii="Times New Roman" w:hAnsi="宋体" w:eastAsia="宋体" w:cs="宋体"/>
          <w:color w:val="auto"/>
          <w:sz w:val="24"/>
          <w:szCs w:val="24"/>
          <w:highlight w:val="none"/>
        </w:rPr>
        <w:t>①工程变更：按</w:t>
      </w:r>
      <w:r>
        <w:rPr>
          <w:rFonts w:ascii="Times New Roman" w:hAnsi="宋体" w:eastAsia="宋体" w:cs="宋体"/>
          <w:color w:val="auto"/>
          <w:sz w:val="24"/>
          <w:szCs w:val="24"/>
          <w:highlight w:val="none"/>
        </w:rPr>
        <w:t>10.4.1</w:t>
      </w:r>
      <w:r>
        <w:rPr>
          <w:rFonts w:hint="eastAsia" w:ascii="Times New Roman" w:hAnsi="宋体" w:eastAsia="宋体" w:cs="宋体"/>
          <w:color w:val="auto"/>
          <w:sz w:val="24"/>
          <w:szCs w:val="24"/>
          <w:highlight w:val="none"/>
        </w:rPr>
        <w:t>变更估价原则的约定调整。</w:t>
      </w:r>
    </w:p>
    <w:p w14:paraId="6E6F8922">
      <w:pPr>
        <w:spacing w:line="400" w:lineRule="exact"/>
        <w:ind w:firstLine="480" w:firstLineChars="200"/>
        <w:jc w:val="left"/>
        <w:rPr>
          <w:rFonts w:hint="eastAsia" w:ascii="Times New Roman" w:hAnsi="宋体" w:eastAsia="宋体" w:cs="宋体"/>
          <w:color w:val="auto"/>
          <w:sz w:val="24"/>
          <w:szCs w:val="24"/>
          <w:highlight w:val="none"/>
        </w:rPr>
      </w:pPr>
      <w:r>
        <w:rPr>
          <w:rFonts w:hint="eastAsia" w:ascii="Times New Roman" w:hAnsi="宋体" w:eastAsia="宋体" w:cs="宋体"/>
          <w:color w:val="auto"/>
          <w:sz w:val="24"/>
          <w:szCs w:val="24"/>
          <w:highlight w:val="none"/>
        </w:rPr>
        <w:t>②政策性调整：</w:t>
      </w:r>
      <w:r>
        <w:rPr>
          <w:rFonts w:hint="eastAsia" w:ascii="仿宋_GB2312" w:hAnsi="宋体" w:eastAsia="宋体" w:cs="Times New Roman"/>
          <w:color w:val="auto"/>
          <w:sz w:val="24"/>
          <w:szCs w:val="24"/>
          <w:highlight w:val="none"/>
        </w:rPr>
        <w:t>按自治区</w:t>
      </w:r>
      <w:r>
        <w:rPr>
          <w:rFonts w:hint="eastAsia" w:ascii="仿宋_GB2312" w:hAnsi="宋体" w:eastAsia="宋体" w:cs="Times New Roman"/>
          <w:color w:val="auto"/>
          <w:sz w:val="24"/>
          <w:szCs w:val="24"/>
          <w:highlight w:val="none"/>
          <w:lang w:eastAsia="zh-CN"/>
        </w:rPr>
        <w:t>住房和城乡建设厅</w:t>
      </w:r>
      <w:r>
        <w:rPr>
          <w:rFonts w:hint="eastAsia" w:ascii="仿宋_GB2312" w:hAnsi="宋体" w:eastAsia="宋体" w:cs="Times New Roman"/>
          <w:color w:val="auto"/>
          <w:sz w:val="24"/>
          <w:szCs w:val="24"/>
          <w:highlight w:val="none"/>
        </w:rPr>
        <w:t>或工程所在地住房城乡建设主管部门颁布的文件执行</w:t>
      </w:r>
      <w:r>
        <w:rPr>
          <w:rFonts w:hint="eastAsia" w:ascii="Times New Roman" w:hAnsi="宋体" w:eastAsia="宋体" w:cs="宋体"/>
          <w:color w:val="auto"/>
          <w:sz w:val="24"/>
          <w:szCs w:val="24"/>
          <w:highlight w:val="none"/>
        </w:rPr>
        <w:t>。</w:t>
      </w:r>
    </w:p>
    <w:p w14:paraId="622E3941">
      <w:pPr>
        <w:spacing w:line="400" w:lineRule="exact"/>
        <w:ind w:firstLine="480" w:firstLineChars="200"/>
        <w:jc w:val="left"/>
        <w:rPr>
          <w:rFonts w:hint="eastAsia" w:ascii="Times New Roman" w:hAnsi="宋体" w:eastAsia="宋体" w:cs="宋体"/>
          <w:color w:val="auto"/>
          <w:sz w:val="24"/>
          <w:szCs w:val="24"/>
          <w:highlight w:val="none"/>
        </w:rPr>
      </w:pPr>
      <w:r>
        <w:rPr>
          <w:rFonts w:hint="eastAsia" w:ascii="Times New Roman" w:hAnsi="宋体" w:eastAsia="宋体" w:cs="宋体"/>
          <w:color w:val="auto"/>
          <w:sz w:val="24"/>
          <w:szCs w:val="24"/>
          <w:highlight w:val="none"/>
        </w:rPr>
        <w:t>③材料价格风险：按</w:t>
      </w:r>
      <w:r>
        <w:rPr>
          <w:rFonts w:ascii="Times New Roman" w:hAnsi="宋体" w:eastAsia="宋体" w:cs="宋体"/>
          <w:color w:val="auto"/>
          <w:sz w:val="24"/>
          <w:szCs w:val="24"/>
          <w:highlight w:val="none"/>
        </w:rPr>
        <w:t>11.1</w:t>
      </w:r>
      <w:r>
        <w:rPr>
          <w:rFonts w:hint="eastAsia" w:ascii="Times New Roman" w:hAnsi="宋体" w:eastAsia="宋体" w:cs="宋体"/>
          <w:color w:val="auto"/>
          <w:sz w:val="24"/>
          <w:szCs w:val="24"/>
          <w:highlight w:val="none"/>
        </w:rPr>
        <w:t>的约定调整。</w:t>
      </w:r>
    </w:p>
    <w:p w14:paraId="4C4FB970">
      <w:pPr>
        <w:spacing w:line="400" w:lineRule="exact"/>
        <w:ind w:firstLine="480" w:firstLineChars="200"/>
        <w:jc w:val="left"/>
        <w:rPr>
          <w:rFonts w:hint="eastAsia" w:ascii="Times New Roman" w:hAnsi="宋体" w:eastAsia="宋体" w:cs="Times New Roman"/>
          <w:color w:val="auto"/>
          <w:sz w:val="24"/>
          <w:szCs w:val="24"/>
          <w:highlight w:val="none"/>
        </w:rPr>
      </w:pPr>
      <w:r>
        <w:rPr>
          <w:rFonts w:hint="eastAsia" w:ascii="Times New Roman" w:hAnsi="宋体" w:eastAsia="宋体" w:cs="宋体"/>
          <w:color w:val="auto"/>
          <w:sz w:val="24"/>
          <w:szCs w:val="24"/>
          <w:highlight w:val="none"/>
          <w:lang w:eastAsia="zh-CN"/>
        </w:rPr>
        <w:t>其他</w:t>
      </w:r>
      <w:r>
        <w:rPr>
          <w:rFonts w:hint="eastAsia" w:ascii="Times New Roman" w:hAnsi="宋体" w:eastAsia="宋体" w:cs="宋体"/>
          <w:color w:val="auto"/>
          <w:sz w:val="24"/>
          <w:szCs w:val="24"/>
          <w:highlight w:val="none"/>
        </w:rPr>
        <w:t>：</w:t>
      </w:r>
      <w:r>
        <w:rPr>
          <w:rFonts w:ascii="Times New Roman" w:hAnsi="宋体"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3A19A3E1">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Times New Roman" w:eastAsia="宋体" w:cs="宋体"/>
          <w:color w:val="auto"/>
          <w:sz w:val="24"/>
          <w:szCs w:val="24"/>
          <w:highlight w:val="none"/>
        </w:rPr>
        <w:t>（</w:t>
      </w:r>
      <w:r>
        <w:rPr>
          <w:rFonts w:ascii="Times New Roman" w:hAnsi="Times New Roman" w:eastAsia="宋体" w:cs="Times New Roman"/>
          <w:color w:val="auto"/>
          <w:sz w:val="24"/>
          <w:szCs w:val="24"/>
          <w:highlight w:val="none"/>
        </w:rPr>
        <w:t>3</w:t>
      </w:r>
      <w:r>
        <w:rPr>
          <w:rFonts w:hint="eastAsia" w:ascii="Times New Roman" w:hAnsi="Times New Roman" w:eastAsia="宋体" w:cs="宋体"/>
          <w:color w:val="auto"/>
          <w:sz w:val="24"/>
          <w:szCs w:val="24"/>
          <w:highlight w:val="none"/>
        </w:rPr>
        <w:t>）其他价格方式：</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宋体"/>
          <w:color w:val="auto"/>
          <w:sz w:val="24"/>
          <w:szCs w:val="24"/>
          <w:highlight w:val="none"/>
        </w:rPr>
        <w:t>。</w:t>
      </w:r>
    </w:p>
    <w:p w14:paraId="79589353">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824" w:name="_Toc9850581"/>
      <w:bookmarkStart w:id="825" w:name="_Toc407135253"/>
      <w:r>
        <w:rPr>
          <w:rFonts w:ascii="Times New Roman" w:hAnsi="Times New Roman" w:eastAsia="黑体" w:cs="Times New Roman"/>
          <w:b/>
          <w:bCs/>
          <w:color w:val="auto"/>
          <w:sz w:val="24"/>
          <w:szCs w:val="24"/>
          <w:highlight w:val="none"/>
          <w:lang w:val="zh-CN"/>
        </w:rPr>
        <w:t xml:space="preserve">12.2 </w:t>
      </w:r>
      <w:r>
        <w:rPr>
          <w:rFonts w:hint="eastAsia" w:ascii="Times New Roman" w:hAnsi="宋体" w:eastAsia="黑体" w:cs="黑体"/>
          <w:b/>
          <w:bCs/>
          <w:color w:val="auto"/>
          <w:sz w:val="24"/>
          <w:szCs w:val="24"/>
          <w:highlight w:val="none"/>
          <w:lang w:val="zh-CN"/>
        </w:rPr>
        <w:t>预付款</w:t>
      </w:r>
      <w:bookmarkEnd w:id="805"/>
      <w:bookmarkEnd w:id="806"/>
      <w:bookmarkEnd w:id="807"/>
      <w:bookmarkEnd w:id="824"/>
      <w:bookmarkEnd w:id="825"/>
    </w:p>
    <w:bookmarkEnd w:id="808"/>
    <w:bookmarkEnd w:id="809"/>
    <w:bookmarkEnd w:id="810"/>
    <w:bookmarkEnd w:id="811"/>
    <w:bookmarkEnd w:id="812"/>
    <w:bookmarkEnd w:id="813"/>
    <w:p w14:paraId="683E3EE6">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12.2.1 </w:t>
      </w:r>
      <w:r>
        <w:rPr>
          <w:rFonts w:hint="eastAsia" w:ascii="Times New Roman" w:hAnsi="宋体" w:eastAsia="宋体" w:cs="宋体"/>
          <w:color w:val="auto"/>
          <w:sz w:val="24"/>
          <w:szCs w:val="24"/>
          <w:highlight w:val="none"/>
        </w:rPr>
        <w:t>预付款的支付</w:t>
      </w:r>
    </w:p>
    <w:p w14:paraId="5C3A2499">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预付款支付比例或金额：</w:t>
      </w:r>
      <w:r>
        <w:rPr>
          <w:rFonts w:hint="eastAsia" w:ascii="Times New Roman" w:hAnsi="宋体" w:eastAsia="宋体" w:cs="宋体"/>
          <w:color w:val="auto"/>
          <w:sz w:val="24"/>
          <w:szCs w:val="24"/>
          <w:highlight w:val="none"/>
          <w:u w:val="single"/>
        </w:rPr>
        <w:t>签约合同价的30%</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40D9499E">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预付款支付期限：</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进场施工后15工作日之内</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50E8A513">
      <w:pPr>
        <w:spacing w:line="400" w:lineRule="exact"/>
        <w:ind w:firstLine="480" w:firstLineChars="200"/>
        <w:jc w:val="left"/>
        <w:rPr>
          <w:rFonts w:hint="eastAsia" w:ascii="Times New Roman" w:hAnsi="宋体" w:eastAsia="宋体" w:cs="宋体"/>
          <w:color w:val="auto"/>
          <w:sz w:val="24"/>
          <w:szCs w:val="24"/>
          <w:highlight w:val="none"/>
        </w:rPr>
      </w:pPr>
      <w:r>
        <w:rPr>
          <w:rFonts w:hint="eastAsia" w:ascii="Times New Roman" w:hAnsi="宋体" w:eastAsia="宋体" w:cs="宋体"/>
          <w:color w:val="auto"/>
          <w:sz w:val="24"/>
          <w:szCs w:val="24"/>
          <w:highlight w:val="none"/>
        </w:rPr>
        <w:t>预付款扣回的方式：</w:t>
      </w:r>
      <w:r>
        <w:rPr>
          <w:rFonts w:hint="eastAsia" w:ascii="Times New Roman" w:hAnsi="宋体" w:eastAsia="宋体" w:cs="宋体"/>
          <w:color w:val="auto"/>
          <w:sz w:val="24"/>
          <w:szCs w:val="24"/>
          <w:highlight w:val="none"/>
          <w:u w:val="single"/>
        </w:rPr>
        <w:t>除专用合同条款另有约定外，预付款在第一次支付进度付款中一次性扣回</w:t>
      </w:r>
      <w:r>
        <w:rPr>
          <w:rFonts w:hint="eastAsia" w:ascii="Times New Roman" w:hAnsi="宋体" w:eastAsia="宋体" w:cs="宋体"/>
          <w:color w:val="auto"/>
          <w:sz w:val="24"/>
          <w:szCs w:val="24"/>
          <w:highlight w:val="none"/>
        </w:rPr>
        <w:t>。</w:t>
      </w:r>
    </w:p>
    <w:p w14:paraId="209F2EC1">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12.2.2 </w:t>
      </w:r>
      <w:r>
        <w:rPr>
          <w:rFonts w:hint="eastAsia" w:ascii="Times New Roman" w:hAnsi="宋体" w:eastAsia="宋体" w:cs="宋体"/>
          <w:color w:val="auto"/>
          <w:sz w:val="24"/>
          <w:szCs w:val="24"/>
          <w:highlight w:val="none"/>
        </w:rPr>
        <w:t>预付款担保</w:t>
      </w:r>
    </w:p>
    <w:p w14:paraId="72BAE771">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承包人提交预付款担保的期限：</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无</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71B545D0">
      <w:pPr>
        <w:spacing w:line="400" w:lineRule="exact"/>
        <w:ind w:firstLine="480" w:firstLineChars="200"/>
        <w:jc w:val="left"/>
        <w:rPr>
          <w:rFonts w:hint="eastAsia" w:ascii="Times New Roman" w:hAnsi="宋体" w:eastAsia="宋体" w:cs="Times New Roman"/>
          <w:color w:val="auto"/>
          <w:sz w:val="24"/>
          <w:szCs w:val="24"/>
          <w:highlight w:val="none"/>
        </w:rPr>
      </w:pPr>
      <w:r>
        <w:rPr>
          <w:rFonts w:hint="eastAsia" w:ascii="Times New Roman" w:hAnsi="宋体" w:eastAsia="宋体" w:cs="宋体"/>
          <w:color w:val="auto"/>
          <w:sz w:val="24"/>
          <w:szCs w:val="24"/>
          <w:highlight w:val="none"/>
        </w:rPr>
        <w:t>预付款担保的形式为：</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无</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64A35227">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宋体" w:hAnsi="宋体" w:eastAsia="宋体" w:cs="宋体"/>
          <w:color w:val="auto"/>
          <w:sz w:val="24"/>
          <w:szCs w:val="24"/>
          <w:highlight w:val="none"/>
        </w:rPr>
        <w:t>预付款担保格式见合同附件8。预付款支付申请（核准）表见合同附件10</w:t>
      </w:r>
    </w:p>
    <w:bookmarkEnd w:id="814"/>
    <w:bookmarkEnd w:id="815"/>
    <w:bookmarkEnd w:id="816"/>
    <w:bookmarkEnd w:id="817"/>
    <w:bookmarkEnd w:id="818"/>
    <w:bookmarkEnd w:id="819"/>
    <w:bookmarkEnd w:id="820"/>
    <w:bookmarkEnd w:id="821"/>
    <w:bookmarkEnd w:id="822"/>
    <w:bookmarkEnd w:id="823"/>
    <w:p w14:paraId="304BDC09">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826" w:name="_Toc389065316"/>
      <w:bookmarkStart w:id="827" w:name="_Toc373227751"/>
      <w:bookmarkStart w:id="828" w:name="_Toc373478398"/>
      <w:bookmarkStart w:id="829" w:name="_Toc407135254"/>
      <w:bookmarkStart w:id="830" w:name="_Toc9850582"/>
      <w:r>
        <w:rPr>
          <w:rFonts w:ascii="Times New Roman" w:hAnsi="Times New Roman" w:eastAsia="黑体" w:cs="Times New Roman"/>
          <w:b/>
          <w:bCs/>
          <w:color w:val="auto"/>
          <w:sz w:val="24"/>
          <w:szCs w:val="24"/>
          <w:highlight w:val="none"/>
          <w:lang w:val="zh-CN"/>
        </w:rPr>
        <w:t xml:space="preserve">12.3 </w:t>
      </w:r>
      <w:r>
        <w:rPr>
          <w:rFonts w:hint="eastAsia" w:ascii="Times New Roman" w:hAnsi="宋体" w:eastAsia="黑体" w:cs="黑体"/>
          <w:b/>
          <w:bCs/>
          <w:color w:val="auto"/>
          <w:sz w:val="24"/>
          <w:szCs w:val="24"/>
          <w:highlight w:val="none"/>
          <w:lang w:val="zh-CN"/>
        </w:rPr>
        <w:t>计量</w:t>
      </w:r>
      <w:bookmarkEnd w:id="826"/>
      <w:bookmarkEnd w:id="827"/>
      <w:bookmarkEnd w:id="828"/>
      <w:bookmarkEnd w:id="829"/>
      <w:bookmarkEnd w:id="830"/>
    </w:p>
    <w:p w14:paraId="2F67EA40">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12.3.1 </w:t>
      </w:r>
      <w:r>
        <w:rPr>
          <w:rFonts w:hint="eastAsia" w:ascii="Times New Roman" w:hAnsi="宋体" w:eastAsia="宋体" w:cs="宋体"/>
          <w:color w:val="auto"/>
          <w:sz w:val="24"/>
          <w:szCs w:val="24"/>
          <w:highlight w:val="none"/>
        </w:rPr>
        <w:t>计量原则</w:t>
      </w:r>
    </w:p>
    <w:p w14:paraId="751297DD">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工程量计算规则：</w:t>
      </w:r>
      <w:r>
        <w:rPr>
          <w:rFonts w:hint="eastAsia" w:ascii="Times New Roman" w:hAnsi="宋体" w:eastAsia="宋体" w:cs="宋体"/>
          <w:color w:val="auto"/>
          <w:sz w:val="24"/>
          <w:szCs w:val="24"/>
          <w:highlight w:val="none"/>
          <w:u w:val="single"/>
        </w:rPr>
        <w:t>工程的计量均以《建设工程工程量清单计价规范》(GB50500-2013)、《建设工程工程量清单计算价规范》(GB50854~50862-2013)</w:t>
      </w:r>
      <w:r>
        <w:rPr>
          <w:rFonts w:hint="eastAsia" w:ascii="Times New Roman" w:hAnsi="宋体" w:eastAsia="宋体" w:cs="宋体"/>
          <w:color w:val="auto"/>
          <w:sz w:val="24"/>
          <w:szCs w:val="24"/>
          <w:highlight w:val="none"/>
          <w:u w:val="single"/>
          <w:lang w:eastAsia="zh-CN"/>
        </w:rPr>
        <w:t>；</w:t>
      </w:r>
      <w:r>
        <w:rPr>
          <w:rFonts w:hint="eastAsia" w:ascii="Times New Roman" w:hAnsi="宋体" w:eastAsia="宋体" w:cs="宋体"/>
          <w:color w:val="auto"/>
          <w:sz w:val="24"/>
          <w:szCs w:val="24"/>
          <w:highlight w:val="none"/>
          <w:u w:val="single"/>
        </w:rPr>
        <w:t>2024年《广西壮族自治区房屋修缮工程消耗量定额(建筑装饰装修)》</w:t>
      </w:r>
      <w:r>
        <w:rPr>
          <w:rFonts w:hint="eastAsia" w:ascii="Times New Roman" w:hAnsi="宋体" w:eastAsia="宋体" w:cs="宋体"/>
          <w:color w:val="auto"/>
          <w:sz w:val="24"/>
          <w:szCs w:val="24"/>
          <w:highlight w:val="none"/>
          <w:u w:val="single"/>
          <w:lang w:eastAsia="zh-CN"/>
        </w:rPr>
        <w:t>；</w:t>
      </w:r>
      <w:r>
        <w:rPr>
          <w:rFonts w:hint="eastAsia" w:ascii="Times New Roman" w:hAnsi="宋体" w:eastAsia="宋体" w:cs="宋体"/>
          <w:color w:val="auto"/>
          <w:sz w:val="24"/>
          <w:szCs w:val="24"/>
          <w:highlight w:val="none"/>
          <w:u w:val="single"/>
        </w:rPr>
        <w:t>2023年《广西壮族自治区安装工程消耗量定额》</w:t>
      </w:r>
      <w:r>
        <w:rPr>
          <w:rFonts w:hint="eastAsia" w:ascii="Times New Roman" w:hAnsi="宋体" w:eastAsia="宋体" w:cs="宋体"/>
          <w:color w:val="auto"/>
          <w:sz w:val="24"/>
          <w:szCs w:val="24"/>
          <w:highlight w:val="none"/>
          <w:u w:val="single"/>
          <w:lang w:eastAsia="zh-CN"/>
        </w:rPr>
        <w:t>；</w:t>
      </w:r>
      <w:r>
        <w:rPr>
          <w:rFonts w:hint="eastAsia" w:ascii="Times New Roman" w:hAnsi="宋体" w:eastAsia="宋体" w:cs="宋体"/>
          <w:color w:val="auto"/>
          <w:sz w:val="24"/>
          <w:szCs w:val="24"/>
          <w:highlight w:val="none"/>
          <w:u w:val="single"/>
        </w:rPr>
        <w:t>2022年《广西壮族自治区市政工程消耗量定额》及其配套费用定额和补充定额、计价相关规定</w:t>
      </w:r>
      <w:r>
        <w:rPr>
          <w:rFonts w:hint="eastAsia" w:ascii="Times New Roman" w:hAnsi="宋体" w:eastAsia="宋体" w:cs="宋体"/>
          <w:color w:val="auto"/>
          <w:sz w:val="24"/>
          <w:szCs w:val="24"/>
          <w:highlight w:val="none"/>
          <w:u w:val="single"/>
          <w:lang w:eastAsia="zh-CN"/>
        </w:rPr>
        <w:t>；增值税按桂建标〔201</w:t>
      </w:r>
      <w:r>
        <w:rPr>
          <w:rFonts w:hint="eastAsia" w:ascii="Times New Roman" w:hAnsi="宋体" w:eastAsia="宋体" w:cs="宋体"/>
          <w:color w:val="auto"/>
          <w:sz w:val="24"/>
          <w:szCs w:val="24"/>
          <w:highlight w:val="none"/>
          <w:u w:val="single"/>
          <w:lang w:val="en-US" w:eastAsia="zh-CN"/>
        </w:rPr>
        <w:t>9</w:t>
      </w:r>
      <w:r>
        <w:rPr>
          <w:rFonts w:hint="eastAsia" w:ascii="Times New Roman" w:hAnsi="宋体" w:eastAsia="宋体" w:cs="宋体"/>
          <w:color w:val="auto"/>
          <w:sz w:val="24"/>
          <w:szCs w:val="24"/>
          <w:highlight w:val="none"/>
          <w:u w:val="single"/>
          <w:lang w:eastAsia="zh-CN"/>
        </w:rPr>
        <w:t>〕12号自治区住房和城乡建设厅《关于调整建设工程计价增值税税率的通知》计取；执行桂建发〔20</w:t>
      </w:r>
      <w:r>
        <w:rPr>
          <w:rFonts w:hint="eastAsia" w:ascii="Times New Roman" w:hAnsi="宋体" w:eastAsia="宋体" w:cs="宋体"/>
          <w:color w:val="auto"/>
          <w:sz w:val="24"/>
          <w:szCs w:val="24"/>
          <w:highlight w:val="none"/>
          <w:u w:val="single"/>
          <w:lang w:val="en-US" w:eastAsia="zh-CN"/>
        </w:rPr>
        <w:t>2</w:t>
      </w:r>
      <w:r>
        <w:rPr>
          <w:rFonts w:hint="eastAsia" w:ascii="Times New Roman" w:hAnsi="宋体" w:eastAsia="宋体" w:cs="宋体"/>
          <w:color w:val="auto"/>
          <w:sz w:val="24"/>
          <w:szCs w:val="24"/>
          <w:highlight w:val="none"/>
          <w:u w:val="single"/>
          <w:lang w:eastAsia="zh-CN"/>
        </w:rPr>
        <w:t>3〕6号《关于印发广西壮族自治区房屋建筑和市政基础设施工程安全生产责任保险计价规定的通知》；</w:t>
      </w:r>
      <w:r>
        <w:rPr>
          <w:rFonts w:hint="eastAsia" w:ascii="Times New Roman" w:hAnsi="宋体" w:eastAsia="宋体" w:cs="宋体"/>
          <w:color w:val="auto"/>
          <w:sz w:val="24"/>
          <w:szCs w:val="24"/>
          <w:highlight w:val="none"/>
          <w:u w:val="single"/>
        </w:rPr>
        <w:t>本工程补充项目清单为准。</w:t>
      </w:r>
    </w:p>
    <w:p w14:paraId="69650C5B">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12.3.2 </w:t>
      </w:r>
      <w:r>
        <w:rPr>
          <w:rFonts w:hint="eastAsia" w:ascii="Times New Roman" w:hAnsi="宋体" w:eastAsia="宋体" w:cs="宋体"/>
          <w:color w:val="auto"/>
          <w:sz w:val="24"/>
          <w:szCs w:val="24"/>
          <w:highlight w:val="none"/>
        </w:rPr>
        <w:t>计量周期</w:t>
      </w:r>
    </w:p>
    <w:p w14:paraId="3FE22AA8">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关于计量周期的约定：</w:t>
      </w:r>
      <w:r>
        <w:rPr>
          <w:rFonts w:hint="eastAsia" w:ascii="Times New Roman" w:hAnsi="宋体" w:eastAsia="宋体" w:cs="宋体"/>
          <w:color w:val="auto"/>
          <w:sz w:val="24"/>
          <w:szCs w:val="24"/>
          <w:highlight w:val="none"/>
          <w:u w:val="single"/>
        </w:rPr>
        <w:t>每月</w:t>
      </w:r>
      <w:r>
        <w:rPr>
          <w:rFonts w:ascii="Times New Roman" w:hAnsi="Times New Roman" w:eastAsia="宋体" w:cs="Times New Roman"/>
          <w:color w:val="auto"/>
          <w:sz w:val="24"/>
          <w:szCs w:val="24"/>
          <w:highlight w:val="none"/>
          <w:u w:val="single"/>
        </w:rPr>
        <w:t>25</w:t>
      </w:r>
      <w:r>
        <w:rPr>
          <w:rFonts w:hint="eastAsia" w:ascii="Times New Roman" w:hAnsi="宋体" w:eastAsia="宋体" w:cs="宋体"/>
          <w:color w:val="auto"/>
          <w:sz w:val="24"/>
          <w:szCs w:val="24"/>
          <w:highlight w:val="none"/>
          <w:u w:val="single"/>
        </w:rPr>
        <w:t>日前</w:t>
      </w:r>
      <w:r>
        <w:rPr>
          <w:rFonts w:hint="eastAsia" w:ascii="Times New Roman" w:hAnsi="宋体" w:eastAsia="宋体" w:cs="宋体"/>
          <w:color w:val="auto"/>
          <w:sz w:val="24"/>
          <w:szCs w:val="24"/>
          <w:highlight w:val="none"/>
        </w:rPr>
        <w:t>。</w:t>
      </w:r>
    </w:p>
    <w:p w14:paraId="1C417C82">
      <w:pPr>
        <w:spacing w:line="400" w:lineRule="exact"/>
        <w:ind w:firstLine="480" w:firstLineChars="200"/>
        <w:jc w:val="left"/>
        <w:outlineLvl w:val="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12.3.3 </w:t>
      </w:r>
      <w:r>
        <w:rPr>
          <w:rFonts w:hint="eastAsia" w:ascii="Times New Roman" w:hAnsi="宋体" w:eastAsia="宋体" w:cs="宋体"/>
          <w:color w:val="auto"/>
          <w:sz w:val="24"/>
          <w:szCs w:val="24"/>
          <w:highlight w:val="none"/>
        </w:rPr>
        <w:t>单价合同的计量</w:t>
      </w:r>
    </w:p>
    <w:p w14:paraId="4001DF33">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关于单价合同计量的约定：</w:t>
      </w:r>
    </w:p>
    <w:p w14:paraId="5276E999">
      <w:pPr>
        <w:spacing w:line="400" w:lineRule="exact"/>
        <w:ind w:firstLine="504" w:firstLineChars="21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 </w:t>
      </w:r>
      <w:r>
        <w:rPr>
          <w:rFonts w:hint="eastAsia" w:ascii="Times New Roman" w:hAnsi="宋体" w:eastAsia="宋体" w:cs="宋体"/>
          <w:color w:val="auto"/>
          <w:sz w:val="24"/>
          <w:szCs w:val="24"/>
          <w:highlight w:val="none"/>
        </w:rPr>
        <w:t>工程量清单所列的工程量，不能作为承包人按合同履行其责任依据，实际施工中发生的工程量增加或减少并不影响承包人履行合同的责任，工程结算以完成的实际工程量为准。</w:t>
      </w:r>
    </w:p>
    <w:p w14:paraId="39062D67">
      <w:pPr>
        <w:spacing w:line="400" w:lineRule="exact"/>
        <w:ind w:firstLine="504" w:firstLineChars="21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(2) </w:t>
      </w:r>
      <w:r>
        <w:rPr>
          <w:rFonts w:hint="eastAsia" w:ascii="Times New Roman" w:hAnsi="宋体" w:eastAsia="宋体" w:cs="宋体"/>
          <w:color w:val="auto"/>
          <w:sz w:val="24"/>
          <w:szCs w:val="24"/>
          <w:highlight w:val="none"/>
        </w:rPr>
        <w:t>除另有规定外，工程师应按照合同通过计量来核实确定已完成的工程量和价款，承包人应得到该价款扣除保留金后的金额。当工程师要对已完工的工程量进行计量时，应适时地通知承包人参加。</w:t>
      </w:r>
    </w:p>
    <w:p w14:paraId="262D3AEE">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12.3.4 </w:t>
      </w:r>
      <w:r>
        <w:rPr>
          <w:rFonts w:hint="eastAsia" w:ascii="Times New Roman" w:hAnsi="宋体" w:eastAsia="宋体" w:cs="宋体"/>
          <w:color w:val="auto"/>
          <w:sz w:val="24"/>
          <w:szCs w:val="24"/>
          <w:highlight w:val="none"/>
        </w:rPr>
        <w:t>总价合同的计量</w:t>
      </w:r>
    </w:p>
    <w:p w14:paraId="2007E245">
      <w:pPr>
        <w:spacing w:line="400" w:lineRule="exact"/>
        <w:ind w:firstLine="480" w:firstLineChars="200"/>
        <w:jc w:val="left"/>
        <w:rPr>
          <w:rFonts w:ascii="Times New Roman" w:hAnsi="Times New Roman" w:eastAsia="宋体" w:cs="宋体"/>
          <w:color w:val="auto"/>
          <w:sz w:val="24"/>
          <w:szCs w:val="24"/>
          <w:highlight w:val="none"/>
        </w:rPr>
      </w:pPr>
      <w:r>
        <w:rPr>
          <w:rFonts w:hint="eastAsia" w:ascii="Calibri" w:hAnsi="宋体" w:eastAsia="宋体" w:cs="宋体"/>
          <w:color w:val="auto"/>
          <w:sz w:val="24"/>
          <w:szCs w:val="24"/>
          <w:highlight w:val="none"/>
        </w:rPr>
        <w:t>（1）总价合同计量约定：</w:t>
      </w:r>
      <w:r>
        <w:rPr>
          <w:rFonts w:hint="eastAsia" w:ascii="Times New Roman" w:hAnsi="宋体" w:eastAsia="宋体" w:cs="宋体"/>
          <w:color w:val="auto"/>
          <w:sz w:val="24"/>
          <w:szCs w:val="24"/>
          <w:highlight w:val="none"/>
        </w:rPr>
        <w:t>进度款按支付分解表支付</w:t>
      </w:r>
      <w:r>
        <w:rPr>
          <w:rFonts w:hint="eastAsia" w:ascii="宋体" w:hAnsi="宋体" w:eastAsia="宋体" w:cs="宋体"/>
          <w:color w:val="auto"/>
          <w:kern w:val="0"/>
          <w:sz w:val="24"/>
          <w:szCs w:val="24"/>
          <w:highlight w:val="none"/>
        </w:rPr>
        <w:t>，</w:t>
      </w:r>
      <w:r>
        <w:rPr>
          <w:rFonts w:hint="eastAsia" w:ascii="Times New Roman" w:hAnsi="Times New Roman" w:eastAsia="宋体" w:cs="宋体"/>
          <w:color w:val="auto"/>
          <w:sz w:val="24"/>
          <w:szCs w:val="24"/>
          <w:highlight w:val="none"/>
        </w:rPr>
        <w:t>支付分解表在招标完成后</w:t>
      </w:r>
      <w:r>
        <w:rPr>
          <w:rFonts w:hint="eastAsia" w:ascii="Times New Roman" w:hAnsi="Times New Roman" w:eastAsia="宋体" w:cs="宋体"/>
          <w:color w:val="auto"/>
          <w:sz w:val="24"/>
          <w:szCs w:val="24"/>
          <w:highlight w:val="none"/>
          <w:lang w:eastAsia="zh-CN"/>
        </w:rPr>
        <w:t>签订</w:t>
      </w:r>
      <w:r>
        <w:rPr>
          <w:rFonts w:hint="eastAsia" w:ascii="Times New Roman" w:hAnsi="Times New Roman" w:eastAsia="宋体" w:cs="宋体"/>
          <w:color w:val="auto"/>
          <w:sz w:val="24"/>
          <w:szCs w:val="24"/>
          <w:highlight w:val="none"/>
        </w:rPr>
        <w:t>合同之前制定，具体详见本专用合同条款12.4.6。</w:t>
      </w:r>
    </w:p>
    <w:p w14:paraId="4F92C69B">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12.3.6 </w:t>
      </w:r>
      <w:r>
        <w:rPr>
          <w:rFonts w:hint="eastAsia" w:ascii="Times New Roman" w:hAnsi="宋体" w:eastAsia="宋体" w:cs="宋体"/>
          <w:color w:val="auto"/>
          <w:sz w:val="24"/>
          <w:szCs w:val="24"/>
          <w:highlight w:val="none"/>
        </w:rPr>
        <w:t>其他价格形式合同的计量</w:t>
      </w:r>
    </w:p>
    <w:p w14:paraId="556430B6">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其他价格形式的计量方式和程序：</w:t>
      </w:r>
      <w:r>
        <w:rPr>
          <w:rFonts w:ascii="Times New Roman" w:hAnsi="Times New Roman" w:eastAsia="宋体" w:cs="Times New Roman"/>
          <w:color w:val="auto"/>
          <w:sz w:val="24"/>
          <w:szCs w:val="24"/>
          <w:highlight w:val="none"/>
          <w:u w:val="single"/>
        </w:rPr>
        <w:t xml:space="preserve">        </w:t>
      </w:r>
      <w:r>
        <w:rPr>
          <w:rFonts w:hint="eastAsia" w:ascii="宋体" w:hAnsi="宋体" w:eastAsia="宋体" w:cs="宋体"/>
          <w:color w:val="auto"/>
          <w:sz w:val="24"/>
          <w:szCs w:val="24"/>
          <w:highlight w:val="none"/>
          <w:u w:val="single"/>
        </w:rPr>
        <w:t>无</w:t>
      </w:r>
      <w:r>
        <w:rPr>
          <w:rFonts w:ascii="宋体" w:hAnsi="Courier New"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6919C406">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831" w:name="_Toc373478399"/>
      <w:bookmarkStart w:id="832" w:name="_Toc9850583"/>
      <w:bookmarkStart w:id="833" w:name="_Toc389065317"/>
      <w:bookmarkStart w:id="834" w:name="_Toc373227752"/>
      <w:bookmarkStart w:id="835" w:name="_Toc407135255"/>
      <w:r>
        <w:rPr>
          <w:rFonts w:ascii="Times New Roman" w:hAnsi="Times New Roman" w:eastAsia="黑体" w:cs="Times New Roman"/>
          <w:b/>
          <w:bCs/>
          <w:color w:val="auto"/>
          <w:sz w:val="24"/>
          <w:szCs w:val="24"/>
          <w:highlight w:val="none"/>
          <w:lang w:val="zh-CN"/>
        </w:rPr>
        <w:t xml:space="preserve">12.4 </w:t>
      </w:r>
      <w:r>
        <w:rPr>
          <w:rFonts w:hint="eastAsia" w:ascii="Times New Roman" w:hAnsi="Times New Roman" w:eastAsia="黑体" w:cs="黑体"/>
          <w:b/>
          <w:bCs/>
          <w:color w:val="auto"/>
          <w:sz w:val="24"/>
          <w:szCs w:val="24"/>
          <w:highlight w:val="none"/>
          <w:lang w:val="zh-CN"/>
        </w:rPr>
        <w:t>工程进度款支付</w:t>
      </w:r>
      <w:bookmarkEnd w:id="831"/>
      <w:bookmarkEnd w:id="832"/>
      <w:bookmarkEnd w:id="833"/>
      <w:bookmarkEnd w:id="834"/>
      <w:bookmarkEnd w:id="835"/>
    </w:p>
    <w:p w14:paraId="4239D65F">
      <w:pPr>
        <w:spacing w:line="400" w:lineRule="exact"/>
        <w:ind w:firstLine="480" w:firstLineChars="200"/>
        <w:jc w:val="left"/>
        <w:rPr>
          <w:rFonts w:ascii="Times New Roman" w:hAnsi="Times New Roman" w:eastAsia="宋体" w:cs="Times New Roman"/>
          <w:color w:val="auto"/>
          <w:sz w:val="24"/>
          <w:szCs w:val="24"/>
          <w:highlight w:val="none"/>
        </w:rPr>
      </w:pPr>
      <w:bookmarkStart w:id="836" w:name="_Toc296503211"/>
      <w:bookmarkStart w:id="837" w:name="_Toc297216215"/>
      <w:bookmarkStart w:id="838" w:name="_Toc296891039"/>
      <w:bookmarkStart w:id="839" w:name="_Toc296347210"/>
      <w:bookmarkStart w:id="840" w:name="_Toc296891251"/>
      <w:bookmarkStart w:id="841" w:name="_Toc297048397"/>
      <w:bookmarkStart w:id="842" w:name="_Toc296944550"/>
      <w:bookmarkStart w:id="843" w:name="_Toc303539163"/>
      <w:bookmarkStart w:id="844" w:name="_Toc296346712"/>
      <w:bookmarkStart w:id="845" w:name="_Toc292559921"/>
      <w:bookmarkStart w:id="846" w:name="_Toc292559416"/>
      <w:bookmarkStart w:id="847" w:name="_Toc297123556"/>
      <w:bookmarkStart w:id="848" w:name="_Toc297120511"/>
      <w:bookmarkStart w:id="849" w:name="_Toc300935006"/>
      <w:r>
        <w:rPr>
          <w:rFonts w:ascii="Times New Roman" w:hAnsi="Times New Roman" w:eastAsia="宋体" w:cs="Times New Roman"/>
          <w:color w:val="auto"/>
          <w:sz w:val="24"/>
          <w:szCs w:val="24"/>
          <w:highlight w:val="none"/>
        </w:rPr>
        <w:t xml:space="preserve">12.4.1 </w:t>
      </w:r>
      <w:r>
        <w:rPr>
          <w:rFonts w:hint="eastAsia" w:ascii="Times New Roman" w:hAnsi="宋体" w:eastAsia="宋体" w:cs="宋体"/>
          <w:color w:val="auto"/>
          <w:sz w:val="24"/>
          <w:szCs w:val="24"/>
          <w:highlight w:val="none"/>
        </w:rPr>
        <w:t>付款周期</w:t>
      </w:r>
    </w:p>
    <w:p w14:paraId="585FE913">
      <w:pPr>
        <w:spacing w:line="400" w:lineRule="exact"/>
        <w:ind w:firstLine="480" w:firstLineChars="200"/>
        <w:jc w:val="left"/>
        <w:rPr>
          <w:rFonts w:hint="eastAsia" w:ascii="Times New Roman" w:hAnsi="Times New Roman" w:eastAsia="宋体" w:cs="Times New Roman"/>
          <w:color w:val="auto"/>
          <w:sz w:val="24"/>
          <w:szCs w:val="24"/>
          <w:highlight w:val="none"/>
          <w:u w:val="single"/>
          <w:lang w:eastAsia="zh-CN"/>
        </w:rPr>
      </w:pPr>
      <w:r>
        <w:rPr>
          <w:rFonts w:hint="eastAsia" w:ascii="Times New Roman" w:hAnsi="Times New Roman" w:eastAsia="宋体" w:cs="Times New Roman"/>
          <w:color w:val="auto"/>
          <w:sz w:val="24"/>
          <w:szCs w:val="24"/>
          <w:highlight w:val="none"/>
          <w:u w:val="single"/>
          <w:lang w:eastAsia="zh-CN"/>
        </w:rPr>
        <w:t>①合同内工程施工进度款：按照当期计量的</w:t>
      </w:r>
      <w:r>
        <w:rPr>
          <w:rFonts w:hint="eastAsia" w:cs="Times New Roman"/>
          <w:color w:val="auto"/>
          <w:sz w:val="24"/>
          <w:szCs w:val="24"/>
          <w:highlight w:val="none"/>
          <w:u w:val="single"/>
          <w:lang w:val="en-US" w:eastAsia="zh-CN"/>
        </w:rPr>
        <w:t>8</w:t>
      </w:r>
      <w:r>
        <w:rPr>
          <w:rFonts w:hint="eastAsia" w:ascii="Times New Roman" w:hAnsi="Times New Roman" w:eastAsia="宋体" w:cs="Times New Roman"/>
          <w:color w:val="auto"/>
          <w:sz w:val="24"/>
          <w:szCs w:val="24"/>
          <w:highlight w:val="none"/>
          <w:u w:val="single"/>
          <w:lang w:eastAsia="zh-CN"/>
        </w:rPr>
        <w:t>0%支付</w:t>
      </w:r>
      <w:r>
        <w:rPr>
          <w:rFonts w:hint="eastAsia" w:ascii="Times New Roman" w:hAnsi="Times New Roman" w:eastAsia="宋体" w:cs="Times New Roman"/>
          <w:color w:val="auto"/>
          <w:sz w:val="24"/>
          <w:szCs w:val="24"/>
          <w:highlight w:val="none"/>
          <w:u w:val="none"/>
          <w:lang w:eastAsia="zh-CN"/>
        </w:rPr>
        <w:t>；</w:t>
      </w:r>
    </w:p>
    <w:p w14:paraId="4EB139DF">
      <w:pPr>
        <w:spacing w:line="400" w:lineRule="exact"/>
        <w:ind w:firstLine="480" w:firstLineChars="200"/>
        <w:jc w:val="left"/>
        <w:rPr>
          <w:rFonts w:hint="eastAsia" w:ascii="Times New Roman" w:hAnsi="Times New Roman" w:eastAsia="宋体" w:cs="Times New Roman"/>
          <w:color w:val="auto"/>
          <w:sz w:val="24"/>
          <w:szCs w:val="24"/>
          <w:highlight w:val="none"/>
          <w:u w:val="single"/>
          <w:lang w:eastAsia="zh-CN"/>
        </w:rPr>
      </w:pPr>
      <w:r>
        <w:rPr>
          <w:rFonts w:hint="eastAsia" w:ascii="Times New Roman" w:hAnsi="Times New Roman" w:eastAsia="宋体" w:cs="Times New Roman"/>
          <w:color w:val="auto"/>
          <w:sz w:val="24"/>
          <w:szCs w:val="24"/>
          <w:highlight w:val="none"/>
          <w:u w:val="single"/>
          <w:lang w:eastAsia="zh-CN"/>
        </w:rPr>
        <w:t>②合同外（设计变更）工程施工进度款：累计增加的变更金额在合同价的</w:t>
      </w:r>
      <w:r>
        <w:rPr>
          <w:rFonts w:hint="eastAsia" w:ascii="Times New Roman" w:hAnsi="Times New Roman" w:eastAsia="宋体" w:cs="Times New Roman"/>
          <w:color w:val="auto"/>
          <w:sz w:val="24"/>
          <w:szCs w:val="24"/>
          <w:highlight w:val="none"/>
          <w:u w:val="single"/>
          <w:lang w:val="en-US" w:eastAsia="zh-CN"/>
        </w:rPr>
        <w:t>5</w:t>
      </w:r>
      <w:r>
        <w:rPr>
          <w:rFonts w:hint="eastAsia" w:ascii="Times New Roman" w:hAnsi="Times New Roman" w:eastAsia="宋体" w:cs="Times New Roman"/>
          <w:color w:val="auto"/>
          <w:sz w:val="24"/>
          <w:szCs w:val="24"/>
          <w:highlight w:val="none"/>
          <w:u w:val="single"/>
          <w:lang w:eastAsia="zh-CN"/>
        </w:rPr>
        <w:t>%以内（含</w:t>
      </w:r>
      <w:r>
        <w:rPr>
          <w:rFonts w:hint="eastAsia" w:ascii="Times New Roman" w:hAnsi="Times New Roman" w:eastAsia="宋体" w:cs="Times New Roman"/>
          <w:color w:val="auto"/>
          <w:sz w:val="24"/>
          <w:szCs w:val="24"/>
          <w:highlight w:val="none"/>
          <w:u w:val="single"/>
          <w:lang w:val="en-US" w:eastAsia="zh-CN"/>
        </w:rPr>
        <w:t>5</w:t>
      </w:r>
      <w:r>
        <w:rPr>
          <w:rFonts w:hint="eastAsia" w:ascii="Times New Roman" w:hAnsi="Times New Roman" w:eastAsia="宋体" w:cs="Times New Roman"/>
          <w:color w:val="auto"/>
          <w:sz w:val="24"/>
          <w:szCs w:val="24"/>
          <w:highlight w:val="none"/>
          <w:u w:val="single"/>
          <w:lang w:eastAsia="zh-CN"/>
        </w:rPr>
        <w:t>%），按照当期计量的60%支付；累计增加的变更金额超出合同价的</w:t>
      </w:r>
      <w:r>
        <w:rPr>
          <w:rFonts w:hint="eastAsia" w:ascii="Times New Roman" w:hAnsi="Times New Roman" w:eastAsia="宋体" w:cs="Times New Roman"/>
          <w:color w:val="auto"/>
          <w:sz w:val="24"/>
          <w:szCs w:val="24"/>
          <w:highlight w:val="none"/>
          <w:u w:val="single"/>
          <w:lang w:val="en-US" w:eastAsia="zh-CN"/>
        </w:rPr>
        <w:t>5</w:t>
      </w:r>
      <w:r>
        <w:rPr>
          <w:rFonts w:hint="eastAsia" w:ascii="Times New Roman" w:hAnsi="Times New Roman" w:eastAsia="宋体" w:cs="Times New Roman"/>
          <w:color w:val="auto"/>
          <w:sz w:val="24"/>
          <w:szCs w:val="24"/>
          <w:highlight w:val="none"/>
          <w:u w:val="single"/>
          <w:lang w:eastAsia="zh-CN"/>
        </w:rPr>
        <w:t>%部分，不进行施工进度款计量支付，留待工程结算时一并支付</w:t>
      </w:r>
      <w:r>
        <w:rPr>
          <w:rFonts w:hint="eastAsia" w:ascii="Times New Roman" w:hAnsi="Times New Roman" w:eastAsia="宋体" w:cs="Times New Roman"/>
          <w:color w:val="auto"/>
          <w:sz w:val="24"/>
          <w:szCs w:val="24"/>
          <w:highlight w:val="none"/>
          <w:u w:val="none"/>
          <w:lang w:eastAsia="zh-CN"/>
        </w:rPr>
        <w:t>；</w:t>
      </w:r>
    </w:p>
    <w:p w14:paraId="1DB43E0E">
      <w:pPr>
        <w:spacing w:line="400" w:lineRule="exact"/>
        <w:ind w:firstLine="480" w:firstLineChars="200"/>
        <w:jc w:val="left"/>
        <w:rPr>
          <w:rFonts w:hint="eastAsia" w:ascii="Times New Roman" w:hAnsi="Times New Roman" w:eastAsia="宋体" w:cs="Times New Roman"/>
          <w:color w:val="auto"/>
          <w:sz w:val="24"/>
          <w:szCs w:val="24"/>
          <w:highlight w:val="none"/>
          <w:u w:val="single"/>
          <w:lang w:eastAsia="zh-CN"/>
        </w:rPr>
      </w:pPr>
      <w:r>
        <w:rPr>
          <w:rFonts w:hint="eastAsia" w:ascii="Times New Roman" w:hAnsi="Times New Roman" w:eastAsia="宋体" w:cs="Times New Roman"/>
          <w:color w:val="auto"/>
          <w:sz w:val="24"/>
          <w:szCs w:val="24"/>
          <w:highlight w:val="none"/>
          <w:u w:val="single"/>
          <w:lang w:eastAsia="zh-CN"/>
        </w:rPr>
        <w:t>③工程竣工验收合格并完成结算审核后，工程施工进度款支付至审定结算总价的97%，预留3%工程质量保证金，已经缴纳履约保证金的，可不预留工程质量保证金，承包人可以银行保函替代预留保证金</w:t>
      </w:r>
      <w:r>
        <w:rPr>
          <w:rFonts w:hint="eastAsia" w:ascii="Times New Roman" w:hAnsi="Times New Roman" w:eastAsia="宋体" w:cs="Times New Roman"/>
          <w:color w:val="auto"/>
          <w:sz w:val="24"/>
          <w:szCs w:val="24"/>
          <w:highlight w:val="none"/>
          <w:u w:val="none"/>
          <w:lang w:eastAsia="zh-CN"/>
        </w:rPr>
        <w:t>；</w:t>
      </w:r>
    </w:p>
    <w:p w14:paraId="62ACDC9A">
      <w:pPr>
        <w:pStyle w:val="52"/>
        <w:ind w:firstLine="480" w:firstLineChars="200"/>
        <w:rPr>
          <w:rFonts w:hint="eastAsia" w:cs="Times New Roman"/>
          <w:color w:val="auto"/>
          <w:sz w:val="24"/>
          <w:szCs w:val="24"/>
          <w:highlight w:val="none"/>
          <w:u w:val="none"/>
          <w:lang w:val="en-US" w:eastAsia="zh-CN"/>
        </w:rPr>
      </w:pPr>
      <w:r>
        <w:rPr>
          <w:rFonts w:hint="eastAsia" w:ascii="Times New Roman" w:hAnsi="Times New Roman" w:eastAsia="宋体" w:cs="Times New Roman"/>
          <w:color w:val="auto"/>
          <w:sz w:val="24"/>
          <w:szCs w:val="24"/>
          <w:highlight w:val="none"/>
          <w:u w:val="single"/>
          <w:lang w:eastAsia="zh-CN"/>
        </w:rPr>
        <w:t>④待质保期过后，如无质保问题，可支付至审定结算总价的100%。工程建设其他费用根据财政部门有关规定执行,按完成情况支付</w:t>
      </w:r>
      <w:r>
        <w:rPr>
          <w:rFonts w:hint="eastAsia" w:ascii="Times New Roman" w:hAnsi="Times New Roman" w:eastAsia="宋体" w:cs="Times New Roman"/>
          <w:color w:val="auto"/>
          <w:sz w:val="24"/>
          <w:szCs w:val="24"/>
          <w:highlight w:val="none"/>
          <w:u w:val="none"/>
          <w:lang w:eastAsia="zh-CN"/>
        </w:rPr>
        <w:t>。</w:t>
      </w:r>
      <w:r>
        <w:rPr>
          <w:rFonts w:hint="eastAsia" w:cs="Times New Roman"/>
          <w:color w:val="auto"/>
          <w:sz w:val="24"/>
          <w:szCs w:val="24"/>
          <w:highlight w:val="none"/>
          <w:u w:val="none"/>
          <w:lang w:val="en-US" w:eastAsia="zh-CN"/>
        </w:rPr>
        <w:t xml:space="preserve">     </w:t>
      </w:r>
    </w:p>
    <w:p w14:paraId="48AC84A0">
      <w:pPr>
        <w:pStyle w:val="52"/>
        <w:ind w:firstLine="480" w:firstLineChars="200"/>
        <w:rPr>
          <w:rFonts w:hint="eastAsia" w:ascii="Times New Roman" w:hAnsi="Times New Roman" w:eastAsia="宋体" w:cs="Times New Roman"/>
          <w:color w:val="auto"/>
          <w:sz w:val="24"/>
          <w:szCs w:val="24"/>
          <w:highlight w:val="none"/>
          <w:u w:val="none"/>
          <w:lang w:eastAsia="zh-CN"/>
        </w:rPr>
      </w:pPr>
      <w:r>
        <w:rPr>
          <w:rFonts w:hint="eastAsia" w:cs="Times New Roman"/>
          <w:color w:val="auto"/>
          <w:sz w:val="24"/>
          <w:szCs w:val="24"/>
          <w:highlight w:val="none"/>
          <w:u w:val="none"/>
          <w:lang w:val="en-US" w:eastAsia="zh-CN"/>
        </w:rPr>
        <w:t xml:space="preserve"> </w:t>
      </w:r>
      <w:r>
        <w:rPr>
          <w:rFonts w:hint="eastAsia" w:asciiTheme="minorEastAsia" w:hAnsiTheme="minorEastAsia" w:eastAsiaTheme="minorEastAsia" w:cstheme="minorEastAsia"/>
          <w:color w:val="auto"/>
          <w:sz w:val="24"/>
          <w:szCs w:val="24"/>
          <w:highlight w:val="none"/>
          <w:u w:val="none"/>
          <w:lang w:eastAsia="zh-CN"/>
        </w:rPr>
        <w:t>⑤付款周期以月为期限。</w:t>
      </w:r>
    </w:p>
    <w:p w14:paraId="4F0BDDC8">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12.4.2 </w:t>
      </w:r>
      <w:r>
        <w:rPr>
          <w:rFonts w:hint="eastAsia" w:ascii="Times New Roman" w:hAnsi="宋体" w:eastAsia="宋体" w:cs="宋体"/>
          <w:color w:val="auto"/>
          <w:sz w:val="24"/>
          <w:szCs w:val="24"/>
          <w:highlight w:val="none"/>
        </w:rPr>
        <w:t>进度付款申请单的编制</w:t>
      </w:r>
    </w:p>
    <w:p w14:paraId="2889602F">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关于进度付款申请单编制的约定：</w:t>
      </w:r>
      <w:r>
        <w:rPr>
          <w:rFonts w:hint="eastAsia" w:ascii="宋体" w:hAnsi="Courier New" w:eastAsia="宋体" w:cs="Times New Roman"/>
          <w:color w:val="auto"/>
          <w:sz w:val="24"/>
          <w:szCs w:val="24"/>
          <w:highlight w:val="none"/>
          <w:u w:val="single"/>
        </w:rPr>
        <w:t>进度付款申请单的份数为4份，内容为工程量计量报表</w:t>
      </w:r>
      <w:r>
        <w:rPr>
          <w:rFonts w:hint="eastAsia" w:ascii="Times New Roman" w:hAnsi="宋体" w:eastAsia="宋体" w:cs="宋体"/>
          <w:color w:val="auto"/>
          <w:sz w:val="24"/>
          <w:szCs w:val="24"/>
          <w:highlight w:val="none"/>
        </w:rPr>
        <w:t>。</w:t>
      </w:r>
    </w:p>
    <w:p w14:paraId="48E2F258">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r>
        <w:rPr>
          <w:rFonts w:ascii="Times New Roman" w:hAnsi="Times New Roman" w:eastAsia="宋体" w:cs="Times New Roman"/>
          <w:color w:val="auto"/>
          <w:sz w:val="24"/>
          <w:szCs w:val="24"/>
          <w:highlight w:val="none"/>
        </w:rPr>
        <w:t xml:space="preserve">2.4.3 </w:t>
      </w:r>
      <w:r>
        <w:rPr>
          <w:rFonts w:hint="eastAsia" w:ascii="Times New Roman" w:hAnsi="宋体" w:eastAsia="宋体" w:cs="宋体"/>
          <w:color w:val="auto"/>
          <w:sz w:val="24"/>
          <w:szCs w:val="24"/>
          <w:highlight w:val="none"/>
        </w:rPr>
        <w:t>进度付款申请单的提交</w:t>
      </w:r>
    </w:p>
    <w:p w14:paraId="18434D65">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w:t>
      </w:r>
      <w:r>
        <w:rPr>
          <w:rFonts w:ascii="Times New Roman" w:hAnsi="Times New Roman" w:eastAsia="宋体" w:cs="Times New Roman"/>
          <w:color w:val="auto"/>
          <w:sz w:val="24"/>
          <w:szCs w:val="24"/>
          <w:highlight w:val="none"/>
        </w:rPr>
        <w:t>1</w:t>
      </w:r>
      <w:r>
        <w:rPr>
          <w:rFonts w:hint="eastAsia" w:ascii="Times New Roman" w:hAnsi="宋体" w:eastAsia="宋体" w:cs="宋体"/>
          <w:color w:val="auto"/>
          <w:sz w:val="24"/>
          <w:szCs w:val="24"/>
          <w:highlight w:val="none"/>
        </w:rPr>
        <w:t>）单价合同进度付款申请单提交的约定：</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49BEDDFE">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w:t>
      </w:r>
      <w:r>
        <w:rPr>
          <w:rFonts w:ascii="Times New Roman" w:hAnsi="Times New Roman" w:eastAsia="宋体" w:cs="Times New Roman"/>
          <w:color w:val="auto"/>
          <w:sz w:val="24"/>
          <w:szCs w:val="24"/>
          <w:highlight w:val="none"/>
        </w:rPr>
        <w:t>2</w:t>
      </w:r>
      <w:r>
        <w:rPr>
          <w:rFonts w:hint="eastAsia" w:ascii="Times New Roman" w:hAnsi="宋体" w:eastAsia="宋体" w:cs="宋体"/>
          <w:color w:val="auto"/>
          <w:sz w:val="24"/>
          <w:szCs w:val="24"/>
          <w:highlight w:val="none"/>
        </w:rPr>
        <w:t>）总价合同进度付款申请单提交的约定：</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057856CB">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w:t>
      </w:r>
      <w:r>
        <w:rPr>
          <w:rFonts w:ascii="Times New Roman" w:hAnsi="Times New Roman" w:eastAsia="宋体" w:cs="Times New Roman"/>
          <w:color w:val="auto"/>
          <w:sz w:val="24"/>
          <w:szCs w:val="24"/>
          <w:highlight w:val="none"/>
        </w:rPr>
        <w:t>3</w:t>
      </w:r>
      <w:r>
        <w:rPr>
          <w:rFonts w:hint="eastAsia" w:ascii="Times New Roman" w:hAnsi="宋体" w:eastAsia="宋体" w:cs="宋体"/>
          <w:color w:val="auto"/>
          <w:sz w:val="24"/>
          <w:szCs w:val="24"/>
          <w:highlight w:val="none"/>
        </w:rPr>
        <w:t>）其他价格形式合同进度付款申请单提交的约定：</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18A1DD9A">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12.4.4 </w:t>
      </w:r>
      <w:r>
        <w:rPr>
          <w:rFonts w:hint="eastAsia" w:ascii="Times New Roman" w:hAnsi="宋体" w:eastAsia="宋体" w:cs="宋体"/>
          <w:color w:val="auto"/>
          <w:sz w:val="24"/>
          <w:szCs w:val="24"/>
          <w:highlight w:val="none"/>
        </w:rPr>
        <w:t>进度款审核和支付</w:t>
      </w:r>
    </w:p>
    <w:p w14:paraId="1BAC6006">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w:t>
      </w:r>
      <w:r>
        <w:rPr>
          <w:rFonts w:ascii="Times New Roman" w:hAnsi="Times New Roman" w:eastAsia="宋体" w:cs="Times New Roman"/>
          <w:color w:val="auto"/>
          <w:sz w:val="24"/>
          <w:szCs w:val="24"/>
          <w:highlight w:val="none"/>
        </w:rPr>
        <w:t>1</w:t>
      </w:r>
      <w:r>
        <w:rPr>
          <w:rFonts w:hint="eastAsia" w:ascii="Times New Roman" w:hAnsi="宋体" w:eastAsia="宋体" w:cs="宋体"/>
          <w:color w:val="auto"/>
          <w:sz w:val="24"/>
          <w:szCs w:val="24"/>
          <w:highlight w:val="none"/>
        </w:rPr>
        <w:t>）监理人审查并报送发包人的期限：</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09DB712D">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发包人完成审批并签发进度款支付证书的期限：</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537D6AF9">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w:t>
      </w:r>
      <w:r>
        <w:rPr>
          <w:rFonts w:ascii="Times New Roman" w:hAnsi="Times New Roman" w:eastAsia="宋体" w:cs="Times New Roman"/>
          <w:color w:val="auto"/>
          <w:sz w:val="24"/>
          <w:szCs w:val="24"/>
          <w:highlight w:val="none"/>
        </w:rPr>
        <w:t>2</w:t>
      </w:r>
      <w:r>
        <w:rPr>
          <w:rFonts w:hint="eastAsia" w:ascii="Times New Roman" w:hAnsi="宋体" w:eastAsia="宋体" w:cs="宋体"/>
          <w:color w:val="auto"/>
          <w:sz w:val="24"/>
          <w:szCs w:val="24"/>
          <w:highlight w:val="none"/>
        </w:rPr>
        <w:t>）发包人支付进度款的期限：</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53207671">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发包人逾期支付进度款的违约金的计算方式：</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787D1838">
      <w:pPr>
        <w:spacing w:line="400" w:lineRule="exact"/>
        <w:ind w:firstLine="480" w:firstLineChars="200"/>
        <w:jc w:val="left"/>
        <w:rPr>
          <w:rFonts w:hint="eastAsia" w:ascii="Times New Roman" w:hAnsi="宋体" w:eastAsia="宋体" w:cs="宋体"/>
          <w:color w:val="auto"/>
          <w:sz w:val="24"/>
          <w:szCs w:val="24"/>
          <w:highlight w:val="none"/>
        </w:rPr>
      </w:pPr>
      <w:r>
        <w:rPr>
          <w:rFonts w:hint="eastAsia" w:ascii="Times New Roman" w:hAnsi="宋体" w:eastAsia="宋体" w:cs="宋体"/>
          <w:color w:val="auto"/>
          <w:sz w:val="24"/>
          <w:szCs w:val="24"/>
          <w:highlight w:val="none"/>
        </w:rPr>
        <w:t>进度款支付方式：</w:t>
      </w:r>
      <w:r>
        <w:rPr>
          <w:rFonts w:hint="eastAsia" w:ascii="Times New Roman" w:hAnsi="宋体" w:eastAsia="宋体" w:cs="宋体"/>
          <w:color w:val="auto"/>
          <w:sz w:val="24"/>
          <w:szCs w:val="24"/>
          <w:highlight w:val="none"/>
          <w:u w:val="single"/>
        </w:rPr>
        <w:t>银行转账</w:t>
      </w:r>
      <w:r>
        <w:rPr>
          <w:rFonts w:hint="eastAsia" w:ascii="Times New Roman" w:hAnsi="宋体" w:eastAsia="宋体" w:cs="宋体"/>
          <w:color w:val="auto"/>
          <w:sz w:val="24"/>
          <w:szCs w:val="24"/>
          <w:highlight w:val="none"/>
        </w:rPr>
        <w:t>。</w:t>
      </w:r>
      <w:r>
        <w:rPr>
          <w:rFonts w:hint="eastAsia" w:ascii="Times New Roman" w:hAnsi="Times New Roman" w:eastAsia="宋体" w:cs="Times New Roman"/>
          <w:color w:val="auto"/>
          <w:sz w:val="24"/>
          <w:szCs w:val="24"/>
          <w:highlight w:val="none"/>
        </w:rPr>
        <w:t>进度款支付申请（核准）表见合同附件11。</w:t>
      </w:r>
    </w:p>
    <w:p w14:paraId="7D658E87">
      <w:pPr>
        <w:spacing w:line="400" w:lineRule="exact"/>
        <w:ind w:firstLine="600" w:firstLineChars="250"/>
        <w:jc w:val="left"/>
        <w:rPr>
          <w:rFonts w:hint="eastAsia" w:ascii="Times New Roman" w:hAnsi="宋体" w:eastAsia="宋体" w:cs="Times New Roman"/>
          <w:color w:val="auto"/>
          <w:sz w:val="24"/>
          <w:szCs w:val="24"/>
          <w:highlight w:val="none"/>
        </w:rPr>
      </w:pPr>
      <w:r>
        <w:rPr>
          <w:rFonts w:hint="eastAsia" w:ascii="Times New Roman" w:hAnsi="宋体" w:eastAsia="宋体" w:cs="Times New Roman"/>
          <w:color w:val="auto"/>
          <w:sz w:val="24"/>
          <w:szCs w:val="24"/>
          <w:highlight w:val="none"/>
        </w:rPr>
        <w:t>（3） 农民工工资支付</w:t>
      </w:r>
    </w:p>
    <w:p w14:paraId="418961A7">
      <w:pPr>
        <w:spacing w:line="400" w:lineRule="exact"/>
        <w:ind w:firstLine="600" w:firstLineChars="250"/>
        <w:jc w:val="left"/>
        <w:rPr>
          <w:rFonts w:hint="eastAsia" w:ascii="Times New Roman" w:hAnsi="宋体" w:eastAsia="宋体" w:cs="宋体"/>
          <w:color w:val="auto"/>
          <w:kern w:val="0"/>
          <w:sz w:val="24"/>
          <w:szCs w:val="24"/>
          <w:highlight w:val="none"/>
        </w:rPr>
      </w:pPr>
      <w:r>
        <w:rPr>
          <w:rFonts w:hint="eastAsia" w:ascii="Times New Roman" w:hAnsi="宋体" w:eastAsia="宋体" w:cs="宋体"/>
          <w:color w:val="auto"/>
          <w:kern w:val="0"/>
          <w:sz w:val="24"/>
          <w:szCs w:val="24"/>
          <w:highlight w:val="none"/>
        </w:rPr>
        <w:t>1）农民工工资应与其他工程进度款分账管理。承包人向发包人申请工程进度款时必须把工人工资部分单独列明，如果未单独列明，监理单位不得签支付证书等支付工程款的手续，发包人单位不得审批和支付工程款。发包人必须把工程款分账出来的农民工工资转入承包人工人工资支付专用账户专户，转入专户环节必须有银行流水凭证。</w:t>
      </w:r>
    </w:p>
    <w:p w14:paraId="38CF6B4F">
      <w:pPr>
        <w:spacing w:line="400" w:lineRule="exact"/>
        <w:ind w:firstLine="600" w:firstLineChars="250"/>
        <w:jc w:val="left"/>
        <w:rPr>
          <w:rFonts w:hint="eastAsia" w:ascii="Times New Roman" w:hAnsi="宋体" w:eastAsia="宋体" w:cs="宋体"/>
          <w:color w:val="auto"/>
          <w:kern w:val="0"/>
          <w:sz w:val="24"/>
          <w:szCs w:val="24"/>
          <w:highlight w:val="none"/>
        </w:rPr>
      </w:pPr>
      <w:r>
        <w:rPr>
          <w:rFonts w:hint="eastAsia" w:ascii="Times New Roman" w:hAnsi="宋体" w:eastAsia="宋体" w:cs="宋体"/>
          <w:color w:val="auto"/>
          <w:kern w:val="0"/>
          <w:sz w:val="24"/>
          <w:szCs w:val="24"/>
          <w:highlight w:val="none"/>
        </w:rPr>
        <w:t>2）发包人依据工程进度，按与承包人约定的农民工支付比例，将工程人工费分账支付到承包人的农民工工资专户，工程完工时发包人向承包人农民工工资专户支付的完工工程量的人工费支付比例不低于</w:t>
      </w:r>
      <w:r>
        <w:rPr>
          <w:rFonts w:hint="eastAsia" w:ascii="Times New Roman" w:hAnsi="宋体" w:eastAsia="宋体" w:cs="宋体"/>
          <w:color w:val="auto"/>
          <w:kern w:val="0"/>
          <w:sz w:val="24"/>
          <w:szCs w:val="24"/>
          <w:highlight w:val="none"/>
          <w:u w:val="single"/>
        </w:rPr>
        <w:t xml:space="preserve"> </w:t>
      </w:r>
      <w:r>
        <w:rPr>
          <w:rFonts w:hint="eastAsia" w:hAnsi="宋体" w:cs="宋体"/>
          <w:color w:val="auto"/>
          <w:kern w:val="0"/>
          <w:sz w:val="24"/>
          <w:szCs w:val="24"/>
          <w:highlight w:val="none"/>
          <w:u w:val="single"/>
          <w:lang w:val="en-US" w:eastAsia="zh-CN"/>
        </w:rPr>
        <w:t xml:space="preserve">  </w:t>
      </w:r>
      <w:r>
        <w:rPr>
          <w:rFonts w:hint="eastAsia" w:ascii="Times New Roman" w:hAnsi="宋体" w:eastAsia="宋体" w:cs="宋体"/>
          <w:color w:val="auto"/>
          <w:kern w:val="0"/>
          <w:sz w:val="24"/>
          <w:szCs w:val="24"/>
          <w:highlight w:val="none"/>
          <w:u w:val="single"/>
        </w:rPr>
        <w:t xml:space="preserve">  </w:t>
      </w:r>
      <w:r>
        <w:rPr>
          <w:rFonts w:hint="eastAsia" w:ascii="Times New Roman" w:hAnsi="宋体" w:eastAsia="宋体" w:cs="宋体"/>
          <w:color w:val="auto"/>
          <w:kern w:val="0"/>
          <w:sz w:val="24"/>
          <w:szCs w:val="24"/>
          <w:highlight w:val="none"/>
        </w:rPr>
        <w:t>%，其余工程进度款项由发包人支付到承包人的单位基本户。</w:t>
      </w:r>
    </w:p>
    <w:p w14:paraId="7B273E5A">
      <w:pPr>
        <w:spacing w:line="400" w:lineRule="exact"/>
        <w:ind w:firstLine="600" w:firstLineChars="250"/>
        <w:jc w:val="left"/>
        <w:rPr>
          <w:rFonts w:hint="eastAsia" w:ascii="Times New Roman" w:hAnsi="宋体" w:eastAsia="宋体" w:cs="宋体"/>
          <w:color w:val="auto"/>
          <w:kern w:val="0"/>
          <w:sz w:val="24"/>
          <w:szCs w:val="24"/>
          <w:highlight w:val="none"/>
        </w:rPr>
      </w:pPr>
      <w:r>
        <w:rPr>
          <w:rFonts w:hint="eastAsia" w:ascii="Times New Roman" w:hAnsi="宋体" w:eastAsia="宋体" w:cs="宋体"/>
          <w:color w:val="auto"/>
          <w:kern w:val="0"/>
          <w:sz w:val="24"/>
          <w:szCs w:val="24"/>
          <w:highlight w:val="none"/>
        </w:rPr>
        <w:t>3）承包人依据分包专业工程进度，按与分包人约定农民工支付比例，通过承包人农民工工资专户将分包工程的人工费分账支付到分包人的农民工工资专户，专业分包工程完工时承包人向分包人农民工工资专户支付完工工程量的人工费支付比例不低于</w:t>
      </w:r>
      <w:r>
        <w:rPr>
          <w:rFonts w:hint="eastAsia" w:ascii="Times New Roman" w:hAnsi="宋体" w:eastAsia="宋体" w:cs="宋体"/>
          <w:color w:val="auto"/>
          <w:kern w:val="0"/>
          <w:sz w:val="24"/>
          <w:szCs w:val="24"/>
          <w:highlight w:val="none"/>
          <w:u w:val="single"/>
        </w:rPr>
        <w:t xml:space="preserve">  </w:t>
      </w:r>
      <w:r>
        <w:rPr>
          <w:rFonts w:hint="eastAsia" w:hAnsi="宋体" w:cs="宋体"/>
          <w:color w:val="auto"/>
          <w:kern w:val="0"/>
          <w:sz w:val="24"/>
          <w:szCs w:val="24"/>
          <w:highlight w:val="none"/>
          <w:u w:val="single"/>
          <w:lang w:val="en-US" w:eastAsia="zh-CN"/>
        </w:rPr>
        <w:t xml:space="preserve">  </w:t>
      </w:r>
      <w:r>
        <w:rPr>
          <w:rFonts w:hint="eastAsia" w:ascii="Times New Roman" w:hAnsi="宋体" w:eastAsia="宋体" w:cs="宋体"/>
          <w:color w:val="auto"/>
          <w:kern w:val="0"/>
          <w:sz w:val="24"/>
          <w:szCs w:val="24"/>
          <w:highlight w:val="none"/>
          <w:u w:val="single"/>
        </w:rPr>
        <w:t xml:space="preserve"> </w:t>
      </w:r>
      <w:r>
        <w:rPr>
          <w:rFonts w:hint="eastAsia" w:ascii="Times New Roman" w:hAnsi="宋体" w:eastAsia="宋体" w:cs="宋体"/>
          <w:color w:val="auto"/>
          <w:kern w:val="0"/>
          <w:sz w:val="24"/>
          <w:szCs w:val="24"/>
          <w:highlight w:val="none"/>
        </w:rPr>
        <w:t>%。其余分包工程进度款项由承包人支付到分包人的单位基本户。</w:t>
      </w:r>
    </w:p>
    <w:p w14:paraId="5226C03B">
      <w:pPr>
        <w:spacing w:line="400" w:lineRule="exact"/>
        <w:ind w:firstLine="600" w:firstLineChars="250"/>
        <w:jc w:val="left"/>
        <w:rPr>
          <w:rFonts w:hint="eastAsia" w:ascii="Times New Roman" w:hAnsi="宋体" w:eastAsia="宋体" w:cs="宋体"/>
          <w:color w:val="auto"/>
          <w:kern w:val="0"/>
          <w:sz w:val="24"/>
          <w:szCs w:val="24"/>
          <w:highlight w:val="none"/>
        </w:rPr>
      </w:pPr>
      <w:r>
        <w:rPr>
          <w:rFonts w:hint="eastAsia" w:ascii="Times New Roman" w:hAnsi="宋体" w:eastAsia="宋体" w:cs="宋体"/>
          <w:color w:val="auto"/>
          <w:kern w:val="0"/>
          <w:sz w:val="24"/>
          <w:szCs w:val="24"/>
          <w:highlight w:val="none"/>
        </w:rPr>
        <w:t>4）凡未向付款单位提供农民工工资专户的，或者请款单位在申请工程进度款时未将人工费单列的，付款单位有权拒绝支付工程进度款。</w:t>
      </w:r>
    </w:p>
    <w:p w14:paraId="01ED8ED2">
      <w:pPr>
        <w:spacing w:line="400" w:lineRule="exact"/>
        <w:ind w:firstLine="600" w:firstLineChars="250"/>
        <w:jc w:val="left"/>
        <w:rPr>
          <w:rFonts w:hint="eastAsia" w:ascii="Times New Roman" w:hAnsi="宋体" w:eastAsia="宋体" w:cs="宋体"/>
          <w:color w:val="auto"/>
          <w:kern w:val="0"/>
          <w:sz w:val="24"/>
          <w:szCs w:val="24"/>
          <w:highlight w:val="none"/>
        </w:rPr>
      </w:pPr>
      <w:r>
        <w:rPr>
          <w:rFonts w:hint="eastAsia" w:ascii="Times New Roman" w:hAnsi="宋体" w:eastAsia="宋体" w:cs="宋体"/>
          <w:color w:val="auto"/>
          <w:kern w:val="0"/>
          <w:sz w:val="24"/>
          <w:szCs w:val="24"/>
          <w:highlight w:val="none"/>
        </w:rPr>
        <w:t>5）农民工工资使用要求：专款专用，除发放工人工资外，不得用于其他用途。6）承包人将农民工工资支付情况定期报告发包人和监理单位，并提供相应的材料接受建设行政主管部门和劳动保障行政主管部门对此事项监管。</w:t>
      </w:r>
    </w:p>
    <w:p w14:paraId="28C2782B">
      <w:pPr>
        <w:spacing w:line="400" w:lineRule="exact"/>
        <w:ind w:firstLine="600" w:firstLineChars="250"/>
        <w:jc w:val="left"/>
        <w:rPr>
          <w:rFonts w:hint="eastAsia" w:ascii="Times New Roman" w:hAnsi="宋体" w:eastAsia="宋体" w:cs="宋体"/>
          <w:color w:val="auto"/>
          <w:kern w:val="0"/>
          <w:sz w:val="24"/>
          <w:szCs w:val="24"/>
          <w:highlight w:val="none"/>
        </w:rPr>
      </w:pPr>
      <w:r>
        <w:rPr>
          <w:rFonts w:hint="eastAsia" w:ascii="Times New Roman" w:hAnsi="宋体" w:eastAsia="宋体" w:cs="宋体"/>
          <w:color w:val="auto"/>
          <w:kern w:val="0"/>
          <w:sz w:val="24"/>
          <w:szCs w:val="24"/>
          <w:highlight w:val="none"/>
        </w:rPr>
        <w:t>（4）农民工工资支付专用账户：</w:t>
      </w:r>
      <w:r>
        <w:rPr>
          <w:rFonts w:hint="eastAsia" w:ascii="Times New Roman" w:hAnsi="宋体" w:eastAsia="宋体" w:cs="宋体"/>
          <w:color w:val="auto"/>
          <w:kern w:val="0"/>
          <w:sz w:val="24"/>
          <w:szCs w:val="24"/>
          <w:highlight w:val="none"/>
          <w:u w:val="single"/>
        </w:rPr>
        <w:t xml:space="preserve">     </w:t>
      </w:r>
      <w:r>
        <w:rPr>
          <w:rFonts w:hint="eastAsia" w:hAnsi="宋体" w:cs="宋体"/>
          <w:color w:val="auto"/>
          <w:kern w:val="0"/>
          <w:sz w:val="24"/>
          <w:szCs w:val="24"/>
          <w:highlight w:val="none"/>
          <w:u w:val="single"/>
          <w:lang w:val="en-US" w:eastAsia="zh-CN"/>
        </w:rPr>
        <w:t xml:space="preserve">     </w:t>
      </w:r>
      <w:r>
        <w:rPr>
          <w:rFonts w:hint="eastAsia" w:ascii="Times New Roman" w:hAnsi="宋体" w:eastAsia="宋体" w:cs="宋体"/>
          <w:color w:val="auto"/>
          <w:kern w:val="0"/>
          <w:sz w:val="24"/>
          <w:szCs w:val="24"/>
          <w:highlight w:val="none"/>
          <w:u w:val="single"/>
        </w:rPr>
        <w:t xml:space="preserve">  </w:t>
      </w:r>
      <w:r>
        <w:rPr>
          <w:rFonts w:hint="eastAsia" w:ascii="Times New Roman" w:hAnsi="宋体" w:eastAsia="宋体" w:cs="宋体"/>
          <w:color w:val="auto"/>
          <w:kern w:val="0"/>
          <w:sz w:val="24"/>
          <w:szCs w:val="24"/>
          <w:highlight w:val="none"/>
        </w:rPr>
        <w:t>公司农民工工资支付专用账户 。账号：</w:t>
      </w:r>
      <w:r>
        <w:rPr>
          <w:rFonts w:hint="eastAsia" w:ascii="Times New Roman" w:hAnsi="宋体" w:eastAsia="宋体" w:cs="宋体"/>
          <w:color w:val="auto"/>
          <w:kern w:val="0"/>
          <w:sz w:val="24"/>
          <w:szCs w:val="24"/>
          <w:highlight w:val="none"/>
          <w:u w:val="single"/>
        </w:rPr>
        <w:t xml:space="preserve">  </w:t>
      </w:r>
      <w:r>
        <w:rPr>
          <w:rFonts w:hint="eastAsia" w:hAnsi="宋体" w:cs="宋体"/>
          <w:color w:val="auto"/>
          <w:kern w:val="0"/>
          <w:sz w:val="24"/>
          <w:szCs w:val="24"/>
          <w:highlight w:val="none"/>
          <w:u w:val="single"/>
          <w:lang w:val="en-US" w:eastAsia="zh-CN"/>
        </w:rPr>
        <w:t xml:space="preserve">    </w:t>
      </w:r>
      <w:r>
        <w:rPr>
          <w:rFonts w:hint="eastAsia" w:ascii="Times New Roman" w:hAnsi="宋体" w:eastAsia="宋体" w:cs="宋体"/>
          <w:color w:val="auto"/>
          <w:kern w:val="0"/>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7B3D840A">
      <w:pPr>
        <w:spacing w:line="400" w:lineRule="exact"/>
        <w:ind w:firstLine="600" w:firstLineChars="250"/>
        <w:jc w:val="left"/>
        <w:rPr>
          <w:rFonts w:hint="eastAsia" w:ascii="Times New Roman" w:hAnsi="宋体"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12.4.6 </w:t>
      </w:r>
      <w:r>
        <w:rPr>
          <w:rFonts w:hint="eastAsia" w:ascii="Times New Roman" w:hAnsi="宋体" w:eastAsia="宋体" w:cs="宋体"/>
          <w:color w:val="auto"/>
          <w:sz w:val="24"/>
          <w:szCs w:val="24"/>
          <w:highlight w:val="none"/>
        </w:rPr>
        <w:t>支付分解表的编制</w:t>
      </w:r>
    </w:p>
    <w:p w14:paraId="011C8992">
      <w:pPr>
        <w:spacing w:line="400" w:lineRule="exact"/>
        <w:ind w:firstLine="600" w:firstLineChars="250"/>
        <w:jc w:val="left"/>
        <w:rPr>
          <w:rFonts w:ascii="Times New Roman" w:hAnsi="Times New Roman" w:eastAsia="宋体" w:cs="Times New Roman"/>
          <w:color w:val="auto"/>
          <w:sz w:val="24"/>
          <w:szCs w:val="24"/>
          <w:highlight w:val="none"/>
          <w:u w:val="single"/>
        </w:rPr>
      </w:pPr>
      <w:r>
        <w:rPr>
          <w:rFonts w:hint="eastAsia" w:ascii="Times New Roman" w:hAnsi="Times New Roman" w:eastAsia="宋体" w:cs="Times New Roman"/>
          <w:color w:val="auto"/>
          <w:sz w:val="24"/>
          <w:szCs w:val="24"/>
          <w:highlight w:val="none"/>
        </w:rPr>
        <w:t>（</w:t>
      </w:r>
      <w:r>
        <w:rPr>
          <w:rFonts w:ascii="Times New Roman" w:hAnsi="Times New Roman" w:eastAsia="宋体" w:cs="Times New Roman"/>
          <w:color w:val="auto"/>
          <w:sz w:val="24"/>
          <w:szCs w:val="24"/>
          <w:highlight w:val="none"/>
        </w:rPr>
        <w:t>1</w:t>
      </w:r>
      <w:r>
        <w:rPr>
          <w:rFonts w:hint="eastAsia" w:ascii="Times New Roman" w:hAnsi="Times New Roman" w:eastAsia="宋体" w:cs="Times New Roman"/>
          <w:color w:val="auto"/>
          <w:sz w:val="24"/>
          <w:szCs w:val="24"/>
          <w:highlight w:val="none"/>
        </w:rPr>
        <w:t>）</w:t>
      </w:r>
      <w:r>
        <w:rPr>
          <w:rFonts w:ascii="Times New Roman" w:hAnsi="宋体" w:eastAsia="宋体" w:cs="Times New Roman"/>
          <w:color w:val="auto"/>
          <w:sz w:val="24"/>
          <w:szCs w:val="24"/>
          <w:highlight w:val="none"/>
        </w:rPr>
        <w:t xml:space="preserve"> </w:t>
      </w:r>
      <w:r>
        <w:rPr>
          <w:rFonts w:hint="eastAsia" w:ascii="Times New Roman" w:hAnsi="宋体" w:eastAsia="宋体" w:cs="宋体"/>
          <w:color w:val="auto"/>
          <w:sz w:val="24"/>
          <w:szCs w:val="24"/>
          <w:highlight w:val="none"/>
        </w:rPr>
        <w:t>总价合同支付分解表的编制与审批：</w:t>
      </w:r>
      <w:r>
        <w:rPr>
          <w:rFonts w:hint="eastAsia" w:ascii="Times New Roman" w:hAnsi="Times New Roman" w:eastAsia="宋体" w:cs="Times New Roman"/>
          <w:color w:val="auto"/>
          <w:sz w:val="24"/>
          <w:szCs w:val="24"/>
          <w:highlight w:val="none"/>
          <w:u w:val="single"/>
        </w:rPr>
        <w:t>总价合同支付</w:t>
      </w:r>
      <w:r>
        <w:rPr>
          <w:rFonts w:hint="eastAsia" w:ascii="Times New Roman" w:hAnsi="Times New Roman" w:eastAsia="宋体" w:cs="Times New Roman"/>
          <w:color w:val="auto"/>
          <w:sz w:val="24"/>
          <w:szCs w:val="24"/>
          <w:highlight w:val="none"/>
          <w:u w:val="single"/>
          <w:lang w:eastAsia="zh-CN"/>
        </w:rPr>
        <w:t>分</w:t>
      </w:r>
      <w:r>
        <w:rPr>
          <w:rFonts w:hint="eastAsia" w:ascii="Times New Roman" w:hAnsi="Times New Roman" w:eastAsia="宋体" w:cs="Times New Roman"/>
          <w:color w:val="auto"/>
          <w:sz w:val="24"/>
          <w:szCs w:val="24"/>
          <w:highlight w:val="none"/>
          <w:u w:val="single"/>
        </w:rPr>
        <w:t>解表在招标完成后由发包人和承包人共同编制，发包人审批，并作为本合同内容，具体详见合同附件14。</w:t>
      </w:r>
    </w:p>
    <w:p w14:paraId="5AB8FFF2">
      <w:pPr>
        <w:spacing w:line="400" w:lineRule="exact"/>
        <w:ind w:firstLine="600" w:firstLineChars="250"/>
        <w:jc w:val="left"/>
        <w:rPr>
          <w:rFonts w:ascii="Times New Roman" w:hAnsi="Times New Roman" w:eastAsia="宋体" w:cs="Times New Roman"/>
          <w:color w:val="auto"/>
          <w:sz w:val="24"/>
          <w:szCs w:val="24"/>
          <w:highlight w:val="none"/>
          <w:u w:val="single"/>
        </w:rPr>
      </w:pPr>
      <w:r>
        <w:rPr>
          <w:rFonts w:hint="eastAsia" w:ascii="Times New Roman" w:hAnsi="Times New Roman" w:eastAsia="宋体" w:cs="Times New Roman"/>
          <w:color w:val="auto"/>
          <w:sz w:val="24"/>
          <w:szCs w:val="24"/>
          <w:highlight w:val="none"/>
        </w:rPr>
        <w:t>（2）</w:t>
      </w:r>
      <w:r>
        <w:rPr>
          <w:rFonts w:hint="eastAsia" w:ascii="Times New Roman" w:hAnsi="宋体" w:eastAsia="宋体" w:cs="宋体"/>
          <w:color w:val="auto"/>
          <w:sz w:val="24"/>
          <w:szCs w:val="24"/>
          <w:highlight w:val="none"/>
        </w:rPr>
        <w:t>单价合同的总价项目支付分解表的编制与审批：总价项目不采用支付分解表的方式计算，而按《建设工程工程量清单计价规范（</w:t>
      </w:r>
      <w:r>
        <w:rPr>
          <w:rFonts w:ascii="Times New Roman" w:hAnsi="宋体" w:eastAsia="宋体" w:cs="Times New Roman"/>
          <w:color w:val="auto"/>
          <w:sz w:val="24"/>
          <w:szCs w:val="24"/>
          <w:highlight w:val="none"/>
        </w:rPr>
        <w:t>GB50500-2013</w:t>
      </w:r>
      <w:r>
        <w:rPr>
          <w:rFonts w:hint="eastAsia" w:ascii="Times New Roman" w:hAnsi="宋体" w:eastAsia="宋体" w:cs="宋体"/>
          <w:color w:val="auto"/>
          <w:sz w:val="24"/>
          <w:szCs w:val="24"/>
          <w:highlight w:val="none"/>
        </w:rPr>
        <w:t>）广西壮族自治区实施细则》的规定执行。</w:t>
      </w:r>
    </w:p>
    <w:bookmarkEnd w:id="614"/>
    <w:p w14:paraId="7B458B65">
      <w:pPr>
        <w:keepNext/>
        <w:keepLines/>
        <w:spacing w:before="60" w:after="60" w:line="400" w:lineRule="exact"/>
        <w:outlineLvl w:val="1"/>
        <w:rPr>
          <w:rFonts w:ascii="Arial" w:hAnsi="Arial" w:eastAsia="黑体" w:cs="Times New Roman"/>
          <w:b/>
          <w:bCs/>
          <w:color w:val="auto"/>
          <w:sz w:val="24"/>
          <w:szCs w:val="24"/>
          <w:highlight w:val="none"/>
          <w:lang w:val="zh-CN"/>
        </w:rPr>
      </w:pPr>
      <w:bookmarkStart w:id="850" w:name="_Toc389065318"/>
      <w:bookmarkStart w:id="851" w:name="_Toc9850584"/>
      <w:bookmarkStart w:id="852" w:name="_Toc373227753"/>
      <w:bookmarkStart w:id="853" w:name="_Toc351203645"/>
      <w:bookmarkStart w:id="854" w:name="_Toc373478400"/>
      <w:bookmarkStart w:id="855" w:name="_Toc407135256"/>
      <w:bookmarkStart w:id="856" w:name="_Toc296891259"/>
      <w:bookmarkStart w:id="857" w:name="_Toc297048405"/>
      <w:bookmarkStart w:id="858" w:name="_Toc300935015"/>
      <w:bookmarkStart w:id="859" w:name="_Toc297120519"/>
      <w:bookmarkStart w:id="860" w:name="_Toc296503219"/>
      <w:bookmarkStart w:id="861" w:name="_Toc296944558"/>
      <w:bookmarkStart w:id="862" w:name="_Toc297123564"/>
      <w:bookmarkStart w:id="863" w:name="_Toc304295593"/>
      <w:bookmarkStart w:id="864" w:name="_Toc303539172"/>
      <w:bookmarkStart w:id="865" w:name="_Toc312678053"/>
      <w:bookmarkStart w:id="866" w:name="_Toc296347218"/>
      <w:bookmarkStart w:id="867" w:name="_Toc296891047"/>
      <w:bookmarkStart w:id="868" w:name="_Toc292559424"/>
      <w:bookmarkStart w:id="869" w:name="_Toc297216223"/>
      <w:bookmarkStart w:id="870" w:name="_Toc292559929"/>
      <w:bookmarkStart w:id="871" w:name="_Toc296346720"/>
      <w:r>
        <w:rPr>
          <w:rFonts w:ascii="Arial" w:hAnsi="Arial" w:eastAsia="黑体" w:cs="Times New Roman"/>
          <w:b/>
          <w:bCs/>
          <w:color w:val="auto"/>
          <w:sz w:val="24"/>
          <w:szCs w:val="24"/>
          <w:highlight w:val="none"/>
          <w:lang w:val="zh-CN"/>
        </w:rPr>
        <w:t xml:space="preserve">13. </w:t>
      </w:r>
      <w:r>
        <w:rPr>
          <w:rFonts w:hint="eastAsia" w:ascii="Arial" w:hAnsi="Arial" w:eastAsia="黑体" w:cs="黑体"/>
          <w:b/>
          <w:bCs/>
          <w:color w:val="auto"/>
          <w:sz w:val="24"/>
          <w:szCs w:val="24"/>
          <w:highlight w:val="none"/>
          <w:lang w:val="zh-CN"/>
        </w:rPr>
        <w:t>验收和工程试车</w:t>
      </w:r>
      <w:bookmarkEnd w:id="850"/>
      <w:bookmarkEnd w:id="851"/>
      <w:bookmarkEnd w:id="852"/>
      <w:bookmarkEnd w:id="853"/>
      <w:bookmarkEnd w:id="854"/>
      <w:bookmarkEnd w:id="855"/>
    </w:p>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14:paraId="74DA77F4">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872" w:name="_Toc373478401"/>
      <w:bookmarkStart w:id="873" w:name="_Toc407135257"/>
      <w:bookmarkStart w:id="874" w:name="_Toc389065319"/>
      <w:bookmarkStart w:id="875" w:name="_Toc373227754"/>
      <w:bookmarkStart w:id="876" w:name="_Toc9850585"/>
      <w:r>
        <w:rPr>
          <w:rFonts w:ascii="Times New Roman" w:hAnsi="Times New Roman" w:eastAsia="黑体" w:cs="Times New Roman"/>
          <w:b/>
          <w:bCs/>
          <w:color w:val="auto"/>
          <w:sz w:val="24"/>
          <w:szCs w:val="24"/>
          <w:highlight w:val="none"/>
          <w:lang w:val="zh-CN"/>
        </w:rPr>
        <w:t xml:space="preserve">13.1 </w:t>
      </w:r>
      <w:r>
        <w:rPr>
          <w:rFonts w:hint="eastAsia" w:ascii="Times New Roman" w:hAnsi="Times New Roman" w:eastAsia="黑体" w:cs="黑体"/>
          <w:b/>
          <w:bCs/>
          <w:color w:val="auto"/>
          <w:sz w:val="24"/>
          <w:szCs w:val="24"/>
          <w:highlight w:val="none"/>
          <w:lang w:val="zh-CN"/>
        </w:rPr>
        <w:t>分部分项工程验收</w:t>
      </w:r>
      <w:bookmarkEnd w:id="872"/>
      <w:bookmarkEnd w:id="873"/>
      <w:bookmarkEnd w:id="874"/>
      <w:bookmarkEnd w:id="875"/>
      <w:bookmarkEnd w:id="876"/>
    </w:p>
    <w:p w14:paraId="68871971">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13.1.2</w:t>
      </w:r>
      <w:r>
        <w:rPr>
          <w:rFonts w:hint="eastAsia" w:ascii="Times New Roman" w:hAnsi="宋体" w:eastAsia="宋体" w:cs="宋体"/>
          <w:color w:val="auto"/>
          <w:sz w:val="24"/>
          <w:szCs w:val="24"/>
          <w:highlight w:val="none"/>
        </w:rPr>
        <w:t>监理人不能按时进行验收时，应提前</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24</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小时提交书面延期要求。</w:t>
      </w:r>
    </w:p>
    <w:p w14:paraId="21623858">
      <w:pPr>
        <w:spacing w:line="400" w:lineRule="exact"/>
        <w:ind w:firstLine="480" w:firstLineChars="200"/>
        <w:jc w:val="left"/>
        <w:rPr>
          <w:rFonts w:ascii="Times New Roman" w:hAnsi="Times New Roman" w:eastAsia="宋体" w:cs="Times New Roman"/>
          <w:b/>
          <w:bCs/>
          <w:color w:val="auto"/>
          <w:sz w:val="24"/>
          <w:szCs w:val="24"/>
          <w:highlight w:val="none"/>
        </w:rPr>
      </w:pPr>
      <w:r>
        <w:rPr>
          <w:rFonts w:hint="eastAsia" w:ascii="Times New Roman" w:hAnsi="宋体" w:eastAsia="宋体" w:cs="宋体"/>
          <w:color w:val="auto"/>
          <w:sz w:val="24"/>
          <w:szCs w:val="24"/>
          <w:highlight w:val="none"/>
        </w:rPr>
        <w:t>关于延期最长不得超过：</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48</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小时。</w:t>
      </w:r>
    </w:p>
    <w:p w14:paraId="137D31BF">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877" w:name="_Toc407135258"/>
      <w:bookmarkStart w:id="878" w:name="_Toc389065320"/>
      <w:bookmarkStart w:id="879" w:name="_Toc373227755"/>
      <w:bookmarkStart w:id="880" w:name="_Toc373478402"/>
      <w:bookmarkStart w:id="881" w:name="_Toc9850586"/>
      <w:bookmarkStart w:id="882" w:name="_Toc297123565"/>
      <w:bookmarkStart w:id="883" w:name="_Toc304295596"/>
      <w:bookmarkStart w:id="884" w:name="_Toc297216224"/>
      <w:bookmarkStart w:id="885" w:name="_Toc296944562"/>
      <w:bookmarkStart w:id="886" w:name="_Toc312678056"/>
      <w:bookmarkStart w:id="887" w:name="_Toc296891051"/>
      <w:bookmarkStart w:id="888" w:name="_Toc296347222"/>
      <w:bookmarkStart w:id="889" w:name="_Toc297048409"/>
      <w:bookmarkStart w:id="890" w:name="_Toc296346724"/>
      <w:bookmarkStart w:id="891" w:name="_Toc297120523"/>
      <w:bookmarkStart w:id="892" w:name="_Toc292559933"/>
      <w:bookmarkStart w:id="893" w:name="_Toc296891263"/>
      <w:bookmarkStart w:id="894" w:name="_Toc296503223"/>
      <w:bookmarkStart w:id="895" w:name="_Toc303539173"/>
      <w:bookmarkStart w:id="896" w:name="_Toc292559428"/>
      <w:bookmarkStart w:id="897" w:name="_Toc300935016"/>
      <w:bookmarkStart w:id="898" w:name="_Toc267251470"/>
      <w:bookmarkStart w:id="899" w:name="_Toc267251475"/>
      <w:bookmarkStart w:id="900" w:name="_Toc267251474"/>
      <w:bookmarkStart w:id="901" w:name="_Toc267251472"/>
      <w:bookmarkStart w:id="902" w:name="_Toc267251473"/>
      <w:bookmarkStart w:id="903" w:name="_Toc267251476"/>
      <w:bookmarkStart w:id="904" w:name="_Toc267251471"/>
      <w:r>
        <w:rPr>
          <w:rFonts w:ascii="Times New Roman" w:hAnsi="Times New Roman" w:eastAsia="黑体" w:cs="Times New Roman"/>
          <w:b/>
          <w:bCs/>
          <w:color w:val="auto"/>
          <w:sz w:val="24"/>
          <w:szCs w:val="24"/>
          <w:highlight w:val="none"/>
          <w:lang w:val="zh-CN"/>
        </w:rPr>
        <w:t xml:space="preserve">13.2 </w:t>
      </w:r>
      <w:r>
        <w:rPr>
          <w:rFonts w:hint="eastAsia" w:ascii="Times New Roman" w:hAnsi="宋体" w:eastAsia="黑体" w:cs="黑体"/>
          <w:b/>
          <w:bCs/>
          <w:color w:val="auto"/>
          <w:sz w:val="24"/>
          <w:szCs w:val="24"/>
          <w:highlight w:val="none"/>
          <w:lang w:val="zh-CN"/>
        </w:rPr>
        <w:t>竣工验收</w:t>
      </w:r>
      <w:bookmarkEnd w:id="877"/>
      <w:bookmarkEnd w:id="878"/>
      <w:bookmarkEnd w:id="879"/>
      <w:bookmarkEnd w:id="880"/>
      <w:bookmarkEnd w:id="881"/>
    </w:p>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14:paraId="336BAD1E">
      <w:pPr>
        <w:spacing w:line="400" w:lineRule="exact"/>
        <w:ind w:firstLine="480" w:firstLineChars="200"/>
        <w:jc w:val="left"/>
        <w:rPr>
          <w:rFonts w:ascii="Times New Roman" w:hAnsi="Times New Roman" w:eastAsia="宋体" w:cs="Times New Roman"/>
          <w:color w:val="auto"/>
          <w:sz w:val="24"/>
          <w:szCs w:val="24"/>
          <w:highlight w:val="none"/>
        </w:rPr>
      </w:pPr>
      <w:bookmarkStart w:id="905" w:name="_Toc280868704"/>
      <w:bookmarkStart w:id="906" w:name="_Toc280868705"/>
      <w:bookmarkStart w:id="907" w:name="_Toc280868706"/>
      <w:bookmarkStart w:id="908" w:name="_Toc280868707"/>
      <w:bookmarkStart w:id="909" w:name="_Toc280868708"/>
      <w:bookmarkStart w:id="910" w:name="_Toc280868709"/>
      <w:r>
        <w:rPr>
          <w:rFonts w:ascii="Times New Roman" w:hAnsi="Times New Roman" w:eastAsia="宋体" w:cs="Times New Roman"/>
          <w:color w:val="auto"/>
          <w:sz w:val="24"/>
          <w:szCs w:val="24"/>
          <w:highlight w:val="none"/>
        </w:rPr>
        <w:t>13.2.1</w:t>
      </w:r>
      <w:r>
        <w:rPr>
          <w:rFonts w:hint="eastAsia" w:ascii="Times New Roman" w:hAnsi="宋体" w:eastAsia="宋体" w:cs="宋体"/>
          <w:color w:val="auto"/>
          <w:sz w:val="24"/>
          <w:szCs w:val="24"/>
          <w:highlight w:val="none"/>
        </w:rPr>
        <w:t>竣工验收条件</w:t>
      </w:r>
    </w:p>
    <w:p w14:paraId="097E9FFF">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宋体"/>
          <w:color w:val="auto"/>
          <w:sz w:val="24"/>
          <w:szCs w:val="24"/>
          <w:highlight w:val="none"/>
        </w:rPr>
        <w:t>（</w:t>
      </w:r>
      <w:r>
        <w:rPr>
          <w:rFonts w:ascii="Times New Roman" w:hAnsi="Times New Roman" w:eastAsia="宋体" w:cs="Times New Roman"/>
          <w:color w:val="auto"/>
          <w:sz w:val="24"/>
          <w:szCs w:val="24"/>
          <w:highlight w:val="none"/>
        </w:rPr>
        <w:t>3</w:t>
      </w:r>
      <w:r>
        <w:rPr>
          <w:rFonts w:hint="eastAsia" w:ascii="Times New Roman" w:hAnsi="Times New Roman" w:eastAsia="宋体" w:cs="宋体"/>
          <w:color w:val="auto"/>
          <w:sz w:val="24"/>
          <w:szCs w:val="24"/>
          <w:highlight w:val="none"/>
        </w:rPr>
        <w:t>）</w:t>
      </w:r>
      <w:r>
        <w:rPr>
          <w:rFonts w:hint="eastAsia" w:ascii="Times New Roman" w:hAnsi="宋体" w:eastAsia="宋体" w:cs="宋体"/>
          <w:color w:val="auto"/>
          <w:sz w:val="24"/>
          <w:szCs w:val="24"/>
          <w:highlight w:val="none"/>
        </w:rPr>
        <w:t>承包人负责整理和提交的竣工验收资料应当符合工程所在地建设行政主管部门和</w:t>
      </w:r>
      <w:r>
        <w:rPr>
          <w:rFonts w:ascii="Times New Roman" w:hAnsi="Times New Roman" w:eastAsia="宋体" w:cs="Times New Roman"/>
          <w:color w:val="auto"/>
          <w:sz w:val="24"/>
          <w:szCs w:val="24"/>
          <w:highlight w:val="none"/>
        </w:rPr>
        <w:t>(</w:t>
      </w:r>
      <w:r>
        <w:rPr>
          <w:rFonts w:hint="eastAsia" w:ascii="Times New Roman" w:hAnsi="宋体" w:eastAsia="宋体" w:cs="宋体"/>
          <w:color w:val="auto"/>
          <w:sz w:val="24"/>
          <w:szCs w:val="24"/>
          <w:highlight w:val="none"/>
        </w:rPr>
        <w:t>或</w:t>
      </w:r>
      <w:r>
        <w:rPr>
          <w:rFonts w:ascii="Times New Roman" w:hAnsi="Times New Roman" w:eastAsia="宋体" w:cs="Times New Roman"/>
          <w:color w:val="auto"/>
          <w:sz w:val="24"/>
          <w:szCs w:val="24"/>
          <w:highlight w:val="none"/>
        </w:rPr>
        <w:t>)</w:t>
      </w:r>
      <w:r>
        <w:rPr>
          <w:rFonts w:hint="eastAsia" w:ascii="Times New Roman" w:hAnsi="宋体" w:eastAsia="宋体" w:cs="宋体"/>
          <w:color w:val="auto"/>
          <w:sz w:val="24"/>
          <w:szCs w:val="24"/>
          <w:highlight w:val="none"/>
        </w:rPr>
        <w:t>城市建设档案管理机构有关施工资料的要求，具体内容包括：</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7E261E26">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竣工验收资料的份数：</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0B14871B">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承包人提供竣工图的约定：</w:t>
      </w:r>
      <w:r>
        <w:rPr>
          <w:rFonts w:hint="eastAsia" w:ascii="Times New Roman" w:hAnsi="宋体" w:eastAsia="宋体" w:cs="宋体"/>
          <w:color w:val="auto"/>
          <w:sz w:val="24"/>
          <w:szCs w:val="24"/>
          <w:highlight w:val="none"/>
          <w:u w:val="single"/>
        </w:rPr>
        <w:t>竣工验收正式通过后</w:t>
      </w:r>
      <w:r>
        <w:rPr>
          <w:rFonts w:ascii="Times New Roman" w:hAnsi="Times New Roman" w:eastAsia="宋体" w:cs="Times New Roman"/>
          <w:color w:val="auto"/>
          <w:sz w:val="24"/>
          <w:szCs w:val="24"/>
          <w:highlight w:val="none"/>
          <w:u w:val="single"/>
        </w:rPr>
        <w:t>5</w:t>
      </w:r>
      <w:r>
        <w:rPr>
          <w:rFonts w:hint="eastAsia" w:ascii="Times New Roman" w:hAnsi="宋体" w:eastAsia="宋体" w:cs="宋体"/>
          <w:color w:val="auto"/>
          <w:sz w:val="24"/>
          <w:szCs w:val="24"/>
          <w:highlight w:val="none"/>
          <w:u w:val="single"/>
        </w:rPr>
        <w:t>天（工程造价在</w:t>
      </w:r>
      <w:r>
        <w:rPr>
          <w:rFonts w:ascii="Times New Roman" w:hAnsi="Times New Roman" w:eastAsia="宋体" w:cs="Times New Roman"/>
          <w:color w:val="auto"/>
          <w:sz w:val="24"/>
          <w:szCs w:val="24"/>
          <w:highlight w:val="none"/>
          <w:u w:val="single"/>
        </w:rPr>
        <w:t>500</w:t>
      </w:r>
      <w:r>
        <w:rPr>
          <w:rFonts w:hint="eastAsia" w:ascii="Times New Roman" w:hAnsi="宋体" w:eastAsia="宋体" w:cs="宋体"/>
          <w:color w:val="auto"/>
          <w:sz w:val="24"/>
          <w:szCs w:val="24"/>
          <w:highlight w:val="none"/>
          <w:u w:val="single"/>
        </w:rPr>
        <w:t>万元以下含</w:t>
      </w:r>
      <w:r>
        <w:rPr>
          <w:rFonts w:ascii="Times New Roman" w:hAnsi="Times New Roman" w:eastAsia="宋体" w:cs="Times New Roman"/>
          <w:color w:val="auto"/>
          <w:sz w:val="24"/>
          <w:szCs w:val="24"/>
          <w:highlight w:val="none"/>
          <w:u w:val="single"/>
        </w:rPr>
        <w:t>500</w:t>
      </w:r>
      <w:r>
        <w:rPr>
          <w:rFonts w:hint="eastAsia" w:ascii="Times New Roman" w:hAnsi="宋体" w:eastAsia="宋体" w:cs="宋体"/>
          <w:color w:val="auto"/>
          <w:sz w:val="24"/>
          <w:szCs w:val="24"/>
          <w:highlight w:val="none"/>
          <w:u w:val="single"/>
        </w:rPr>
        <w:t>万元）、</w:t>
      </w:r>
      <w:r>
        <w:rPr>
          <w:rFonts w:ascii="Times New Roman" w:hAnsi="Times New Roman" w:eastAsia="宋体" w:cs="Times New Roman"/>
          <w:color w:val="auto"/>
          <w:sz w:val="24"/>
          <w:szCs w:val="24"/>
          <w:highlight w:val="none"/>
          <w:u w:val="single"/>
        </w:rPr>
        <w:t>10</w:t>
      </w:r>
      <w:r>
        <w:rPr>
          <w:rFonts w:hint="eastAsia" w:ascii="Times New Roman" w:hAnsi="宋体" w:eastAsia="宋体" w:cs="宋体"/>
          <w:color w:val="auto"/>
          <w:sz w:val="24"/>
          <w:szCs w:val="24"/>
          <w:highlight w:val="none"/>
          <w:u w:val="single"/>
        </w:rPr>
        <w:t>天（工程造价在</w:t>
      </w:r>
      <w:r>
        <w:rPr>
          <w:rFonts w:ascii="Times New Roman" w:hAnsi="Times New Roman" w:eastAsia="宋体" w:cs="Times New Roman"/>
          <w:color w:val="auto"/>
          <w:sz w:val="24"/>
          <w:szCs w:val="24"/>
          <w:highlight w:val="none"/>
          <w:u w:val="single"/>
        </w:rPr>
        <w:t>500</w:t>
      </w:r>
      <w:r>
        <w:rPr>
          <w:rFonts w:hint="eastAsia" w:ascii="Times New Roman" w:hAnsi="宋体" w:eastAsia="宋体" w:cs="宋体"/>
          <w:color w:val="auto"/>
          <w:sz w:val="24"/>
          <w:szCs w:val="24"/>
          <w:highlight w:val="none"/>
          <w:u w:val="single"/>
        </w:rPr>
        <w:t>万元至</w:t>
      </w:r>
      <w:r>
        <w:rPr>
          <w:rFonts w:ascii="Times New Roman" w:hAnsi="Times New Roman" w:eastAsia="宋体" w:cs="Times New Roman"/>
          <w:color w:val="auto"/>
          <w:sz w:val="24"/>
          <w:szCs w:val="24"/>
          <w:highlight w:val="none"/>
          <w:u w:val="single"/>
        </w:rPr>
        <w:t>1000</w:t>
      </w:r>
      <w:r>
        <w:rPr>
          <w:rFonts w:hint="eastAsia" w:ascii="Times New Roman" w:hAnsi="宋体" w:eastAsia="宋体" w:cs="宋体"/>
          <w:color w:val="auto"/>
          <w:sz w:val="24"/>
          <w:szCs w:val="24"/>
          <w:highlight w:val="none"/>
          <w:u w:val="single"/>
        </w:rPr>
        <w:t>万元之间含</w:t>
      </w:r>
      <w:r>
        <w:rPr>
          <w:rFonts w:ascii="Times New Roman" w:hAnsi="Times New Roman" w:eastAsia="宋体" w:cs="Times New Roman"/>
          <w:color w:val="auto"/>
          <w:sz w:val="24"/>
          <w:szCs w:val="24"/>
          <w:highlight w:val="none"/>
          <w:u w:val="single"/>
        </w:rPr>
        <w:t>1000</w:t>
      </w:r>
      <w:r>
        <w:rPr>
          <w:rFonts w:hint="eastAsia" w:ascii="Times New Roman" w:hAnsi="宋体" w:eastAsia="宋体" w:cs="宋体"/>
          <w:color w:val="auto"/>
          <w:sz w:val="24"/>
          <w:szCs w:val="24"/>
          <w:highlight w:val="none"/>
          <w:u w:val="single"/>
        </w:rPr>
        <w:t>万元）、</w:t>
      </w:r>
      <w:r>
        <w:rPr>
          <w:rFonts w:ascii="Times New Roman" w:hAnsi="Times New Roman" w:eastAsia="宋体" w:cs="Times New Roman"/>
          <w:color w:val="auto"/>
          <w:sz w:val="24"/>
          <w:szCs w:val="24"/>
          <w:highlight w:val="none"/>
          <w:u w:val="single"/>
        </w:rPr>
        <w:t>15</w:t>
      </w:r>
      <w:r>
        <w:rPr>
          <w:rFonts w:hint="eastAsia" w:ascii="Times New Roman" w:hAnsi="宋体" w:eastAsia="宋体" w:cs="宋体"/>
          <w:color w:val="auto"/>
          <w:sz w:val="24"/>
          <w:szCs w:val="24"/>
          <w:highlight w:val="none"/>
          <w:u w:val="single"/>
        </w:rPr>
        <w:t>天（工程造价在</w:t>
      </w:r>
      <w:r>
        <w:rPr>
          <w:rFonts w:ascii="Times New Roman" w:hAnsi="Times New Roman" w:eastAsia="宋体" w:cs="Times New Roman"/>
          <w:color w:val="auto"/>
          <w:sz w:val="24"/>
          <w:szCs w:val="24"/>
          <w:highlight w:val="none"/>
          <w:u w:val="single"/>
        </w:rPr>
        <w:t>1000</w:t>
      </w:r>
      <w:r>
        <w:rPr>
          <w:rFonts w:hint="eastAsia" w:ascii="Times New Roman" w:hAnsi="宋体" w:eastAsia="宋体" w:cs="宋体"/>
          <w:color w:val="auto"/>
          <w:sz w:val="24"/>
          <w:szCs w:val="24"/>
          <w:highlight w:val="none"/>
          <w:u w:val="single"/>
        </w:rPr>
        <w:t>万元以上），提供竣工图的数量分别为</w:t>
      </w:r>
      <w:r>
        <w:rPr>
          <w:rFonts w:ascii="Times New Roman" w:hAnsi="Times New Roman" w:eastAsia="宋体" w:cs="Times New Roman"/>
          <w:color w:val="auto"/>
          <w:sz w:val="24"/>
          <w:szCs w:val="24"/>
          <w:highlight w:val="none"/>
          <w:u w:val="single"/>
        </w:rPr>
        <w:t>2</w:t>
      </w:r>
      <w:r>
        <w:rPr>
          <w:rFonts w:hint="eastAsia" w:ascii="Times New Roman" w:hAnsi="宋体" w:eastAsia="宋体" w:cs="宋体"/>
          <w:color w:val="auto"/>
          <w:sz w:val="24"/>
          <w:szCs w:val="24"/>
          <w:highlight w:val="none"/>
          <w:u w:val="single"/>
        </w:rPr>
        <w:t>套、</w:t>
      </w:r>
      <w:r>
        <w:rPr>
          <w:rFonts w:ascii="Times New Roman" w:hAnsi="Times New Roman" w:eastAsia="宋体" w:cs="Times New Roman"/>
          <w:color w:val="auto"/>
          <w:sz w:val="24"/>
          <w:szCs w:val="24"/>
          <w:highlight w:val="none"/>
          <w:u w:val="single"/>
        </w:rPr>
        <w:t>4</w:t>
      </w:r>
      <w:r>
        <w:rPr>
          <w:rFonts w:hint="eastAsia" w:ascii="Times New Roman" w:hAnsi="宋体" w:eastAsia="宋体" w:cs="宋体"/>
          <w:color w:val="auto"/>
          <w:sz w:val="24"/>
          <w:szCs w:val="24"/>
          <w:highlight w:val="none"/>
          <w:u w:val="single"/>
        </w:rPr>
        <w:t>套、</w:t>
      </w:r>
      <w:r>
        <w:rPr>
          <w:rFonts w:ascii="Times New Roman" w:hAnsi="Times New Roman" w:eastAsia="宋体" w:cs="Times New Roman"/>
          <w:color w:val="auto"/>
          <w:sz w:val="24"/>
          <w:szCs w:val="24"/>
          <w:highlight w:val="none"/>
          <w:u w:val="single"/>
        </w:rPr>
        <w:t>6</w:t>
      </w:r>
      <w:r>
        <w:rPr>
          <w:rFonts w:hint="eastAsia" w:ascii="Times New Roman" w:hAnsi="宋体" w:eastAsia="宋体" w:cs="宋体"/>
          <w:color w:val="auto"/>
          <w:sz w:val="24"/>
          <w:szCs w:val="24"/>
          <w:highlight w:val="none"/>
          <w:u w:val="single"/>
        </w:rPr>
        <w:t>套。</w:t>
      </w:r>
    </w:p>
    <w:p w14:paraId="13A03E9E">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13.2.2</w:t>
      </w:r>
      <w:r>
        <w:rPr>
          <w:rFonts w:hint="eastAsia" w:ascii="Times New Roman" w:hAnsi="宋体" w:eastAsia="宋体" w:cs="宋体"/>
          <w:color w:val="auto"/>
          <w:sz w:val="24"/>
          <w:szCs w:val="24"/>
          <w:highlight w:val="none"/>
        </w:rPr>
        <w:t>竣工验收程序</w:t>
      </w:r>
    </w:p>
    <w:bookmarkEnd w:id="905"/>
    <w:p w14:paraId="0A4E3D7A">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kern w:val="0"/>
          <w:sz w:val="24"/>
          <w:szCs w:val="24"/>
          <w:highlight w:val="none"/>
        </w:rPr>
        <w:t>关于竣工验收程序的约定：</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 xml:space="preserve">按通用条款13.2.2款规定执行 </w:t>
      </w:r>
      <w:r>
        <w:rPr>
          <w:rFonts w:hint="eastAsia" w:ascii="Times New Roman" w:hAnsi="宋体" w:eastAsia="宋体" w:cs="宋体"/>
          <w:color w:val="auto"/>
          <w:sz w:val="24"/>
          <w:szCs w:val="24"/>
          <w:highlight w:val="none"/>
        </w:rPr>
        <w:t>。</w:t>
      </w:r>
    </w:p>
    <w:p w14:paraId="696BCA00">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kern w:val="0"/>
          <w:sz w:val="24"/>
          <w:szCs w:val="24"/>
          <w:highlight w:val="none"/>
        </w:rPr>
        <w:t>发包人不按照本项约定组织竣工验收、颁发工程接收证书的违约金的计算方法：</w:t>
      </w:r>
      <w:r>
        <w:rPr>
          <w:rFonts w:ascii="Times New Roman" w:hAnsi="Times New Roman" w:eastAsia="宋体" w:cs="Times New Roman"/>
          <w:color w:val="auto"/>
          <w:sz w:val="24"/>
          <w:szCs w:val="24"/>
          <w:highlight w:val="none"/>
          <w:u w:val="single"/>
        </w:rPr>
        <w:t xml:space="preserve">         </w:t>
      </w:r>
    </w:p>
    <w:p w14:paraId="6E559FA2">
      <w:pPr>
        <w:spacing w:line="400" w:lineRule="exact"/>
        <w:jc w:val="left"/>
        <w:rPr>
          <w:rFonts w:ascii="Times New Roman" w:hAnsi="Times New Roman" w:eastAsia="宋体" w:cs="Times New Roman"/>
          <w:color w:val="auto"/>
          <w:sz w:val="24"/>
          <w:szCs w:val="24"/>
          <w:highlight w:val="none"/>
        </w:rPr>
      </w:pPr>
      <w:r>
        <w:rPr>
          <w:rFonts w:hint="eastAsia" w:ascii="宋体" w:hAnsi="Courier New" w:eastAsia="宋体" w:cs="Times New Roman"/>
          <w:color w:val="auto"/>
          <w:sz w:val="24"/>
          <w:szCs w:val="24"/>
          <w:highlight w:val="none"/>
          <w:u w:val="single"/>
        </w:rPr>
        <w:t xml:space="preserve">每天赔偿金额为合同价款扣除建安劳保费、发包人材料价款、暂估专业工程、暂列金额后的万分之一 </w:t>
      </w:r>
      <w:r>
        <w:rPr>
          <w:rFonts w:hint="eastAsia" w:ascii="Times New Roman" w:hAnsi="宋体" w:eastAsia="宋体" w:cs="宋体"/>
          <w:color w:val="auto"/>
          <w:sz w:val="24"/>
          <w:szCs w:val="24"/>
          <w:highlight w:val="none"/>
        </w:rPr>
        <w:t>。</w:t>
      </w:r>
    </w:p>
    <w:bookmarkEnd w:id="906"/>
    <w:p w14:paraId="6C6D758C">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13.2.5</w:t>
      </w:r>
      <w:r>
        <w:rPr>
          <w:rFonts w:hint="eastAsia" w:ascii="Times New Roman" w:hAnsi="宋体" w:eastAsia="宋体" w:cs="宋体"/>
          <w:color w:val="auto"/>
          <w:sz w:val="24"/>
          <w:szCs w:val="24"/>
          <w:highlight w:val="none"/>
        </w:rPr>
        <w:t>移交、接收全部与部分工程</w:t>
      </w:r>
    </w:p>
    <w:bookmarkEnd w:id="907"/>
    <w:p w14:paraId="52A01435">
      <w:pPr>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承包人向发包人移交工程的期限：</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工程竣工验收合格后28天内</w:t>
      </w:r>
      <w:r>
        <w:rPr>
          <w:rFonts w:hint="eastAsia" w:ascii="Times New Roman" w:hAnsi="宋体" w:eastAsia="宋体" w:cs="宋体"/>
          <w:color w:val="auto"/>
          <w:sz w:val="24"/>
          <w:szCs w:val="24"/>
          <w:highlight w:val="none"/>
        </w:rPr>
        <w:t>。</w:t>
      </w:r>
    </w:p>
    <w:p w14:paraId="23881890">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kern w:val="0"/>
          <w:sz w:val="24"/>
          <w:szCs w:val="24"/>
          <w:highlight w:val="none"/>
        </w:rPr>
        <w:t>发包人未按本合同约定接收全部或部分工程的，违约金的计算方法为：</w:t>
      </w:r>
      <w:r>
        <w:rPr>
          <w:rFonts w:hint="eastAsia" w:ascii="Times New Roman" w:hAnsi="宋体" w:eastAsia="宋体" w:cs="宋体"/>
          <w:color w:val="auto"/>
          <w:kern w:val="0"/>
          <w:sz w:val="24"/>
          <w:szCs w:val="24"/>
          <w:highlight w:val="none"/>
          <w:u w:val="single"/>
        </w:rPr>
        <w:t xml:space="preserve"> </w:t>
      </w:r>
      <w:r>
        <w:rPr>
          <w:rFonts w:hint="eastAsia" w:ascii="宋体" w:hAnsi="Courier New"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bookmarkEnd w:id="908"/>
    <w:p w14:paraId="7F0BDC9E">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承包人未按时移交工程的，违约金的计算方法为：</w:t>
      </w:r>
      <w:r>
        <w:rPr>
          <w:rFonts w:hint="eastAsia" w:ascii="Times New Roman" w:hAnsi="宋体" w:eastAsia="宋体" w:cs="宋体"/>
          <w:color w:val="auto"/>
          <w:kern w:val="0"/>
          <w:sz w:val="24"/>
          <w:szCs w:val="24"/>
          <w:highlight w:val="none"/>
          <w:u w:val="single"/>
        </w:rPr>
        <w:t xml:space="preserve"> </w:t>
      </w:r>
      <w:r>
        <w:rPr>
          <w:rFonts w:hint="eastAsia" w:ascii="宋体" w:hAnsi="Courier New"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2FC99FD3">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911" w:name="_Toc373227756"/>
      <w:bookmarkStart w:id="912" w:name="_Toc9850587"/>
      <w:bookmarkStart w:id="913" w:name="_Toc389065321"/>
      <w:bookmarkStart w:id="914" w:name="_Toc373478403"/>
      <w:bookmarkStart w:id="915" w:name="_Toc407135259"/>
      <w:r>
        <w:rPr>
          <w:rFonts w:ascii="Times New Roman" w:hAnsi="Times New Roman" w:eastAsia="黑体" w:cs="Times New Roman"/>
          <w:b/>
          <w:bCs/>
          <w:color w:val="auto"/>
          <w:sz w:val="24"/>
          <w:szCs w:val="24"/>
          <w:highlight w:val="none"/>
          <w:lang w:val="zh-CN"/>
        </w:rPr>
        <w:t xml:space="preserve">13.3 </w:t>
      </w:r>
      <w:r>
        <w:rPr>
          <w:rFonts w:hint="eastAsia" w:ascii="Times New Roman" w:hAnsi="宋体" w:eastAsia="黑体" w:cs="黑体"/>
          <w:b/>
          <w:bCs/>
          <w:color w:val="auto"/>
          <w:sz w:val="24"/>
          <w:szCs w:val="24"/>
          <w:highlight w:val="none"/>
          <w:lang w:val="zh-CN"/>
        </w:rPr>
        <w:t>工程试车</w:t>
      </w:r>
      <w:bookmarkEnd w:id="911"/>
      <w:bookmarkEnd w:id="912"/>
      <w:bookmarkEnd w:id="913"/>
      <w:bookmarkEnd w:id="914"/>
      <w:bookmarkEnd w:id="915"/>
    </w:p>
    <w:bookmarkEnd w:id="909"/>
    <w:p w14:paraId="2EA484C3">
      <w:pPr>
        <w:spacing w:line="400" w:lineRule="exact"/>
        <w:ind w:firstLine="480" w:firstLineChars="200"/>
        <w:jc w:val="lef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xml:space="preserve">13.3.1 </w:t>
      </w:r>
      <w:r>
        <w:rPr>
          <w:rFonts w:hint="eastAsia" w:ascii="Times New Roman" w:hAnsi="宋体" w:eastAsia="宋体" w:cs="宋体"/>
          <w:color w:val="auto"/>
          <w:kern w:val="0"/>
          <w:sz w:val="24"/>
          <w:szCs w:val="24"/>
          <w:highlight w:val="none"/>
        </w:rPr>
        <w:t>试车程序</w:t>
      </w:r>
    </w:p>
    <w:p w14:paraId="57B5F14B">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kern w:val="0"/>
          <w:sz w:val="24"/>
          <w:szCs w:val="24"/>
          <w:highlight w:val="none"/>
        </w:rPr>
        <w:t>工程试车内容：</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按通用条款13.3执行</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55BAFC12">
      <w:pPr>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w:t>
      </w:r>
      <w:r>
        <w:rPr>
          <w:rFonts w:ascii="Times New Roman" w:hAnsi="Times New Roman" w:eastAsia="宋体" w:cs="Times New Roman"/>
          <w:color w:val="auto"/>
          <w:kern w:val="0"/>
          <w:sz w:val="24"/>
          <w:szCs w:val="24"/>
          <w:highlight w:val="none"/>
        </w:rPr>
        <w:t>1</w:t>
      </w:r>
      <w:r>
        <w:rPr>
          <w:rFonts w:hint="eastAsia" w:ascii="Times New Roman" w:hAnsi="宋体" w:eastAsia="宋体" w:cs="宋体"/>
          <w:color w:val="auto"/>
          <w:kern w:val="0"/>
          <w:sz w:val="24"/>
          <w:szCs w:val="24"/>
          <w:highlight w:val="none"/>
        </w:rPr>
        <w:t>）单机无负荷试车费用由</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承包人</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kern w:val="0"/>
          <w:sz w:val="24"/>
          <w:szCs w:val="24"/>
          <w:highlight w:val="none"/>
        </w:rPr>
        <w:t>承担；</w:t>
      </w:r>
    </w:p>
    <w:p w14:paraId="2EA00798">
      <w:pPr>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w:t>
      </w:r>
      <w:r>
        <w:rPr>
          <w:rFonts w:ascii="Times New Roman" w:hAnsi="Times New Roman" w:eastAsia="宋体" w:cs="Times New Roman"/>
          <w:color w:val="auto"/>
          <w:kern w:val="0"/>
          <w:sz w:val="24"/>
          <w:szCs w:val="24"/>
          <w:highlight w:val="none"/>
        </w:rPr>
        <w:t>2</w:t>
      </w:r>
      <w:r>
        <w:rPr>
          <w:rFonts w:hint="eastAsia" w:ascii="Times New Roman" w:hAnsi="宋体" w:eastAsia="宋体" w:cs="宋体"/>
          <w:color w:val="auto"/>
          <w:kern w:val="0"/>
          <w:sz w:val="24"/>
          <w:szCs w:val="24"/>
          <w:highlight w:val="none"/>
        </w:rPr>
        <w:t>）无负荷联动试车费用由</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承包人</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kern w:val="0"/>
          <w:sz w:val="24"/>
          <w:szCs w:val="24"/>
          <w:highlight w:val="none"/>
        </w:rPr>
        <w:t>承担。</w:t>
      </w:r>
    </w:p>
    <w:p w14:paraId="331D19AC">
      <w:pPr>
        <w:spacing w:line="400" w:lineRule="exact"/>
        <w:ind w:firstLine="480" w:firstLineChars="200"/>
        <w:jc w:val="lef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xml:space="preserve">13.3.3 </w:t>
      </w:r>
      <w:r>
        <w:rPr>
          <w:rFonts w:hint="eastAsia" w:ascii="Times New Roman" w:hAnsi="宋体" w:eastAsia="宋体" w:cs="宋体"/>
          <w:color w:val="auto"/>
          <w:kern w:val="0"/>
          <w:sz w:val="24"/>
          <w:szCs w:val="24"/>
          <w:highlight w:val="none"/>
        </w:rPr>
        <w:t>投料试车</w:t>
      </w:r>
    </w:p>
    <w:p w14:paraId="75BB4A99">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kern w:val="0"/>
          <w:sz w:val="24"/>
          <w:szCs w:val="24"/>
          <w:highlight w:val="none"/>
        </w:rPr>
        <w:t>关于投料试车相关事项的约定：</w:t>
      </w:r>
      <w:r>
        <w:rPr>
          <w:rFonts w:ascii="Times New Roman" w:hAnsi="Times New Roman" w:eastAsia="宋体" w:cs="Times New Roman"/>
          <w:color w:val="auto"/>
          <w:sz w:val="24"/>
          <w:szCs w:val="24"/>
          <w:highlight w:val="none"/>
          <w:u w:val="single"/>
        </w:rPr>
        <w:t xml:space="preserve">          </w:t>
      </w:r>
      <w:r>
        <w:rPr>
          <w:rFonts w:ascii="宋体" w:hAnsi="Courier New"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 xml:space="preserve"> 无</w:t>
      </w:r>
      <w:r>
        <w:rPr>
          <w:rFonts w:ascii="宋体" w:hAnsi="Courier New"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063107BC">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916" w:name="_Toc373227757"/>
      <w:bookmarkStart w:id="917" w:name="_Toc9850588"/>
      <w:bookmarkStart w:id="918" w:name="_Toc389065322"/>
      <w:bookmarkStart w:id="919" w:name="_Toc373478404"/>
      <w:bookmarkStart w:id="920" w:name="_Toc407135260"/>
      <w:r>
        <w:rPr>
          <w:rFonts w:ascii="Times New Roman" w:hAnsi="Times New Roman" w:eastAsia="黑体" w:cs="Times New Roman"/>
          <w:b/>
          <w:bCs/>
          <w:color w:val="auto"/>
          <w:sz w:val="24"/>
          <w:szCs w:val="24"/>
          <w:highlight w:val="none"/>
          <w:lang w:val="zh-CN"/>
        </w:rPr>
        <w:t xml:space="preserve">13.6 </w:t>
      </w:r>
      <w:r>
        <w:rPr>
          <w:rFonts w:hint="eastAsia" w:ascii="Times New Roman" w:hAnsi="宋体" w:eastAsia="黑体" w:cs="黑体"/>
          <w:b/>
          <w:bCs/>
          <w:color w:val="auto"/>
          <w:sz w:val="24"/>
          <w:szCs w:val="24"/>
          <w:highlight w:val="none"/>
          <w:lang w:val="zh-CN"/>
        </w:rPr>
        <w:t>竣工退场</w:t>
      </w:r>
      <w:bookmarkEnd w:id="916"/>
      <w:bookmarkEnd w:id="917"/>
      <w:bookmarkEnd w:id="918"/>
      <w:bookmarkEnd w:id="919"/>
      <w:bookmarkEnd w:id="920"/>
    </w:p>
    <w:p w14:paraId="1589C121">
      <w:pPr>
        <w:spacing w:line="400" w:lineRule="exact"/>
        <w:ind w:firstLine="480" w:firstLineChars="200"/>
        <w:jc w:val="left"/>
        <w:outlineLvl w:val="0"/>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xml:space="preserve">13.6.1 </w:t>
      </w:r>
      <w:r>
        <w:rPr>
          <w:rFonts w:hint="eastAsia" w:ascii="Times New Roman" w:hAnsi="宋体" w:eastAsia="宋体" w:cs="宋体"/>
          <w:color w:val="auto"/>
          <w:kern w:val="0"/>
          <w:sz w:val="24"/>
          <w:szCs w:val="24"/>
          <w:highlight w:val="none"/>
        </w:rPr>
        <w:t>竣工退场</w:t>
      </w:r>
    </w:p>
    <w:p w14:paraId="33FDD288">
      <w:pPr>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承包人完成竣工退场的期限：</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颁发工程接收证书后10天内</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3AFDD998">
      <w:pPr>
        <w:keepNext/>
        <w:keepLines/>
        <w:spacing w:before="60" w:after="60" w:line="400" w:lineRule="exact"/>
        <w:outlineLvl w:val="1"/>
        <w:rPr>
          <w:rFonts w:ascii="Arial" w:hAnsi="Arial" w:eastAsia="黑体" w:cs="Times New Roman"/>
          <w:b/>
          <w:bCs/>
          <w:color w:val="auto"/>
          <w:sz w:val="24"/>
          <w:szCs w:val="24"/>
          <w:highlight w:val="none"/>
          <w:lang w:val="zh-CN"/>
        </w:rPr>
      </w:pPr>
      <w:bookmarkStart w:id="921" w:name="_Toc351203646"/>
      <w:bookmarkStart w:id="922" w:name="_Toc407135261"/>
      <w:bookmarkStart w:id="923" w:name="_Toc373227758"/>
      <w:bookmarkStart w:id="924" w:name="_Toc9850589"/>
      <w:bookmarkStart w:id="925" w:name="_Toc389065323"/>
      <w:bookmarkStart w:id="926" w:name="_Toc373478405"/>
      <w:r>
        <w:rPr>
          <w:rFonts w:ascii="Arial" w:hAnsi="Arial" w:eastAsia="黑体" w:cs="Times New Roman"/>
          <w:b/>
          <w:bCs/>
          <w:color w:val="auto"/>
          <w:sz w:val="24"/>
          <w:szCs w:val="24"/>
          <w:highlight w:val="none"/>
          <w:lang w:val="zh-CN"/>
        </w:rPr>
        <w:t xml:space="preserve">14. </w:t>
      </w:r>
      <w:r>
        <w:rPr>
          <w:rFonts w:hint="eastAsia" w:ascii="Arial" w:hAnsi="宋体" w:eastAsia="黑体" w:cs="黑体"/>
          <w:b/>
          <w:bCs/>
          <w:color w:val="auto"/>
          <w:sz w:val="24"/>
          <w:szCs w:val="24"/>
          <w:highlight w:val="none"/>
          <w:lang w:val="zh-CN"/>
        </w:rPr>
        <w:t>竣工结算</w:t>
      </w:r>
      <w:bookmarkEnd w:id="921"/>
      <w:bookmarkEnd w:id="922"/>
      <w:bookmarkEnd w:id="923"/>
      <w:bookmarkEnd w:id="924"/>
      <w:bookmarkEnd w:id="925"/>
      <w:bookmarkEnd w:id="926"/>
    </w:p>
    <w:p w14:paraId="01BE96B5">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927" w:name="_Toc373478406"/>
      <w:bookmarkStart w:id="928" w:name="_Toc9850590"/>
      <w:bookmarkStart w:id="929" w:name="_Toc373227759"/>
      <w:bookmarkStart w:id="930" w:name="_Toc407135262"/>
      <w:bookmarkStart w:id="931" w:name="_Toc389065324"/>
      <w:r>
        <w:rPr>
          <w:rFonts w:ascii="Times New Roman" w:hAnsi="Times New Roman" w:eastAsia="黑体" w:cs="Times New Roman"/>
          <w:b/>
          <w:bCs/>
          <w:color w:val="auto"/>
          <w:sz w:val="24"/>
          <w:szCs w:val="24"/>
          <w:highlight w:val="none"/>
          <w:lang w:val="zh-CN"/>
        </w:rPr>
        <w:t xml:space="preserve">14.1 </w:t>
      </w:r>
      <w:r>
        <w:rPr>
          <w:rFonts w:hint="eastAsia" w:ascii="Times New Roman" w:hAnsi="宋体" w:eastAsia="黑体" w:cs="黑体"/>
          <w:b/>
          <w:bCs/>
          <w:color w:val="auto"/>
          <w:sz w:val="24"/>
          <w:szCs w:val="24"/>
          <w:highlight w:val="none"/>
          <w:lang w:val="zh-CN"/>
        </w:rPr>
        <w:t>竣工付款申请</w:t>
      </w:r>
      <w:bookmarkEnd w:id="927"/>
      <w:bookmarkEnd w:id="928"/>
      <w:bookmarkEnd w:id="929"/>
      <w:bookmarkEnd w:id="930"/>
      <w:bookmarkEnd w:id="931"/>
    </w:p>
    <w:p w14:paraId="7E252CC2">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承包人提交竣工付款申请单的期限：</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工程竣工验收合格后28天内</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6B6B2F4F">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竣工付款申请单应包括的内容：</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执行通用条</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。竣工结算款支付申请（核准）表见合同附件12。</w:t>
      </w:r>
    </w:p>
    <w:p w14:paraId="352FB581">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932" w:name="_Toc389065325"/>
      <w:bookmarkStart w:id="933" w:name="_Toc9850591"/>
      <w:bookmarkStart w:id="934" w:name="_Toc373478407"/>
      <w:bookmarkStart w:id="935" w:name="_Toc407135263"/>
      <w:bookmarkStart w:id="936" w:name="_Toc373227760"/>
      <w:r>
        <w:rPr>
          <w:rFonts w:ascii="Times New Roman" w:hAnsi="Times New Roman" w:eastAsia="黑体" w:cs="Times New Roman"/>
          <w:b/>
          <w:bCs/>
          <w:color w:val="auto"/>
          <w:sz w:val="24"/>
          <w:szCs w:val="24"/>
          <w:highlight w:val="none"/>
          <w:lang w:val="zh-CN"/>
        </w:rPr>
        <w:t xml:space="preserve">14.2 </w:t>
      </w:r>
      <w:r>
        <w:rPr>
          <w:rFonts w:hint="eastAsia" w:ascii="Times New Roman" w:hAnsi="宋体" w:eastAsia="黑体" w:cs="黑体"/>
          <w:b/>
          <w:bCs/>
          <w:color w:val="auto"/>
          <w:sz w:val="24"/>
          <w:szCs w:val="24"/>
          <w:highlight w:val="none"/>
          <w:lang w:val="zh-CN"/>
        </w:rPr>
        <w:t>竣工结算审核</w:t>
      </w:r>
      <w:bookmarkEnd w:id="932"/>
      <w:bookmarkEnd w:id="933"/>
      <w:bookmarkEnd w:id="934"/>
      <w:bookmarkEnd w:id="935"/>
      <w:bookmarkEnd w:id="936"/>
    </w:p>
    <w:p w14:paraId="6A694418">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发包人审批竣工付款申请单的期限：</w:t>
      </w:r>
    </w:p>
    <w:tbl>
      <w:tblPr>
        <w:tblStyle w:val="54"/>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466"/>
        <w:gridCol w:w="5967"/>
      </w:tblGrid>
      <w:tr w14:paraId="6D0C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239DE83B">
            <w:pPr>
              <w:spacing w:line="400" w:lineRule="exact"/>
              <w:rPr>
                <w:rFonts w:ascii="Times New Roman" w:hAnsi="Times New Roman" w:eastAsia="宋体" w:cs="Times New Roman"/>
                <w:color w:val="auto"/>
                <w:sz w:val="24"/>
                <w:szCs w:val="24"/>
                <w:highlight w:val="none"/>
              </w:rPr>
            </w:pPr>
          </w:p>
        </w:tc>
        <w:tc>
          <w:tcPr>
            <w:tcW w:w="2466" w:type="dxa"/>
            <w:noWrap w:val="0"/>
            <w:vAlign w:val="center"/>
          </w:tcPr>
          <w:p w14:paraId="32F5BFEB">
            <w:pPr>
              <w:spacing w:line="400" w:lineRule="exact"/>
              <w:ind w:firstLine="31" w:firstLineChars="13"/>
              <w:jc w:val="center"/>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工程竣工结算报告金额</w:t>
            </w:r>
          </w:p>
        </w:tc>
        <w:tc>
          <w:tcPr>
            <w:tcW w:w="5967" w:type="dxa"/>
            <w:noWrap w:val="0"/>
            <w:vAlign w:val="center"/>
          </w:tcPr>
          <w:p w14:paraId="0EED69B6">
            <w:pPr>
              <w:spacing w:line="400" w:lineRule="exact"/>
              <w:ind w:firstLine="504" w:firstLineChars="210"/>
              <w:jc w:val="center"/>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发包人审查时间</w:t>
            </w:r>
          </w:p>
        </w:tc>
      </w:tr>
      <w:tr w14:paraId="0BC23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5166134E">
            <w:pPr>
              <w:spacing w:line="400" w:lineRule="exact"/>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w:t>
            </w:r>
          </w:p>
        </w:tc>
        <w:tc>
          <w:tcPr>
            <w:tcW w:w="2466" w:type="dxa"/>
            <w:noWrap w:val="0"/>
            <w:vAlign w:val="center"/>
          </w:tcPr>
          <w:p w14:paraId="57831C7E">
            <w:pPr>
              <w:spacing w:line="400" w:lineRule="exact"/>
              <w:ind w:firstLine="31" w:firstLineChars="13"/>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500</w:t>
            </w:r>
            <w:r>
              <w:rPr>
                <w:rFonts w:hint="eastAsia" w:ascii="Times New Roman" w:hAnsi="宋体" w:eastAsia="宋体" w:cs="宋体"/>
                <w:color w:val="auto"/>
                <w:sz w:val="24"/>
                <w:szCs w:val="24"/>
                <w:highlight w:val="none"/>
              </w:rPr>
              <w:t>万元以下</w:t>
            </w:r>
          </w:p>
        </w:tc>
        <w:tc>
          <w:tcPr>
            <w:tcW w:w="5967" w:type="dxa"/>
            <w:noWrap w:val="0"/>
            <w:vAlign w:val="center"/>
          </w:tcPr>
          <w:p w14:paraId="34ADCAB7">
            <w:pPr>
              <w:spacing w:line="400" w:lineRule="exact"/>
              <w:ind w:firstLine="504" w:firstLineChars="210"/>
              <w:jc w:val="center"/>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从接到竣工结算报告和完整的竣工结算资料之日起</w:t>
            </w:r>
            <w:r>
              <w:rPr>
                <w:rFonts w:ascii="Times New Roman" w:hAnsi="Times New Roman" w:eastAsia="宋体" w:cs="Times New Roman"/>
                <w:color w:val="auto"/>
                <w:sz w:val="24"/>
                <w:szCs w:val="24"/>
                <w:highlight w:val="none"/>
              </w:rPr>
              <w:t>20</w:t>
            </w:r>
            <w:r>
              <w:rPr>
                <w:rFonts w:hint="eastAsia" w:ascii="Times New Roman" w:hAnsi="宋体" w:eastAsia="宋体" w:cs="宋体"/>
                <w:color w:val="auto"/>
                <w:sz w:val="24"/>
                <w:szCs w:val="24"/>
                <w:highlight w:val="none"/>
              </w:rPr>
              <w:t>天</w:t>
            </w:r>
          </w:p>
        </w:tc>
      </w:tr>
      <w:tr w14:paraId="4B52C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7AA4DEF3">
            <w:pPr>
              <w:spacing w:line="400" w:lineRule="exact"/>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w:t>
            </w:r>
          </w:p>
        </w:tc>
        <w:tc>
          <w:tcPr>
            <w:tcW w:w="2466" w:type="dxa"/>
            <w:noWrap w:val="0"/>
            <w:vAlign w:val="center"/>
          </w:tcPr>
          <w:p w14:paraId="099F0509">
            <w:pPr>
              <w:spacing w:line="400" w:lineRule="exact"/>
              <w:ind w:firstLine="31" w:firstLineChars="13"/>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500</w:t>
            </w:r>
            <w:r>
              <w:rPr>
                <w:rFonts w:hint="eastAsia" w:ascii="Times New Roman" w:hAnsi="宋体" w:eastAsia="宋体" w:cs="宋体"/>
                <w:color w:val="auto"/>
                <w:sz w:val="24"/>
                <w:szCs w:val="24"/>
                <w:highlight w:val="none"/>
              </w:rPr>
              <w:t>万元</w:t>
            </w:r>
            <w:r>
              <w:rPr>
                <w:rFonts w:ascii="Times New Roman" w:hAnsi="Times New Roman" w:eastAsia="宋体" w:cs="Times New Roman"/>
                <w:color w:val="auto"/>
                <w:sz w:val="24"/>
                <w:szCs w:val="24"/>
                <w:highlight w:val="none"/>
              </w:rPr>
              <w:t>-2000</w:t>
            </w:r>
            <w:r>
              <w:rPr>
                <w:rFonts w:hint="eastAsia" w:ascii="Times New Roman" w:hAnsi="宋体" w:eastAsia="宋体" w:cs="宋体"/>
                <w:color w:val="auto"/>
                <w:sz w:val="24"/>
                <w:szCs w:val="24"/>
                <w:highlight w:val="none"/>
              </w:rPr>
              <w:t>万元</w:t>
            </w:r>
          </w:p>
        </w:tc>
        <w:tc>
          <w:tcPr>
            <w:tcW w:w="5967" w:type="dxa"/>
            <w:noWrap w:val="0"/>
            <w:vAlign w:val="center"/>
          </w:tcPr>
          <w:p w14:paraId="1F86294A">
            <w:pPr>
              <w:spacing w:line="400" w:lineRule="exact"/>
              <w:ind w:firstLine="504" w:firstLineChars="210"/>
              <w:jc w:val="center"/>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从接到竣工结算报告和完整的竣工结算资料之日起</w:t>
            </w:r>
            <w:r>
              <w:rPr>
                <w:rFonts w:ascii="Times New Roman" w:hAnsi="Times New Roman" w:eastAsia="宋体" w:cs="Times New Roman"/>
                <w:color w:val="auto"/>
                <w:sz w:val="24"/>
                <w:szCs w:val="24"/>
                <w:highlight w:val="none"/>
              </w:rPr>
              <w:t>30</w:t>
            </w:r>
            <w:r>
              <w:rPr>
                <w:rFonts w:hint="eastAsia" w:ascii="Times New Roman" w:hAnsi="宋体" w:eastAsia="宋体" w:cs="宋体"/>
                <w:color w:val="auto"/>
                <w:sz w:val="24"/>
                <w:szCs w:val="24"/>
                <w:highlight w:val="none"/>
              </w:rPr>
              <w:t>天</w:t>
            </w:r>
          </w:p>
        </w:tc>
      </w:tr>
      <w:tr w14:paraId="0550E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76594471">
            <w:pPr>
              <w:spacing w:line="400" w:lineRule="exact"/>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3</w:t>
            </w:r>
          </w:p>
        </w:tc>
        <w:tc>
          <w:tcPr>
            <w:tcW w:w="2466" w:type="dxa"/>
            <w:noWrap w:val="0"/>
            <w:vAlign w:val="center"/>
          </w:tcPr>
          <w:p w14:paraId="6AEE838E">
            <w:pPr>
              <w:spacing w:line="400" w:lineRule="exact"/>
              <w:ind w:firstLine="31" w:firstLineChars="13"/>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2000</w:t>
            </w:r>
            <w:r>
              <w:rPr>
                <w:rFonts w:hint="eastAsia" w:ascii="Times New Roman" w:hAnsi="宋体" w:eastAsia="宋体" w:cs="宋体"/>
                <w:color w:val="auto"/>
                <w:sz w:val="24"/>
                <w:szCs w:val="24"/>
                <w:highlight w:val="none"/>
              </w:rPr>
              <w:t>万元</w:t>
            </w:r>
            <w:r>
              <w:rPr>
                <w:rFonts w:ascii="Times New Roman" w:hAnsi="Times New Roman" w:eastAsia="宋体" w:cs="Times New Roman"/>
                <w:color w:val="auto"/>
                <w:sz w:val="24"/>
                <w:szCs w:val="24"/>
                <w:highlight w:val="none"/>
              </w:rPr>
              <w:t>-5000</w:t>
            </w:r>
            <w:r>
              <w:rPr>
                <w:rFonts w:hint="eastAsia" w:ascii="Times New Roman" w:hAnsi="宋体" w:eastAsia="宋体" w:cs="宋体"/>
                <w:color w:val="auto"/>
                <w:sz w:val="24"/>
                <w:szCs w:val="24"/>
                <w:highlight w:val="none"/>
              </w:rPr>
              <w:t>万元</w:t>
            </w:r>
          </w:p>
        </w:tc>
        <w:tc>
          <w:tcPr>
            <w:tcW w:w="5967" w:type="dxa"/>
            <w:noWrap w:val="0"/>
            <w:vAlign w:val="center"/>
          </w:tcPr>
          <w:p w14:paraId="0450D42A">
            <w:pPr>
              <w:spacing w:line="400" w:lineRule="exact"/>
              <w:ind w:firstLine="504" w:firstLineChars="210"/>
              <w:jc w:val="center"/>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从接到竣工结算报告和完整的竣工结算资料之日起</w:t>
            </w:r>
            <w:r>
              <w:rPr>
                <w:rFonts w:ascii="Times New Roman" w:hAnsi="Times New Roman" w:eastAsia="宋体" w:cs="Times New Roman"/>
                <w:color w:val="auto"/>
                <w:sz w:val="24"/>
                <w:szCs w:val="24"/>
                <w:highlight w:val="none"/>
              </w:rPr>
              <w:t>45</w:t>
            </w:r>
            <w:r>
              <w:rPr>
                <w:rFonts w:hint="eastAsia" w:ascii="Times New Roman" w:hAnsi="宋体" w:eastAsia="宋体" w:cs="宋体"/>
                <w:color w:val="auto"/>
                <w:sz w:val="24"/>
                <w:szCs w:val="24"/>
                <w:highlight w:val="none"/>
              </w:rPr>
              <w:t>天</w:t>
            </w:r>
          </w:p>
        </w:tc>
      </w:tr>
      <w:tr w14:paraId="674E6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6CA5B51A">
            <w:pPr>
              <w:spacing w:line="400" w:lineRule="exact"/>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4</w:t>
            </w:r>
          </w:p>
        </w:tc>
        <w:tc>
          <w:tcPr>
            <w:tcW w:w="2466" w:type="dxa"/>
            <w:noWrap w:val="0"/>
            <w:vAlign w:val="center"/>
          </w:tcPr>
          <w:p w14:paraId="5A4582D7">
            <w:pPr>
              <w:spacing w:line="400" w:lineRule="exact"/>
              <w:ind w:firstLine="31" w:firstLineChars="13"/>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5000</w:t>
            </w:r>
            <w:r>
              <w:rPr>
                <w:rFonts w:hint="eastAsia" w:ascii="Times New Roman" w:hAnsi="宋体" w:eastAsia="宋体" w:cs="宋体"/>
                <w:color w:val="auto"/>
                <w:sz w:val="24"/>
                <w:szCs w:val="24"/>
                <w:highlight w:val="none"/>
              </w:rPr>
              <w:t>万元以上</w:t>
            </w:r>
          </w:p>
        </w:tc>
        <w:tc>
          <w:tcPr>
            <w:tcW w:w="5967" w:type="dxa"/>
            <w:noWrap w:val="0"/>
            <w:vAlign w:val="center"/>
          </w:tcPr>
          <w:p w14:paraId="02F17396">
            <w:pPr>
              <w:spacing w:line="400" w:lineRule="exact"/>
              <w:ind w:firstLine="504" w:firstLineChars="210"/>
              <w:jc w:val="center"/>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从接到竣工结算报告和完整的竣工结算资料之日起</w:t>
            </w:r>
            <w:r>
              <w:rPr>
                <w:rFonts w:ascii="Times New Roman" w:hAnsi="Times New Roman" w:eastAsia="宋体" w:cs="Times New Roman"/>
                <w:color w:val="auto"/>
                <w:sz w:val="24"/>
                <w:szCs w:val="24"/>
                <w:highlight w:val="none"/>
              </w:rPr>
              <w:t>60</w:t>
            </w:r>
            <w:r>
              <w:rPr>
                <w:rFonts w:hint="eastAsia" w:ascii="Times New Roman" w:hAnsi="宋体" w:eastAsia="宋体" w:cs="宋体"/>
                <w:color w:val="auto"/>
                <w:sz w:val="24"/>
                <w:szCs w:val="24"/>
                <w:highlight w:val="none"/>
              </w:rPr>
              <w:t>天</w:t>
            </w:r>
          </w:p>
        </w:tc>
      </w:tr>
      <w:tr w14:paraId="0D6E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98" w:type="dxa"/>
            <w:gridSpan w:val="3"/>
            <w:noWrap w:val="0"/>
            <w:vAlign w:val="center"/>
          </w:tcPr>
          <w:p w14:paraId="358F6CB7">
            <w:pPr>
              <w:spacing w:line="400" w:lineRule="exact"/>
              <w:ind w:firstLine="0" w:firstLineChars="0"/>
              <w:jc w:val="both"/>
              <w:rPr>
                <w:rFonts w:hint="eastAsia" w:ascii="Times New Roman" w:hAnsi="宋体" w:eastAsia="宋体" w:cs="宋体"/>
                <w:color w:val="auto"/>
                <w:sz w:val="24"/>
                <w:szCs w:val="24"/>
                <w:highlight w:val="none"/>
              </w:rPr>
            </w:pPr>
          </w:p>
        </w:tc>
      </w:tr>
    </w:tbl>
    <w:p w14:paraId="75346B78">
      <w:pPr>
        <w:spacing w:line="400" w:lineRule="exact"/>
        <w:ind w:firstLine="480" w:firstLineChars="200"/>
        <w:jc w:val="left"/>
        <w:rPr>
          <w:rFonts w:hint="eastAsia" w:ascii="Times New Roman" w:hAnsi="宋体" w:eastAsia="宋体" w:cs="Times New Roman"/>
          <w:color w:val="auto"/>
          <w:sz w:val="24"/>
          <w:szCs w:val="24"/>
          <w:highlight w:val="none"/>
        </w:rPr>
      </w:pPr>
      <w:r>
        <w:rPr>
          <w:rFonts w:hint="eastAsia" w:ascii="Times New Roman" w:hAnsi="宋体" w:eastAsia="宋体" w:cs="宋体"/>
          <w:color w:val="auto"/>
          <w:sz w:val="24"/>
          <w:szCs w:val="24"/>
          <w:highlight w:val="none"/>
        </w:rPr>
        <w:t>因承包人提供的结算资料不完整而需要补充或承包人不按时对账耽误时间时，审查时间应相应顺延。</w:t>
      </w:r>
    </w:p>
    <w:p w14:paraId="3AC160D1">
      <w:pPr>
        <w:spacing w:line="400" w:lineRule="exact"/>
        <w:ind w:firstLine="470" w:firstLineChars="196"/>
        <w:rPr>
          <w:rFonts w:hint="eastAsia" w:ascii="Times New Roman" w:hAnsi="宋体" w:eastAsia="宋体" w:cs="Times New Roman"/>
          <w:color w:val="auto"/>
          <w:sz w:val="24"/>
          <w:szCs w:val="24"/>
          <w:highlight w:val="none"/>
        </w:rPr>
      </w:pPr>
      <w:r>
        <w:rPr>
          <w:rFonts w:hint="eastAsia" w:ascii="Times New Roman" w:hAnsi="宋体" w:eastAsia="宋体" w:cs="宋体"/>
          <w:color w:val="auto"/>
          <w:sz w:val="24"/>
          <w:szCs w:val="24"/>
          <w:highlight w:val="none"/>
        </w:rPr>
        <w:t>竣工结算审核约定：</w:t>
      </w:r>
    </w:p>
    <w:p w14:paraId="0AA1CF67">
      <w:pPr>
        <w:spacing w:line="400" w:lineRule="exact"/>
        <w:ind w:firstLine="470" w:firstLineChars="196"/>
        <w:rPr>
          <w:rFonts w:hint="eastAsia" w:ascii="Times New Roman" w:hAnsi="宋体" w:eastAsia="宋体" w:cs="Times New Roman"/>
          <w:color w:val="auto"/>
          <w:sz w:val="24"/>
          <w:szCs w:val="24"/>
          <w:highlight w:val="none"/>
          <w:u w:val="single"/>
        </w:rPr>
      </w:pPr>
      <w:r>
        <w:rPr>
          <w:rFonts w:ascii="Times New Roman" w:hAnsi="宋体" w:eastAsia="宋体" w:cs="Times New Roman"/>
          <w:color w:val="auto"/>
          <w:sz w:val="24"/>
          <w:szCs w:val="24"/>
          <w:highlight w:val="none"/>
          <w:u w:val="single"/>
        </w:rPr>
        <w:t>1</w:t>
      </w:r>
      <w:r>
        <w:rPr>
          <w:rFonts w:hint="eastAsia" w:ascii="Times New Roman" w:hAnsi="宋体" w:eastAsia="宋体" w:cs="宋体"/>
          <w:color w:val="auto"/>
          <w:sz w:val="24"/>
          <w:szCs w:val="24"/>
          <w:highlight w:val="none"/>
          <w:u w:val="single"/>
        </w:rPr>
        <w:t>、工程竣工验收报告经发包人认可后</w:t>
      </w:r>
      <w:r>
        <w:rPr>
          <w:rFonts w:hint="eastAsia" w:ascii="Times New Roman" w:hAnsi="宋体" w:eastAsia="宋体" w:cs="Times New Roman"/>
          <w:color w:val="auto"/>
          <w:sz w:val="24"/>
          <w:szCs w:val="24"/>
          <w:highlight w:val="none"/>
          <w:u w:val="single"/>
        </w:rPr>
        <w:t>28</w:t>
      </w:r>
      <w:r>
        <w:rPr>
          <w:rFonts w:hint="eastAsia" w:ascii="Times New Roman" w:hAnsi="宋体" w:eastAsia="宋体" w:cs="宋体"/>
          <w:color w:val="auto"/>
          <w:sz w:val="24"/>
          <w:szCs w:val="24"/>
          <w:highlight w:val="none"/>
          <w:u w:val="single"/>
        </w:rPr>
        <w:t>天内，承包人向发包人递交竣工验收合格资料及完整的结算资料和报告，双方按照本工程合同约定的价格形式及价款调整办法进行工程竣工结算。</w:t>
      </w:r>
      <w:r>
        <w:rPr>
          <w:rFonts w:ascii="Times New Roman" w:hAnsi="宋体" w:eastAsia="宋体" w:cs="Times New Roman"/>
          <w:color w:val="auto"/>
          <w:sz w:val="24"/>
          <w:szCs w:val="24"/>
          <w:highlight w:val="none"/>
          <w:u w:val="single"/>
        </w:rPr>
        <w:t>2</w:t>
      </w:r>
      <w:r>
        <w:rPr>
          <w:rFonts w:hint="eastAsia" w:ascii="Times New Roman" w:hAnsi="宋体" w:eastAsia="宋体" w:cs="宋体"/>
          <w:color w:val="auto"/>
          <w:sz w:val="24"/>
          <w:szCs w:val="24"/>
          <w:highlight w:val="none"/>
          <w:u w:val="single"/>
        </w:rPr>
        <w:t>、发包人收到承包人递交的竣工结算报告及结算资料之日起</w:t>
      </w:r>
      <w:r>
        <w:rPr>
          <w:rFonts w:ascii="Times New Roman" w:hAnsi="宋体" w:eastAsia="宋体" w:cs="Times New Roman"/>
          <w:color w:val="auto"/>
          <w:sz w:val="24"/>
          <w:szCs w:val="24"/>
          <w:highlight w:val="none"/>
          <w:u w:val="single"/>
        </w:rPr>
        <w:t xml:space="preserve"> </w:t>
      </w:r>
      <w:r>
        <w:rPr>
          <w:rFonts w:hint="eastAsia" w:hAnsi="宋体" w:cs="Times New Roman"/>
          <w:color w:val="auto"/>
          <w:sz w:val="24"/>
          <w:szCs w:val="24"/>
          <w:highlight w:val="none"/>
          <w:u w:val="single"/>
          <w:lang w:val="en-US" w:eastAsia="zh-CN"/>
        </w:rPr>
        <w:t>20</w:t>
      </w:r>
      <w:r>
        <w:rPr>
          <w:rFonts w:hint="eastAsia" w:ascii="Times New Roman" w:hAnsi="宋体" w:eastAsia="宋体" w:cs="宋体"/>
          <w:color w:val="auto"/>
          <w:sz w:val="24"/>
          <w:szCs w:val="24"/>
          <w:highlight w:val="none"/>
          <w:u w:val="single"/>
        </w:rPr>
        <w:t>天内进行审核</w:t>
      </w:r>
      <w:r>
        <w:rPr>
          <w:rFonts w:hint="eastAsia" w:hAnsi="宋体" w:cs="宋体"/>
          <w:color w:val="auto"/>
          <w:sz w:val="24"/>
          <w:szCs w:val="24"/>
          <w:highlight w:val="none"/>
          <w:u w:val="single"/>
          <w:lang w:eastAsia="zh-CN"/>
        </w:rPr>
        <w:t>（不含由第三方或财政部门审核时间）</w:t>
      </w:r>
      <w:r>
        <w:rPr>
          <w:rFonts w:hint="eastAsia" w:ascii="Times New Roman" w:hAnsi="宋体" w:eastAsia="宋体" w:cs="宋体"/>
          <w:color w:val="auto"/>
          <w:sz w:val="24"/>
          <w:szCs w:val="24"/>
          <w:highlight w:val="none"/>
          <w:u w:val="single"/>
        </w:rPr>
        <w:t>，并给予确认或者提出审核意见。发包人逾期未完成审核且未提出异议的视为发包人已同意承包人提交的竣工结算报告及结算价款，并以此作为竣工结算的依据。承包人对发包人确认的结算价款或审核意见有异议的，应在收到发包人确认的价款或审核意见之日起7日内提出异议，必要时合同当事人要当面核对，直至完成工程竣工结算。除非有特殊情形，否则从承包人递交竣工结算报告到完成竣工结算的时间应控制在“发包人审核竣工付款申请单的期限”要求的时间范围内。3.自竣工结算完毕之日起</w:t>
      </w:r>
      <w:r>
        <w:rPr>
          <w:rFonts w:hint="eastAsia" w:ascii="Times New Roman" w:hAnsi="宋体" w:eastAsia="宋体" w:cs="Times New Roman"/>
          <w:color w:val="auto"/>
          <w:sz w:val="24"/>
          <w:szCs w:val="24"/>
          <w:highlight w:val="none"/>
          <w:u w:val="single"/>
        </w:rPr>
        <w:t xml:space="preserve"> </w:t>
      </w:r>
      <w:r>
        <w:rPr>
          <w:rFonts w:hint="eastAsia" w:hAnsi="宋体" w:cs="Times New Roman"/>
          <w:color w:val="auto"/>
          <w:sz w:val="24"/>
          <w:szCs w:val="24"/>
          <w:highlight w:val="none"/>
          <w:u w:val="single"/>
          <w:lang w:val="en-US" w:eastAsia="zh-CN"/>
        </w:rPr>
        <w:t>21</w:t>
      </w:r>
      <w:r>
        <w:rPr>
          <w:rFonts w:hint="eastAsia" w:ascii="Times New Roman" w:hAnsi="宋体" w:eastAsia="宋体" w:cs="宋体"/>
          <w:color w:val="auto"/>
          <w:sz w:val="24"/>
          <w:szCs w:val="24"/>
          <w:highlight w:val="none"/>
          <w:u w:val="single"/>
        </w:rPr>
        <w:t>天内，发包人按审定后的竣工结算价款，</w:t>
      </w:r>
      <w:r>
        <w:rPr>
          <w:rFonts w:hint="eastAsia" w:hAnsi="宋体" w:cs="宋体"/>
          <w:color w:val="auto"/>
          <w:sz w:val="24"/>
          <w:szCs w:val="24"/>
          <w:highlight w:val="none"/>
          <w:u w:val="single"/>
          <w:lang w:eastAsia="zh-CN"/>
        </w:rPr>
        <w:t>按国库集中支付程序申请资金到位后，</w:t>
      </w:r>
      <w:r>
        <w:rPr>
          <w:rFonts w:hint="eastAsia" w:ascii="Times New Roman" w:hAnsi="宋体" w:eastAsia="宋体" w:cs="宋体"/>
          <w:color w:val="auto"/>
          <w:sz w:val="24"/>
          <w:szCs w:val="24"/>
          <w:highlight w:val="none"/>
          <w:u w:val="single"/>
        </w:rPr>
        <w:t>通知经办银行向承包人支付结算价款。</w:t>
      </w:r>
    </w:p>
    <w:p w14:paraId="6E832033">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备注：对于国有投资项目结算审核约定，双方可结合各地政府或有关部门出台的管理规定进行局部调整</w:t>
      </w:r>
    </w:p>
    <w:p w14:paraId="7F5A342E">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937" w:name="_Toc407135264"/>
      <w:bookmarkStart w:id="938" w:name="_Toc373478408"/>
      <w:bookmarkStart w:id="939" w:name="_Toc373227761"/>
      <w:bookmarkStart w:id="940" w:name="_Toc389065326"/>
      <w:bookmarkStart w:id="941" w:name="_Toc9850592"/>
      <w:r>
        <w:rPr>
          <w:rFonts w:ascii="Times New Roman" w:hAnsi="Times New Roman" w:eastAsia="黑体" w:cs="Times New Roman"/>
          <w:b/>
          <w:bCs/>
          <w:color w:val="auto"/>
          <w:sz w:val="24"/>
          <w:szCs w:val="24"/>
          <w:highlight w:val="none"/>
          <w:lang w:val="zh-CN"/>
        </w:rPr>
        <w:t xml:space="preserve">14.4 </w:t>
      </w:r>
      <w:r>
        <w:rPr>
          <w:rFonts w:hint="eastAsia" w:ascii="Times New Roman" w:hAnsi="宋体" w:eastAsia="黑体" w:cs="黑体"/>
          <w:b/>
          <w:bCs/>
          <w:color w:val="auto"/>
          <w:sz w:val="24"/>
          <w:szCs w:val="24"/>
          <w:highlight w:val="none"/>
          <w:lang w:val="zh-CN"/>
        </w:rPr>
        <w:t>最终结清</w:t>
      </w:r>
      <w:bookmarkEnd w:id="937"/>
      <w:bookmarkEnd w:id="938"/>
      <w:bookmarkEnd w:id="939"/>
      <w:bookmarkEnd w:id="940"/>
      <w:bookmarkEnd w:id="941"/>
    </w:p>
    <w:p w14:paraId="561FEA2C">
      <w:pPr>
        <w:spacing w:line="400" w:lineRule="exact"/>
        <w:ind w:firstLine="480" w:firstLineChars="200"/>
        <w:jc w:val="lef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xml:space="preserve">14.4.1 </w:t>
      </w:r>
      <w:r>
        <w:rPr>
          <w:rFonts w:hint="eastAsia" w:ascii="Times New Roman" w:hAnsi="宋体" w:eastAsia="宋体" w:cs="宋体"/>
          <w:color w:val="auto"/>
          <w:kern w:val="0"/>
          <w:sz w:val="24"/>
          <w:szCs w:val="24"/>
          <w:highlight w:val="none"/>
        </w:rPr>
        <w:t>最终结清申请单</w:t>
      </w:r>
    </w:p>
    <w:p w14:paraId="5605D2E6">
      <w:pPr>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承包人提交最终结清申请单的份数：</w:t>
      </w:r>
      <w:r>
        <w:rPr>
          <w:rFonts w:ascii="Times New Roman" w:hAnsi="Times New Roman" w:eastAsia="宋体" w:cs="Times New Roman"/>
          <w:color w:val="auto"/>
          <w:sz w:val="24"/>
          <w:szCs w:val="24"/>
          <w:highlight w:val="none"/>
          <w:u w:val="single"/>
        </w:rPr>
        <w:t xml:space="preserve">    </w:t>
      </w:r>
      <w:r>
        <w:rPr>
          <w:rFonts w:hint="eastAsia" w:ascii="宋体" w:hAnsi="宋体" w:eastAsia="宋体" w:cs="宋体"/>
          <w:color w:val="auto"/>
          <w:sz w:val="24"/>
          <w:szCs w:val="24"/>
          <w:highlight w:val="none"/>
          <w:u w:val="single"/>
        </w:rPr>
        <w:t>一式五份</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22F38B7E">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kern w:val="0"/>
          <w:sz w:val="24"/>
          <w:szCs w:val="24"/>
          <w:highlight w:val="none"/>
        </w:rPr>
        <w:t>承包人提交最终结算申请单的期限：</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收到承包人提交的最终结清申请单后14天内</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r>
        <w:rPr>
          <w:rFonts w:ascii="Times New Roman" w:hAnsi="Times New Roman" w:eastAsia="宋体" w:cs="Times New Roman"/>
          <w:color w:val="auto"/>
          <w:sz w:val="24"/>
          <w:szCs w:val="24"/>
          <w:highlight w:val="none"/>
        </w:rPr>
        <w:t xml:space="preserve"> </w:t>
      </w:r>
    </w:p>
    <w:p w14:paraId="57558765">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最终结算款支付申请（核准）表见合同附件13。</w:t>
      </w:r>
    </w:p>
    <w:p w14:paraId="5CED04B6">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14.4.2 </w:t>
      </w:r>
      <w:r>
        <w:rPr>
          <w:rFonts w:hint="eastAsia" w:ascii="Times New Roman" w:hAnsi="宋体" w:eastAsia="宋体" w:cs="宋体"/>
          <w:color w:val="auto"/>
          <w:sz w:val="24"/>
          <w:szCs w:val="24"/>
          <w:highlight w:val="none"/>
        </w:rPr>
        <w:t>最终结清证书和支付</w:t>
      </w:r>
    </w:p>
    <w:p w14:paraId="56B89558">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w:t>
      </w:r>
      <w:r>
        <w:rPr>
          <w:rFonts w:ascii="Times New Roman" w:hAnsi="Times New Roman" w:eastAsia="宋体" w:cs="Times New Roman"/>
          <w:color w:val="auto"/>
          <w:sz w:val="24"/>
          <w:szCs w:val="24"/>
          <w:highlight w:val="none"/>
        </w:rPr>
        <w:t>1</w:t>
      </w:r>
      <w:r>
        <w:rPr>
          <w:rFonts w:hint="eastAsia" w:ascii="Times New Roman" w:hAnsi="宋体" w:eastAsia="宋体" w:cs="宋体"/>
          <w:color w:val="auto"/>
          <w:sz w:val="24"/>
          <w:szCs w:val="24"/>
          <w:highlight w:val="none"/>
        </w:rPr>
        <w:t>）发包人完成最终结清申请单的审批并颁发最终结清证书的期限：</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21天内</w:t>
      </w:r>
      <w:r>
        <w:rPr>
          <w:rFonts w:hint="eastAsia" w:ascii="Times New Roman" w:hAnsi="宋体" w:eastAsia="宋体" w:cs="宋体"/>
          <w:color w:val="auto"/>
          <w:sz w:val="24"/>
          <w:szCs w:val="24"/>
          <w:highlight w:val="none"/>
        </w:rPr>
        <w:t>。</w:t>
      </w:r>
    </w:p>
    <w:p w14:paraId="2E4210D4">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w:t>
      </w:r>
      <w:r>
        <w:rPr>
          <w:rFonts w:ascii="Times New Roman" w:hAnsi="Times New Roman" w:eastAsia="宋体" w:cs="Times New Roman"/>
          <w:color w:val="auto"/>
          <w:sz w:val="24"/>
          <w:szCs w:val="24"/>
          <w:highlight w:val="none"/>
        </w:rPr>
        <w:t>2</w:t>
      </w:r>
      <w:r>
        <w:rPr>
          <w:rFonts w:hint="eastAsia" w:ascii="Times New Roman" w:hAnsi="宋体" w:eastAsia="宋体" w:cs="宋体"/>
          <w:color w:val="auto"/>
          <w:sz w:val="24"/>
          <w:szCs w:val="24"/>
          <w:highlight w:val="none"/>
        </w:rPr>
        <w:t>）发包人完成支付的期限：</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31天内</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bookmarkEnd w:id="898"/>
    <w:bookmarkEnd w:id="899"/>
    <w:bookmarkEnd w:id="900"/>
    <w:bookmarkEnd w:id="901"/>
    <w:bookmarkEnd w:id="902"/>
    <w:bookmarkEnd w:id="903"/>
    <w:bookmarkEnd w:id="904"/>
    <w:bookmarkEnd w:id="910"/>
    <w:p w14:paraId="354A7295">
      <w:pPr>
        <w:keepNext/>
        <w:keepLines/>
        <w:spacing w:before="60" w:after="60" w:line="400" w:lineRule="exact"/>
        <w:outlineLvl w:val="1"/>
        <w:rPr>
          <w:rFonts w:ascii="Arial" w:hAnsi="Arial" w:eastAsia="黑体" w:cs="Times New Roman"/>
          <w:b/>
          <w:bCs/>
          <w:color w:val="auto"/>
          <w:sz w:val="24"/>
          <w:szCs w:val="24"/>
          <w:highlight w:val="none"/>
          <w:lang w:val="zh-CN"/>
        </w:rPr>
      </w:pPr>
      <w:bookmarkStart w:id="942" w:name="_Toc351203647"/>
      <w:bookmarkStart w:id="943" w:name="_Toc373478409"/>
      <w:bookmarkStart w:id="944" w:name="_Toc9850593"/>
      <w:bookmarkStart w:id="945" w:name="_Toc407135265"/>
      <w:bookmarkStart w:id="946" w:name="_Toc373227762"/>
      <w:bookmarkStart w:id="947" w:name="_Toc389065327"/>
      <w:bookmarkStart w:id="948" w:name="_Toc267251483"/>
      <w:bookmarkStart w:id="949" w:name="_Toc267251482"/>
      <w:bookmarkStart w:id="950" w:name="_Toc267251484"/>
      <w:bookmarkStart w:id="951" w:name="_Toc267251485"/>
      <w:bookmarkStart w:id="952" w:name="_Toc267251486"/>
      <w:bookmarkStart w:id="953" w:name="_Toc267251488"/>
      <w:bookmarkStart w:id="954" w:name="_Toc267251489"/>
      <w:bookmarkStart w:id="955" w:name="_Toc267251490"/>
      <w:bookmarkStart w:id="956" w:name="_Toc267251497"/>
      <w:bookmarkStart w:id="957" w:name="_Toc267251492"/>
      <w:bookmarkStart w:id="958" w:name="_Toc267251501"/>
      <w:bookmarkStart w:id="959" w:name="_Toc267251493"/>
      <w:bookmarkStart w:id="960" w:name="_Toc267251494"/>
      <w:bookmarkStart w:id="961" w:name="_Toc267251495"/>
      <w:bookmarkStart w:id="962" w:name="_Toc267251496"/>
      <w:bookmarkStart w:id="963" w:name="_Toc267251498"/>
      <w:bookmarkStart w:id="964" w:name="_Toc267251503"/>
      <w:bookmarkStart w:id="965" w:name="_Toc267251491"/>
      <w:bookmarkStart w:id="966" w:name="_Toc267251499"/>
      <w:bookmarkStart w:id="967" w:name="_Toc267251502"/>
      <w:bookmarkStart w:id="968" w:name="_Toc267251506"/>
      <w:bookmarkStart w:id="969" w:name="_Toc267251504"/>
      <w:bookmarkStart w:id="970" w:name="_Toc267251507"/>
      <w:bookmarkStart w:id="971" w:name="_Toc267251508"/>
      <w:bookmarkStart w:id="972" w:name="_Toc267251513"/>
      <w:bookmarkStart w:id="973" w:name="_Toc267251515"/>
      <w:bookmarkStart w:id="974" w:name="_Toc267251511"/>
      <w:bookmarkStart w:id="975" w:name="_Toc267251509"/>
      <w:bookmarkStart w:id="976" w:name="_Toc267251514"/>
      <w:bookmarkStart w:id="977" w:name="_Toc267251510"/>
      <w:r>
        <w:rPr>
          <w:rFonts w:ascii="Arial" w:hAnsi="Arial" w:eastAsia="黑体" w:cs="Times New Roman"/>
          <w:b/>
          <w:bCs/>
          <w:color w:val="auto"/>
          <w:sz w:val="24"/>
          <w:szCs w:val="24"/>
          <w:highlight w:val="none"/>
          <w:lang w:val="zh-CN"/>
        </w:rPr>
        <w:t xml:space="preserve">15. </w:t>
      </w:r>
      <w:r>
        <w:rPr>
          <w:rFonts w:hint="eastAsia" w:ascii="Arial" w:hAnsi="Arial" w:eastAsia="黑体" w:cs="黑体"/>
          <w:b/>
          <w:bCs/>
          <w:color w:val="auto"/>
          <w:sz w:val="24"/>
          <w:szCs w:val="24"/>
          <w:highlight w:val="none"/>
          <w:lang w:val="zh-CN"/>
        </w:rPr>
        <w:t>缺陷责任期与保修</w:t>
      </w:r>
      <w:bookmarkEnd w:id="942"/>
      <w:bookmarkEnd w:id="943"/>
      <w:bookmarkEnd w:id="944"/>
      <w:bookmarkEnd w:id="945"/>
      <w:bookmarkEnd w:id="946"/>
      <w:bookmarkEnd w:id="947"/>
    </w:p>
    <w:p w14:paraId="5F2CFE7F">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978" w:name="_Toc389065328"/>
      <w:bookmarkStart w:id="979" w:name="_Toc373478410"/>
      <w:bookmarkStart w:id="980" w:name="_Toc373227763"/>
      <w:bookmarkStart w:id="981" w:name="_Toc9850594"/>
      <w:bookmarkStart w:id="982" w:name="_Toc407135266"/>
      <w:r>
        <w:rPr>
          <w:rFonts w:ascii="Times New Roman" w:hAnsi="Times New Roman" w:eastAsia="黑体" w:cs="Times New Roman"/>
          <w:b/>
          <w:bCs/>
          <w:color w:val="auto"/>
          <w:sz w:val="24"/>
          <w:szCs w:val="24"/>
          <w:highlight w:val="none"/>
          <w:lang w:val="zh-CN"/>
        </w:rPr>
        <w:t xml:space="preserve">15.2 </w:t>
      </w:r>
      <w:r>
        <w:rPr>
          <w:rFonts w:hint="eastAsia" w:ascii="Times New Roman" w:hAnsi="宋体" w:eastAsia="黑体" w:cs="黑体"/>
          <w:b/>
          <w:bCs/>
          <w:color w:val="auto"/>
          <w:sz w:val="24"/>
          <w:szCs w:val="24"/>
          <w:highlight w:val="none"/>
          <w:lang w:val="zh-CN"/>
        </w:rPr>
        <w:t>缺陷责任期</w:t>
      </w:r>
      <w:bookmarkEnd w:id="948"/>
      <w:bookmarkEnd w:id="978"/>
      <w:bookmarkEnd w:id="979"/>
      <w:bookmarkEnd w:id="980"/>
      <w:bookmarkEnd w:id="981"/>
      <w:bookmarkEnd w:id="982"/>
    </w:p>
    <w:p w14:paraId="710A6472">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缺陷责任期的具体期限：</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12个月</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46C95D0B">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983" w:name="_Toc9850595"/>
      <w:bookmarkStart w:id="984" w:name="_Toc373227764"/>
      <w:bookmarkStart w:id="985" w:name="_Toc373478411"/>
      <w:bookmarkStart w:id="986" w:name="_Toc407135267"/>
      <w:bookmarkStart w:id="987" w:name="_Toc389065329"/>
      <w:r>
        <w:rPr>
          <w:rFonts w:ascii="Times New Roman" w:hAnsi="Times New Roman" w:eastAsia="黑体" w:cs="Times New Roman"/>
          <w:b/>
          <w:bCs/>
          <w:color w:val="auto"/>
          <w:sz w:val="24"/>
          <w:szCs w:val="24"/>
          <w:highlight w:val="none"/>
          <w:lang w:val="zh-CN"/>
        </w:rPr>
        <w:t xml:space="preserve">15.3 </w:t>
      </w:r>
      <w:r>
        <w:rPr>
          <w:rFonts w:hint="eastAsia" w:ascii="Times New Roman" w:hAnsi="宋体" w:eastAsia="黑体" w:cs="黑体"/>
          <w:b/>
          <w:bCs/>
          <w:color w:val="auto"/>
          <w:sz w:val="24"/>
          <w:szCs w:val="24"/>
          <w:highlight w:val="none"/>
          <w:lang w:val="zh-CN"/>
        </w:rPr>
        <w:t>质量保证金</w:t>
      </w:r>
      <w:bookmarkEnd w:id="983"/>
      <w:bookmarkEnd w:id="984"/>
      <w:bookmarkEnd w:id="985"/>
      <w:bookmarkEnd w:id="986"/>
      <w:bookmarkEnd w:id="987"/>
    </w:p>
    <w:p w14:paraId="401BF037">
      <w:pPr>
        <w:spacing w:line="400" w:lineRule="exact"/>
        <w:ind w:firstLine="480" w:firstLineChars="200"/>
        <w:jc w:val="left"/>
        <w:rPr>
          <w:rFonts w:hint="eastAsia" w:ascii="Times New Roman" w:hAnsi="宋体" w:eastAsia="宋体" w:cs="宋体"/>
          <w:color w:val="auto"/>
          <w:sz w:val="24"/>
          <w:szCs w:val="24"/>
          <w:highlight w:val="none"/>
        </w:rPr>
      </w:pPr>
      <w:r>
        <w:rPr>
          <w:rFonts w:hint="eastAsia" w:ascii="Times New Roman" w:hAnsi="宋体" w:eastAsia="宋体" w:cs="宋体"/>
          <w:color w:val="auto"/>
          <w:sz w:val="24"/>
          <w:szCs w:val="24"/>
          <w:highlight w:val="none"/>
        </w:rPr>
        <w:t>关于是否扣留质量保证金的约定：</w:t>
      </w:r>
      <w:r>
        <w:rPr>
          <w:rFonts w:ascii="宋体" w:hAnsi="Courier New" w:eastAsia="宋体" w:cs="Times New Roman"/>
          <w:color w:val="auto"/>
          <w:sz w:val="24"/>
          <w:szCs w:val="24"/>
          <w:highlight w:val="none"/>
          <w:u w:val="single"/>
        </w:rPr>
        <w:t>承包人未按照法律法规有关规定和合同约定履行质量保修义务的，发包人有权从质量保证金中扣留用于质量保修的各项支出</w:t>
      </w:r>
      <w:r>
        <w:rPr>
          <w:rFonts w:hint="eastAsia" w:ascii="Times New Roman" w:hAnsi="宋体" w:eastAsia="宋体" w:cs="宋体"/>
          <w:color w:val="auto"/>
          <w:sz w:val="24"/>
          <w:szCs w:val="24"/>
          <w:highlight w:val="none"/>
        </w:rPr>
        <w:t>。</w:t>
      </w:r>
    </w:p>
    <w:p w14:paraId="7BA1DCE1">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在工程项目竣工前，承包人按专用合同条款第3.7条提供履约担保的，发包人不得同时预留工程质量保证金。</w:t>
      </w:r>
    </w:p>
    <w:p w14:paraId="72370B24">
      <w:pPr>
        <w:spacing w:line="400" w:lineRule="exact"/>
        <w:ind w:firstLine="480" w:firstLineChars="200"/>
        <w:jc w:val="left"/>
        <w:outlineLvl w:val="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15.3.1 </w:t>
      </w:r>
      <w:r>
        <w:rPr>
          <w:rFonts w:hint="eastAsia" w:ascii="Times New Roman" w:hAnsi="宋体" w:eastAsia="宋体" w:cs="宋体"/>
          <w:color w:val="auto"/>
          <w:sz w:val="24"/>
          <w:szCs w:val="24"/>
          <w:highlight w:val="none"/>
        </w:rPr>
        <w:t>承包人提供质量保证金的方式</w:t>
      </w:r>
    </w:p>
    <w:p w14:paraId="4C5BFD73">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质量保证金采用以下第</w:t>
      </w:r>
      <w:r>
        <w:rPr>
          <w:rFonts w:hint="eastAsia" w:ascii="宋体" w:hAnsi="Courier New" w:eastAsia="宋体" w:cs="Times New Roman"/>
          <w:color w:val="auto"/>
          <w:sz w:val="24"/>
          <w:szCs w:val="24"/>
          <w:highlight w:val="none"/>
          <w:u w:val="single"/>
        </w:rPr>
        <w:t>（2）</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种方式：</w:t>
      </w:r>
    </w:p>
    <w:p w14:paraId="23BC2041">
      <w:pPr>
        <w:autoSpaceDE w:val="0"/>
        <w:autoSpaceDN w:val="0"/>
        <w:adjustRightInd w:val="0"/>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w:t>
      </w:r>
      <w:r>
        <w:rPr>
          <w:rFonts w:ascii="Times New Roman" w:hAnsi="Times New Roman" w:eastAsia="宋体" w:cs="Times New Roman"/>
          <w:color w:val="auto"/>
          <w:kern w:val="0"/>
          <w:sz w:val="24"/>
          <w:szCs w:val="24"/>
          <w:highlight w:val="none"/>
        </w:rPr>
        <w:t>1</w:t>
      </w:r>
      <w:r>
        <w:rPr>
          <w:rFonts w:hint="eastAsia" w:ascii="Times New Roman" w:hAnsi="宋体" w:eastAsia="宋体" w:cs="宋体"/>
          <w:color w:val="auto"/>
          <w:kern w:val="0"/>
          <w:sz w:val="24"/>
          <w:szCs w:val="24"/>
          <w:highlight w:val="none"/>
        </w:rPr>
        <w:t>）质量保证金保函，保证金额为：</w:t>
      </w:r>
      <w:r>
        <w:rPr>
          <w:rFonts w:ascii="Times New Roman" w:hAnsi="Times New Roman" w:eastAsia="宋体" w:cs="Times New Roman"/>
          <w:color w:val="auto"/>
          <w:kern w:val="0"/>
          <w:sz w:val="24"/>
          <w:szCs w:val="24"/>
          <w:highlight w:val="none"/>
          <w:u w:val="single"/>
        </w:rPr>
        <w:t xml:space="preserve">    </w:t>
      </w:r>
      <w:r>
        <w:rPr>
          <w:rFonts w:hint="eastAsia" w:ascii="Times New Roman" w:hAnsi="Times New Roman" w:eastAsia="宋体" w:cs="Times New Roman"/>
          <w:color w:val="auto"/>
          <w:kern w:val="0"/>
          <w:sz w:val="24"/>
          <w:szCs w:val="24"/>
          <w:highlight w:val="none"/>
          <w:u w:val="single"/>
        </w:rPr>
        <w:t xml:space="preserve">     </w:t>
      </w:r>
      <w:r>
        <w:rPr>
          <w:rFonts w:hint="eastAsia" w:ascii="宋体" w:hAnsi="Courier New" w:eastAsia="宋体" w:cs="Times New Roman"/>
          <w:color w:val="auto"/>
          <w:kern w:val="0"/>
          <w:sz w:val="24"/>
          <w:szCs w:val="24"/>
          <w:highlight w:val="none"/>
          <w:u w:val="single"/>
        </w:rPr>
        <w:t xml:space="preserve">/      </w:t>
      </w:r>
      <w:r>
        <w:rPr>
          <w:rFonts w:ascii="Times New Roman" w:hAnsi="Times New Roman" w:eastAsia="宋体" w:cs="Times New Roman"/>
          <w:color w:val="auto"/>
          <w:kern w:val="0"/>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1F2F574F">
      <w:pPr>
        <w:autoSpaceDE w:val="0"/>
        <w:autoSpaceDN w:val="0"/>
        <w:adjustRightInd w:val="0"/>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w:t>
      </w:r>
      <w:r>
        <w:rPr>
          <w:rFonts w:ascii="Times New Roman" w:hAnsi="Times New Roman" w:eastAsia="宋体" w:cs="Times New Roman"/>
          <w:color w:val="auto"/>
          <w:kern w:val="0"/>
          <w:sz w:val="24"/>
          <w:szCs w:val="24"/>
          <w:highlight w:val="none"/>
        </w:rPr>
        <w:t>2</w:t>
      </w:r>
      <w:r>
        <w:rPr>
          <w:rFonts w:hint="eastAsia" w:ascii="Times New Roman" w:hAnsi="宋体" w:eastAsia="宋体" w:cs="宋体"/>
          <w:color w:val="auto"/>
          <w:kern w:val="0"/>
          <w:sz w:val="24"/>
          <w:szCs w:val="24"/>
          <w:highlight w:val="none"/>
        </w:rPr>
        <w:t>）</w:t>
      </w:r>
      <w:r>
        <w:rPr>
          <w:rFonts w:hint="eastAsia" w:ascii="Times New Roman" w:hAnsi="宋体" w:eastAsia="宋体" w:cs="宋体"/>
          <w:color w:val="auto"/>
          <w:sz w:val="24"/>
          <w:szCs w:val="24"/>
          <w:highlight w:val="none"/>
        </w:rPr>
        <w:t>发包人按工程价款结算总额的</w:t>
      </w:r>
      <w:r>
        <w:rPr>
          <w:rFonts w:ascii="Times New Roman" w:hAnsi="宋体" w:eastAsia="宋体" w:cs="Times New Roman"/>
          <w:color w:val="auto"/>
          <w:sz w:val="24"/>
          <w:szCs w:val="24"/>
          <w:highlight w:val="none"/>
          <w:u w:val="single"/>
        </w:rPr>
        <w:t xml:space="preserve"> </w:t>
      </w:r>
      <w:r>
        <w:rPr>
          <w:rFonts w:hint="eastAsia" w:ascii="Times New Roman" w:hAnsi="宋体" w:eastAsia="宋体" w:cs="Times New Roman"/>
          <w:color w:val="auto"/>
          <w:sz w:val="24"/>
          <w:szCs w:val="24"/>
          <w:highlight w:val="none"/>
          <w:u w:val="single"/>
        </w:rPr>
        <w:t>3</w:t>
      </w:r>
      <w:r>
        <w:rPr>
          <w:rFonts w:ascii="Times New Roman" w:hAnsi="宋体"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rPr>
        <w:t>%</w:t>
      </w:r>
      <w:r>
        <w:rPr>
          <w:rFonts w:hint="eastAsia" w:ascii="Times New Roman" w:hAnsi="Times New Roman" w:eastAsia="宋体" w:cs="宋体"/>
          <w:color w:val="auto"/>
          <w:sz w:val="24"/>
          <w:szCs w:val="24"/>
          <w:highlight w:val="none"/>
        </w:rPr>
        <w:t>（不得超过</w:t>
      </w:r>
      <w:r>
        <w:rPr>
          <w:rFonts w:ascii="Times New Roman" w:hAnsi="Times New Roman" w:eastAsia="宋体" w:cs="Times New Roman"/>
          <w:color w:val="auto"/>
          <w:sz w:val="24"/>
          <w:szCs w:val="24"/>
          <w:highlight w:val="none"/>
        </w:rPr>
        <w:t>3%</w:t>
      </w:r>
      <w:r>
        <w:rPr>
          <w:rFonts w:hint="eastAsia" w:ascii="Times New Roman" w:hAnsi="Times New Roman" w:eastAsia="宋体" w:cs="宋体"/>
          <w:color w:val="auto"/>
          <w:sz w:val="24"/>
          <w:szCs w:val="24"/>
          <w:highlight w:val="none"/>
        </w:rPr>
        <w:t>）</w:t>
      </w:r>
      <w:r>
        <w:rPr>
          <w:rFonts w:hint="eastAsia" w:ascii="Times New Roman" w:hAnsi="宋体" w:eastAsia="宋体" w:cs="宋体"/>
          <w:color w:val="auto"/>
          <w:sz w:val="24"/>
          <w:szCs w:val="24"/>
          <w:highlight w:val="none"/>
        </w:rPr>
        <w:t>预留工程质量保证金，待缺陷责任期满后返还，是否付息及利息计算方式为：</w:t>
      </w:r>
      <w:r>
        <w:rPr>
          <w:rFonts w:hint="eastAsia" w:ascii="Times New Roman" w:hAnsi="宋体" w:eastAsia="宋体" w:cs="宋体"/>
          <w:color w:val="auto"/>
          <w:sz w:val="24"/>
          <w:szCs w:val="24"/>
          <w:highlight w:val="none"/>
          <w:u w:val="single"/>
        </w:rPr>
        <w:t xml:space="preserve">        </w:t>
      </w:r>
      <w:r>
        <w:rPr>
          <w:rFonts w:hint="eastAsia" w:ascii="宋体" w:hAnsi="宋体" w:eastAsia="宋体" w:cs="Times New Roman"/>
          <w:bCs/>
          <w:color w:val="auto"/>
          <w:sz w:val="24"/>
          <w:szCs w:val="24"/>
          <w:highlight w:val="none"/>
          <w:u w:val="single"/>
        </w:rPr>
        <w:t xml:space="preserve">无息  </w:t>
      </w:r>
      <w:r>
        <w:rPr>
          <w:rFonts w:hint="eastAsia" w:ascii="Times New Roman" w:hAnsi="宋体" w:eastAsia="宋体" w:cs="宋体"/>
          <w:color w:val="auto"/>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70AF4046">
      <w:pPr>
        <w:autoSpaceDE w:val="0"/>
        <w:autoSpaceDN w:val="0"/>
        <w:adjustRightInd w:val="0"/>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w:t>
      </w:r>
      <w:r>
        <w:rPr>
          <w:rFonts w:ascii="Times New Roman" w:hAnsi="Times New Roman" w:eastAsia="宋体" w:cs="Times New Roman"/>
          <w:color w:val="auto"/>
          <w:kern w:val="0"/>
          <w:sz w:val="24"/>
          <w:szCs w:val="24"/>
          <w:highlight w:val="none"/>
        </w:rPr>
        <w:t>3</w:t>
      </w:r>
      <w:r>
        <w:rPr>
          <w:rFonts w:hint="eastAsia" w:ascii="Times New Roman" w:hAnsi="宋体" w:eastAsia="宋体" w:cs="宋体"/>
          <w:color w:val="auto"/>
          <w:kern w:val="0"/>
          <w:sz w:val="24"/>
          <w:szCs w:val="24"/>
          <w:highlight w:val="none"/>
        </w:rPr>
        <w:t>）其他方式</w:t>
      </w:r>
      <w:r>
        <w:rPr>
          <w:rFonts w:hint="eastAsia" w:ascii="Times New Roman" w:hAnsi="Times New Roman" w:eastAsia="宋体" w:cs="宋体"/>
          <w:color w:val="auto"/>
          <w:kern w:val="0"/>
          <w:sz w:val="24"/>
          <w:szCs w:val="24"/>
          <w:highlight w:val="none"/>
        </w:rPr>
        <w:t>：</w:t>
      </w:r>
      <w:r>
        <w:rPr>
          <w:rFonts w:ascii="Times New Roman" w:hAnsi="宋体" w:eastAsia="宋体" w:cs="Times New Roman"/>
          <w:color w:val="auto"/>
          <w:sz w:val="24"/>
          <w:szCs w:val="24"/>
          <w:highlight w:val="none"/>
          <w:u w:val="single"/>
        </w:rPr>
        <w:t xml:space="preserve">                   </w:t>
      </w:r>
      <w:r>
        <w:rPr>
          <w:rFonts w:hint="eastAsia" w:ascii="宋体" w:hAnsi="宋体" w:eastAsia="宋体" w:cs="Times New Roman"/>
          <w:bCs/>
          <w:color w:val="auto"/>
          <w:sz w:val="24"/>
          <w:szCs w:val="24"/>
          <w:highlight w:val="none"/>
          <w:u w:val="single"/>
        </w:rPr>
        <w:t xml:space="preserve">/  </w:t>
      </w:r>
      <w:r>
        <w:rPr>
          <w:rFonts w:ascii="Times New Roman" w:hAnsi="宋体"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1949BDB8">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15.3.2 </w:t>
      </w:r>
      <w:r>
        <w:rPr>
          <w:rFonts w:hint="eastAsia" w:ascii="Times New Roman" w:hAnsi="宋体" w:eastAsia="宋体" w:cs="宋体"/>
          <w:color w:val="auto"/>
          <w:sz w:val="24"/>
          <w:szCs w:val="24"/>
          <w:highlight w:val="none"/>
        </w:rPr>
        <w:t>质量保证金的扣留</w:t>
      </w:r>
    </w:p>
    <w:p w14:paraId="7266A117">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质量保证金的扣留采取以下第</w:t>
      </w:r>
      <w:r>
        <w:rPr>
          <w:rFonts w:hint="eastAsia" w:ascii="Times New Roman" w:hAnsi="Times New Roman" w:eastAsia="宋体" w:cs="Times New Roman"/>
          <w:color w:val="auto"/>
          <w:sz w:val="24"/>
          <w:szCs w:val="24"/>
          <w:highlight w:val="none"/>
          <w:u w:val="single"/>
        </w:rPr>
        <w:t>（2）</w:t>
      </w:r>
      <w:r>
        <w:rPr>
          <w:rFonts w:hint="eastAsia" w:ascii="Times New Roman" w:hAnsi="宋体" w:eastAsia="宋体" w:cs="宋体"/>
          <w:color w:val="auto"/>
          <w:sz w:val="24"/>
          <w:szCs w:val="24"/>
          <w:highlight w:val="none"/>
        </w:rPr>
        <w:t>种方式：</w:t>
      </w:r>
    </w:p>
    <w:p w14:paraId="7A222224">
      <w:pPr>
        <w:autoSpaceDE w:val="0"/>
        <w:autoSpaceDN w:val="0"/>
        <w:adjustRightInd w:val="0"/>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w:t>
      </w:r>
      <w:r>
        <w:rPr>
          <w:rFonts w:ascii="Times New Roman" w:hAnsi="Times New Roman" w:eastAsia="宋体" w:cs="Times New Roman"/>
          <w:color w:val="auto"/>
          <w:kern w:val="0"/>
          <w:sz w:val="24"/>
          <w:szCs w:val="24"/>
          <w:highlight w:val="none"/>
        </w:rPr>
        <w:t>1</w:t>
      </w:r>
      <w:r>
        <w:rPr>
          <w:rFonts w:hint="eastAsia" w:ascii="Times New Roman" w:hAnsi="宋体" w:eastAsia="宋体" w:cs="宋体"/>
          <w:color w:val="auto"/>
          <w:kern w:val="0"/>
          <w:sz w:val="24"/>
          <w:szCs w:val="24"/>
          <w:highlight w:val="none"/>
        </w:rPr>
        <w:t>）在</w:t>
      </w:r>
      <w:r>
        <w:rPr>
          <w:rFonts w:ascii="Times New Roman" w:hAnsi="宋体" w:eastAsia="宋体" w:cs="宋体"/>
          <w:color w:val="auto"/>
          <w:kern w:val="0"/>
          <w:sz w:val="24"/>
          <w:szCs w:val="24"/>
          <w:highlight w:val="none"/>
        </w:rPr>
        <w:t>不缴纳</w:t>
      </w:r>
      <w:r>
        <w:rPr>
          <w:rFonts w:hint="eastAsia" w:ascii="Times New Roman" w:hAnsi="宋体" w:eastAsia="宋体" w:cs="宋体"/>
          <w:color w:val="auto"/>
          <w:kern w:val="0"/>
          <w:sz w:val="24"/>
          <w:szCs w:val="24"/>
          <w:highlight w:val="none"/>
          <w:lang w:eastAsia="zh-CN"/>
        </w:rPr>
        <w:t>履约</w:t>
      </w:r>
      <w:r>
        <w:rPr>
          <w:rFonts w:hint="eastAsia" w:ascii="Times New Roman" w:hAnsi="宋体" w:eastAsia="宋体" w:cs="宋体"/>
          <w:color w:val="auto"/>
          <w:kern w:val="0"/>
          <w:sz w:val="24"/>
          <w:szCs w:val="24"/>
          <w:highlight w:val="none"/>
        </w:rPr>
        <w:t>保</w:t>
      </w:r>
      <w:r>
        <w:rPr>
          <w:rFonts w:ascii="Times New Roman" w:hAnsi="宋体" w:eastAsia="宋体" w:cs="宋体"/>
          <w:color w:val="auto"/>
          <w:kern w:val="0"/>
          <w:sz w:val="24"/>
          <w:szCs w:val="24"/>
          <w:highlight w:val="none"/>
        </w:rPr>
        <w:t>证金情况下</w:t>
      </w:r>
      <w:r>
        <w:rPr>
          <w:rFonts w:hint="eastAsia" w:ascii="Times New Roman" w:hAnsi="宋体" w:eastAsia="宋体" w:cs="宋体"/>
          <w:color w:val="auto"/>
          <w:kern w:val="0"/>
          <w:sz w:val="24"/>
          <w:szCs w:val="24"/>
          <w:highlight w:val="none"/>
        </w:rPr>
        <w:t>，按支付工程进度款时逐次扣留，质量保证金的计算基数不包括预付款的支付、扣回以及价格调整的金额；</w:t>
      </w:r>
    </w:p>
    <w:p w14:paraId="04091F4A">
      <w:pPr>
        <w:autoSpaceDE w:val="0"/>
        <w:autoSpaceDN w:val="0"/>
        <w:adjustRightInd w:val="0"/>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w:t>
      </w:r>
      <w:r>
        <w:rPr>
          <w:rFonts w:ascii="Times New Roman" w:hAnsi="Times New Roman" w:eastAsia="宋体" w:cs="Times New Roman"/>
          <w:color w:val="auto"/>
          <w:kern w:val="0"/>
          <w:sz w:val="24"/>
          <w:szCs w:val="24"/>
          <w:highlight w:val="none"/>
        </w:rPr>
        <w:t>2</w:t>
      </w:r>
      <w:r>
        <w:rPr>
          <w:rFonts w:hint="eastAsia" w:ascii="Times New Roman" w:hAnsi="宋体" w:eastAsia="宋体" w:cs="宋体"/>
          <w:color w:val="auto"/>
          <w:kern w:val="0"/>
          <w:sz w:val="24"/>
          <w:szCs w:val="24"/>
          <w:highlight w:val="none"/>
        </w:rPr>
        <w:t>）工程竣工结算时，一次性扣留质量保证金，</w:t>
      </w:r>
      <w:r>
        <w:rPr>
          <w:rFonts w:ascii="Times New Roman" w:hAnsi="宋体" w:eastAsia="宋体" w:cs="宋体"/>
          <w:color w:val="auto"/>
          <w:kern w:val="0"/>
          <w:sz w:val="24"/>
          <w:szCs w:val="24"/>
          <w:highlight w:val="none"/>
        </w:rPr>
        <w:t>由承包人以银行保函</w:t>
      </w:r>
      <w:r>
        <w:rPr>
          <w:rFonts w:hint="eastAsia" w:ascii="Times New Roman" w:hAnsi="宋体" w:eastAsia="宋体" w:cs="宋体"/>
          <w:color w:val="auto"/>
          <w:kern w:val="0"/>
          <w:sz w:val="24"/>
          <w:szCs w:val="24"/>
          <w:highlight w:val="none"/>
        </w:rPr>
        <w:t>、保证保险</w:t>
      </w:r>
      <w:r>
        <w:rPr>
          <w:rFonts w:ascii="Times New Roman" w:hAnsi="宋体" w:eastAsia="宋体" w:cs="宋体"/>
          <w:color w:val="auto"/>
          <w:kern w:val="0"/>
          <w:sz w:val="24"/>
          <w:szCs w:val="24"/>
          <w:highlight w:val="none"/>
        </w:rPr>
        <w:t>替代预留</w:t>
      </w:r>
      <w:r>
        <w:rPr>
          <w:rFonts w:hint="eastAsia" w:ascii="Times New Roman" w:hAnsi="宋体" w:eastAsia="宋体" w:cs="宋体"/>
          <w:color w:val="auto"/>
          <w:kern w:val="0"/>
          <w:sz w:val="24"/>
          <w:szCs w:val="24"/>
          <w:highlight w:val="none"/>
        </w:rPr>
        <w:t>质量</w:t>
      </w:r>
      <w:r>
        <w:rPr>
          <w:rFonts w:ascii="Times New Roman" w:hAnsi="宋体" w:eastAsia="宋体" w:cs="宋体"/>
          <w:color w:val="auto"/>
          <w:kern w:val="0"/>
          <w:sz w:val="24"/>
          <w:szCs w:val="24"/>
          <w:highlight w:val="none"/>
        </w:rPr>
        <w:t>保证金</w:t>
      </w:r>
      <w:r>
        <w:rPr>
          <w:rFonts w:hint="eastAsia" w:ascii="Times New Roman" w:hAnsi="宋体" w:eastAsia="宋体" w:cs="宋体"/>
          <w:color w:val="auto"/>
          <w:kern w:val="0"/>
          <w:sz w:val="24"/>
          <w:szCs w:val="24"/>
          <w:highlight w:val="none"/>
        </w:rPr>
        <w:t>，</w:t>
      </w:r>
      <w:r>
        <w:rPr>
          <w:rFonts w:ascii="Times New Roman" w:hAnsi="宋体" w:eastAsia="宋体" w:cs="宋体"/>
          <w:color w:val="auto"/>
          <w:kern w:val="0"/>
          <w:sz w:val="24"/>
          <w:szCs w:val="24"/>
          <w:highlight w:val="none"/>
        </w:rPr>
        <w:t>保函金额不得高</w:t>
      </w:r>
      <w:r>
        <w:rPr>
          <w:rFonts w:hint="eastAsia" w:ascii="Times New Roman" w:hAnsi="宋体" w:eastAsia="宋体" w:cs="宋体"/>
          <w:color w:val="auto"/>
          <w:kern w:val="0"/>
          <w:sz w:val="24"/>
          <w:szCs w:val="24"/>
          <w:highlight w:val="none"/>
        </w:rPr>
        <w:t>于</w:t>
      </w:r>
      <w:r>
        <w:rPr>
          <w:rFonts w:ascii="Times New Roman" w:hAnsi="宋体" w:eastAsia="宋体" w:cs="宋体"/>
          <w:color w:val="auto"/>
          <w:kern w:val="0"/>
          <w:sz w:val="24"/>
          <w:szCs w:val="24"/>
          <w:highlight w:val="none"/>
        </w:rPr>
        <w:t>工程价款结算总额的</w:t>
      </w:r>
      <w:r>
        <w:rPr>
          <w:rFonts w:hint="eastAsia" w:ascii="Times New Roman" w:hAnsi="宋体" w:eastAsia="宋体" w:cs="宋体"/>
          <w:color w:val="auto"/>
          <w:kern w:val="0"/>
          <w:sz w:val="24"/>
          <w:szCs w:val="24"/>
          <w:highlight w:val="none"/>
        </w:rPr>
        <w:t>3</w:t>
      </w:r>
      <w:r>
        <w:rPr>
          <w:rFonts w:ascii="Times New Roman" w:hAnsi="宋体" w:eastAsia="宋体" w:cs="宋体"/>
          <w:color w:val="auto"/>
          <w:kern w:val="0"/>
          <w:sz w:val="24"/>
          <w:szCs w:val="24"/>
          <w:highlight w:val="none"/>
        </w:rPr>
        <w:t>%</w:t>
      </w:r>
      <w:r>
        <w:rPr>
          <w:rFonts w:hint="eastAsia" w:ascii="Times New Roman" w:hAnsi="宋体" w:eastAsia="宋体" w:cs="宋体"/>
          <w:color w:val="auto"/>
          <w:kern w:val="0"/>
          <w:sz w:val="24"/>
          <w:szCs w:val="24"/>
          <w:highlight w:val="none"/>
        </w:rPr>
        <w:t>；</w:t>
      </w:r>
    </w:p>
    <w:p w14:paraId="2BD4815A">
      <w:pPr>
        <w:autoSpaceDE w:val="0"/>
        <w:autoSpaceDN w:val="0"/>
        <w:adjustRightInd w:val="0"/>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w:t>
      </w:r>
      <w:r>
        <w:rPr>
          <w:rFonts w:ascii="Times New Roman" w:hAnsi="Times New Roman" w:eastAsia="宋体" w:cs="Times New Roman"/>
          <w:color w:val="auto"/>
          <w:kern w:val="0"/>
          <w:sz w:val="24"/>
          <w:szCs w:val="24"/>
          <w:highlight w:val="none"/>
        </w:rPr>
        <w:t>3</w:t>
      </w:r>
      <w:r>
        <w:rPr>
          <w:rFonts w:hint="eastAsia" w:ascii="Times New Roman" w:hAnsi="宋体" w:eastAsia="宋体" w:cs="宋体"/>
          <w:color w:val="auto"/>
          <w:kern w:val="0"/>
          <w:sz w:val="24"/>
          <w:szCs w:val="24"/>
          <w:highlight w:val="none"/>
        </w:rPr>
        <w:t>）其他扣留方式</w:t>
      </w:r>
      <w:r>
        <w:rPr>
          <w:rFonts w:ascii="Times New Roman" w:hAnsi="Times New Roman" w:eastAsia="宋体" w:cs="Times New Roman"/>
          <w:color w:val="auto"/>
          <w:kern w:val="0"/>
          <w:sz w:val="24"/>
          <w:szCs w:val="24"/>
          <w:highlight w:val="none"/>
        </w:rPr>
        <w:t>:</w:t>
      </w:r>
      <w:r>
        <w:rPr>
          <w:rFonts w:ascii="Times New Roman" w:hAnsi="Times New Roman" w:eastAsia="宋体" w:cs="Times New Roman"/>
          <w:color w:val="auto"/>
          <w:kern w:val="0"/>
          <w:sz w:val="24"/>
          <w:szCs w:val="24"/>
          <w:highlight w:val="none"/>
          <w:u w:val="single"/>
        </w:rPr>
        <w:t xml:space="preserve">              </w:t>
      </w:r>
      <w:r>
        <w:rPr>
          <w:rFonts w:hint="eastAsia" w:ascii="宋体" w:hAnsi="Courier New" w:eastAsia="宋体" w:cs="Times New Roman"/>
          <w:color w:val="auto"/>
          <w:kern w:val="0"/>
          <w:sz w:val="24"/>
          <w:szCs w:val="24"/>
          <w:highlight w:val="none"/>
          <w:u w:val="single"/>
        </w:rPr>
        <w:t>/</w:t>
      </w:r>
      <w:r>
        <w:rPr>
          <w:rFonts w:ascii="宋体" w:hAnsi="Courier New" w:eastAsia="宋体" w:cs="Times New Roman"/>
          <w:color w:val="auto"/>
          <w:kern w:val="0"/>
          <w:sz w:val="24"/>
          <w:szCs w:val="24"/>
          <w:highlight w:val="none"/>
          <w:u w:val="single"/>
        </w:rPr>
        <w:t xml:space="preserve"> </w:t>
      </w:r>
      <w:r>
        <w:rPr>
          <w:rFonts w:ascii="Times New Roman" w:hAnsi="Times New Roman" w:eastAsia="宋体" w:cs="Times New Roman"/>
          <w:color w:val="auto"/>
          <w:kern w:val="0"/>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7E4BE974">
      <w:pPr>
        <w:spacing w:line="400" w:lineRule="exact"/>
        <w:ind w:firstLine="480" w:firstLineChars="200"/>
        <w:jc w:val="left"/>
        <w:rPr>
          <w:rFonts w:ascii="Times New Roman" w:hAnsi="Times New Roman" w:eastAsia="宋体" w:cs="Times New Roman"/>
          <w:color w:val="auto"/>
          <w:kern w:val="0"/>
          <w:sz w:val="24"/>
          <w:szCs w:val="24"/>
          <w:highlight w:val="none"/>
          <w:u w:val="single"/>
        </w:rPr>
      </w:pPr>
      <w:r>
        <w:rPr>
          <w:rFonts w:hint="eastAsia" w:ascii="Times New Roman" w:hAnsi="宋体" w:eastAsia="宋体" w:cs="宋体"/>
          <w:color w:val="auto"/>
          <w:sz w:val="24"/>
          <w:szCs w:val="24"/>
          <w:highlight w:val="none"/>
        </w:rPr>
        <w:t>关于质量保证金的补充约定：</w:t>
      </w:r>
      <w:r>
        <w:rPr>
          <w:rFonts w:ascii="Times New Roman" w:hAnsi="Times New Roman" w:eastAsia="宋体" w:cs="Times New Roman"/>
          <w:color w:val="auto"/>
          <w:kern w:val="0"/>
          <w:sz w:val="24"/>
          <w:szCs w:val="24"/>
          <w:highlight w:val="none"/>
          <w:u w:val="single"/>
        </w:rPr>
        <w:t xml:space="preserve">            </w:t>
      </w:r>
      <w:r>
        <w:rPr>
          <w:rFonts w:hint="eastAsia" w:ascii="宋体" w:hAnsi="Courier New" w:eastAsia="宋体" w:cs="Times New Roman"/>
          <w:color w:val="auto"/>
          <w:kern w:val="0"/>
          <w:sz w:val="24"/>
          <w:szCs w:val="24"/>
          <w:highlight w:val="none"/>
          <w:u w:val="single"/>
        </w:rPr>
        <w:t>/</w:t>
      </w:r>
      <w:r>
        <w:rPr>
          <w:rFonts w:ascii="宋体" w:hAnsi="Courier New" w:eastAsia="宋体" w:cs="Times New Roman"/>
          <w:color w:val="auto"/>
          <w:kern w:val="0"/>
          <w:sz w:val="24"/>
          <w:szCs w:val="24"/>
          <w:highlight w:val="none"/>
          <w:u w:val="single"/>
        </w:rPr>
        <w:t xml:space="preserve"> </w:t>
      </w:r>
      <w:r>
        <w:rPr>
          <w:rFonts w:ascii="Times New Roman" w:hAnsi="Times New Roman" w:eastAsia="宋体" w:cs="Times New Roman"/>
          <w:color w:val="auto"/>
          <w:kern w:val="0"/>
          <w:sz w:val="24"/>
          <w:szCs w:val="24"/>
          <w:highlight w:val="none"/>
          <w:u w:val="single"/>
        </w:rPr>
        <w:t xml:space="preserve">         </w:t>
      </w:r>
      <w:r>
        <w:rPr>
          <w:rFonts w:hint="eastAsia" w:ascii="Times New Roman" w:hAnsi="宋体" w:eastAsia="宋体" w:cs="宋体"/>
          <w:color w:val="auto"/>
          <w:kern w:val="0"/>
          <w:sz w:val="24"/>
          <w:szCs w:val="24"/>
          <w:highlight w:val="none"/>
        </w:rPr>
        <w:t>。</w:t>
      </w:r>
    </w:p>
    <w:bookmarkEnd w:id="949"/>
    <w:bookmarkEnd w:id="950"/>
    <w:p w14:paraId="31A16686">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988" w:name="_Toc389065330"/>
      <w:bookmarkStart w:id="989" w:name="_Toc407135268"/>
      <w:bookmarkStart w:id="990" w:name="_Toc373478412"/>
      <w:bookmarkStart w:id="991" w:name="_Toc9850596"/>
      <w:bookmarkStart w:id="992" w:name="_Toc373227765"/>
      <w:r>
        <w:rPr>
          <w:rFonts w:ascii="Times New Roman" w:hAnsi="Times New Roman" w:eastAsia="黑体" w:cs="Times New Roman"/>
          <w:b/>
          <w:bCs/>
          <w:color w:val="auto"/>
          <w:sz w:val="24"/>
          <w:szCs w:val="24"/>
          <w:highlight w:val="none"/>
          <w:lang w:val="zh-CN"/>
        </w:rPr>
        <w:t xml:space="preserve">15.4 </w:t>
      </w:r>
      <w:r>
        <w:rPr>
          <w:rFonts w:hint="eastAsia" w:ascii="Times New Roman" w:hAnsi="宋体" w:eastAsia="黑体" w:cs="黑体"/>
          <w:b/>
          <w:bCs/>
          <w:color w:val="auto"/>
          <w:sz w:val="24"/>
          <w:szCs w:val="24"/>
          <w:highlight w:val="none"/>
          <w:lang w:val="zh-CN"/>
        </w:rPr>
        <w:t>保修</w:t>
      </w:r>
      <w:bookmarkEnd w:id="988"/>
      <w:bookmarkEnd w:id="989"/>
      <w:bookmarkEnd w:id="990"/>
      <w:bookmarkEnd w:id="991"/>
      <w:bookmarkEnd w:id="992"/>
    </w:p>
    <w:bookmarkEnd w:id="951"/>
    <w:p w14:paraId="2E767EE1">
      <w:pPr>
        <w:spacing w:line="400" w:lineRule="exact"/>
        <w:ind w:firstLine="468" w:firstLineChars="195"/>
        <w:jc w:val="left"/>
        <w:outlineLvl w:val="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15.4.1 </w:t>
      </w:r>
      <w:r>
        <w:rPr>
          <w:rFonts w:hint="eastAsia" w:ascii="Times New Roman" w:hAnsi="宋体" w:eastAsia="宋体" w:cs="宋体"/>
          <w:color w:val="auto"/>
          <w:sz w:val="24"/>
          <w:szCs w:val="24"/>
          <w:highlight w:val="none"/>
        </w:rPr>
        <w:t>保修责任</w:t>
      </w:r>
    </w:p>
    <w:p w14:paraId="348E40BB">
      <w:pPr>
        <w:spacing w:line="400" w:lineRule="exact"/>
        <w:ind w:firstLine="468" w:firstLineChars="195"/>
        <w:jc w:val="left"/>
        <w:rPr>
          <w:rFonts w:hint="eastAsia" w:ascii="Times New Roman" w:hAnsi="Times New Roman" w:eastAsia="宋体" w:cs="Times New Roman"/>
          <w:color w:val="auto"/>
          <w:kern w:val="0"/>
          <w:sz w:val="24"/>
          <w:szCs w:val="24"/>
          <w:highlight w:val="none"/>
          <w:u w:val="single"/>
        </w:rPr>
      </w:pPr>
      <w:r>
        <w:rPr>
          <w:rFonts w:hint="eastAsia" w:ascii="Times New Roman" w:hAnsi="宋体" w:eastAsia="宋体" w:cs="宋体"/>
          <w:color w:val="auto"/>
          <w:sz w:val="24"/>
          <w:szCs w:val="24"/>
          <w:highlight w:val="none"/>
        </w:rPr>
        <w:t>工程保修期为：</w:t>
      </w:r>
      <w:r>
        <w:rPr>
          <w:rFonts w:hint="eastAsia" w:ascii="Times New Roman" w:hAnsi="Times New Roman" w:eastAsia="宋体" w:cs="Times New Roman"/>
          <w:color w:val="auto"/>
          <w:kern w:val="0"/>
          <w:sz w:val="24"/>
          <w:szCs w:val="24"/>
          <w:highlight w:val="none"/>
          <w:u w:val="single"/>
        </w:rPr>
        <w:t>除通用条款约定外，本工程整体保修期为2 年，自工程竣工验收合格之日起计算；保修期内因施工质量或材料设备质量问题导致故障，承包人接到通知后 24 小时响应、48 小时派员到场维修，紧急情况 4 小时内到场。</w:t>
      </w:r>
    </w:p>
    <w:p w14:paraId="31E46C73">
      <w:pPr>
        <w:spacing w:line="400" w:lineRule="exact"/>
        <w:ind w:firstLine="468" w:firstLineChars="195"/>
        <w:jc w:val="left"/>
        <w:rPr>
          <w:rFonts w:ascii="Times New Roman" w:hAnsi="Times New Roman" w:eastAsia="宋体" w:cs="Times New Roman"/>
          <w:color w:val="auto"/>
          <w:kern w:val="0"/>
          <w:sz w:val="24"/>
          <w:szCs w:val="24"/>
          <w:highlight w:val="none"/>
          <w:u w:val="single"/>
        </w:rPr>
      </w:pPr>
      <w:r>
        <w:rPr>
          <w:rFonts w:ascii="Times New Roman" w:hAnsi="Times New Roman" w:eastAsia="宋体" w:cs="Times New Roman"/>
          <w:color w:val="auto"/>
          <w:sz w:val="24"/>
          <w:szCs w:val="24"/>
          <w:highlight w:val="none"/>
        </w:rPr>
        <w:t>15.4.</w:t>
      </w:r>
      <w:r>
        <w:rPr>
          <w:rFonts w:hint="eastAsia" w:eastAsia="宋体" w:cs="Times New Roman"/>
          <w:color w:val="auto"/>
          <w:sz w:val="24"/>
          <w:szCs w:val="24"/>
          <w:highlight w:val="none"/>
          <w:lang w:val="en-US" w:eastAsia="zh-CN"/>
        </w:rPr>
        <w:t>2</w:t>
      </w:r>
      <w:r>
        <w:rPr>
          <w:rFonts w:hint="eastAsia" w:ascii="宋体" w:hAnsi="宋体" w:eastAsia="宋体" w:cs="宋体"/>
          <w:color w:val="auto"/>
          <w:sz w:val="24"/>
          <w:szCs w:val="24"/>
          <w:highlight w:val="none"/>
        </w:rPr>
        <w:t>工程保修书具体内容见合同附件2。</w:t>
      </w:r>
    </w:p>
    <w:p w14:paraId="795DAB3A">
      <w:pPr>
        <w:spacing w:line="400" w:lineRule="exact"/>
        <w:ind w:firstLine="468" w:firstLineChars="195"/>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15.4.3 </w:t>
      </w:r>
      <w:r>
        <w:rPr>
          <w:rFonts w:hint="eastAsia" w:ascii="Times New Roman" w:hAnsi="宋体" w:eastAsia="宋体" w:cs="宋体"/>
          <w:color w:val="auto"/>
          <w:sz w:val="24"/>
          <w:szCs w:val="24"/>
          <w:highlight w:val="none"/>
        </w:rPr>
        <w:t>修复通知</w:t>
      </w:r>
    </w:p>
    <w:p w14:paraId="71C2F00D">
      <w:pPr>
        <w:spacing w:line="400" w:lineRule="exact"/>
        <w:ind w:firstLine="468" w:firstLineChars="195"/>
        <w:jc w:val="left"/>
        <w:rPr>
          <w:rFonts w:ascii="Times New Roman" w:hAnsi="Times New Roman" w:eastAsia="宋体" w:cs="Times New Roman"/>
          <w:color w:val="auto"/>
          <w:kern w:val="0"/>
          <w:sz w:val="24"/>
          <w:szCs w:val="24"/>
          <w:highlight w:val="none"/>
          <w:u w:val="single"/>
        </w:rPr>
      </w:pPr>
      <w:r>
        <w:rPr>
          <w:rFonts w:hint="eastAsia" w:ascii="Times New Roman" w:hAnsi="宋体" w:eastAsia="宋体" w:cs="宋体"/>
          <w:color w:val="auto"/>
          <w:kern w:val="0"/>
          <w:sz w:val="24"/>
          <w:szCs w:val="24"/>
          <w:highlight w:val="none"/>
        </w:rPr>
        <w:t>承包人收到保修通知并到达工程现场的合理时间：</w:t>
      </w:r>
      <w:r>
        <w:rPr>
          <w:rFonts w:ascii="Times New Roman" w:hAnsi="Times New Roman" w:eastAsia="宋体" w:cs="Times New Roman"/>
          <w:color w:val="auto"/>
          <w:kern w:val="0"/>
          <w:sz w:val="24"/>
          <w:szCs w:val="24"/>
          <w:highlight w:val="none"/>
          <w:u w:val="single"/>
        </w:rPr>
        <w:t xml:space="preserve"> </w:t>
      </w:r>
      <w:r>
        <w:rPr>
          <w:rFonts w:hint="eastAsia" w:ascii="宋体" w:hAnsi="Courier New" w:eastAsia="宋体" w:cs="Times New Roman"/>
          <w:color w:val="auto"/>
          <w:kern w:val="0"/>
          <w:sz w:val="24"/>
          <w:szCs w:val="24"/>
          <w:highlight w:val="none"/>
          <w:u w:val="single"/>
        </w:rPr>
        <w:t>48小时内</w:t>
      </w:r>
      <w:r>
        <w:rPr>
          <w:rFonts w:hint="eastAsia" w:ascii="Times New Roman" w:hAnsi="宋体" w:eastAsia="宋体" w:cs="宋体"/>
          <w:color w:val="auto"/>
          <w:kern w:val="0"/>
          <w:sz w:val="24"/>
          <w:szCs w:val="24"/>
          <w:highlight w:val="none"/>
        </w:rPr>
        <w:t>。</w:t>
      </w:r>
    </w:p>
    <w:bookmarkEnd w:id="952"/>
    <w:bookmarkEnd w:id="953"/>
    <w:bookmarkEnd w:id="954"/>
    <w:bookmarkEnd w:id="955"/>
    <w:p w14:paraId="7399A4D2">
      <w:pPr>
        <w:keepNext/>
        <w:keepLines/>
        <w:spacing w:before="60" w:after="60" w:line="400" w:lineRule="exact"/>
        <w:outlineLvl w:val="1"/>
        <w:rPr>
          <w:rFonts w:ascii="Arial" w:hAnsi="Arial" w:eastAsia="黑体" w:cs="Times New Roman"/>
          <w:b/>
          <w:bCs/>
          <w:color w:val="auto"/>
          <w:sz w:val="24"/>
          <w:szCs w:val="24"/>
          <w:highlight w:val="none"/>
          <w:lang w:val="zh-CN"/>
        </w:rPr>
      </w:pPr>
      <w:bookmarkStart w:id="993" w:name="_Toc351203648"/>
      <w:bookmarkStart w:id="994" w:name="_Toc9850597"/>
      <w:bookmarkStart w:id="995" w:name="_Toc373478413"/>
      <w:bookmarkStart w:id="996" w:name="_Toc373227766"/>
      <w:bookmarkStart w:id="997" w:name="_Toc407135269"/>
      <w:bookmarkStart w:id="998" w:name="_Toc389065331"/>
      <w:bookmarkStart w:id="999" w:name="_Toc280868717"/>
      <w:bookmarkStart w:id="1000" w:name="_Toc280868718"/>
      <w:r>
        <w:rPr>
          <w:rFonts w:ascii="Arial" w:hAnsi="Arial" w:eastAsia="黑体" w:cs="Times New Roman"/>
          <w:b/>
          <w:bCs/>
          <w:color w:val="auto"/>
          <w:sz w:val="24"/>
          <w:szCs w:val="24"/>
          <w:highlight w:val="none"/>
          <w:lang w:val="zh-CN"/>
        </w:rPr>
        <w:t xml:space="preserve">16. </w:t>
      </w:r>
      <w:r>
        <w:rPr>
          <w:rFonts w:hint="eastAsia" w:ascii="Arial" w:hAnsi="宋体" w:eastAsia="黑体" w:cs="黑体"/>
          <w:b/>
          <w:bCs/>
          <w:color w:val="auto"/>
          <w:sz w:val="24"/>
          <w:szCs w:val="24"/>
          <w:highlight w:val="none"/>
          <w:lang w:val="zh-CN"/>
        </w:rPr>
        <w:t>违约</w:t>
      </w:r>
      <w:bookmarkEnd w:id="993"/>
      <w:bookmarkEnd w:id="994"/>
      <w:bookmarkEnd w:id="995"/>
      <w:bookmarkEnd w:id="996"/>
      <w:bookmarkEnd w:id="997"/>
      <w:bookmarkEnd w:id="998"/>
    </w:p>
    <w:p w14:paraId="7B03D58F">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1001" w:name="_Toc389065332"/>
      <w:bookmarkStart w:id="1002" w:name="_Toc407135270"/>
      <w:bookmarkStart w:id="1003" w:name="_Toc9850598"/>
      <w:bookmarkStart w:id="1004" w:name="_Toc373227767"/>
      <w:bookmarkStart w:id="1005" w:name="_Toc373478414"/>
      <w:r>
        <w:rPr>
          <w:rFonts w:ascii="Times New Roman" w:hAnsi="Times New Roman" w:eastAsia="黑体" w:cs="Times New Roman"/>
          <w:b/>
          <w:bCs/>
          <w:color w:val="auto"/>
          <w:sz w:val="24"/>
          <w:szCs w:val="24"/>
          <w:highlight w:val="none"/>
          <w:lang w:val="zh-CN"/>
        </w:rPr>
        <w:t xml:space="preserve">16.1 </w:t>
      </w:r>
      <w:r>
        <w:rPr>
          <w:rFonts w:hint="eastAsia" w:ascii="Times New Roman" w:hAnsi="宋体" w:eastAsia="黑体" w:cs="黑体"/>
          <w:b/>
          <w:bCs/>
          <w:color w:val="auto"/>
          <w:sz w:val="24"/>
          <w:szCs w:val="24"/>
          <w:highlight w:val="none"/>
          <w:lang w:val="zh-CN"/>
        </w:rPr>
        <w:t>发包人违约</w:t>
      </w:r>
      <w:bookmarkEnd w:id="1001"/>
      <w:bookmarkEnd w:id="1002"/>
      <w:bookmarkEnd w:id="1003"/>
      <w:bookmarkEnd w:id="1004"/>
      <w:bookmarkEnd w:id="1005"/>
    </w:p>
    <w:p w14:paraId="2361CEC4">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16.1.1</w:t>
      </w:r>
      <w:r>
        <w:rPr>
          <w:rFonts w:hint="eastAsia" w:ascii="Times New Roman" w:hAnsi="宋体" w:eastAsia="宋体" w:cs="宋体"/>
          <w:color w:val="auto"/>
          <w:sz w:val="24"/>
          <w:szCs w:val="24"/>
          <w:highlight w:val="none"/>
        </w:rPr>
        <w:t>发包人违约的情形</w:t>
      </w:r>
    </w:p>
    <w:p w14:paraId="5E5D52FD">
      <w:pPr>
        <w:spacing w:line="400" w:lineRule="exact"/>
        <w:ind w:firstLine="480" w:firstLineChars="200"/>
        <w:jc w:val="left"/>
        <w:rPr>
          <w:rFonts w:hint="eastAsia" w:ascii="Times New Roman" w:hAnsi="宋体"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发包人违约的其他情形：</w:t>
      </w:r>
      <w:r>
        <w:rPr>
          <w:rFonts w:ascii="Times New Roman" w:hAnsi="Times New Roman"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u w:val="single"/>
        </w:rPr>
        <w:t>/</w:t>
      </w:r>
      <w:r>
        <w:rPr>
          <w:rFonts w:ascii="Times New Roman" w:hAnsi="Times New Roman" w:eastAsia="宋体" w:cs="Times New Roman"/>
          <w:color w:val="auto"/>
          <w:kern w:val="0"/>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6281E31B">
      <w:pPr>
        <w:spacing w:line="400" w:lineRule="exact"/>
        <w:ind w:firstLine="480" w:firstLineChars="200"/>
        <w:jc w:val="left"/>
        <w:outlineLvl w:val="0"/>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xml:space="preserve">16.1.2 </w:t>
      </w:r>
      <w:r>
        <w:rPr>
          <w:rFonts w:hint="eastAsia" w:ascii="Times New Roman" w:hAnsi="宋体" w:eastAsia="宋体" w:cs="宋体"/>
          <w:color w:val="auto"/>
          <w:kern w:val="0"/>
          <w:sz w:val="24"/>
          <w:szCs w:val="24"/>
          <w:highlight w:val="none"/>
        </w:rPr>
        <w:t>发包人违约的责任</w:t>
      </w:r>
    </w:p>
    <w:p w14:paraId="55F0CB32">
      <w:pPr>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发包人违约责任的承担方式和计算方法：</w:t>
      </w:r>
    </w:p>
    <w:p w14:paraId="24AE088D">
      <w:pPr>
        <w:spacing w:line="400" w:lineRule="exact"/>
        <w:ind w:firstLine="480" w:firstLineChars="200"/>
        <w:jc w:val="left"/>
        <w:rPr>
          <w:rFonts w:ascii="Times New Roman" w:hAnsi="Times New Roman" w:eastAsia="宋体" w:cs="Times New Roman"/>
          <w:color w:val="auto"/>
          <w:kern w:val="0"/>
          <w:sz w:val="24"/>
          <w:szCs w:val="24"/>
          <w:highlight w:val="none"/>
          <w:u w:val="single"/>
        </w:rPr>
      </w:pPr>
      <w:r>
        <w:rPr>
          <w:rFonts w:hint="eastAsia" w:ascii="Times New Roman" w:hAnsi="宋体" w:eastAsia="宋体" w:cs="宋体"/>
          <w:color w:val="auto"/>
          <w:kern w:val="0"/>
          <w:sz w:val="24"/>
          <w:szCs w:val="24"/>
          <w:highlight w:val="none"/>
        </w:rPr>
        <w:t>（</w:t>
      </w:r>
      <w:r>
        <w:rPr>
          <w:rFonts w:ascii="Times New Roman" w:hAnsi="Times New Roman" w:eastAsia="宋体" w:cs="Times New Roman"/>
          <w:color w:val="auto"/>
          <w:kern w:val="0"/>
          <w:sz w:val="24"/>
          <w:szCs w:val="24"/>
          <w:highlight w:val="none"/>
        </w:rPr>
        <w:t>1</w:t>
      </w:r>
      <w:r>
        <w:rPr>
          <w:rFonts w:hint="eastAsia" w:ascii="Times New Roman" w:hAnsi="宋体" w:eastAsia="宋体" w:cs="宋体"/>
          <w:color w:val="auto"/>
          <w:kern w:val="0"/>
          <w:sz w:val="24"/>
          <w:szCs w:val="24"/>
          <w:highlight w:val="none"/>
        </w:rPr>
        <w:t>）因发包人原因未能在计划开工日期前</w:t>
      </w:r>
      <w:r>
        <w:rPr>
          <w:rFonts w:ascii="Times New Roman" w:hAnsi="Times New Roman" w:eastAsia="宋体" w:cs="Times New Roman"/>
          <w:color w:val="auto"/>
          <w:kern w:val="0"/>
          <w:sz w:val="24"/>
          <w:szCs w:val="24"/>
          <w:highlight w:val="none"/>
        </w:rPr>
        <w:t>7</w:t>
      </w:r>
      <w:r>
        <w:rPr>
          <w:rFonts w:hint="eastAsia" w:ascii="Times New Roman" w:hAnsi="宋体" w:eastAsia="宋体" w:cs="宋体"/>
          <w:color w:val="auto"/>
          <w:kern w:val="0"/>
          <w:sz w:val="24"/>
          <w:szCs w:val="24"/>
          <w:highlight w:val="none"/>
        </w:rPr>
        <w:t>天内下达开工通知的违约责任：</w:t>
      </w:r>
      <w:bookmarkStart w:id="1006" w:name="_Hlk10023637"/>
      <w:r>
        <w:rPr>
          <w:rFonts w:hint="eastAsia" w:ascii="宋体" w:hAnsi="宋体" w:eastAsia="宋体" w:cs="Times New Roman"/>
          <w:color w:val="auto"/>
          <w:kern w:val="0"/>
          <w:sz w:val="24"/>
          <w:szCs w:val="24"/>
          <w:highlight w:val="none"/>
          <w:u w:val="single"/>
        </w:rPr>
        <w:t>工期顺延</w:t>
      </w:r>
      <w:bookmarkEnd w:id="1006"/>
      <w:r>
        <w:rPr>
          <w:rFonts w:ascii="Times New Roman" w:hAnsi="Times New Roman" w:eastAsia="宋体" w:cs="Times New Roman"/>
          <w:color w:val="auto"/>
          <w:kern w:val="0"/>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4DDB78E9">
      <w:pPr>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w:t>
      </w:r>
      <w:r>
        <w:rPr>
          <w:rFonts w:ascii="Times New Roman" w:hAnsi="Times New Roman" w:eastAsia="宋体" w:cs="Times New Roman"/>
          <w:color w:val="auto"/>
          <w:kern w:val="0"/>
          <w:sz w:val="24"/>
          <w:szCs w:val="24"/>
          <w:highlight w:val="none"/>
        </w:rPr>
        <w:t>2</w:t>
      </w:r>
      <w:r>
        <w:rPr>
          <w:rFonts w:hint="eastAsia" w:ascii="Times New Roman" w:hAnsi="宋体" w:eastAsia="宋体" w:cs="宋体"/>
          <w:color w:val="auto"/>
          <w:kern w:val="0"/>
          <w:sz w:val="24"/>
          <w:szCs w:val="24"/>
          <w:highlight w:val="none"/>
        </w:rPr>
        <w:t>）因发包人原因未能按合同约定支付合同价款的违约责任：</w:t>
      </w:r>
      <w:r>
        <w:rPr>
          <w:rFonts w:hint="eastAsia" w:ascii="宋体" w:hAnsi="Courier New" w:eastAsia="宋体" w:cs="Times New Roman"/>
          <w:color w:val="auto"/>
          <w:kern w:val="0"/>
          <w:sz w:val="24"/>
          <w:szCs w:val="24"/>
          <w:highlight w:val="none"/>
          <w:u w:val="single"/>
        </w:rPr>
        <w:t>每天赔偿金额为逾期支付工程合同价款扣除建安劳保费、发包人材料价款、暂估专业工程、暂列金额后的万分之一</w:t>
      </w:r>
      <w:r>
        <w:rPr>
          <w:rFonts w:hint="eastAsia" w:ascii="Times New Roman" w:hAnsi="宋体" w:eastAsia="宋体" w:cs="宋体"/>
          <w:color w:val="auto"/>
          <w:kern w:val="0"/>
          <w:sz w:val="24"/>
          <w:szCs w:val="24"/>
          <w:highlight w:val="none"/>
        </w:rPr>
        <w:t>。</w:t>
      </w:r>
    </w:p>
    <w:p w14:paraId="3A927521">
      <w:pPr>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w:t>
      </w:r>
      <w:r>
        <w:rPr>
          <w:rFonts w:ascii="Times New Roman" w:hAnsi="Times New Roman" w:eastAsia="宋体" w:cs="Times New Roman"/>
          <w:color w:val="auto"/>
          <w:kern w:val="0"/>
          <w:sz w:val="24"/>
          <w:szCs w:val="24"/>
          <w:highlight w:val="none"/>
        </w:rPr>
        <w:t>3</w:t>
      </w:r>
      <w:r>
        <w:rPr>
          <w:rFonts w:hint="eastAsia" w:ascii="Times New Roman" w:hAnsi="宋体" w:eastAsia="宋体" w:cs="宋体"/>
          <w:color w:val="auto"/>
          <w:kern w:val="0"/>
          <w:sz w:val="24"/>
          <w:szCs w:val="24"/>
          <w:highlight w:val="none"/>
        </w:rPr>
        <w:t>）发包人违反第</w:t>
      </w:r>
      <w:r>
        <w:rPr>
          <w:rFonts w:ascii="Times New Roman" w:hAnsi="Times New Roman" w:eastAsia="宋体" w:cs="Times New Roman"/>
          <w:color w:val="auto"/>
          <w:kern w:val="0"/>
          <w:sz w:val="24"/>
          <w:szCs w:val="24"/>
          <w:highlight w:val="none"/>
        </w:rPr>
        <w:t>10.1</w:t>
      </w:r>
      <w:r>
        <w:rPr>
          <w:rFonts w:hint="eastAsia" w:ascii="Times New Roman" w:hAnsi="宋体" w:eastAsia="宋体" w:cs="宋体"/>
          <w:color w:val="auto"/>
          <w:kern w:val="0"/>
          <w:sz w:val="24"/>
          <w:szCs w:val="24"/>
          <w:highlight w:val="none"/>
        </w:rPr>
        <w:t>款〔变更的范围〕第（</w:t>
      </w:r>
      <w:r>
        <w:rPr>
          <w:rFonts w:ascii="Times New Roman" w:hAnsi="Times New Roman" w:eastAsia="宋体" w:cs="Times New Roman"/>
          <w:color w:val="auto"/>
          <w:kern w:val="0"/>
          <w:sz w:val="24"/>
          <w:szCs w:val="24"/>
          <w:highlight w:val="none"/>
        </w:rPr>
        <w:t>2</w:t>
      </w:r>
      <w:r>
        <w:rPr>
          <w:rFonts w:hint="eastAsia" w:ascii="Times New Roman" w:hAnsi="宋体" w:eastAsia="宋体" w:cs="宋体"/>
          <w:color w:val="auto"/>
          <w:kern w:val="0"/>
          <w:sz w:val="24"/>
          <w:szCs w:val="24"/>
          <w:highlight w:val="none"/>
        </w:rPr>
        <w:t>）项约定，自行实施被取消的工作或转由他人实施的违约责任：</w:t>
      </w:r>
      <w:r>
        <w:rPr>
          <w:rFonts w:ascii="Times New Roman" w:hAnsi="Times New Roman" w:eastAsia="宋体" w:cs="Times New Roman"/>
          <w:color w:val="auto"/>
          <w:kern w:val="0"/>
          <w:sz w:val="24"/>
          <w:szCs w:val="24"/>
          <w:highlight w:val="none"/>
          <w:u w:val="single"/>
        </w:rPr>
        <w:t xml:space="preserve">           </w:t>
      </w:r>
      <w:r>
        <w:rPr>
          <w:rFonts w:hint="eastAsia" w:ascii="宋体" w:hAnsi="Courier New" w:eastAsia="宋体" w:cs="Times New Roman"/>
          <w:color w:val="auto"/>
          <w:kern w:val="0"/>
          <w:sz w:val="24"/>
          <w:szCs w:val="24"/>
          <w:highlight w:val="none"/>
          <w:u w:val="single"/>
        </w:rPr>
        <w:t>（</w:t>
      </w:r>
      <w:r>
        <w:rPr>
          <w:rFonts w:ascii="宋体" w:hAnsi="Courier New" w:eastAsia="宋体" w:cs="Times New Roman"/>
          <w:color w:val="auto"/>
          <w:kern w:val="0"/>
          <w:sz w:val="24"/>
          <w:szCs w:val="24"/>
          <w:highlight w:val="none"/>
          <w:u w:val="single"/>
        </w:rPr>
        <w:t xml:space="preserve"> </w:t>
      </w:r>
      <w:r>
        <w:rPr>
          <w:rFonts w:hint="eastAsia" w:ascii="宋体" w:hAnsi="Courier New" w:eastAsia="宋体" w:cs="Times New Roman"/>
          <w:color w:val="auto"/>
          <w:kern w:val="0"/>
          <w:sz w:val="24"/>
          <w:szCs w:val="24"/>
          <w:highlight w:val="none"/>
          <w:u w:val="single"/>
        </w:rPr>
        <w:t>双方约定）</w:t>
      </w:r>
      <w:r>
        <w:rPr>
          <w:rFonts w:ascii="Times New Roman" w:hAnsi="Times New Roman" w:eastAsia="宋体" w:cs="Times New Roman"/>
          <w:color w:val="auto"/>
          <w:kern w:val="0"/>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00C4D1ED">
      <w:pPr>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w:t>
      </w:r>
      <w:r>
        <w:rPr>
          <w:rFonts w:ascii="Times New Roman" w:hAnsi="Times New Roman" w:eastAsia="宋体" w:cs="Times New Roman"/>
          <w:color w:val="auto"/>
          <w:kern w:val="0"/>
          <w:sz w:val="24"/>
          <w:szCs w:val="24"/>
          <w:highlight w:val="none"/>
        </w:rPr>
        <w:t>4</w:t>
      </w:r>
      <w:r>
        <w:rPr>
          <w:rFonts w:hint="eastAsia" w:ascii="Times New Roman" w:hAnsi="宋体" w:eastAsia="宋体" w:cs="宋体"/>
          <w:color w:val="auto"/>
          <w:kern w:val="0"/>
          <w:sz w:val="24"/>
          <w:szCs w:val="24"/>
          <w:highlight w:val="none"/>
        </w:rPr>
        <w:t>）发包人提供的材料、工程设备的规格、数量或质量不符合合同约定，或因发包人原因导致交货日期延误或交货地点变更等情况的违约责任：</w:t>
      </w:r>
      <w:r>
        <w:rPr>
          <w:rFonts w:ascii="Times New Roman" w:hAnsi="Times New Roman" w:eastAsia="宋体" w:cs="Times New Roman"/>
          <w:color w:val="auto"/>
          <w:kern w:val="0"/>
          <w:sz w:val="24"/>
          <w:szCs w:val="24"/>
          <w:highlight w:val="none"/>
          <w:u w:val="single"/>
        </w:rPr>
        <w:t xml:space="preserve">      </w:t>
      </w:r>
      <w:r>
        <w:rPr>
          <w:rFonts w:hint="eastAsia" w:ascii="宋体" w:hAnsi="Courier New" w:eastAsia="宋体" w:cs="Times New Roman"/>
          <w:color w:val="auto"/>
          <w:kern w:val="0"/>
          <w:sz w:val="24"/>
          <w:szCs w:val="24"/>
          <w:highlight w:val="none"/>
          <w:u w:val="single"/>
        </w:rPr>
        <w:t>（</w:t>
      </w:r>
      <w:r>
        <w:rPr>
          <w:rFonts w:ascii="宋体" w:hAnsi="Courier New" w:eastAsia="宋体" w:cs="Times New Roman"/>
          <w:color w:val="auto"/>
          <w:kern w:val="0"/>
          <w:sz w:val="24"/>
          <w:szCs w:val="24"/>
          <w:highlight w:val="none"/>
          <w:u w:val="single"/>
        </w:rPr>
        <w:t xml:space="preserve"> </w:t>
      </w:r>
      <w:r>
        <w:rPr>
          <w:rFonts w:hint="eastAsia" w:ascii="宋体" w:hAnsi="Courier New" w:eastAsia="宋体" w:cs="Times New Roman"/>
          <w:color w:val="auto"/>
          <w:kern w:val="0"/>
          <w:sz w:val="24"/>
          <w:szCs w:val="24"/>
          <w:highlight w:val="none"/>
          <w:u w:val="single"/>
        </w:rPr>
        <w:t>双方约定）</w:t>
      </w:r>
      <w:r>
        <w:rPr>
          <w:rFonts w:ascii="Times New Roman" w:hAnsi="Times New Roman" w:eastAsia="宋体" w:cs="Times New Roman"/>
          <w:color w:val="auto"/>
          <w:kern w:val="0"/>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40B49112">
      <w:pPr>
        <w:spacing w:line="400" w:lineRule="exact"/>
        <w:ind w:firstLine="480" w:firstLineChars="200"/>
        <w:jc w:val="left"/>
        <w:rPr>
          <w:rFonts w:ascii="Times New Roman" w:hAnsi="Times New Roman" w:eastAsia="宋体" w:cs="Times New Roman"/>
          <w:color w:val="auto"/>
          <w:kern w:val="0"/>
          <w:sz w:val="24"/>
          <w:szCs w:val="24"/>
          <w:highlight w:val="none"/>
          <w:u w:val="single"/>
        </w:rPr>
      </w:pPr>
      <w:r>
        <w:rPr>
          <w:rFonts w:hint="eastAsia" w:ascii="Times New Roman" w:hAnsi="宋体" w:eastAsia="宋体" w:cs="宋体"/>
          <w:color w:val="auto"/>
          <w:kern w:val="0"/>
          <w:sz w:val="24"/>
          <w:szCs w:val="24"/>
          <w:highlight w:val="none"/>
        </w:rPr>
        <w:t>（</w:t>
      </w:r>
      <w:r>
        <w:rPr>
          <w:rFonts w:ascii="Times New Roman" w:hAnsi="Times New Roman" w:eastAsia="宋体" w:cs="Times New Roman"/>
          <w:color w:val="auto"/>
          <w:kern w:val="0"/>
          <w:sz w:val="24"/>
          <w:szCs w:val="24"/>
          <w:highlight w:val="none"/>
        </w:rPr>
        <w:t>5</w:t>
      </w:r>
      <w:r>
        <w:rPr>
          <w:rFonts w:hint="eastAsia" w:ascii="Times New Roman" w:hAnsi="宋体" w:eastAsia="宋体" w:cs="宋体"/>
          <w:color w:val="auto"/>
          <w:kern w:val="0"/>
          <w:sz w:val="24"/>
          <w:szCs w:val="24"/>
          <w:highlight w:val="none"/>
        </w:rPr>
        <w:t>）因发包人违反合同约定造成暂停施工的违约责任：</w:t>
      </w:r>
      <w:r>
        <w:rPr>
          <w:rFonts w:ascii="Times New Roman" w:hAnsi="Times New Roman" w:eastAsia="宋体" w:cs="Times New Roman"/>
          <w:color w:val="auto"/>
          <w:kern w:val="0"/>
          <w:sz w:val="24"/>
          <w:szCs w:val="24"/>
          <w:highlight w:val="none"/>
          <w:u w:val="single"/>
        </w:rPr>
        <w:t xml:space="preserve">       </w:t>
      </w:r>
      <w:r>
        <w:rPr>
          <w:rFonts w:hint="eastAsia" w:ascii="宋体" w:hAnsi="Courier New" w:eastAsia="宋体" w:cs="Times New Roman"/>
          <w:color w:val="auto"/>
          <w:kern w:val="0"/>
          <w:sz w:val="24"/>
          <w:szCs w:val="24"/>
          <w:highlight w:val="none"/>
          <w:u w:val="single"/>
        </w:rPr>
        <w:t>（</w:t>
      </w:r>
      <w:r>
        <w:rPr>
          <w:rFonts w:ascii="宋体" w:hAnsi="Courier New" w:eastAsia="宋体" w:cs="Times New Roman"/>
          <w:color w:val="auto"/>
          <w:kern w:val="0"/>
          <w:sz w:val="24"/>
          <w:szCs w:val="24"/>
          <w:highlight w:val="none"/>
          <w:u w:val="single"/>
        </w:rPr>
        <w:t xml:space="preserve"> </w:t>
      </w:r>
      <w:r>
        <w:rPr>
          <w:rFonts w:hint="eastAsia" w:ascii="宋体" w:hAnsi="Courier New" w:eastAsia="宋体" w:cs="Times New Roman"/>
          <w:color w:val="auto"/>
          <w:kern w:val="0"/>
          <w:sz w:val="24"/>
          <w:szCs w:val="24"/>
          <w:highlight w:val="none"/>
          <w:u w:val="single"/>
        </w:rPr>
        <w:t>双方约定）</w:t>
      </w:r>
      <w:r>
        <w:rPr>
          <w:rFonts w:ascii="Times New Roman" w:hAnsi="Times New Roman" w:eastAsia="宋体" w:cs="Times New Roman"/>
          <w:color w:val="auto"/>
          <w:kern w:val="0"/>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0668D0D3">
      <w:pPr>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w:t>
      </w:r>
      <w:r>
        <w:rPr>
          <w:rFonts w:ascii="Times New Roman" w:hAnsi="Times New Roman" w:eastAsia="宋体" w:cs="Times New Roman"/>
          <w:color w:val="auto"/>
          <w:kern w:val="0"/>
          <w:sz w:val="24"/>
          <w:szCs w:val="24"/>
          <w:highlight w:val="none"/>
        </w:rPr>
        <w:t>6</w:t>
      </w:r>
      <w:r>
        <w:rPr>
          <w:rFonts w:hint="eastAsia" w:ascii="Times New Roman" w:hAnsi="宋体" w:eastAsia="宋体" w:cs="宋体"/>
          <w:color w:val="auto"/>
          <w:kern w:val="0"/>
          <w:sz w:val="24"/>
          <w:szCs w:val="24"/>
          <w:highlight w:val="none"/>
        </w:rPr>
        <w:t>）发包人无正当理由没有在约定期限内发出复工指示，导致承包人无法复工的违约责任：</w:t>
      </w:r>
      <w:r>
        <w:rPr>
          <w:rFonts w:ascii="Times New Roman" w:hAnsi="Times New Roman" w:eastAsia="宋体" w:cs="Times New Roman"/>
          <w:color w:val="auto"/>
          <w:kern w:val="0"/>
          <w:sz w:val="24"/>
          <w:szCs w:val="24"/>
          <w:highlight w:val="none"/>
          <w:u w:val="single"/>
        </w:rPr>
        <w:t xml:space="preserve">                </w:t>
      </w:r>
      <w:r>
        <w:rPr>
          <w:rFonts w:hint="eastAsia" w:ascii="宋体" w:hAnsi="Courier New" w:eastAsia="宋体" w:cs="Times New Roman"/>
          <w:color w:val="auto"/>
          <w:kern w:val="0"/>
          <w:sz w:val="24"/>
          <w:szCs w:val="24"/>
          <w:highlight w:val="none"/>
          <w:u w:val="single"/>
        </w:rPr>
        <w:t>（</w:t>
      </w:r>
      <w:r>
        <w:rPr>
          <w:rFonts w:ascii="宋体" w:hAnsi="Courier New" w:eastAsia="宋体" w:cs="Times New Roman"/>
          <w:color w:val="auto"/>
          <w:kern w:val="0"/>
          <w:sz w:val="24"/>
          <w:szCs w:val="24"/>
          <w:highlight w:val="none"/>
          <w:u w:val="single"/>
        </w:rPr>
        <w:t xml:space="preserve"> </w:t>
      </w:r>
      <w:r>
        <w:rPr>
          <w:rFonts w:hint="eastAsia" w:ascii="宋体" w:hAnsi="Courier New" w:eastAsia="宋体" w:cs="Times New Roman"/>
          <w:color w:val="auto"/>
          <w:kern w:val="0"/>
          <w:sz w:val="24"/>
          <w:szCs w:val="24"/>
          <w:highlight w:val="none"/>
          <w:u w:val="single"/>
        </w:rPr>
        <w:t>双方约定）</w:t>
      </w:r>
      <w:r>
        <w:rPr>
          <w:rFonts w:ascii="Times New Roman" w:hAnsi="Times New Roman" w:eastAsia="宋体" w:cs="Times New Roman"/>
          <w:color w:val="auto"/>
          <w:kern w:val="0"/>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5A8083B5">
      <w:pPr>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w:t>
      </w:r>
      <w:r>
        <w:rPr>
          <w:rFonts w:ascii="Times New Roman" w:hAnsi="Times New Roman" w:eastAsia="宋体" w:cs="Times New Roman"/>
          <w:color w:val="auto"/>
          <w:kern w:val="0"/>
          <w:sz w:val="24"/>
          <w:szCs w:val="24"/>
          <w:highlight w:val="none"/>
        </w:rPr>
        <w:t>7</w:t>
      </w:r>
      <w:r>
        <w:rPr>
          <w:rFonts w:hint="eastAsia" w:ascii="Times New Roman" w:hAnsi="宋体" w:eastAsia="宋体" w:cs="宋体"/>
          <w:color w:val="auto"/>
          <w:kern w:val="0"/>
          <w:sz w:val="24"/>
          <w:szCs w:val="24"/>
          <w:highlight w:val="none"/>
        </w:rPr>
        <w:t>）其他：</w:t>
      </w:r>
      <w:r>
        <w:rPr>
          <w:rFonts w:ascii="Times New Roman" w:hAnsi="Times New Roman" w:eastAsia="宋体" w:cs="Times New Roman"/>
          <w:color w:val="auto"/>
          <w:kern w:val="0"/>
          <w:sz w:val="24"/>
          <w:szCs w:val="24"/>
          <w:highlight w:val="none"/>
          <w:u w:val="single"/>
        </w:rPr>
        <w:t xml:space="preserve">                 </w:t>
      </w:r>
      <w:r>
        <w:rPr>
          <w:rFonts w:hint="eastAsia" w:ascii="Times New Roman" w:hAnsi="Times New Roman" w:eastAsia="宋体" w:cs="Times New Roman"/>
          <w:color w:val="auto"/>
          <w:kern w:val="0"/>
          <w:sz w:val="24"/>
          <w:szCs w:val="24"/>
          <w:highlight w:val="none"/>
          <w:u w:val="single"/>
        </w:rPr>
        <w:t>无</w:t>
      </w:r>
      <w:r>
        <w:rPr>
          <w:rFonts w:ascii="Times New Roman" w:hAnsi="Times New Roman" w:eastAsia="宋体" w:cs="Times New Roman"/>
          <w:color w:val="auto"/>
          <w:kern w:val="0"/>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28730AAC">
      <w:pPr>
        <w:spacing w:line="400" w:lineRule="exact"/>
        <w:ind w:firstLine="480" w:firstLineChars="2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16.1.3 </w:t>
      </w:r>
      <w:r>
        <w:rPr>
          <w:rFonts w:hint="eastAsia" w:ascii="Times New Roman" w:hAnsi="宋体" w:eastAsia="宋体" w:cs="宋体"/>
          <w:color w:val="auto"/>
          <w:sz w:val="24"/>
          <w:szCs w:val="24"/>
          <w:highlight w:val="none"/>
        </w:rPr>
        <w:t>因发包人违约解除合同</w:t>
      </w:r>
    </w:p>
    <w:p w14:paraId="51D07FC1">
      <w:pPr>
        <w:autoSpaceDE w:val="0"/>
        <w:autoSpaceDN w:val="0"/>
        <w:adjustRightInd w:val="0"/>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kern w:val="0"/>
          <w:sz w:val="24"/>
          <w:szCs w:val="24"/>
          <w:highlight w:val="none"/>
        </w:rPr>
        <w:t>承包人按</w:t>
      </w:r>
      <w:r>
        <w:rPr>
          <w:rFonts w:ascii="Times New Roman" w:hAnsi="Times New Roman" w:eastAsia="宋体" w:cs="Times New Roman"/>
          <w:color w:val="auto"/>
          <w:kern w:val="0"/>
          <w:sz w:val="24"/>
          <w:szCs w:val="24"/>
          <w:highlight w:val="none"/>
        </w:rPr>
        <w:t>16.1.1</w:t>
      </w:r>
      <w:r>
        <w:rPr>
          <w:rFonts w:hint="eastAsia" w:ascii="Times New Roman" w:hAnsi="宋体" w:eastAsia="宋体" w:cs="宋体"/>
          <w:color w:val="auto"/>
          <w:kern w:val="0"/>
          <w:sz w:val="24"/>
          <w:szCs w:val="24"/>
          <w:highlight w:val="none"/>
        </w:rPr>
        <w:t>项〔发包人违约的情形〕约定暂停施工满</w:t>
      </w:r>
      <w:r>
        <w:rPr>
          <w:rFonts w:hint="eastAsia" w:ascii="Times New Roman" w:hAnsi="宋体" w:eastAsia="宋体" w:cs="宋体"/>
          <w:color w:val="auto"/>
          <w:kern w:val="0"/>
          <w:sz w:val="24"/>
          <w:szCs w:val="24"/>
          <w:highlight w:val="none"/>
          <w:u w:val="single"/>
        </w:rPr>
        <w:t xml:space="preserve"> </w:t>
      </w:r>
      <w:r>
        <w:rPr>
          <w:rFonts w:hint="eastAsia" w:ascii="宋体" w:hAnsi="Courier New" w:eastAsia="宋体" w:cs="Times New Roman"/>
          <w:color w:val="auto"/>
          <w:kern w:val="0"/>
          <w:sz w:val="24"/>
          <w:szCs w:val="24"/>
          <w:highlight w:val="none"/>
          <w:u w:val="single"/>
        </w:rPr>
        <w:t xml:space="preserve">28 </w:t>
      </w:r>
      <w:r>
        <w:rPr>
          <w:rFonts w:hint="eastAsia" w:ascii="Times New Roman" w:hAnsi="宋体" w:eastAsia="宋体" w:cs="宋体"/>
          <w:color w:val="auto"/>
          <w:kern w:val="0"/>
          <w:sz w:val="24"/>
          <w:szCs w:val="24"/>
          <w:highlight w:val="none"/>
        </w:rPr>
        <w:t>天后发包人仍不纠正其违约行为并致使合同目的不能实现的，承包人有权解除合同。</w:t>
      </w:r>
    </w:p>
    <w:p w14:paraId="69BA0CE0">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1007" w:name="_Toc373227768"/>
      <w:bookmarkStart w:id="1008" w:name="_Toc373478415"/>
      <w:bookmarkStart w:id="1009" w:name="_Toc389065333"/>
      <w:bookmarkStart w:id="1010" w:name="_Toc407135271"/>
      <w:bookmarkStart w:id="1011" w:name="_Toc9850599"/>
      <w:r>
        <w:rPr>
          <w:rFonts w:ascii="Times New Roman" w:hAnsi="Times New Roman" w:eastAsia="黑体" w:cs="Times New Roman"/>
          <w:b/>
          <w:bCs/>
          <w:color w:val="auto"/>
          <w:sz w:val="24"/>
          <w:szCs w:val="24"/>
          <w:highlight w:val="none"/>
          <w:lang w:val="zh-CN"/>
        </w:rPr>
        <w:t xml:space="preserve">16.2 </w:t>
      </w:r>
      <w:r>
        <w:rPr>
          <w:rFonts w:hint="eastAsia" w:ascii="Times New Roman" w:hAnsi="宋体" w:eastAsia="黑体" w:cs="黑体"/>
          <w:b/>
          <w:bCs/>
          <w:color w:val="auto"/>
          <w:sz w:val="24"/>
          <w:szCs w:val="24"/>
          <w:highlight w:val="none"/>
          <w:lang w:val="zh-CN"/>
        </w:rPr>
        <w:t>承包人违约</w:t>
      </w:r>
      <w:bookmarkEnd w:id="1007"/>
      <w:bookmarkEnd w:id="1008"/>
      <w:bookmarkEnd w:id="1009"/>
      <w:bookmarkEnd w:id="1010"/>
      <w:bookmarkEnd w:id="1011"/>
    </w:p>
    <w:p w14:paraId="71D56342">
      <w:pPr>
        <w:spacing w:line="360" w:lineRule="auto"/>
        <w:ind w:firstLine="480" w:firstLineChars="200"/>
        <w:rPr>
          <w:rFonts w:hint="eastAsia" w:ascii="宋体" w:hAnsi="宋体" w:eastAsia="宋体" w:cs="宋体"/>
          <w:color w:val="auto"/>
          <w:sz w:val="24"/>
          <w:szCs w:val="24"/>
          <w:highlight w:val="none"/>
        </w:rPr>
      </w:pPr>
      <w:bookmarkStart w:id="1012" w:name="_Toc389065334"/>
      <w:bookmarkStart w:id="1013" w:name="_Toc373478416"/>
      <w:bookmarkStart w:id="1014" w:name="_Toc9850600"/>
      <w:bookmarkStart w:id="1015" w:name="_Toc351203649"/>
      <w:bookmarkStart w:id="1016" w:name="_Toc373227769"/>
      <w:bookmarkStart w:id="1017" w:name="_Toc407135272"/>
      <w:r>
        <w:rPr>
          <w:rFonts w:hint="eastAsia" w:ascii="宋体" w:hAnsi="宋体" w:eastAsia="宋体" w:cs="宋体"/>
          <w:color w:val="auto"/>
          <w:sz w:val="24"/>
          <w:szCs w:val="24"/>
          <w:highlight w:val="none"/>
        </w:rPr>
        <w:t>16.2.1 承包人违约的情形</w:t>
      </w:r>
    </w:p>
    <w:p w14:paraId="4159FEF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违约的其他情形：除通用合同条款约定外，还包括：（1）项目经理、主要管理人员未按合同约定在岗履职，擅自离岗或擅自更换；（2）不执行监理人、发包人合理指令，拒不整改质量、安全隐患；（3）未落实农民工工资专户管理，发生农民工讨薪、上访事件；（4）转包、违法分包工程。</w:t>
      </w:r>
    </w:p>
    <w:p w14:paraId="5023414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16.2.2 承包人违约的责任：除按通用合同条款执行外，承包人发生上述 16.2.1 其他违约情形，应按本合同专用条款相关约定承担违约金，同时赔偿由此给发包人造成全部实际损失（含第三方索赔、行政处罚、鉴定费、律师费等）。违约金不足以弥补损失的，承包人应予补足。</w:t>
      </w:r>
    </w:p>
    <w:p w14:paraId="0EB0B2A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16.2.3 因承包人违约解除合同:</w:t>
      </w:r>
    </w:p>
    <w:p w14:paraId="14B427D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关于承包人违约解除合同的特别约定： 承包人发生转包、违法分包、拒不整改重大安全质量隐患、擅自停工超过 14 天等严重违约行为，发包人有权单方解除合同，解除通知送达承包人即生效，承包人应按合同约定承担违约责任。</w:t>
      </w:r>
    </w:p>
    <w:p w14:paraId="4F3F0EC7">
      <w:pPr>
        <w:keepNext/>
        <w:keepLines/>
        <w:spacing w:before="60" w:after="60" w:line="400" w:lineRule="exact"/>
        <w:ind w:firstLine="480" w:firstLineChars="200"/>
        <w:outlineLvl w:val="1"/>
        <w:rPr>
          <w:rFonts w:ascii="Arial" w:hAnsi="Arial" w:eastAsia="黑体" w:cs="Times New Roman"/>
          <w:b/>
          <w:bCs/>
          <w:color w:val="auto"/>
          <w:sz w:val="24"/>
          <w:szCs w:val="24"/>
          <w:highlight w:val="none"/>
          <w:lang w:val="zh-CN"/>
        </w:rPr>
      </w:pPr>
      <w:r>
        <w:rPr>
          <w:rFonts w:hint="eastAsia" w:ascii="宋体" w:hAnsi="宋体" w:eastAsia="宋体" w:cs="宋体"/>
          <w:color w:val="auto"/>
          <w:sz w:val="24"/>
          <w:szCs w:val="24"/>
          <w:highlight w:val="none"/>
        </w:rPr>
        <w:t>发包人继续使用承包人在施工现场的材料、设备、临时工程、承包人文件和由承包人或以其名义编制的其他文件的费用承担方式：发包人有权选择是否继续使用；予以使用的，按已标价工程量清单价格或市场公允价格结算，相应价款从应付承包人工程款中直接抵扣；双方存在争议的，共同委托具备相应资质的造价咨询机构进行审定，审定结果作为双方结算依据。不予继续使用的，由承包人在发包人指定期限内自行清运出场，相关费用由承包人承担，逾期未清运，发包人有权处置，产生费用由承包人承担。</w:t>
      </w:r>
    </w:p>
    <w:p w14:paraId="779B2112">
      <w:pPr>
        <w:keepNext/>
        <w:keepLines/>
        <w:spacing w:before="60" w:after="60" w:line="400" w:lineRule="exact"/>
        <w:outlineLvl w:val="1"/>
        <w:rPr>
          <w:rFonts w:ascii="Arial" w:hAnsi="Arial" w:eastAsia="黑体" w:cs="Times New Roman"/>
          <w:b/>
          <w:bCs/>
          <w:color w:val="auto"/>
          <w:sz w:val="24"/>
          <w:szCs w:val="24"/>
          <w:highlight w:val="none"/>
          <w:lang w:val="zh-CN"/>
        </w:rPr>
      </w:pPr>
      <w:r>
        <w:rPr>
          <w:rFonts w:ascii="Arial" w:hAnsi="Arial" w:eastAsia="黑体" w:cs="Times New Roman"/>
          <w:b/>
          <w:bCs/>
          <w:color w:val="auto"/>
          <w:sz w:val="24"/>
          <w:szCs w:val="24"/>
          <w:highlight w:val="none"/>
          <w:lang w:val="zh-CN"/>
        </w:rPr>
        <w:t xml:space="preserve">17. </w:t>
      </w:r>
      <w:r>
        <w:rPr>
          <w:rFonts w:hint="eastAsia" w:ascii="Arial" w:hAnsi="宋体" w:eastAsia="黑体" w:cs="黑体"/>
          <w:b/>
          <w:bCs/>
          <w:color w:val="auto"/>
          <w:sz w:val="24"/>
          <w:szCs w:val="24"/>
          <w:highlight w:val="none"/>
          <w:lang w:val="zh-CN"/>
        </w:rPr>
        <w:t>不可抗力</w:t>
      </w:r>
      <w:bookmarkEnd w:id="1012"/>
      <w:bookmarkEnd w:id="1013"/>
      <w:bookmarkEnd w:id="1014"/>
      <w:bookmarkEnd w:id="1015"/>
      <w:bookmarkEnd w:id="1016"/>
      <w:bookmarkEnd w:id="1017"/>
      <w:r>
        <w:rPr>
          <w:rFonts w:ascii="Arial" w:hAnsi="Arial" w:eastAsia="黑体" w:cs="Times New Roman"/>
          <w:b/>
          <w:bCs/>
          <w:color w:val="auto"/>
          <w:sz w:val="24"/>
          <w:szCs w:val="24"/>
          <w:highlight w:val="none"/>
          <w:lang w:val="zh-CN"/>
        </w:rPr>
        <w:t xml:space="preserve"> </w:t>
      </w:r>
      <w:bookmarkEnd w:id="999"/>
    </w:p>
    <w:p w14:paraId="12008B68">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1018" w:name="_Toc373227770"/>
      <w:bookmarkStart w:id="1019" w:name="_Toc407135273"/>
      <w:bookmarkStart w:id="1020" w:name="_Toc389065335"/>
      <w:bookmarkStart w:id="1021" w:name="_Toc9850601"/>
      <w:bookmarkStart w:id="1022" w:name="_Toc373478417"/>
      <w:r>
        <w:rPr>
          <w:rFonts w:ascii="Times New Roman" w:hAnsi="Times New Roman" w:eastAsia="黑体" w:cs="Times New Roman"/>
          <w:b/>
          <w:bCs/>
          <w:color w:val="auto"/>
          <w:sz w:val="24"/>
          <w:szCs w:val="24"/>
          <w:highlight w:val="none"/>
          <w:lang w:val="zh-CN"/>
        </w:rPr>
        <w:t xml:space="preserve">17.1 </w:t>
      </w:r>
      <w:r>
        <w:rPr>
          <w:rFonts w:hint="eastAsia" w:ascii="Times New Roman" w:hAnsi="Times New Roman" w:eastAsia="黑体" w:cs="黑体"/>
          <w:b/>
          <w:bCs/>
          <w:color w:val="auto"/>
          <w:sz w:val="24"/>
          <w:szCs w:val="24"/>
          <w:highlight w:val="none"/>
          <w:lang w:val="zh-CN"/>
        </w:rPr>
        <w:t>不可抗力的确认</w:t>
      </w:r>
      <w:bookmarkEnd w:id="1018"/>
      <w:bookmarkEnd w:id="1019"/>
      <w:bookmarkEnd w:id="1020"/>
      <w:bookmarkEnd w:id="1021"/>
      <w:bookmarkEnd w:id="1022"/>
    </w:p>
    <w:p w14:paraId="46EC0D9A">
      <w:pPr>
        <w:spacing w:line="400" w:lineRule="exact"/>
        <w:ind w:firstLine="480" w:firstLineChars="200"/>
        <w:jc w:val="left"/>
        <w:rPr>
          <w:rFonts w:hint="eastAsia" w:ascii="Times New Roman" w:hAnsi="宋体" w:eastAsia="宋体" w:cs="宋体"/>
          <w:color w:val="auto"/>
          <w:sz w:val="24"/>
          <w:szCs w:val="24"/>
          <w:highlight w:val="none"/>
        </w:rPr>
      </w:pPr>
      <w:r>
        <w:rPr>
          <w:rFonts w:hint="eastAsia" w:ascii="Times New Roman" w:hAnsi="宋体" w:eastAsia="宋体" w:cs="宋体"/>
          <w:color w:val="auto"/>
          <w:sz w:val="24"/>
          <w:szCs w:val="24"/>
          <w:highlight w:val="none"/>
        </w:rPr>
        <w:t>除通用合同条款约定的不可抗力事件之外，视为不可抗力的其他情形：</w:t>
      </w:r>
    </w:p>
    <w:p w14:paraId="598C654B">
      <w:pPr>
        <w:spacing w:line="400" w:lineRule="exact"/>
        <w:ind w:firstLine="480" w:firstLineChars="200"/>
        <w:jc w:val="left"/>
        <w:rPr>
          <w:rFonts w:ascii="Times New Roman" w:hAnsi="Times New Roman" w:eastAsia="宋体" w:cs="Times New Roman"/>
          <w:color w:val="auto"/>
          <w:kern w:val="0"/>
          <w:sz w:val="24"/>
          <w:szCs w:val="24"/>
          <w:highlight w:val="none"/>
          <w:u w:val="single"/>
        </w:rPr>
      </w:pPr>
      <w:r>
        <w:rPr>
          <w:rFonts w:hint="eastAsia" w:ascii="Times New Roman" w:hAnsi="Times New Roman" w:eastAsia="宋体" w:cs="Times New Roman"/>
          <w:color w:val="auto"/>
          <w:kern w:val="0"/>
          <w:sz w:val="24"/>
          <w:szCs w:val="24"/>
          <w:highlight w:val="none"/>
          <w:u w:val="single"/>
        </w:rPr>
        <w:t>（1）发生烈度6级（含6级）以上的地震；</w:t>
      </w:r>
    </w:p>
    <w:p w14:paraId="5216A2C8">
      <w:pPr>
        <w:spacing w:line="400" w:lineRule="exact"/>
        <w:ind w:firstLine="480" w:firstLineChars="200"/>
        <w:jc w:val="left"/>
        <w:rPr>
          <w:rFonts w:ascii="Times New Roman" w:hAnsi="Times New Roman" w:eastAsia="宋体" w:cs="Times New Roman"/>
          <w:color w:val="auto"/>
          <w:kern w:val="0"/>
          <w:sz w:val="24"/>
          <w:szCs w:val="24"/>
          <w:highlight w:val="none"/>
          <w:u w:val="single"/>
        </w:rPr>
      </w:pPr>
      <w:r>
        <w:rPr>
          <w:rFonts w:hint="eastAsia" w:ascii="Times New Roman" w:hAnsi="Times New Roman" w:eastAsia="宋体" w:cs="Times New Roman"/>
          <w:color w:val="auto"/>
          <w:kern w:val="0"/>
          <w:sz w:val="24"/>
          <w:szCs w:val="24"/>
          <w:highlight w:val="none"/>
          <w:u w:val="single"/>
        </w:rPr>
        <w:t>（2）10级以上持续1天的大风；</w:t>
      </w:r>
    </w:p>
    <w:p w14:paraId="458F2C52">
      <w:pPr>
        <w:spacing w:line="400" w:lineRule="exact"/>
        <w:ind w:firstLine="480" w:firstLineChars="200"/>
        <w:jc w:val="left"/>
        <w:rPr>
          <w:rFonts w:ascii="Times New Roman" w:hAnsi="Times New Roman" w:eastAsia="宋体" w:cs="Times New Roman"/>
          <w:color w:val="auto"/>
          <w:kern w:val="0"/>
          <w:sz w:val="24"/>
          <w:szCs w:val="24"/>
          <w:highlight w:val="none"/>
          <w:u w:val="single"/>
        </w:rPr>
      </w:pPr>
      <w:r>
        <w:rPr>
          <w:rFonts w:hint="eastAsia" w:ascii="Times New Roman" w:hAnsi="Times New Roman" w:eastAsia="宋体" w:cs="Times New Roman"/>
          <w:color w:val="auto"/>
          <w:kern w:val="0"/>
          <w:sz w:val="24"/>
          <w:szCs w:val="24"/>
          <w:highlight w:val="none"/>
          <w:u w:val="single"/>
        </w:rPr>
        <w:t>（3）暴雨级以上持续1天的大雨；</w:t>
      </w:r>
    </w:p>
    <w:p w14:paraId="438DC1CC">
      <w:pPr>
        <w:spacing w:line="400" w:lineRule="exact"/>
        <w:ind w:firstLine="480" w:firstLineChars="200"/>
        <w:jc w:val="left"/>
        <w:rPr>
          <w:rFonts w:ascii="Times New Roman" w:hAnsi="Times New Roman" w:eastAsia="宋体" w:cs="Times New Roman"/>
          <w:color w:val="auto"/>
          <w:kern w:val="0"/>
          <w:sz w:val="24"/>
          <w:szCs w:val="24"/>
          <w:highlight w:val="none"/>
          <w:u w:val="single"/>
        </w:rPr>
      </w:pPr>
      <w:r>
        <w:rPr>
          <w:rFonts w:hint="eastAsia" w:ascii="Times New Roman" w:hAnsi="Times New Roman" w:eastAsia="宋体" w:cs="Times New Roman"/>
          <w:color w:val="auto"/>
          <w:kern w:val="0"/>
          <w:sz w:val="24"/>
          <w:szCs w:val="24"/>
          <w:highlight w:val="none"/>
          <w:u w:val="single"/>
        </w:rPr>
        <w:t>（4）50年以上未发生过，持续2天的高温（40℃）天气；</w:t>
      </w:r>
    </w:p>
    <w:p w14:paraId="0F1DABCC">
      <w:pPr>
        <w:spacing w:line="400" w:lineRule="exact"/>
        <w:ind w:firstLine="480" w:firstLineChars="200"/>
        <w:jc w:val="left"/>
        <w:rPr>
          <w:rFonts w:ascii="Times New Roman" w:hAnsi="Times New Roman" w:eastAsia="宋体" w:cs="Times New Roman"/>
          <w:color w:val="auto"/>
          <w:kern w:val="0"/>
          <w:sz w:val="24"/>
          <w:szCs w:val="24"/>
          <w:highlight w:val="none"/>
          <w:u w:val="single"/>
        </w:rPr>
      </w:pPr>
      <w:r>
        <w:rPr>
          <w:rFonts w:hint="eastAsia" w:ascii="Times New Roman" w:hAnsi="Times New Roman" w:eastAsia="宋体" w:cs="Times New Roman"/>
          <w:color w:val="auto"/>
          <w:kern w:val="0"/>
          <w:sz w:val="24"/>
          <w:szCs w:val="24"/>
          <w:highlight w:val="none"/>
          <w:u w:val="single"/>
        </w:rPr>
        <w:t>（5）50年以上未发生过，持续2天的低温天气；</w:t>
      </w:r>
    </w:p>
    <w:p w14:paraId="797A069E">
      <w:pPr>
        <w:spacing w:line="400" w:lineRule="exact"/>
        <w:ind w:firstLine="480" w:firstLineChars="200"/>
        <w:jc w:val="left"/>
        <w:rPr>
          <w:rFonts w:ascii="Times New Roman" w:hAnsi="Times New Roman" w:eastAsia="宋体" w:cs="Times New Roman"/>
          <w:color w:val="auto"/>
          <w:kern w:val="0"/>
          <w:sz w:val="24"/>
          <w:szCs w:val="24"/>
          <w:highlight w:val="none"/>
          <w:u w:val="single"/>
        </w:rPr>
      </w:pPr>
      <w:r>
        <w:rPr>
          <w:rFonts w:hint="eastAsia" w:ascii="Times New Roman" w:hAnsi="Times New Roman" w:eastAsia="宋体" w:cs="Times New Roman"/>
          <w:color w:val="auto"/>
          <w:kern w:val="0"/>
          <w:sz w:val="24"/>
          <w:szCs w:val="24"/>
          <w:highlight w:val="none"/>
          <w:u w:val="single"/>
        </w:rPr>
        <w:t>（6）100年以上未发生过的洪水；</w:t>
      </w:r>
    </w:p>
    <w:p w14:paraId="1D8C18A7">
      <w:pPr>
        <w:spacing w:line="400" w:lineRule="exact"/>
        <w:ind w:firstLine="480" w:firstLineChars="200"/>
        <w:jc w:val="left"/>
        <w:rPr>
          <w:rFonts w:ascii="Times New Roman" w:hAnsi="Times New Roman" w:eastAsia="宋体" w:cs="Times New Roman"/>
          <w:color w:val="auto"/>
          <w:kern w:val="0"/>
          <w:sz w:val="24"/>
          <w:szCs w:val="24"/>
          <w:highlight w:val="none"/>
          <w:u w:val="single"/>
        </w:rPr>
      </w:pPr>
      <w:r>
        <w:rPr>
          <w:rFonts w:hint="eastAsia" w:ascii="Times New Roman" w:hAnsi="Times New Roman" w:eastAsia="宋体" w:cs="Times New Roman"/>
          <w:color w:val="auto"/>
          <w:kern w:val="0"/>
          <w:sz w:val="24"/>
          <w:szCs w:val="24"/>
          <w:highlight w:val="none"/>
          <w:u w:val="single"/>
        </w:rPr>
        <w:t>（7）战争、恐怖主义、动乱、空中飞行物体坠落；</w:t>
      </w:r>
    </w:p>
    <w:p w14:paraId="3CFF817F">
      <w:pPr>
        <w:spacing w:line="400" w:lineRule="exact"/>
        <w:ind w:firstLine="480" w:firstLineChars="200"/>
        <w:jc w:val="left"/>
        <w:rPr>
          <w:rFonts w:ascii="Times New Roman" w:hAnsi="Times New Roman" w:eastAsia="宋体" w:cs="Times New Roman"/>
          <w:color w:val="auto"/>
          <w:kern w:val="0"/>
          <w:sz w:val="24"/>
          <w:szCs w:val="24"/>
          <w:highlight w:val="none"/>
          <w:u w:val="single"/>
        </w:rPr>
      </w:pPr>
      <w:r>
        <w:rPr>
          <w:rFonts w:hint="eastAsia" w:ascii="Times New Roman" w:hAnsi="Times New Roman" w:eastAsia="宋体" w:cs="Times New Roman"/>
          <w:color w:val="auto"/>
          <w:kern w:val="0"/>
          <w:sz w:val="24"/>
          <w:szCs w:val="24"/>
          <w:highlight w:val="none"/>
          <w:u w:val="single"/>
        </w:rPr>
        <w:t>（8）当地气象部门规定的情况，当地地震部门规定的情况</w:t>
      </w:r>
      <w:r>
        <w:rPr>
          <w:rFonts w:hint="eastAsia" w:ascii="Times New Roman" w:hAnsi="宋体" w:eastAsia="宋体" w:cs="宋体"/>
          <w:color w:val="auto"/>
          <w:kern w:val="0"/>
          <w:sz w:val="24"/>
          <w:szCs w:val="24"/>
          <w:highlight w:val="none"/>
        </w:rPr>
        <w:t>。</w:t>
      </w:r>
    </w:p>
    <w:p w14:paraId="2D6DDAD5">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1023" w:name="_Toc407135274"/>
      <w:bookmarkStart w:id="1024" w:name="_Toc373478418"/>
      <w:bookmarkStart w:id="1025" w:name="_Toc373227771"/>
      <w:bookmarkStart w:id="1026" w:name="_Toc9850602"/>
      <w:bookmarkStart w:id="1027" w:name="_Toc389065336"/>
      <w:r>
        <w:rPr>
          <w:rFonts w:ascii="Times New Roman" w:hAnsi="Times New Roman" w:eastAsia="黑体" w:cs="Times New Roman"/>
          <w:b/>
          <w:bCs/>
          <w:color w:val="auto"/>
          <w:sz w:val="24"/>
          <w:szCs w:val="24"/>
          <w:highlight w:val="none"/>
          <w:lang w:val="zh-CN"/>
        </w:rPr>
        <w:t xml:space="preserve">17.4 </w:t>
      </w:r>
      <w:r>
        <w:rPr>
          <w:rFonts w:hint="eastAsia" w:ascii="Times New Roman" w:hAnsi="Times New Roman" w:eastAsia="黑体" w:cs="黑体"/>
          <w:b/>
          <w:bCs/>
          <w:color w:val="auto"/>
          <w:sz w:val="24"/>
          <w:szCs w:val="24"/>
          <w:highlight w:val="none"/>
          <w:lang w:val="zh-CN"/>
        </w:rPr>
        <w:t>因不可抗力解除合同</w:t>
      </w:r>
      <w:bookmarkEnd w:id="1023"/>
      <w:bookmarkEnd w:id="1024"/>
      <w:bookmarkEnd w:id="1025"/>
      <w:bookmarkEnd w:id="1026"/>
      <w:bookmarkEnd w:id="1027"/>
    </w:p>
    <w:p w14:paraId="21ED5D29">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合同解除后，发包人应在商定或确定发包人应支付款项后</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30</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天内完成款项的支付。</w:t>
      </w:r>
    </w:p>
    <w:p w14:paraId="33366ACA">
      <w:pPr>
        <w:keepNext/>
        <w:keepLines/>
        <w:spacing w:before="60" w:after="60" w:line="400" w:lineRule="exact"/>
        <w:outlineLvl w:val="1"/>
        <w:rPr>
          <w:rFonts w:ascii="Arial" w:hAnsi="Arial" w:eastAsia="黑体" w:cs="Times New Roman"/>
          <w:b/>
          <w:bCs/>
          <w:color w:val="auto"/>
          <w:sz w:val="24"/>
          <w:szCs w:val="24"/>
          <w:highlight w:val="none"/>
          <w:lang w:val="zh-CN"/>
        </w:rPr>
      </w:pPr>
      <w:bookmarkStart w:id="1028" w:name="_Toc373478419"/>
      <w:bookmarkStart w:id="1029" w:name="_Toc373227772"/>
      <w:bookmarkStart w:id="1030" w:name="_Toc351203650"/>
      <w:bookmarkStart w:id="1031" w:name="_Toc389065337"/>
      <w:bookmarkStart w:id="1032" w:name="_Toc9850603"/>
      <w:bookmarkStart w:id="1033" w:name="_Toc407135275"/>
      <w:r>
        <w:rPr>
          <w:rFonts w:ascii="Arial" w:hAnsi="Arial" w:eastAsia="黑体" w:cs="Times New Roman"/>
          <w:b/>
          <w:bCs/>
          <w:color w:val="auto"/>
          <w:sz w:val="24"/>
          <w:szCs w:val="24"/>
          <w:highlight w:val="none"/>
          <w:lang w:val="zh-CN"/>
        </w:rPr>
        <w:t xml:space="preserve">18. </w:t>
      </w:r>
      <w:r>
        <w:rPr>
          <w:rFonts w:hint="eastAsia" w:ascii="Arial" w:hAnsi="宋体" w:eastAsia="黑体" w:cs="黑体"/>
          <w:b/>
          <w:bCs/>
          <w:color w:val="auto"/>
          <w:sz w:val="24"/>
          <w:szCs w:val="24"/>
          <w:highlight w:val="none"/>
          <w:lang w:val="zh-CN"/>
        </w:rPr>
        <w:t>保险</w:t>
      </w:r>
      <w:bookmarkEnd w:id="1028"/>
      <w:bookmarkEnd w:id="1029"/>
      <w:bookmarkEnd w:id="1030"/>
      <w:bookmarkEnd w:id="1031"/>
      <w:bookmarkEnd w:id="1032"/>
      <w:bookmarkEnd w:id="1033"/>
    </w:p>
    <w:bookmarkEnd w:id="1000"/>
    <w:p w14:paraId="33F285BE">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1034" w:name="_Toc9850604"/>
      <w:bookmarkStart w:id="1035" w:name="_Toc373478420"/>
      <w:bookmarkStart w:id="1036" w:name="_Toc407135276"/>
      <w:bookmarkStart w:id="1037" w:name="_Toc389065338"/>
      <w:bookmarkStart w:id="1038" w:name="_Toc373227773"/>
      <w:r>
        <w:rPr>
          <w:rFonts w:ascii="Times New Roman" w:hAnsi="Times New Roman" w:eastAsia="黑体" w:cs="Times New Roman"/>
          <w:b/>
          <w:bCs/>
          <w:color w:val="auto"/>
          <w:sz w:val="24"/>
          <w:szCs w:val="24"/>
          <w:highlight w:val="none"/>
          <w:lang w:val="zh-CN"/>
        </w:rPr>
        <w:t xml:space="preserve">18.1 </w:t>
      </w:r>
      <w:r>
        <w:rPr>
          <w:rFonts w:hint="eastAsia" w:ascii="Times New Roman" w:hAnsi="宋体" w:eastAsia="黑体" w:cs="黑体"/>
          <w:b/>
          <w:bCs/>
          <w:color w:val="auto"/>
          <w:sz w:val="24"/>
          <w:szCs w:val="24"/>
          <w:highlight w:val="none"/>
          <w:lang w:val="zh-CN"/>
        </w:rPr>
        <w:t>工程保险</w:t>
      </w:r>
      <w:bookmarkEnd w:id="1034"/>
      <w:bookmarkEnd w:id="1035"/>
      <w:bookmarkEnd w:id="1036"/>
      <w:bookmarkEnd w:id="1037"/>
      <w:bookmarkEnd w:id="1038"/>
    </w:p>
    <w:p w14:paraId="31FF079A">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关于工程保险的特别约定：</w:t>
      </w:r>
      <w:r>
        <w:rPr>
          <w:rFonts w:ascii="Times New Roman" w:hAnsi="Times New Roman" w:eastAsia="宋体" w:cs="Times New Roman"/>
          <w:color w:val="auto"/>
          <w:kern w:val="0"/>
          <w:sz w:val="24"/>
          <w:szCs w:val="24"/>
          <w:highlight w:val="none"/>
          <w:u w:val="single"/>
        </w:rPr>
        <w:t xml:space="preserve">         </w:t>
      </w:r>
      <w:r>
        <w:rPr>
          <w:rFonts w:hint="eastAsia" w:ascii="Times New Roman" w:hAnsi="Times New Roman" w:eastAsia="宋体" w:cs="Times New Roman"/>
          <w:color w:val="auto"/>
          <w:kern w:val="0"/>
          <w:sz w:val="24"/>
          <w:szCs w:val="24"/>
          <w:highlight w:val="none"/>
          <w:u w:val="single"/>
        </w:rPr>
        <w:t>无</w:t>
      </w:r>
      <w:r>
        <w:rPr>
          <w:rFonts w:ascii="Times New Roman" w:hAnsi="Times New Roman" w:eastAsia="宋体" w:cs="Times New Roman"/>
          <w:color w:val="auto"/>
          <w:kern w:val="0"/>
          <w:sz w:val="24"/>
          <w:szCs w:val="24"/>
          <w:highlight w:val="none"/>
          <w:u w:val="single"/>
        </w:rPr>
        <w:t xml:space="preserve">               </w:t>
      </w:r>
      <w:r>
        <w:rPr>
          <w:rFonts w:hint="eastAsia" w:ascii="Times New Roman" w:hAnsi="宋体" w:eastAsia="宋体" w:cs="宋体"/>
          <w:color w:val="auto"/>
          <w:kern w:val="0"/>
          <w:sz w:val="24"/>
          <w:szCs w:val="24"/>
          <w:highlight w:val="none"/>
        </w:rPr>
        <w:t>。</w:t>
      </w:r>
    </w:p>
    <w:p w14:paraId="6FCAFC62">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1039" w:name="_Toc373478421"/>
      <w:bookmarkStart w:id="1040" w:name="_Toc407135277"/>
      <w:bookmarkStart w:id="1041" w:name="_Toc9850605"/>
      <w:bookmarkStart w:id="1042" w:name="_Toc389065339"/>
      <w:bookmarkStart w:id="1043" w:name="_Toc373227774"/>
      <w:r>
        <w:rPr>
          <w:rFonts w:ascii="Times New Roman" w:hAnsi="Times New Roman" w:eastAsia="黑体" w:cs="Times New Roman"/>
          <w:b/>
          <w:bCs/>
          <w:color w:val="auto"/>
          <w:sz w:val="24"/>
          <w:szCs w:val="24"/>
          <w:highlight w:val="none"/>
          <w:lang w:val="zh-CN"/>
        </w:rPr>
        <w:t xml:space="preserve">18.3 </w:t>
      </w:r>
      <w:r>
        <w:rPr>
          <w:rFonts w:hint="eastAsia" w:ascii="Times New Roman" w:hAnsi="宋体" w:eastAsia="黑体" w:cs="黑体"/>
          <w:b/>
          <w:bCs/>
          <w:color w:val="auto"/>
          <w:sz w:val="24"/>
          <w:szCs w:val="24"/>
          <w:highlight w:val="none"/>
          <w:lang w:val="zh-CN"/>
        </w:rPr>
        <w:t>其他保险</w:t>
      </w:r>
      <w:bookmarkEnd w:id="1039"/>
      <w:bookmarkEnd w:id="1040"/>
      <w:bookmarkEnd w:id="1041"/>
      <w:bookmarkEnd w:id="1042"/>
      <w:bookmarkEnd w:id="1043"/>
    </w:p>
    <w:p w14:paraId="44DF0D81">
      <w:pPr>
        <w:spacing w:line="400" w:lineRule="exact"/>
        <w:ind w:firstLine="480" w:firstLineChars="200"/>
        <w:jc w:val="left"/>
        <w:rPr>
          <w:rFonts w:ascii="Times New Roman" w:hAnsi="Times New Roman" w:eastAsia="宋体" w:cs="Times New Roman"/>
          <w:color w:val="auto"/>
          <w:kern w:val="0"/>
          <w:sz w:val="24"/>
          <w:szCs w:val="24"/>
          <w:highlight w:val="none"/>
        </w:rPr>
      </w:pPr>
      <w:r>
        <w:rPr>
          <w:rFonts w:hint="eastAsia" w:ascii="Times New Roman" w:hAnsi="宋体" w:eastAsia="宋体" w:cs="宋体"/>
          <w:color w:val="auto"/>
          <w:sz w:val="24"/>
          <w:szCs w:val="24"/>
          <w:highlight w:val="none"/>
        </w:rPr>
        <w:t>关于其他保险的约定：</w:t>
      </w:r>
      <w:r>
        <w:rPr>
          <w:rFonts w:hint="eastAsia" w:ascii="宋体" w:hAnsi="宋体" w:eastAsia="宋体" w:cs="Times New Roman"/>
          <w:bCs/>
          <w:color w:val="auto"/>
          <w:sz w:val="24"/>
          <w:szCs w:val="24"/>
          <w:highlight w:val="none"/>
          <w:u w:val="single"/>
        </w:rPr>
        <w:t>承包人必须为施工现场从事施工的所有作业人员和管理人员办理意外伤害保险，并支付保险费</w:t>
      </w:r>
      <w:r>
        <w:rPr>
          <w:rFonts w:hint="eastAsia" w:ascii="Times New Roman" w:hAnsi="宋体" w:eastAsia="宋体" w:cs="宋体"/>
          <w:color w:val="auto"/>
          <w:sz w:val="24"/>
          <w:szCs w:val="24"/>
          <w:highlight w:val="none"/>
        </w:rPr>
        <w:t>。</w:t>
      </w:r>
    </w:p>
    <w:p w14:paraId="3F2CC5F2">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承包人是否应为其施工设备等办理财产保险：</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7E120CE0">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1044" w:name="_Toc9850606"/>
      <w:bookmarkStart w:id="1045" w:name="_Toc389065340"/>
      <w:bookmarkStart w:id="1046" w:name="_Toc373227775"/>
      <w:bookmarkStart w:id="1047" w:name="_Toc373478422"/>
      <w:bookmarkStart w:id="1048" w:name="_Toc407135278"/>
      <w:r>
        <w:rPr>
          <w:rFonts w:ascii="Times New Roman" w:hAnsi="Times New Roman" w:eastAsia="黑体" w:cs="Times New Roman"/>
          <w:b/>
          <w:bCs/>
          <w:color w:val="auto"/>
          <w:sz w:val="24"/>
          <w:szCs w:val="24"/>
          <w:highlight w:val="none"/>
          <w:lang w:val="zh-CN"/>
        </w:rPr>
        <w:t xml:space="preserve">18.7 </w:t>
      </w:r>
      <w:r>
        <w:rPr>
          <w:rFonts w:hint="eastAsia" w:ascii="Times New Roman" w:hAnsi="宋体" w:eastAsia="黑体" w:cs="黑体"/>
          <w:b/>
          <w:bCs/>
          <w:color w:val="auto"/>
          <w:sz w:val="24"/>
          <w:szCs w:val="24"/>
          <w:highlight w:val="none"/>
          <w:lang w:val="zh-CN"/>
        </w:rPr>
        <w:t>通知义务</w:t>
      </w:r>
      <w:bookmarkEnd w:id="1044"/>
      <w:bookmarkEnd w:id="1045"/>
      <w:bookmarkEnd w:id="1046"/>
      <w:bookmarkEnd w:id="1047"/>
      <w:bookmarkEnd w:id="1048"/>
    </w:p>
    <w:p w14:paraId="1DCB0F92">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kern w:val="0"/>
          <w:sz w:val="24"/>
          <w:szCs w:val="24"/>
          <w:highlight w:val="none"/>
        </w:rPr>
        <w:t>关于变更保险合同时的通知义务的约定：</w:t>
      </w:r>
      <w:r>
        <w:rPr>
          <w:rFonts w:ascii="Times New Roman" w:hAnsi="Times New Roman" w:eastAsia="宋体" w:cs="Times New Roman"/>
          <w:color w:val="auto"/>
          <w:sz w:val="24"/>
          <w:szCs w:val="24"/>
          <w:highlight w:val="none"/>
          <w:u w:val="single"/>
        </w:rPr>
        <w:t xml:space="preserve">  </w:t>
      </w:r>
      <w:r>
        <w:rPr>
          <w:rFonts w:hint="eastAsia" w:ascii="宋体" w:hAnsi="Courier New" w:eastAsia="宋体" w:cs="Times New Roman"/>
          <w:color w:val="auto"/>
          <w:sz w:val="24"/>
          <w:szCs w:val="24"/>
          <w:highlight w:val="none"/>
          <w:u w:val="single"/>
        </w:rPr>
        <w:t>按通用合同条款执行</w:t>
      </w:r>
      <w:r>
        <w:rPr>
          <w:rFonts w:hint="eastAsia" w:ascii="Times New Roman" w:hAnsi="宋体" w:eastAsia="宋体" w:cs="宋体"/>
          <w:color w:val="auto"/>
          <w:sz w:val="24"/>
          <w:szCs w:val="24"/>
          <w:highlight w:val="none"/>
        </w:rPr>
        <w:t>。</w:t>
      </w:r>
    </w:p>
    <w:bookmarkEnd w:id="956"/>
    <w:bookmarkEnd w:id="957"/>
    <w:bookmarkEnd w:id="958"/>
    <w:bookmarkEnd w:id="959"/>
    <w:bookmarkEnd w:id="960"/>
    <w:bookmarkEnd w:id="961"/>
    <w:bookmarkEnd w:id="962"/>
    <w:bookmarkEnd w:id="963"/>
    <w:bookmarkEnd w:id="964"/>
    <w:bookmarkEnd w:id="965"/>
    <w:bookmarkEnd w:id="966"/>
    <w:bookmarkEnd w:id="967"/>
    <w:p w14:paraId="1C690773">
      <w:pPr>
        <w:keepNext/>
        <w:keepLines/>
        <w:spacing w:before="60" w:after="60" w:line="400" w:lineRule="exact"/>
        <w:outlineLvl w:val="1"/>
        <w:rPr>
          <w:rFonts w:ascii="Arial" w:hAnsi="Arial" w:eastAsia="黑体" w:cs="Times New Roman"/>
          <w:b/>
          <w:bCs/>
          <w:color w:val="auto"/>
          <w:sz w:val="24"/>
          <w:szCs w:val="24"/>
          <w:highlight w:val="none"/>
          <w:lang w:val="zh-CN"/>
        </w:rPr>
      </w:pPr>
      <w:bookmarkStart w:id="1049" w:name="_Toc351203651"/>
      <w:bookmarkStart w:id="1050" w:name="_Toc373227776"/>
      <w:bookmarkStart w:id="1051" w:name="_Toc407135279"/>
      <w:bookmarkStart w:id="1052" w:name="_Toc373478423"/>
      <w:bookmarkStart w:id="1053" w:name="_Toc389065341"/>
      <w:bookmarkStart w:id="1054" w:name="_Toc9850607"/>
      <w:r>
        <w:rPr>
          <w:rFonts w:ascii="Arial" w:hAnsi="Arial" w:eastAsia="黑体" w:cs="Times New Roman"/>
          <w:b/>
          <w:bCs/>
          <w:color w:val="auto"/>
          <w:sz w:val="24"/>
          <w:szCs w:val="24"/>
          <w:highlight w:val="none"/>
          <w:lang w:val="zh-CN"/>
        </w:rPr>
        <w:t xml:space="preserve">20. </w:t>
      </w:r>
      <w:r>
        <w:rPr>
          <w:rFonts w:hint="eastAsia" w:ascii="Arial" w:hAnsi="宋体" w:eastAsia="黑体" w:cs="黑体"/>
          <w:b/>
          <w:bCs/>
          <w:color w:val="auto"/>
          <w:sz w:val="24"/>
          <w:szCs w:val="24"/>
          <w:highlight w:val="none"/>
          <w:lang w:val="zh-CN"/>
        </w:rPr>
        <w:t>争议解决</w:t>
      </w:r>
      <w:bookmarkEnd w:id="1049"/>
      <w:bookmarkEnd w:id="1050"/>
      <w:bookmarkEnd w:id="1051"/>
      <w:bookmarkEnd w:id="1052"/>
      <w:bookmarkEnd w:id="1053"/>
      <w:bookmarkEnd w:id="1054"/>
    </w:p>
    <w:bookmarkEnd w:id="968"/>
    <w:bookmarkEnd w:id="969"/>
    <w:p w14:paraId="57A0E681">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1055" w:name="_Toc373227777"/>
      <w:bookmarkStart w:id="1056" w:name="_Toc389065342"/>
      <w:bookmarkStart w:id="1057" w:name="_Toc407135280"/>
      <w:bookmarkStart w:id="1058" w:name="_Toc373478424"/>
      <w:bookmarkStart w:id="1059" w:name="_Toc9850608"/>
      <w:r>
        <w:rPr>
          <w:rFonts w:ascii="Times New Roman" w:hAnsi="Times New Roman" w:eastAsia="黑体" w:cs="Times New Roman"/>
          <w:b/>
          <w:bCs/>
          <w:color w:val="auto"/>
          <w:sz w:val="24"/>
          <w:szCs w:val="24"/>
          <w:highlight w:val="none"/>
          <w:lang w:val="zh-CN"/>
        </w:rPr>
        <w:t xml:space="preserve">20.3 </w:t>
      </w:r>
      <w:r>
        <w:rPr>
          <w:rFonts w:hint="eastAsia" w:ascii="Times New Roman" w:hAnsi="宋体" w:eastAsia="黑体" w:cs="黑体"/>
          <w:b/>
          <w:bCs/>
          <w:color w:val="auto"/>
          <w:sz w:val="24"/>
          <w:szCs w:val="24"/>
          <w:highlight w:val="none"/>
          <w:lang w:val="zh-CN"/>
        </w:rPr>
        <w:t>争</w:t>
      </w:r>
      <w:bookmarkEnd w:id="970"/>
      <w:r>
        <w:rPr>
          <w:rFonts w:hint="eastAsia" w:ascii="Times New Roman" w:hAnsi="宋体" w:eastAsia="黑体" w:cs="黑体"/>
          <w:b/>
          <w:bCs/>
          <w:color w:val="auto"/>
          <w:sz w:val="24"/>
          <w:szCs w:val="24"/>
          <w:highlight w:val="none"/>
          <w:lang w:val="zh-CN"/>
        </w:rPr>
        <w:t>议评审</w:t>
      </w:r>
      <w:bookmarkEnd w:id="1055"/>
      <w:bookmarkEnd w:id="1056"/>
      <w:bookmarkEnd w:id="1057"/>
      <w:bookmarkEnd w:id="1058"/>
      <w:bookmarkEnd w:id="1059"/>
    </w:p>
    <w:p w14:paraId="16EFA5DB">
      <w:pPr>
        <w:spacing w:line="400" w:lineRule="exact"/>
        <w:ind w:left="149" w:leftChars="71" w:firstLine="360" w:firstLineChars="15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合同当事人是否同意将工程争议提交争议评审小组决定：</w:t>
      </w:r>
      <w:r>
        <w:rPr>
          <w:rFonts w:hint="eastAsia" w:ascii="宋体" w:hAnsi="Courier New" w:eastAsia="宋体" w:cs="Times New Roman"/>
          <w:color w:val="auto"/>
          <w:sz w:val="24"/>
          <w:szCs w:val="24"/>
          <w:highlight w:val="none"/>
          <w:u w:val="single"/>
        </w:rPr>
        <w:t>依法向有管辖权的人民法院起诉</w:t>
      </w:r>
      <w:r>
        <w:rPr>
          <w:rFonts w:hint="eastAsia" w:ascii="Times New Roman" w:hAnsi="宋体" w:eastAsia="宋体" w:cs="宋体"/>
          <w:color w:val="auto"/>
          <w:sz w:val="24"/>
          <w:szCs w:val="24"/>
          <w:highlight w:val="none"/>
        </w:rPr>
        <w:t>。</w:t>
      </w:r>
    </w:p>
    <w:p w14:paraId="6B6452D1">
      <w:pPr>
        <w:spacing w:line="400" w:lineRule="exact"/>
        <w:ind w:firstLine="480" w:firstLineChars="200"/>
        <w:jc w:val="left"/>
        <w:outlineLvl w:val="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20.3.1 </w:t>
      </w:r>
      <w:r>
        <w:rPr>
          <w:rFonts w:hint="eastAsia" w:ascii="Times New Roman" w:hAnsi="宋体" w:eastAsia="宋体" w:cs="宋体"/>
          <w:color w:val="auto"/>
          <w:sz w:val="24"/>
          <w:szCs w:val="24"/>
          <w:highlight w:val="none"/>
        </w:rPr>
        <w:t>争议评审小组的确定</w:t>
      </w:r>
    </w:p>
    <w:p w14:paraId="51114517">
      <w:pPr>
        <w:spacing w:line="400" w:lineRule="exact"/>
        <w:ind w:firstLine="480" w:firstLineChars="200"/>
        <w:jc w:val="left"/>
        <w:rPr>
          <w:rFonts w:ascii="Times New Roman" w:hAnsi="Times New Roman" w:eastAsia="宋体" w:cs="Times New Roman"/>
          <w:color w:val="auto"/>
          <w:sz w:val="24"/>
          <w:szCs w:val="24"/>
          <w:highlight w:val="none"/>
          <w:u w:val="single"/>
        </w:rPr>
      </w:pPr>
      <w:r>
        <w:rPr>
          <w:rFonts w:hint="eastAsia" w:ascii="Times New Roman" w:hAnsi="宋体" w:eastAsia="宋体" w:cs="宋体"/>
          <w:color w:val="auto"/>
          <w:sz w:val="24"/>
          <w:szCs w:val="24"/>
          <w:highlight w:val="none"/>
        </w:rPr>
        <w:t>争议评审小组成员的确定：</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56C8D64C">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选定争议评审员的期限：</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206554B5">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争议评审小组成员的报酬承担方式：</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09D2B124">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其他事项的约定：</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6B2F0346">
      <w:pPr>
        <w:autoSpaceDE w:val="0"/>
        <w:autoSpaceDN w:val="0"/>
        <w:adjustRightInd w:val="0"/>
        <w:spacing w:line="400" w:lineRule="exact"/>
        <w:ind w:firstLine="480" w:firstLineChars="200"/>
        <w:jc w:val="lef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xml:space="preserve">20.3.2 </w:t>
      </w:r>
      <w:r>
        <w:rPr>
          <w:rFonts w:hint="eastAsia" w:ascii="Times New Roman" w:hAnsi="宋体" w:eastAsia="宋体" w:cs="宋体"/>
          <w:color w:val="auto"/>
          <w:kern w:val="0"/>
          <w:sz w:val="24"/>
          <w:szCs w:val="24"/>
          <w:highlight w:val="none"/>
        </w:rPr>
        <w:t>争议评审小组的决定</w:t>
      </w:r>
    </w:p>
    <w:p w14:paraId="358DCFDE">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合同当事人关于本项的约定：</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w:t>
      </w:r>
    </w:p>
    <w:p w14:paraId="4C839015">
      <w:pPr>
        <w:keepNext/>
        <w:keepLines/>
        <w:spacing w:line="400" w:lineRule="exact"/>
        <w:outlineLvl w:val="2"/>
        <w:rPr>
          <w:rFonts w:ascii="Times New Roman" w:hAnsi="Times New Roman" w:eastAsia="黑体" w:cs="Times New Roman"/>
          <w:b/>
          <w:bCs/>
          <w:color w:val="auto"/>
          <w:sz w:val="24"/>
          <w:szCs w:val="24"/>
          <w:highlight w:val="none"/>
          <w:lang w:val="zh-CN"/>
        </w:rPr>
      </w:pPr>
      <w:bookmarkStart w:id="1060" w:name="_Toc407135281"/>
      <w:bookmarkStart w:id="1061" w:name="_Toc373227778"/>
      <w:bookmarkStart w:id="1062" w:name="_Toc389065343"/>
      <w:bookmarkStart w:id="1063" w:name="_Toc9850609"/>
      <w:bookmarkStart w:id="1064" w:name="_Toc373478425"/>
      <w:r>
        <w:rPr>
          <w:rFonts w:ascii="Times New Roman" w:hAnsi="Times New Roman" w:eastAsia="黑体" w:cs="Times New Roman"/>
          <w:b/>
          <w:bCs/>
          <w:color w:val="auto"/>
          <w:sz w:val="24"/>
          <w:szCs w:val="24"/>
          <w:highlight w:val="none"/>
          <w:lang w:val="zh-CN"/>
        </w:rPr>
        <w:t xml:space="preserve">20.4 </w:t>
      </w:r>
      <w:r>
        <w:rPr>
          <w:rFonts w:hint="eastAsia" w:ascii="Times New Roman" w:hAnsi="宋体" w:eastAsia="黑体" w:cs="黑体"/>
          <w:b/>
          <w:bCs/>
          <w:color w:val="auto"/>
          <w:sz w:val="24"/>
          <w:szCs w:val="24"/>
          <w:highlight w:val="none"/>
          <w:lang w:val="zh-CN"/>
        </w:rPr>
        <w:t>仲裁或诉讼</w:t>
      </w:r>
      <w:bookmarkEnd w:id="971"/>
      <w:bookmarkEnd w:id="1060"/>
      <w:bookmarkEnd w:id="1061"/>
      <w:bookmarkEnd w:id="1062"/>
      <w:bookmarkEnd w:id="1063"/>
      <w:bookmarkEnd w:id="1064"/>
    </w:p>
    <w:p w14:paraId="3D87759B">
      <w:pPr>
        <w:spacing w:line="400" w:lineRule="exact"/>
        <w:ind w:firstLine="480" w:firstLineChars="200"/>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因合同及合同有关事项发生的争议，按下列第</w:t>
      </w:r>
      <w:r>
        <w:rPr>
          <w:rFonts w:hint="eastAsia" w:ascii="宋体" w:hAnsi="宋体" w:eastAsia="宋体" w:cs="Times New Roman"/>
          <w:color w:val="auto"/>
          <w:sz w:val="24"/>
          <w:szCs w:val="24"/>
          <w:highlight w:val="none"/>
          <w:u w:val="single"/>
        </w:rPr>
        <w:t>（2）</w:t>
      </w:r>
      <w:r>
        <w:rPr>
          <w:rFonts w:hint="eastAsia" w:ascii="Times New Roman" w:hAnsi="宋体" w:eastAsia="宋体" w:cs="宋体"/>
          <w:color w:val="auto"/>
          <w:sz w:val="24"/>
          <w:szCs w:val="24"/>
          <w:highlight w:val="none"/>
        </w:rPr>
        <w:t>种方式解决：</w:t>
      </w:r>
    </w:p>
    <w:p w14:paraId="0BD93541">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w:t>
      </w:r>
      <w:r>
        <w:rPr>
          <w:rFonts w:ascii="Times New Roman" w:hAnsi="Times New Roman" w:eastAsia="宋体" w:cs="Times New Roman"/>
          <w:color w:val="auto"/>
          <w:sz w:val="24"/>
          <w:szCs w:val="24"/>
          <w:highlight w:val="none"/>
        </w:rPr>
        <w:t>1</w:t>
      </w:r>
      <w:r>
        <w:rPr>
          <w:rFonts w:hint="eastAsia" w:ascii="Times New Roman" w:hAnsi="宋体" w:eastAsia="宋体" w:cs="宋体"/>
          <w:color w:val="auto"/>
          <w:sz w:val="24"/>
          <w:szCs w:val="24"/>
          <w:highlight w:val="none"/>
        </w:rPr>
        <w:t>）提请</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仲裁委员会按照该会仲裁规则进行仲裁，仲裁裁决是终局的，对合同双方均有约束力。</w:t>
      </w:r>
    </w:p>
    <w:p w14:paraId="3F1EA73C">
      <w:pPr>
        <w:spacing w:line="400" w:lineRule="exact"/>
        <w:ind w:firstLine="480" w:firstLineChars="200"/>
        <w:jc w:val="left"/>
        <w:rPr>
          <w:rFonts w:ascii="Times New Roman" w:hAnsi="Times New Roman" w:eastAsia="宋体" w:cs="Times New Roman"/>
          <w:color w:val="auto"/>
          <w:sz w:val="24"/>
          <w:szCs w:val="24"/>
          <w:highlight w:val="none"/>
        </w:rPr>
      </w:pPr>
      <w:r>
        <w:rPr>
          <w:rFonts w:hint="eastAsia" w:ascii="Times New Roman" w:hAnsi="宋体" w:eastAsia="宋体" w:cs="宋体"/>
          <w:color w:val="auto"/>
          <w:sz w:val="24"/>
          <w:szCs w:val="24"/>
          <w:highlight w:val="none"/>
        </w:rPr>
        <w:t>（</w:t>
      </w:r>
      <w:r>
        <w:rPr>
          <w:rFonts w:ascii="Times New Roman" w:hAnsi="Times New Roman" w:eastAsia="宋体" w:cs="Times New Roman"/>
          <w:color w:val="auto"/>
          <w:sz w:val="24"/>
          <w:szCs w:val="24"/>
          <w:highlight w:val="none"/>
        </w:rPr>
        <w:t>2</w:t>
      </w:r>
      <w:r>
        <w:rPr>
          <w:rFonts w:hint="eastAsia" w:ascii="Times New Roman" w:hAnsi="宋体" w:eastAsia="宋体" w:cs="宋体"/>
          <w:color w:val="auto"/>
          <w:sz w:val="24"/>
          <w:szCs w:val="24"/>
          <w:highlight w:val="none"/>
        </w:rPr>
        <w:t>）向</w:t>
      </w:r>
      <w:r>
        <w:rPr>
          <w:rFonts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项目所在地</w:t>
      </w:r>
      <w:r>
        <w:rPr>
          <w:rFonts w:ascii="Times New Roman" w:hAnsi="Times New Roman" w:eastAsia="宋体" w:cs="Times New Roman"/>
          <w:color w:val="auto"/>
          <w:sz w:val="24"/>
          <w:szCs w:val="24"/>
          <w:highlight w:val="none"/>
          <w:u w:val="single"/>
        </w:rPr>
        <w:t xml:space="preserve">  </w:t>
      </w:r>
      <w:r>
        <w:rPr>
          <w:rFonts w:hint="eastAsia" w:ascii="Times New Roman" w:hAnsi="宋体" w:eastAsia="宋体" w:cs="宋体"/>
          <w:color w:val="auto"/>
          <w:sz w:val="24"/>
          <w:szCs w:val="24"/>
          <w:highlight w:val="none"/>
        </w:rPr>
        <w:t>人民法院起诉。</w:t>
      </w:r>
      <w:bookmarkEnd w:id="972"/>
      <w:bookmarkEnd w:id="973"/>
      <w:bookmarkEnd w:id="974"/>
      <w:bookmarkEnd w:id="975"/>
      <w:bookmarkEnd w:id="976"/>
      <w:bookmarkEnd w:id="977"/>
    </w:p>
    <w:p w14:paraId="06737315">
      <w:pPr>
        <w:spacing w:line="360" w:lineRule="auto"/>
        <w:jc w:val="left"/>
        <w:rPr>
          <w:rFonts w:hint="eastAsia" w:ascii="Times New Roman" w:hAnsi="Times New Roman" w:eastAsia="黑体" w:cs="黑体"/>
          <w:b/>
          <w:bCs/>
          <w:color w:val="auto"/>
          <w:sz w:val="24"/>
          <w:szCs w:val="24"/>
          <w:highlight w:val="none"/>
        </w:rPr>
      </w:pPr>
      <w:bookmarkStart w:id="1065" w:name="_Toc351203652"/>
    </w:p>
    <w:p w14:paraId="036151C3">
      <w:pPr>
        <w:spacing w:line="360" w:lineRule="auto"/>
        <w:jc w:val="left"/>
        <w:rPr>
          <w:rFonts w:hint="eastAsia" w:ascii="Times New Roman" w:hAnsi="Times New Roman" w:eastAsia="黑体" w:cs="黑体"/>
          <w:b/>
          <w:bCs/>
          <w:color w:val="auto"/>
          <w:sz w:val="24"/>
          <w:szCs w:val="24"/>
          <w:highlight w:val="none"/>
        </w:rPr>
      </w:pPr>
    </w:p>
    <w:p w14:paraId="02C72684">
      <w:pPr>
        <w:spacing w:line="360" w:lineRule="auto"/>
        <w:jc w:val="left"/>
        <w:rPr>
          <w:rFonts w:hint="eastAsia" w:ascii="Times New Roman" w:hAnsi="Times New Roman" w:eastAsia="黑体" w:cs="黑体"/>
          <w:b/>
          <w:bCs/>
          <w:color w:val="auto"/>
          <w:sz w:val="24"/>
          <w:szCs w:val="24"/>
          <w:highlight w:val="none"/>
        </w:rPr>
      </w:pPr>
    </w:p>
    <w:p w14:paraId="3C19BB12">
      <w:pPr>
        <w:spacing w:line="360" w:lineRule="auto"/>
        <w:jc w:val="left"/>
        <w:rPr>
          <w:rFonts w:ascii="Times New Roman" w:hAnsi="Times New Roman" w:eastAsia="黑体" w:cs="Times New Roman"/>
          <w:b/>
          <w:bCs/>
          <w:color w:val="auto"/>
          <w:sz w:val="24"/>
          <w:szCs w:val="24"/>
          <w:highlight w:val="none"/>
        </w:rPr>
      </w:pPr>
      <w:r>
        <w:rPr>
          <w:rFonts w:hint="eastAsia" w:ascii="Times New Roman" w:hAnsi="Times New Roman" w:eastAsia="黑体" w:cs="黑体"/>
          <w:b/>
          <w:bCs/>
          <w:color w:val="auto"/>
          <w:sz w:val="24"/>
          <w:szCs w:val="24"/>
          <w:highlight w:val="none"/>
        </w:rPr>
        <w:t>附件</w:t>
      </w:r>
      <w:bookmarkEnd w:id="1065"/>
    </w:p>
    <w:p w14:paraId="2C3CB13E">
      <w:pPr>
        <w:spacing w:line="360" w:lineRule="auto"/>
        <w:jc w:val="left"/>
        <w:rPr>
          <w:rFonts w:hint="eastAsia" w:ascii="宋体" w:hAnsi="宋体" w:cs="宋体"/>
          <w:color w:val="auto"/>
          <w:sz w:val="24"/>
          <w:highlight w:val="none"/>
        </w:rPr>
      </w:pPr>
      <w:r>
        <w:rPr>
          <w:rFonts w:hint="eastAsia" w:ascii="宋体" w:hAnsi="宋体" w:eastAsia="宋体" w:cs="宋体"/>
          <w:color w:val="auto"/>
          <w:sz w:val="24"/>
          <w:szCs w:val="24"/>
          <w:highlight w:val="none"/>
        </w:rPr>
        <w:t>附件</w:t>
      </w:r>
      <w:r>
        <w:rPr>
          <w:rFonts w:ascii="宋体" w:hAnsi="宋体" w:eastAsia="宋体" w:cs="宋体"/>
          <w:color w:val="auto"/>
          <w:sz w:val="24"/>
          <w:szCs w:val="24"/>
          <w:highlight w:val="none"/>
        </w:rPr>
        <w:t>1</w:t>
      </w:r>
      <w:r>
        <w:rPr>
          <w:rFonts w:hint="eastAsia" w:ascii="宋体" w:hAnsi="宋体" w:eastAsia="宋体" w:cs="宋体"/>
          <w:color w:val="auto"/>
          <w:sz w:val="24"/>
          <w:szCs w:val="24"/>
          <w:highlight w:val="none"/>
        </w:rPr>
        <w:t>：</w:t>
      </w:r>
      <w:r>
        <w:rPr>
          <w:rFonts w:hint="eastAsia" w:ascii="宋体" w:hAnsi="宋体" w:cs="宋体"/>
          <w:color w:val="auto"/>
          <w:sz w:val="24"/>
          <w:highlight w:val="none"/>
        </w:rPr>
        <w:t>承包人承揽工程项目一览表</w:t>
      </w:r>
    </w:p>
    <w:p w14:paraId="38E86277">
      <w:pPr>
        <w:spacing w:line="360" w:lineRule="auto"/>
        <w:jc w:val="left"/>
        <w:rPr>
          <w:rFonts w:ascii="宋体" w:hAnsi="宋体" w:cs="宋体"/>
          <w:color w:val="auto"/>
          <w:sz w:val="24"/>
          <w:highlight w:val="none"/>
        </w:rPr>
      </w:pPr>
      <w:r>
        <w:rPr>
          <w:rFonts w:hint="eastAsia" w:ascii="宋体" w:hAnsi="宋体" w:cs="宋体"/>
          <w:color w:val="auto"/>
          <w:sz w:val="24"/>
          <w:highlight w:val="none"/>
        </w:rPr>
        <w:t>附件2：工程质量保修书</w:t>
      </w:r>
    </w:p>
    <w:p w14:paraId="2E25FB52">
      <w:pPr>
        <w:spacing w:line="360" w:lineRule="auto"/>
        <w:jc w:val="left"/>
        <w:rPr>
          <w:rFonts w:hint="eastAsia" w:ascii="宋体" w:hAnsi="宋体" w:cs="宋体"/>
          <w:color w:val="auto"/>
          <w:sz w:val="24"/>
          <w:highlight w:val="none"/>
        </w:rPr>
      </w:pPr>
      <w:r>
        <w:rPr>
          <w:rFonts w:ascii="宋体" w:hAnsi="宋体" w:cs="宋体"/>
          <w:color w:val="auto"/>
          <w:sz w:val="24"/>
          <w:highlight w:val="none"/>
        </w:rPr>
        <w:t>附件</w:t>
      </w:r>
      <w:r>
        <w:rPr>
          <w:rFonts w:hint="eastAsia" w:ascii="宋体" w:hAnsi="宋体" w:cs="宋体"/>
          <w:color w:val="auto"/>
          <w:sz w:val="24"/>
          <w:highlight w:val="none"/>
        </w:rPr>
        <w:t>3</w:t>
      </w:r>
      <w:r>
        <w:rPr>
          <w:rFonts w:ascii="宋体" w:hAnsi="宋体" w:cs="宋体"/>
          <w:color w:val="auto"/>
          <w:sz w:val="24"/>
          <w:highlight w:val="none"/>
        </w:rPr>
        <w:t>：主要建设工程文件目录</w:t>
      </w:r>
    </w:p>
    <w:p w14:paraId="715EF6E3">
      <w:pPr>
        <w:spacing w:line="360" w:lineRule="auto"/>
        <w:jc w:val="left"/>
        <w:rPr>
          <w:rFonts w:ascii="宋体" w:hAnsi="宋体" w:cs="宋体"/>
          <w:color w:val="auto"/>
          <w:sz w:val="24"/>
          <w:highlight w:val="none"/>
        </w:rPr>
      </w:pPr>
      <w:r>
        <w:rPr>
          <w:rFonts w:hint="eastAsia" w:ascii="宋体" w:hAnsi="宋体" w:cs="宋体"/>
          <w:color w:val="auto"/>
          <w:sz w:val="24"/>
          <w:highlight w:val="none"/>
        </w:rPr>
        <w:t>附件4：承包人用于本工程施工的机械设备表</w:t>
      </w:r>
    </w:p>
    <w:p w14:paraId="24587875">
      <w:pPr>
        <w:spacing w:line="360" w:lineRule="auto"/>
        <w:jc w:val="left"/>
        <w:rPr>
          <w:rFonts w:ascii="宋体" w:hAnsi="Times New Roman" w:cs="Times New Roman"/>
          <w:color w:val="auto"/>
          <w:sz w:val="24"/>
          <w:highlight w:val="none"/>
        </w:rPr>
      </w:pPr>
      <w:r>
        <w:rPr>
          <w:rFonts w:hint="eastAsia" w:ascii="宋体" w:hAnsi="宋体" w:cs="宋体"/>
          <w:color w:val="auto"/>
          <w:sz w:val="24"/>
          <w:highlight w:val="none"/>
        </w:rPr>
        <w:t>附件5：承包人主要施工管理人员表</w:t>
      </w:r>
    </w:p>
    <w:p w14:paraId="40CB9C2F">
      <w:pPr>
        <w:spacing w:line="360" w:lineRule="auto"/>
        <w:jc w:val="left"/>
        <w:rPr>
          <w:rFonts w:hint="eastAsia" w:ascii="Times New Roman" w:hAnsi="Times New Roman" w:cs="Times New Roman"/>
          <w:color w:val="auto"/>
          <w:sz w:val="24"/>
          <w:highlight w:val="none"/>
        </w:rPr>
      </w:pPr>
      <w:r>
        <w:rPr>
          <w:rFonts w:hint="eastAsia" w:ascii="宋体" w:hAnsi="宋体" w:cs="宋体"/>
          <w:color w:val="auto"/>
          <w:sz w:val="24"/>
          <w:highlight w:val="none"/>
        </w:rPr>
        <w:t>附件6：预付款</w:t>
      </w:r>
      <w:r>
        <w:rPr>
          <w:rFonts w:hint="eastAsia" w:ascii="Times New Roman" w:hAnsi="Times New Roman" w:cs="Times New Roman"/>
          <w:color w:val="auto"/>
          <w:sz w:val="24"/>
          <w:highlight w:val="none"/>
        </w:rPr>
        <w:t>支付申请（核准）表</w:t>
      </w:r>
    </w:p>
    <w:p w14:paraId="3DC7D6DD">
      <w:pPr>
        <w:spacing w:line="360" w:lineRule="auto"/>
        <w:jc w:val="left"/>
        <w:rPr>
          <w:rFonts w:hint="eastAsia" w:ascii="Times New Roman" w:hAnsi="Times New Roman" w:cs="Times New Roman"/>
          <w:color w:val="auto"/>
          <w:sz w:val="24"/>
          <w:highlight w:val="none"/>
        </w:rPr>
      </w:pPr>
      <w:r>
        <w:rPr>
          <w:rFonts w:hint="eastAsia" w:ascii="宋体" w:hAnsi="宋体" w:cs="宋体"/>
          <w:color w:val="auto"/>
          <w:sz w:val="24"/>
          <w:highlight w:val="none"/>
        </w:rPr>
        <w:t>附件</w:t>
      </w:r>
      <w:r>
        <w:rPr>
          <w:rFonts w:hint="eastAsia" w:ascii="宋体" w:hAnsi="宋体" w:cs="宋体"/>
          <w:color w:val="auto"/>
          <w:sz w:val="24"/>
          <w:highlight w:val="none"/>
          <w:lang w:val="en-US" w:eastAsia="zh-CN"/>
        </w:rPr>
        <w:t>7</w:t>
      </w:r>
      <w:r>
        <w:rPr>
          <w:rFonts w:hint="eastAsia" w:ascii="宋体" w:hAnsi="宋体" w:cs="宋体"/>
          <w:color w:val="auto"/>
          <w:sz w:val="24"/>
          <w:highlight w:val="none"/>
        </w:rPr>
        <w:t>：</w:t>
      </w:r>
      <w:r>
        <w:rPr>
          <w:rFonts w:hint="eastAsia" w:ascii="Times New Roman" w:hAnsi="Times New Roman" w:cs="Times New Roman"/>
          <w:color w:val="auto"/>
          <w:sz w:val="24"/>
          <w:highlight w:val="none"/>
        </w:rPr>
        <w:t>进度款支付申请（核准）表</w:t>
      </w:r>
    </w:p>
    <w:p w14:paraId="2D295FA5">
      <w:pPr>
        <w:spacing w:line="360" w:lineRule="auto"/>
        <w:jc w:val="left"/>
        <w:rPr>
          <w:rFonts w:hint="eastAsia" w:ascii="Times New Roman" w:hAnsi="Times New Roman" w:cs="Times New Roman"/>
          <w:color w:val="auto"/>
          <w:sz w:val="24"/>
          <w:highlight w:val="none"/>
        </w:rPr>
      </w:pPr>
      <w:r>
        <w:rPr>
          <w:rFonts w:hint="eastAsia" w:ascii="宋体" w:hAnsi="宋体" w:cs="宋体"/>
          <w:color w:val="auto"/>
          <w:sz w:val="24"/>
          <w:highlight w:val="none"/>
        </w:rPr>
        <w:t>附件</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：竣工</w:t>
      </w:r>
      <w:r>
        <w:rPr>
          <w:rFonts w:hint="eastAsia" w:ascii="宋体" w:hAnsi="宋体" w:cs="宋体"/>
          <w:color w:val="auto"/>
          <w:sz w:val="24"/>
          <w:highlight w:val="none"/>
          <w:lang w:eastAsia="zh-CN"/>
        </w:rPr>
        <w:t>（施工过程）</w:t>
      </w:r>
      <w:r>
        <w:rPr>
          <w:rFonts w:hint="eastAsia" w:ascii="宋体" w:hAnsi="宋体" w:cs="宋体"/>
          <w:color w:val="auto"/>
          <w:sz w:val="24"/>
          <w:highlight w:val="none"/>
        </w:rPr>
        <w:t>结算</w:t>
      </w:r>
      <w:r>
        <w:rPr>
          <w:rFonts w:hint="eastAsia" w:ascii="Times New Roman" w:hAnsi="Times New Roman" w:cs="Times New Roman"/>
          <w:color w:val="auto"/>
          <w:sz w:val="24"/>
          <w:highlight w:val="none"/>
        </w:rPr>
        <w:t>款支付申请（核准）表</w:t>
      </w:r>
    </w:p>
    <w:p w14:paraId="2D917927">
      <w:pPr>
        <w:spacing w:line="360" w:lineRule="auto"/>
        <w:jc w:val="left"/>
        <w:rPr>
          <w:rFonts w:hint="eastAsia" w:ascii="Times New Roman" w:hAnsi="Times New Roman" w:cs="Times New Roman"/>
          <w:color w:val="auto"/>
          <w:sz w:val="24"/>
          <w:highlight w:val="none"/>
        </w:rPr>
      </w:pPr>
      <w:r>
        <w:rPr>
          <w:rFonts w:hint="eastAsia" w:ascii="宋体" w:hAnsi="宋体" w:cs="宋体"/>
          <w:color w:val="auto"/>
          <w:sz w:val="24"/>
          <w:highlight w:val="none"/>
        </w:rPr>
        <w:t>附件</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：工程保修与结清结算支付申请（核准）表</w:t>
      </w:r>
    </w:p>
    <w:p w14:paraId="40BE3ED5">
      <w:pPr>
        <w:spacing w:line="360" w:lineRule="auto"/>
        <w:jc w:val="left"/>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附件</w:t>
      </w:r>
      <w:r>
        <w:rPr>
          <w:rFonts w:hint="eastAsia" w:ascii="Times New Roman" w:hAnsi="Times New Roman" w:cs="Times New Roman"/>
          <w:color w:val="auto"/>
          <w:sz w:val="24"/>
          <w:highlight w:val="none"/>
          <w:lang w:val="en-US" w:eastAsia="zh-CN"/>
        </w:rPr>
        <w:t>10</w:t>
      </w:r>
      <w:r>
        <w:rPr>
          <w:rFonts w:hint="eastAsia" w:ascii="Times New Roman" w:hAnsi="Times New Roman" w:cs="Times New Roman"/>
          <w:color w:val="auto"/>
          <w:sz w:val="24"/>
          <w:highlight w:val="none"/>
        </w:rPr>
        <w:t>：总价合同进度款支付分解表</w:t>
      </w:r>
    </w:p>
    <w:p w14:paraId="1968085D">
      <w:pPr>
        <w:spacing w:line="360" w:lineRule="auto"/>
        <w:jc w:val="left"/>
        <w:rPr>
          <w:rFonts w:hint="eastAsia" w:ascii="Times New Roman" w:hAnsi="Times New Roman" w:cs="Times New Roman"/>
          <w:color w:val="auto"/>
          <w:sz w:val="24"/>
          <w:highlight w:val="none"/>
          <w:lang w:eastAsia="zh-CN"/>
        </w:rPr>
      </w:pPr>
      <w:r>
        <w:rPr>
          <w:rFonts w:hint="eastAsia" w:ascii="Times New Roman" w:hAnsi="Times New Roman" w:cs="Times New Roman"/>
          <w:color w:val="auto"/>
          <w:sz w:val="24"/>
          <w:highlight w:val="none"/>
        </w:rPr>
        <w:t>附件1</w:t>
      </w:r>
      <w:r>
        <w:rPr>
          <w:rFonts w:hint="eastAsia" w:ascii="Times New Roman" w:hAnsi="Times New Roman" w:cs="Times New Roman"/>
          <w:color w:val="auto"/>
          <w:sz w:val="24"/>
          <w:highlight w:val="none"/>
          <w:lang w:val="en-US" w:eastAsia="zh-CN"/>
        </w:rPr>
        <w:t>1</w:t>
      </w:r>
      <w:r>
        <w:rPr>
          <w:rFonts w:hint="eastAsia" w:ascii="Times New Roman" w:hAnsi="Times New Roman" w:cs="Times New Roman"/>
          <w:color w:val="auto"/>
          <w:sz w:val="24"/>
          <w:highlight w:val="none"/>
          <w:lang w:eastAsia="zh-CN"/>
        </w:rPr>
        <w:t>：措施项目费用分拆表</w:t>
      </w:r>
    </w:p>
    <w:p w14:paraId="0C38A4B4">
      <w:pPr>
        <w:spacing w:line="360" w:lineRule="auto"/>
        <w:jc w:val="left"/>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附件</w:t>
      </w:r>
      <w:r>
        <w:rPr>
          <w:rFonts w:hint="eastAsia" w:ascii="Times New Roman" w:hAnsi="Times New Roman" w:cs="Times New Roman"/>
          <w:color w:val="auto"/>
          <w:sz w:val="24"/>
          <w:highlight w:val="none"/>
          <w:lang w:val="en-US" w:eastAsia="zh-CN"/>
        </w:rPr>
        <w:t>12：零星签证费用确认单</w:t>
      </w:r>
    </w:p>
    <w:p w14:paraId="3DB9D0D4">
      <w:pPr>
        <w:pBdr>
          <w:top w:val="none" w:color="auto" w:sz="0" w:space="0"/>
          <w:left w:val="none" w:color="auto" w:sz="0" w:space="0"/>
          <w:right w:val="none" w:color="auto" w:sz="0" w:space="0"/>
          <w:between w:val="none" w:color="auto" w:sz="0" w:space="0"/>
        </w:pBdr>
        <w:spacing w:line="360" w:lineRule="auto"/>
        <w:jc w:val="left"/>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sz w:val="24"/>
          <w:szCs w:val="24"/>
          <w:highlight w:val="none"/>
          <w:lang w:eastAsia="zh-CN"/>
        </w:rPr>
        <w:t>附件</w:t>
      </w:r>
      <w:r>
        <w:rPr>
          <w:rFonts w:hint="eastAsia" w:ascii="Times New Roman" w:hAnsi="Times New Roman" w:cs="Times New Roman"/>
          <w:color w:val="auto"/>
          <w:sz w:val="24"/>
          <w:szCs w:val="24"/>
          <w:highlight w:val="none"/>
          <w:lang w:val="en-US" w:eastAsia="zh-CN"/>
        </w:rPr>
        <w:t>13：索赔费用申请（核准）表</w:t>
      </w:r>
    </w:p>
    <w:p w14:paraId="28571F42">
      <w:pPr>
        <w:pBdr>
          <w:top w:val="none" w:color="auto" w:sz="0" w:space="0"/>
          <w:left w:val="none" w:color="auto" w:sz="0" w:space="0"/>
          <w:right w:val="none" w:color="auto" w:sz="0" w:space="0"/>
          <w:between w:val="none" w:color="auto" w:sz="0" w:space="0"/>
        </w:pBdr>
        <w:spacing w:line="360" w:lineRule="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eastAsia="zh-CN"/>
        </w:rPr>
        <w:t>附件</w:t>
      </w:r>
      <w:r>
        <w:rPr>
          <w:rFonts w:hint="eastAsia" w:ascii="Times New Roman" w:hAnsi="Times New Roman" w:cs="Times New Roman"/>
          <w:color w:val="auto"/>
          <w:sz w:val="24"/>
          <w:szCs w:val="24"/>
          <w:highlight w:val="none"/>
          <w:lang w:val="en-US" w:eastAsia="zh-CN"/>
        </w:rPr>
        <w:t>14：安全生产费支付申请（核准）表</w:t>
      </w:r>
    </w:p>
    <w:p w14:paraId="777C968D">
      <w:pPr>
        <w:pBdr>
          <w:top w:val="none" w:color="auto" w:sz="0" w:space="0"/>
          <w:left w:val="none" w:color="auto" w:sz="0" w:space="0"/>
          <w:right w:val="none" w:color="auto" w:sz="0" w:space="0"/>
          <w:between w:val="none" w:color="auto" w:sz="0" w:space="0"/>
        </w:pBdr>
        <w:tabs>
          <w:tab w:val="center" w:pos="4153"/>
          <w:tab w:val="right" w:pos="8306"/>
        </w:tabs>
        <w:spacing w:line="360" w:lineRule="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eastAsia="zh-CN"/>
        </w:rPr>
        <w:t>附件</w:t>
      </w:r>
      <w:r>
        <w:rPr>
          <w:rFonts w:hint="eastAsia" w:ascii="Times New Roman" w:hAnsi="Times New Roman" w:cs="Times New Roman"/>
          <w:color w:val="auto"/>
          <w:sz w:val="24"/>
          <w:szCs w:val="24"/>
          <w:highlight w:val="none"/>
          <w:lang w:val="en-US" w:eastAsia="zh-CN"/>
        </w:rPr>
        <w:t>15：发包人提供材料一览表</w:t>
      </w:r>
    </w:p>
    <w:p w14:paraId="1312C346">
      <w:pPr>
        <w:pBdr>
          <w:top w:val="none" w:color="auto" w:sz="0" w:space="0"/>
          <w:left w:val="none" w:color="auto" w:sz="0" w:space="0"/>
          <w:right w:val="none" w:color="auto" w:sz="0" w:space="0"/>
          <w:between w:val="none" w:color="auto" w:sz="0" w:space="0"/>
        </w:pBdr>
        <w:tabs>
          <w:tab w:val="center" w:pos="4153"/>
          <w:tab w:val="right" w:pos="8306"/>
        </w:tabs>
        <w:spacing w:line="360" w:lineRule="auto"/>
        <w:rPr>
          <w:rFonts w:hint="eastAsia"/>
          <w:color w:val="auto"/>
          <w:sz w:val="24"/>
          <w:highlight w:val="none"/>
        </w:rPr>
        <w:sectPr>
          <w:pgSz w:w="11907" w:h="16840"/>
          <w:pgMar w:top="1440" w:right="1440" w:bottom="1797" w:left="1440" w:header="851" w:footer="850" w:gutter="0"/>
          <w:cols w:space="720" w:num="1"/>
          <w:rtlGutter w:val="0"/>
          <w:docGrid w:linePitch="312" w:charSpace="0"/>
        </w:sectPr>
      </w:pPr>
      <w:r>
        <w:rPr>
          <w:rFonts w:hint="eastAsia" w:ascii="Times New Roman" w:hAnsi="Times New Roman" w:cs="Times New Roman"/>
          <w:color w:val="auto"/>
          <w:sz w:val="24"/>
          <w:szCs w:val="24"/>
          <w:highlight w:val="none"/>
          <w:lang w:eastAsia="zh-CN"/>
        </w:rPr>
        <w:t>附件</w:t>
      </w:r>
      <w:r>
        <w:rPr>
          <w:rFonts w:hint="eastAsia" w:ascii="Times New Roman" w:hAnsi="Times New Roman" w:cs="Times New Roman"/>
          <w:color w:val="auto"/>
          <w:sz w:val="24"/>
          <w:szCs w:val="24"/>
          <w:highlight w:val="none"/>
          <w:lang w:val="en-US" w:eastAsia="zh-CN"/>
        </w:rPr>
        <w:t>16：允许调整价格的主要材料一览表</w:t>
      </w:r>
    </w:p>
    <w:p w14:paraId="00C9A130">
      <w:pPr>
        <w:spacing w:line="360" w:lineRule="auto"/>
        <w:jc w:val="left"/>
        <w:rPr>
          <w:rFonts w:hint="eastAsia" w:hAnsi="宋体" w:cs="宋体"/>
          <w:color w:val="auto"/>
          <w:sz w:val="24"/>
          <w:szCs w:val="24"/>
          <w:highlight w:val="none"/>
        </w:rPr>
        <w:sectPr>
          <w:footerReference r:id="rId16" w:type="first"/>
          <w:pgSz w:w="11907" w:h="16840"/>
          <w:pgMar w:top="1440" w:right="1440" w:bottom="1440" w:left="1797" w:header="851" w:footer="851" w:gutter="0"/>
          <w:pgNumType w:fmt="decimal"/>
          <w:cols w:space="720" w:num="1"/>
          <w:docGrid w:linePitch="312" w:charSpace="0"/>
        </w:sectPr>
      </w:pPr>
    </w:p>
    <w:p w14:paraId="501A40D4">
      <w:pPr>
        <w:keepNext/>
        <w:keepLines/>
        <w:widowControl/>
        <w:spacing w:before="120" w:beforeLines="0" w:after="120" w:afterLines="0" w:line="360" w:lineRule="auto"/>
        <w:jc w:val="both"/>
        <w:outlineLvl w:val="3"/>
        <w:rPr>
          <w:rFonts w:hint="eastAsia" w:ascii="仿宋_GB2312" w:hAnsi="Arial" w:eastAsia="仿宋_GB2312" w:cs="仿宋_GB2312"/>
          <w:color w:val="auto"/>
          <w:kern w:val="0"/>
          <w:sz w:val="21"/>
          <w:szCs w:val="21"/>
          <w:highlight w:val="none"/>
          <w:lang w:val="en-US" w:eastAsia="zh-CN" w:bidi="ar-SA"/>
        </w:rPr>
      </w:pPr>
      <w:r>
        <w:rPr>
          <w:rFonts w:hint="eastAsia" w:ascii="仿宋_GB2312" w:hAnsi="Arial" w:eastAsia="仿宋_GB2312" w:cs="仿宋_GB2312"/>
          <w:color w:val="auto"/>
          <w:kern w:val="0"/>
          <w:sz w:val="21"/>
          <w:szCs w:val="21"/>
          <w:highlight w:val="none"/>
          <w:lang w:val="en-US" w:eastAsia="zh-CN" w:bidi="ar-SA"/>
        </w:rPr>
        <w:t>附件</w:t>
      </w:r>
      <w:r>
        <w:rPr>
          <w:rFonts w:ascii="仿宋_GB2312" w:hAnsi="Arial" w:eastAsia="仿宋_GB2312" w:cs="仿宋_GB2312"/>
          <w:color w:val="auto"/>
          <w:kern w:val="0"/>
          <w:sz w:val="21"/>
          <w:szCs w:val="21"/>
          <w:highlight w:val="none"/>
          <w:lang w:val="en-US" w:eastAsia="zh-CN" w:bidi="ar-SA"/>
        </w:rPr>
        <w:t>1</w:t>
      </w:r>
      <w:r>
        <w:rPr>
          <w:rFonts w:hint="eastAsia" w:ascii="仿宋_GB2312" w:hAnsi="Arial" w:eastAsia="仿宋_GB2312" w:cs="仿宋_GB2312"/>
          <w:color w:val="auto"/>
          <w:kern w:val="0"/>
          <w:sz w:val="21"/>
          <w:szCs w:val="21"/>
          <w:highlight w:val="none"/>
          <w:lang w:val="en-US" w:eastAsia="zh-CN" w:bidi="ar-SA"/>
        </w:rPr>
        <w:t>：承包人承揽工程项目一览表</w:t>
      </w:r>
    </w:p>
    <w:p w14:paraId="1CEA5377">
      <w:pPr>
        <w:spacing w:before="120" w:beforeLines="50" w:after="120" w:afterLines="50" w:line="440" w:lineRule="exact"/>
        <w:jc w:val="center"/>
        <w:rPr>
          <w:rFonts w:ascii="Times New Roman" w:hAnsi="Times New Roman" w:eastAsia="黑体" w:cs="Times New Roman"/>
          <w:color w:val="auto"/>
          <w:sz w:val="21"/>
          <w:szCs w:val="21"/>
          <w:highlight w:val="none"/>
        </w:rPr>
      </w:pPr>
      <w:r>
        <w:rPr>
          <w:rFonts w:hint="eastAsia" w:ascii="Times New Roman" w:hAnsi="Times New Roman" w:eastAsia="黑体" w:cs="黑体"/>
          <w:color w:val="auto"/>
          <w:sz w:val="21"/>
          <w:szCs w:val="21"/>
          <w:highlight w:val="none"/>
        </w:rPr>
        <w:t>承包人承揽工程项目一览表</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440"/>
        <w:gridCol w:w="1440"/>
        <w:gridCol w:w="1620"/>
        <w:gridCol w:w="1661"/>
        <w:gridCol w:w="850"/>
        <w:gridCol w:w="1560"/>
        <w:gridCol w:w="2126"/>
        <w:gridCol w:w="1417"/>
        <w:gridCol w:w="851"/>
        <w:gridCol w:w="850"/>
      </w:tblGrid>
      <w:tr w14:paraId="132AC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440" w:type="dxa"/>
            <w:noWrap w:val="0"/>
            <w:vAlign w:val="center"/>
          </w:tcPr>
          <w:p w14:paraId="00BE9029">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单位工程名称</w:t>
            </w:r>
          </w:p>
        </w:tc>
        <w:tc>
          <w:tcPr>
            <w:tcW w:w="1440" w:type="dxa"/>
            <w:noWrap w:val="0"/>
            <w:vAlign w:val="center"/>
          </w:tcPr>
          <w:p w14:paraId="183FC47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建设规模</w:t>
            </w:r>
          </w:p>
        </w:tc>
        <w:tc>
          <w:tcPr>
            <w:tcW w:w="1620" w:type="dxa"/>
            <w:noWrap w:val="0"/>
            <w:vAlign w:val="center"/>
          </w:tcPr>
          <w:p w14:paraId="479510E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建筑面积（平方米）</w:t>
            </w:r>
          </w:p>
        </w:tc>
        <w:tc>
          <w:tcPr>
            <w:tcW w:w="1661" w:type="dxa"/>
            <w:noWrap w:val="0"/>
            <w:vAlign w:val="center"/>
          </w:tcPr>
          <w:p w14:paraId="61611B1F">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结构形式</w:t>
            </w:r>
          </w:p>
        </w:tc>
        <w:tc>
          <w:tcPr>
            <w:tcW w:w="850" w:type="dxa"/>
            <w:noWrap w:val="0"/>
            <w:vAlign w:val="center"/>
          </w:tcPr>
          <w:p w14:paraId="3F16AB5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层数</w:t>
            </w:r>
          </w:p>
        </w:tc>
        <w:tc>
          <w:tcPr>
            <w:tcW w:w="1560" w:type="dxa"/>
            <w:noWrap w:val="0"/>
            <w:vAlign w:val="center"/>
          </w:tcPr>
          <w:p w14:paraId="5609E65F">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生产能力</w:t>
            </w:r>
          </w:p>
        </w:tc>
        <w:tc>
          <w:tcPr>
            <w:tcW w:w="2126" w:type="dxa"/>
            <w:noWrap w:val="0"/>
            <w:vAlign w:val="center"/>
          </w:tcPr>
          <w:p w14:paraId="4D424468">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设备安装内容</w:t>
            </w:r>
          </w:p>
        </w:tc>
        <w:tc>
          <w:tcPr>
            <w:tcW w:w="1417" w:type="dxa"/>
            <w:noWrap w:val="0"/>
            <w:vAlign w:val="center"/>
          </w:tcPr>
          <w:p w14:paraId="23CE0361">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合同价格（元）</w:t>
            </w:r>
          </w:p>
        </w:tc>
        <w:tc>
          <w:tcPr>
            <w:tcW w:w="851" w:type="dxa"/>
            <w:noWrap w:val="0"/>
            <w:vAlign w:val="center"/>
          </w:tcPr>
          <w:p w14:paraId="344C480A">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开工日期</w:t>
            </w:r>
          </w:p>
        </w:tc>
        <w:tc>
          <w:tcPr>
            <w:tcW w:w="850" w:type="dxa"/>
            <w:noWrap w:val="0"/>
            <w:vAlign w:val="center"/>
          </w:tcPr>
          <w:p w14:paraId="59196F0D">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竣工日期</w:t>
            </w:r>
          </w:p>
        </w:tc>
      </w:tr>
      <w:tr w14:paraId="672E0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0C491171">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40" w:type="dxa"/>
            <w:noWrap w:val="0"/>
            <w:vAlign w:val="center"/>
          </w:tcPr>
          <w:p w14:paraId="7F63BF6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20" w:type="dxa"/>
            <w:noWrap w:val="0"/>
            <w:vAlign w:val="center"/>
          </w:tcPr>
          <w:p w14:paraId="74CF29CA">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61" w:type="dxa"/>
            <w:noWrap w:val="0"/>
            <w:vAlign w:val="center"/>
          </w:tcPr>
          <w:p w14:paraId="7F95D6C5">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4FD44D68">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560" w:type="dxa"/>
            <w:noWrap w:val="0"/>
            <w:vAlign w:val="center"/>
          </w:tcPr>
          <w:p w14:paraId="3D199F4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2126" w:type="dxa"/>
            <w:noWrap w:val="0"/>
            <w:vAlign w:val="center"/>
          </w:tcPr>
          <w:p w14:paraId="1276964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7" w:type="dxa"/>
            <w:noWrap w:val="0"/>
            <w:vAlign w:val="center"/>
          </w:tcPr>
          <w:p w14:paraId="59B466A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1" w:type="dxa"/>
            <w:noWrap w:val="0"/>
            <w:vAlign w:val="center"/>
          </w:tcPr>
          <w:p w14:paraId="33DD6567">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0B5E307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3A6E4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79D7590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40" w:type="dxa"/>
            <w:noWrap w:val="0"/>
            <w:vAlign w:val="center"/>
          </w:tcPr>
          <w:p w14:paraId="594F624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20" w:type="dxa"/>
            <w:noWrap w:val="0"/>
            <w:vAlign w:val="center"/>
          </w:tcPr>
          <w:p w14:paraId="65284838">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61" w:type="dxa"/>
            <w:noWrap w:val="0"/>
            <w:vAlign w:val="center"/>
          </w:tcPr>
          <w:p w14:paraId="2A37934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67C1CE9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560" w:type="dxa"/>
            <w:noWrap w:val="0"/>
            <w:vAlign w:val="center"/>
          </w:tcPr>
          <w:p w14:paraId="5573C46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2126" w:type="dxa"/>
            <w:noWrap w:val="0"/>
            <w:vAlign w:val="center"/>
          </w:tcPr>
          <w:p w14:paraId="3E8C8AF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7" w:type="dxa"/>
            <w:noWrap w:val="0"/>
            <w:vAlign w:val="center"/>
          </w:tcPr>
          <w:p w14:paraId="5E407D9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1" w:type="dxa"/>
            <w:noWrap w:val="0"/>
            <w:vAlign w:val="center"/>
          </w:tcPr>
          <w:p w14:paraId="0C68A86F">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3355B54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01CC9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31B9F4BD">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40" w:type="dxa"/>
            <w:noWrap w:val="0"/>
            <w:vAlign w:val="center"/>
          </w:tcPr>
          <w:p w14:paraId="163EE09D">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20" w:type="dxa"/>
            <w:noWrap w:val="0"/>
            <w:vAlign w:val="center"/>
          </w:tcPr>
          <w:p w14:paraId="0780EFC5">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61" w:type="dxa"/>
            <w:noWrap w:val="0"/>
            <w:vAlign w:val="center"/>
          </w:tcPr>
          <w:p w14:paraId="2224F22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320D9801">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560" w:type="dxa"/>
            <w:noWrap w:val="0"/>
            <w:vAlign w:val="center"/>
          </w:tcPr>
          <w:p w14:paraId="4F438DD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2126" w:type="dxa"/>
            <w:noWrap w:val="0"/>
            <w:vAlign w:val="center"/>
          </w:tcPr>
          <w:p w14:paraId="430F35C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7" w:type="dxa"/>
            <w:noWrap w:val="0"/>
            <w:vAlign w:val="center"/>
          </w:tcPr>
          <w:p w14:paraId="1BF1D60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1" w:type="dxa"/>
            <w:noWrap w:val="0"/>
            <w:vAlign w:val="center"/>
          </w:tcPr>
          <w:p w14:paraId="7DCABCE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7442C6B5">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27102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7EDC205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40" w:type="dxa"/>
            <w:noWrap w:val="0"/>
            <w:vAlign w:val="center"/>
          </w:tcPr>
          <w:p w14:paraId="5E01A5E1">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20" w:type="dxa"/>
            <w:noWrap w:val="0"/>
            <w:vAlign w:val="center"/>
          </w:tcPr>
          <w:p w14:paraId="7F3E18CD">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61" w:type="dxa"/>
            <w:noWrap w:val="0"/>
            <w:vAlign w:val="center"/>
          </w:tcPr>
          <w:p w14:paraId="310DED7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42C2486A">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560" w:type="dxa"/>
            <w:noWrap w:val="0"/>
            <w:vAlign w:val="center"/>
          </w:tcPr>
          <w:p w14:paraId="235C4F17">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2126" w:type="dxa"/>
            <w:noWrap w:val="0"/>
            <w:vAlign w:val="center"/>
          </w:tcPr>
          <w:p w14:paraId="296BFFA0">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7" w:type="dxa"/>
            <w:noWrap w:val="0"/>
            <w:vAlign w:val="center"/>
          </w:tcPr>
          <w:p w14:paraId="630503B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1" w:type="dxa"/>
            <w:noWrap w:val="0"/>
            <w:vAlign w:val="center"/>
          </w:tcPr>
          <w:p w14:paraId="02B70B3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331844D7">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64763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5189B1DD">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40" w:type="dxa"/>
            <w:noWrap w:val="0"/>
            <w:vAlign w:val="center"/>
          </w:tcPr>
          <w:p w14:paraId="4FEB342F">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20" w:type="dxa"/>
            <w:noWrap w:val="0"/>
            <w:vAlign w:val="center"/>
          </w:tcPr>
          <w:p w14:paraId="2D874D3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61" w:type="dxa"/>
            <w:noWrap w:val="0"/>
            <w:vAlign w:val="center"/>
          </w:tcPr>
          <w:p w14:paraId="4F75D479">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628146E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560" w:type="dxa"/>
            <w:noWrap w:val="0"/>
            <w:vAlign w:val="center"/>
          </w:tcPr>
          <w:p w14:paraId="7914C9A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2126" w:type="dxa"/>
            <w:noWrap w:val="0"/>
            <w:vAlign w:val="center"/>
          </w:tcPr>
          <w:p w14:paraId="30B3B59D">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7" w:type="dxa"/>
            <w:noWrap w:val="0"/>
            <w:vAlign w:val="center"/>
          </w:tcPr>
          <w:p w14:paraId="413A80A5">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1" w:type="dxa"/>
            <w:noWrap w:val="0"/>
            <w:vAlign w:val="center"/>
          </w:tcPr>
          <w:p w14:paraId="48CD489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707C600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2476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66DB6149">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40" w:type="dxa"/>
            <w:noWrap w:val="0"/>
            <w:vAlign w:val="center"/>
          </w:tcPr>
          <w:p w14:paraId="142352F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20" w:type="dxa"/>
            <w:noWrap w:val="0"/>
            <w:vAlign w:val="center"/>
          </w:tcPr>
          <w:p w14:paraId="0EF4408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61" w:type="dxa"/>
            <w:noWrap w:val="0"/>
            <w:vAlign w:val="center"/>
          </w:tcPr>
          <w:p w14:paraId="14A96665">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49290B0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560" w:type="dxa"/>
            <w:noWrap w:val="0"/>
            <w:vAlign w:val="center"/>
          </w:tcPr>
          <w:p w14:paraId="31C12499">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2126" w:type="dxa"/>
            <w:noWrap w:val="0"/>
            <w:vAlign w:val="center"/>
          </w:tcPr>
          <w:p w14:paraId="37425631">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7" w:type="dxa"/>
            <w:noWrap w:val="0"/>
            <w:vAlign w:val="center"/>
          </w:tcPr>
          <w:p w14:paraId="275EAA2A">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1" w:type="dxa"/>
            <w:noWrap w:val="0"/>
            <w:vAlign w:val="center"/>
          </w:tcPr>
          <w:p w14:paraId="400B530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63940130">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42C12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61DBC351">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40" w:type="dxa"/>
            <w:noWrap w:val="0"/>
            <w:vAlign w:val="center"/>
          </w:tcPr>
          <w:p w14:paraId="6BEA799F">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20" w:type="dxa"/>
            <w:noWrap w:val="0"/>
            <w:vAlign w:val="center"/>
          </w:tcPr>
          <w:p w14:paraId="4C6E610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61" w:type="dxa"/>
            <w:noWrap w:val="0"/>
            <w:vAlign w:val="center"/>
          </w:tcPr>
          <w:p w14:paraId="74B2F1B9">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28040B4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560" w:type="dxa"/>
            <w:noWrap w:val="0"/>
            <w:vAlign w:val="center"/>
          </w:tcPr>
          <w:p w14:paraId="016249F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2126" w:type="dxa"/>
            <w:noWrap w:val="0"/>
            <w:vAlign w:val="center"/>
          </w:tcPr>
          <w:p w14:paraId="297DDBC7">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7" w:type="dxa"/>
            <w:noWrap w:val="0"/>
            <w:vAlign w:val="center"/>
          </w:tcPr>
          <w:p w14:paraId="2B1F82A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1" w:type="dxa"/>
            <w:noWrap w:val="0"/>
            <w:vAlign w:val="center"/>
          </w:tcPr>
          <w:p w14:paraId="5AAE2DB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7D566528">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4739C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72E4A65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40" w:type="dxa"/>
            <w:noWrap w:val="0"/>
            <w:vAlign w:val="center"/>
          </w:tcPr>
          <w:p w14:paraId="476977A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20" w:type="dxa"/>
            <w:noWrap w:val="0"/>
            <w:vAlign w:val="center"/>
          </w:tcPr>
          <w:p w14:paraId="1C3579B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61" w:type="dxa"/>
            <w:noWrap w:val="0"/>
            <w:vAlign w:val="center"/>
          </w:tcPr>
          <w:p w14:paraId="7A47AC8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149437C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560" w:type="dxa"/>
            <w:noWrap w:val="0"/>
            <w:vAlign w:val="center"/>
          </w:tcPr>
          <w:p w14:paraId="641BDB77">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2126" w:type="dxa"/>
            <w:noWrap w:val="0"/>
            <w:vAlign w:val="center"/>
          </w:tcPr>
          <w:p w14:paraId="356ADF4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7" w:type="dxa"/>
            <w:noWrap w:val="0"/>
            <w:vAlign w:val="center"/>
          </w:tcPr>
          <w:p w14:paraId="20558F0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1" w:type="dxa"/>
            <w:noWrap w:val="0"/>
            <w:vAlign w:val="center"/>
          </w:tcPr>
          <w:p w14:paraId="4E71436F">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1D20A429">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7410B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7228FE1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40" w:type="dxa"/>
            <w:noWrap w:val="0"/>
            <w:vAlign w:val="center"/>
          </w:tcPr>
          <w:p w14:paraId="71E23338">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20" w:type="dxa"/>
            <w:noWrap w:val="0"/>
            <w:vAlign w:val="center"/>
          </w:tcPr>
          <w:p w14:paraId="00F174A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61" w:type="dxa"/>
            <w:noWrap w:val="0"/>
            <w:vAlign w:val="center"/>
          </w:tcPr>
          <w:p w14:paraId="080F66F7">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33292E4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560" w:type="dxa"/>
            <w:noWrap w:val="0"/>
            <w:vAlign w:val="center"/>
          </w:tcPr>
          <w:p w14:paraId="7653C15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2126" w:type="dxa"/>
            <w:noWrap w:val="0"/>
            <w:vAlign w:val="center"/>
          </w:tcPr>
          <w:p w14:paraId="2DE3E74F">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7" w:type="dxa"/>
            <w:noWrap w:val="0"/>
            <w:vAlign w:val="center"/>
          </w:tcPr>
          <w:p w14:paraId="30C37280">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1" w:type="dxa"/>
            <w:noWrap w:val="0"/>
            <w:vAlign w:val="center"/>
          </w:tcPr>
          <w:p w14:paraId="2F28A3D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768361D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1FCFC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253AC7B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40" w:type="dxa"/>
            <w:noWrap w:val="0"/>
            <w:vAlign w:val="center"/>
          </w:tcPr>
          <w:p w14:paraId="6254942A">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20" w:type="dxa"/>
            <w:noWrap w:val="0"/>
            <w:vAlign w:val="center"/>
          </w:tcPr>
          <w:p w14:paraId="19F52001">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61" w:type="dxa"/>
            <w:noWrap w:val="0"/>
            <w:vAlign w:val="center"/>
          </w:tcPr>
          <w:p w14:paraId="1FE34FC7">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5D2D3427">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560" w:type="dxa"/>
            <w:noWrap w:val="0"/>
            <w:vAlign w:val="center"/>
          </w:tcPr>
          <w:p w14:paraId="09766E5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2126" w:type="dxa"/>
            <w:noWrap w:val="0"/>
            <w:vAlign w:val="center"/>
          </w:tcPr>
          <w:p w14:paraId="34DE4BE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7" w:type="dxa"/>
            <w:noWrap w:val="0"/>
            <w:vAlign w:val="center"/>
          </w:tcPr>
          <w:p w14:paraId="0243778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1" w:type="dxa"/>
            <w:noWrap w:val="0"/>
            <w:vAlign w:val="center"/>
          </w:tcPr>
          <w:p w14:paraId="3AAC20D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725DC64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bl>
    <w:p w14:paraId="6601DD74">
      <w:pPr>
        <w:spacing w:line="460" w:lineRule="exact"/>
        <w:ind w:firstLine="420" w:firstLineChars="200"/>
        <w:rPr>
          <w:rFonts w:ascii="Times New Roman" w:hAnsi="Times New Roman" w:cs="Times New Roman"/>
          <w:color w:val="auto"/>
          <w:sz w:val="21"/>
          <w:szCs w:val="21"/>
          <w:highlight w:val="none"/>
        </w:rPr>
      </w:pPr>
    </w:p>
    <w:p w14:paraId="3B8B4718">
      <w:pPr>
        <w:spacing w:line="460" w:lineRule="exact"/>
        <w:ind w:firstLine="420" w:firstLineChars="200"/>
        <w:rPr>
          <w:color w:val="auto"/>
          <w:sz w:val="21"/>
          <w:szCs w:val="21"/>
          <w:highlight w:val="none"/>
        </w:rPr>
        <w:sectPr>
          <w:pgSz w:w="16840" w:h="11907" w:orient="landscape"/>
          <w:pgMar w:top="1440" w:right="1440" w:bottom="1440" w:left="1797" w:header="851" w:footer="851" w:gutter="0"/>
          <w:cols w:space="720" w:num="1"/>
          <w:docGrid w:linePitch="312" w:charSpace="0"/>
        </w:sectPr>
      </w:pPr>
    </w:p>
    <w:p w14:paraId="1E5E178A">
      <w:pPr>
        <w:keepNext/>
        <w:keepLines/>
        <w:widowControl/>
        <w:spacing w:before="120" w:beforeLines="0" w:after="120" w:afterLines="0" w:line="360" w:lineRule="auto"/>
        <w:jc w:val="both"/>
        <w:outlineLvl w:val="3"/>
        <w:rPr>
          <w:rFonts w:hint="eastAsia" w:ascii="仿宋_GB2312" w:hAnsi="Arial" w:eastAsia="仿宋_GB2312" w:cs="仿宋_GB2312"/>
          <w:color w:val="auto"/>
          <w:kern w:val="0"/>
          <w:sz w:val="21"/>
          <w:szCs w:val="21"/>
          <w:highlight w:val="none"/>
          <w:lang w:val="en-US" w:eastAsia="zh-CN" w:bidi="ar-SA"/>
        </w:rPr>
      </w:pPr>
      <w:r>
        <w:rPr>
          <w:rFonts w:hint="eastAsia" w:ascii="仿宋_GB2312" w:hAnsi="Arial" w:eastAsia="仿宋_GB2312" w:cs="仿宋_GB2312"/>
          <w:color w:val="auto"/>
          <w:kern w:val="0"/>
          <w:sz w:val="21"/>
          <w:szCs w:val="21"/>
          <w:highlight w:val="none"/>
          <w:lang w:val="en-US" w:eastAsia="zh-CN" w:bidi="ar-SA"/>
        </w:rPr>
        <w:t>附件2：工程质量保修书</w:t>
      </w:r>
    </w:p>
    <w:p w14:paraId="27974EB7">
      <w:pPr>
        <w:spacing w:before="120" w:beforeLines="50" w:after="120" w:afterLines="50" w:line="440" w:lineRule="exact"/>
        <w:jc w:val="center"/>
        <w:rPr>
          <w:rFonts w:ascii="黑体" w:hAnsi="Times New Roman" w:eastAsia="黑体" w:cs="Times New Roman"/>
          <w:color w:val="auto"/>
          <w:sz w:val="21"/>
          <w:szCs w:val="21"/>
          <w:highlight w:val="none"/>
        </w:rPr>
      </w:pPr>
      <w:r>
        <w:rPr>
          <w:rFonts w:hint="eastAsia" w:ascii="黑体" w:hAnsi="宋体" w:eastAsia="黑体" w:cs="黑体"/>
          <w:color w:val="auto"/>
          <w:sz w:val="21"/>
          <w:szCs w:val="21"/>
          <w:highlight w:val="none"/>
        </w:rPr>
        <w:t>工程质量保修书（房屋建筑工程）</w:t>
      </w:r>
    </w:p>
    <w:p w14:paraId="7AD5C601">
      <w:pPr>
        <w:spacing w:line="440" w:lineRule="exact"/>
        <w:ind w:firstLine="420" w:firstLineChars="200"/>
        <w:rPr>
          <w:rFonts w:ascii="Times New Roman" w:hAnsi="Times New Roman" w:cs="Times New Roman"/>
          <w:color w:val="auto"/>
          <w:sz w:val="21"/>
          <w:szCs w:val="21"/>
          <w:highlight w:val="none"/>
        </w:rPr>
      </w:pPr>
      <w:r>
        <w:rPr>
          <w:rFonts w:hint="eastAsia" w:ascii="Times New Roman" w:hAnsi="宋体" w:cs="宋体"/>
          <w:color w:val="auto"/>
          <w:sz w:val="21"/>
          <w:szCs w:val="21"/>
          <w:highlight w:val="none"/>
        </w:rPr>
        <w:t>发包人（全称）：</w:t>
      </w:r>
      <w:r>
        <w:rPr>
          <w:rFonts w:ascii="Times New Roman" w:hAnsi="Times New Roman" w:cs="Times New Roman"/>
          <w:color w:val="auto"/>
          <w:sz w:val="21"/>
          <w:szCs w:val="21"/>
          <w:highlight w:val="none"/>
          <w:u w:val="single"/>
        </w:rPr>
        <w:t xml:space="preserve">                                </w:t>
      </w:r>
      <w:r>
        <w:rPr>
          <w:rFonts w:ascii="Times New Roman" w:hAnsi="Times New Roman" w:cs="Times New Roman"/>
          <w:color w:val="auto"/>
          <w:sz w:val="21"/>
          <w:szCs w:val="21"/>
          <w:highlight w:val="none"/>
        </w:rPr>
        <w:t xml:space="preserve"> </w:t>
      </w:r>
    </w:p>
    <w:p w14:paraId="2AA9227B">
      <w:pPr>
        <w:spacing w:line="440" w:lineRule="exact"/>
        <w:ind w:firstLine="420" w:firstLineChars="200"/>
        <w:rPr>
          <w:rFonts w:ascii="Times New Roman" w:hAnsi="Times New Roman" w:cs="Times New Roman"/>
          <w:color w:val="auto"/>
          <w:sz w:val="21"/>
          <w:szCs w:val="21"/>
          <w:highlight w:val="none"/>
        </w:rPr>
      </w:pPr>
      <w:r>
        <w:rPr>
          <w:rFonts w:hint="eastAsia" w:ascii="Times New Roman" w:hAnsi="宋体" w:cs="宋体"/>
          <w:color w:val="auto"/>
          <w:sz w:val="21"/>
          <w:szCs w:val="21"/>
          <w:highlight w:val="none"/>
        </w:rPr>
        <w:t>承包人（全称）：</w:t>
      </w:r>
      <w:r>
        <w:rPr>
          <w:rFonts w:ascii="Times New Roman" w:hAnsi="Times New Roman" w:cs="Times New Roman"/>
          <w:color w:val="auto"/>
          <w:sz w:val="21"/>
          <w:szCs w:val="21"/>
          <w:highlight w:val="none"/>
          <w:u w:val="single"/>
        </w:rPr>
        <w:t xml:space="preserve">                                </w:t>
      </w:r>
      <w:r>
        <w:rPr>
          <w:rFonts w:ascii="Times New Roman" w:hAnsi="Times New Roman" w:cs="Times New Roman"/>
          <w:color w:val="auto"/>
          <w:sz w:val="21"/>
          <w:szCs w:val="21"/>
          <w:highlight w:val="none"/>
        </w:rPr>
        <w:t xml:space="preserve"> </w:t>
      </w:r>
    </w:p>
    <w:p w14:paraId="61C7D7B8">
      <w:pPr>
        <w:spacing w:line="440" w:lineRule="exact"/>
        <w:rPr>
          <w:rFonts w:ascii="Times New Roman" w:hAnsi="Times New Roman" w:cs="Times New Roman"/>
          <w:color w:val="auto"/>
          <w:sz w:val="21"/>
          <w:szCs w:val="21"/>
          <w:highlight w:val="none"/>
        </w:rPr>
      </w:pPr>
    </w:p>
    <w:p w14:paraId="3EF41070">
      <w:pPr>
        <w:spacing w:line="360" w:lineRule="auto"/>
        <w:ind w:firstLine="420" w:firstLineChars="200"/>
        <w:rPr>
          <w:rFonts w:ascii="Times New Roman" w:hAnsi="宋体" w:cs="Times New Roman"/>
          <w:color w:val="auto"/>
          <w:sz w:val="21"/>
          <w:szCs w:val="21"/>
          <w:highlight w:val="none"/>
        </w:rPr>
      </w:pPr>
      <w:r>
        <w:rPr>
          <w:rFonts w:hint="eastAsia" w:ascii="Times New Roman" w:hAnsi="宋体" w:cs="宋体"/>
          <w:color w:val="auto"/>
          <w:sz w:val="21"/>
          <w:szCs w:val="21"/>
          <w:highlight w:val="none"/>
        </w:rPr>
        <w:t>发包人和承包人根据《中华人民共和国建筑法》和《建设工程质量管理条例》，经协商一致就</w:t>
      </w:r>
      <w:r>
        <w:rPr>
          <w:rFonts w:ascii="Times New Roman" w:hAnsi="Times New Roman" w:cs="Times New Roman"/>
          <w:color w:val="auto"/>
          <w:sz w:val="21"/>
          <w:szCs w:val="21"/>
          <w:highlight w:val="none"/>
          <w:u w:val="single"/>
        </w:rPr>
        <w:t xml:space="preserve">                                   </w:t>
      </w:r>
      <w:r>
        <w:rPr>
          <w:rFonts w:hint="eastAsia" w:ascii="Times New Roman" w:hAnsi="宋体" w:cs="宋体"/>
          <w:color w:val="auto"/>
          <w:sz w:val="21"/>
          <w:szCs w:val="21"/>
          <w:highlight w:val="none"/>
        </w:rPr>
        <w:t>（工程全称）签订工程质量保修书。</w:t>
      </w:r>
    </w:p>
    <w:p w14:paraId="5E7BFBA0">
      <w:pPr>
        <w:spacing w:line="360" w:lineRule="auto"/>
        <w:ind w:firstLine="420" w:firstLineChars="200"/>
        <w:rPr>
          <w:rFonts w:ascii="黑体" w:hAnsi="宋体" w:eastAsia="黑体" w:cs="Times New Roman"/>
          <w:color w:val="auto"/>
          <w:sz w:val="21"/>
          <w:szCs w:val="21"/>
          <w:highlight w:val="none"/>
        </w:rPr>
      </w:pPr>
      <w:r>
        <w:rPr>
          <w:rFonts w:hint="eastAsia" w:ascii="黑体" w:hAnsi="宋体" w:eastAsia="黑体" w:cs="黑体"/>
          <w:color w:val="auto"/>
          <w:sz w:val="21"/>
          <w:szCs w:val="21"/>
          <w:highlight w:val="none"/>
        </w:rPr>
        <w:t>一、工程质量保修范围和内容</w:t>
      </w:r>
    </w:p>
    <w:p w14:paraId="6A541FCA">
      <w:pPr>
        <w:spacing w:line="360" w:lineRule="auto"/>
        <w:ind w:firstLine="420" w:firstLineChars="200"/>
        <w:rPr>
          <w:rFonts w:ascii="Times New Roman" w:hAnsi="Times New Roman" w:cs="Times New Roman"/>
          <w:color w:val="auto"/>
          <w:sz w:val="21"/>
          <w:szCs w:val="21"/>
          <w:highlight w:val="none"/>
        </w:rPr>
      </w:pPr>
      <w:r>
        <w:rPr>
          <w:rFonts w:hint="eastAsia" w:ascii="Times New Roman" w:hAnsi="宋体" w:cs="宋体"/>
          <w:color w:val="auto"/>
          <w:sz w:val="21"/>
          <w:szCs w:val="21"/>
          <w:highlight w:val="none"/>
        </w:rPr>
        <w:t>承包人在质量保修期内，按照有关法律规定和合同约定，承担工程质量保修责任。</w:t>
      </w:r>
    </w:p>
    <w:p w14:paraId="703C7025">
      <w:pPr>
        <w:spacing w:line="360" w:lineRule="auto"/>
        <w:ind w:firstLine="420"/>
        <w:rPr>
          <w:rFonts w:ascii="Times New Roman" w:hAnsi="宋体" w:cs="Times New Roman"/>
          <w:color w:val="auto"/>
          <w:sz w:val="21"/>
          <w:szCs w:val="21"/>
          <w:highlight w:val="none"/>
        </w:rPr>
      </w:pPr>
      <w:r>
        <w:rPr>
          <w:rFonts w:hint="eastAsia" w:ascii="Times New Roman" w:hAnsi="宋体" w:cs="宋体"/>
          <w:color w:val="auto"/>
          <w:sz w:val="21"/>
          <w:szCs w:val="21"/>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2BF0D842">
      <w:pPr>
        <w:spacing w:line="360" w:lineRule="auto"/>
        <w:ind w:firstLine="420"/>
        <w:rPr>
          <w:rFonts w:ascii="Times New Roman" w:hAnsi="宋体" w:cs="Times New Roman"/>
          <w:color w:val="auto"/>
          <w:sz w:val="21"/>
          <w:szCs w:val="21"/>
          <w:highlight w:val="none"/>
        </w:rPr>
      </w:pPr>
      <w:r>
        <w:rPr>
          <w:rFonts w:ascii="Times New Roman" w:hAnsi="Times New Roman" w:cs="Times New Roman"/>
          <w:color w:val="auto"/>
          <w:sz w:val="21"/>
          <w:szCs w:val="21"/>
          <w:highlight w:val="none"/>
          <w:u w:val="single"/>
        </w:rPr>
        <w:t xml:space="preserve">                                                                                                                                                            </w:t>
      </w:r>
      <w:r>
        <w:rPr>
          <w:rFonts w:hint="eastAsia" w:ascii="Times New Roman" w:hAnsi="宋体" w:cs="宋体"/>
          <w:color w:val="auto"/>
          <w:sz w:val="21"/>
          <w:szCs w:val="21"/>
          <w:highlight w:val="none"/>
        </w:rPr>
        <w:t>。</w:t>
      </w:r>
    </w:p>
    <w:p w14:paraId="46E7EF59">
      <w:pPr>
        <w:spacing w:line="360" w:lineRule="auto"/>
        <w:ind w:firstLine="420"/>
        <w:rPr>
          <w:rFonts w:ascii="黑体" w:hAnsi="宋体" w:eastAsia="黑体" w:cs="Times New Roman"/>
          <w:color w:val="auto"/>
          <w:sz w:val="21"/>
          <w:szCs w:val="21"/>
          <w:highlight w:val="none"/>
        </w:rPr>
      </w:pPr>
      <w:r>
        <w:rPr>
          <w:rFonts w:hint="eastAsia" w:ascii="黑体" w:hAnsi="宋体" w:eastAsia="黑体" w:cs="黑体"/>
          <w:color w:val="auto"/>
          <w:sz w:val="21"/>
          <w:szCs w:val="21"/>
          <w:highlight w:val="none"/>
        </w:rPr>
        <w:t>二、质量保修期</w:t>
      </w:r>
    </w:p>
    <w:p w14:paraId="675E88A4">
      <w:pPr>
        <w:spacing w:line="360" w:lineRule="auto"/>
        <w:ind w:firstLine="420"/>
        <w:rPr>
          <w:rFonts w:ascii="Times New Roman" w:hAnsi="宋体" w:cs="Times New Roman"/>
          <w:color w:val="auto"/>
          <w:sz w:val="21"/>
          <w:szCs w:val="21"/>
          <w:highlight w:val="none"/>
        </w:rPr>
      </w:pPr>
      <w:r>
        <w:rPr>
          <w:rFonts w:hint="eastAsia" w:ascii="Times New Roman" w:hAnsi="宋体" w:cs="宋体"/>
          <w:color w:val="auto"/>
          <w:sz w:val="21"/>
          <w:szCs w:val="21"/>
          <w:highlight w:val="none"/>
        </w:rPr>
        <w:t>根据《建设工程质量管理条例》及有关规定，工程的质量保修期如下：</w:t>
      </w:r>
    </w:p>
    <w:p w14:paraId="0073DD17">
      <w:pPr>
        <w:spacing w:line="360" w:lineRule="auto"/>
        <w:ind w:firstLine="420"/>
        <w:rPr>
          <w:rFonts w:ascii="Times New Roman" w:hAnsi="宋体" w:cs="Times New Roman"/>
          <w:color w:val="auto"/>
          <w:sz w:val="21"/>
          <w:szCs w:val="21"/>
          <w:highlight w:val="none"/>
        </w:rPr>
      </w:pPr>
      <w:r>
        <w:rPr>
          <w:rFonts w:hint="eastAsia" w:ascii="Times New Roman" w:hAnsi="Times New Roman" w:cs="Times New Roman"/>
          <w:color w:val="auto"/>
          <w:sz w:val="21"/>
          <w:szCs w:val="21"/>
          <w:highlight w:val="none"/>
          <w:lang w:eastAsia="zh-CN"/>
        </w:rPr>
        <w:t>1.</w:t>
      </w:r>
      <w:r>
        <w:rPr>
          <w:rFonts w:hint="eastAsia" w:ascii="Times New Roman" w:hAnsi="宋体" w:cs="宋体"/>
          <w:color w:val="auto"/>
          <w:sz w:val="21"/>
          <w:szCs w:val="21"/>
          <w:highlight w:val="none"/>
        </w:rPr>
        <w:t>地基基础工程和主体结构工程为设计文件规定的工程合理使用年限；</w:t>
      </w:r>
    </w:p>
    <w:p w14:paraId="025E9854">
      <w:pPr>
        <w:spacing w:line="360" w:lineRule="auto"/>
        <w:ind w:firstLine="420"/>
        <w:rPr>
          <w:rFonts w:ascii="Times New Roman" w:hAnsi="宋体" w:cs="Times New Roman"/>
          <w:color w:val="auto"/>
          <w:sz w:val="21"/>
          <w:szCs w:val="21"/>
          <w:highlight w:val="none"/>
        </w:rPr>
      </w:pPr>
      <w:r>
        <w:rPr>
          <w:rFonts w:hint="eastAsia" w:ascii="Times New Roman" w:hAnsi="Times New Roman" w:cs="Times New Roman"/>
          <w:color w:val="auto"/>
          <w:sz w:val="21"/>
          <w:szCs w:val="21"/>
          <w:highlight w:val="none"/>
          <w:lang w:eastAsia="zh-CN"/>
        </w:rPr>
        <w:t>2.</w:t>
      </w:r>
      <w:r>
        <w:rPr>
          <w:rFonts w:hint="eastAsia" w:ascii="Times New Roman" w:hAnsi="宋体" w:cs="宋体"/>
          <w:color w:val="auto"/>
          <w:sz w:val="21"/>
          <w:szCs w:val="21"/>
          <w:highlight w:val="none"/>
        </w:rPr>
        <w:t>屋面防水工程、有防水要求的卫生间、房间和外墙面的防渗为</w:t>
      </w:r>
      <w:r>
        <w:rPr>
          <w:rFonts w:ascii="Times New Roman" w:hAnsi="Times New Roman" w:cs="Times New Roman"/>
          <w:color w:val="auto"/>
          <w:sz w:val="21"/>
          <w:szCs w:val="21"/>
          <w:highlight w:val="none"/>
          <w:u w:val="single"/>
        </w:rPr>
        <w:t xml:space="preserve">  </w:t>
      </w:r>
      <w:r>
        <w:rPr>
          <w:rFonts w:hint="eastAsia" w:cs="Times New Roman"/>
          <w:color w:val="auto"/>
          <w:sz w:val="21"/>
          <w:szCs w:val="21"/>
          <w:highlight w:val="none"/>
          <w:u w:val="single"/>
          <w:lang w:val="en-US" w:eastAsia="zh-CN"/>
        </w:rPr>
        <w:t>5</w:t>
      </w:r>
      <w:r>
        <w:rPr>
          <w:rFonts w:ascii="Times New Roman" w:hAnsi="Times New Roman" w:cs="Times New Roman"/>
          <w:color w:val="auto"/>
          <w:sz w:val="21"/>
          <w:szCs w:val="21"/>
          <w:highlight w:val="none"/>
          <w:u w:val="single"/>
        </w:rPr>
        <w:t xml:space="preserve">  </w:t>
      </w:r>
      <w:r>
        <w:rPr>
          <w:rFonts w:hint="eastAsia" w:ascii="Times New Roman" w:hAnsi="宋体" w:cs="宋体"/>
          <w:color w:val="auto"/>
          <w:sz w:val="21"/>
          <w:szCs w:val="21"/>
          <w:highlight w:val="none"/>
        </w:rPr>
        <w:t>年；</w:t>
      </w:r>
    </w:p>
    <w:p w14:paraId="4AFFCDD7">
      <w:pPr>
        <w:spacing w:line="360" w:lineRule="auto"/>
        <w:ind w:firstLine="420"/>
        <w:rPr>
          <w:rFonts w:ascii="Times New Roman" w:hAnsi="宋体" w:cs="Times New Roman"/>
          <w:color w:val="auto"/>
          <w:sz w:val="21"/>
          <w:szCs w:val="21"/>
          <w:highlight w:val="none"/>
        </w:rPr>
      </w:pPr>
      <w:r>
        <w:rPr>
          <w:rFonts w:hint="eastAsia" w:ascii="Times New Roman" w:hAnsi="Times New Roman" w:cs="Times New Roman"/>
          <w:color w:val="auto"/>
          <w:sz w:val="21"/>
          <w:szCs w:val="21"/>
          <w:highlight w:val="none"/>
          <w:lang w:eastAsia="zh-CN"/>
        </w:rPr>
        <w:t>3.</w:t>
      </w:r>
      <w:r>
        <w:rPr>
          <w:rFonts w:hint="eastAsia" w:ascii="Times New Roman" w:hAnsi="宋体" w:cs="宋体"/>
          <w:color w:val="auto"/>
          <w:sz w:val="21"/>
          <w:szCs w:val="21"/>
          <w:highlight w:val="none"/>
        </w:rPr>
        <w:t>装修工程为</w:t>
      </w:r>
      <w:r>
        <w:rPr>
          <w:rFonts w:ascii="Times New Roman" w:hAnsi="Times New Roman" w:cs="Times New Roman"/>
          <w:color w:val="auto"/>
          <w:sz w:val="21"/>
          <w:szCs w:val="21"/>
          <w:highlight w:val="none"/>
          <w:u w:val="single"/>
        </w:rPr>
        <w:t xml:space="preserve">   </w:t>
      </w:r>
      <w:r>
        <w:rPr>
          <w:rFonts w:hint="eastAsia" w:cs="Times New Roman"/>
          <w:color w:val="auto"/>
          <w:sz w:val="21"/>
          <w:szCs w:val="21"/>
          <w:highlight w:val="none"/>
          <w:u w:val="single"/>
          <w:lang w:val="en-US" w:eastAsia="zh-CN"/>
        </w:rPr>
        <w:t>2</w:t>
      </w:r>
      <w:r>
        <w:rPr>
          <w:rFonts w:ascii="Times New Roman" w:hAnsi="Times New Roman" w:cs="Times New Roman"/>
          <w:color w:val="auto"/>
          <w:sz w:val="21"/>
          <w:szCs w:val="21"/>
          <w:highlight w:val="none"/>
          <w:u w:val="single"/>
        </w:rPr>
        <w:t xml:space="preserve"> </w:t>
      </w:r>
      <w:r>
        <w:rPr>
          <w:rFonts w:hint="eastAsia" w:ascii="Times New Roman" w:hAnsi="宋体" w:cs="宋体"/>
          <w:color w:val="auto"/>
          <w:sz w:val="21"/>
          <w:szCs w:val="21"/>
          <w:highlight w:val="none"/>
        </w:rPr>
        <w:t>年；</w:t>
      </w:r>
    </w:p>
    <w:p w14:paraId="0C9B9C50">
      <w:pPr>
        <w:spacing w:line="360" w:lineRule="auto"/>
        <w:ind w:firstLine="420"/>
        <w:rPr>
          <w:rFonts w:ascii="Times New Roman" w:hAnsi="宋体" w:cs="Times New Roman"/>
          <w:color w:val="auto"/>
          <w:sz w:val="21"/>
          <w:szCs w:val="21"/>
          <w:highlight w:val="none"/>
        </w:rPr>
      </w:pPr>
      <w:r>
        <w:rPr>
          <w:rFonts w:hint="eastAsia" w:ascii="Times New Roman" w:hAnsi="Times New Roman" w:cs="Times New Roman"/>
          <w:color w:val="auto"/>
          <w:sz w:val="21"/>
          <w:szCs w:val="21"/>
          <w:highlight w:val="none"/>
          <w:lang w:eastAsia="zh-CN"/>
        </w:rPr>
        <w:t>4.</w:t>
      </w:r>
      <w:r>
        <w:rPr>
          <w:rFonts w:hint="eastAsia" w:ascii="Times New Roman" w:hAnsi="宋体" w:cs="宋体"/>
          <w:color w:val="auto"/>
          <w:sz w:val="21"/>
          <w:szCs w:val="21"/>
          <w:highlight w:val="none"/>
        </w:rPr>
        <w:t>电气管线、给排水管道、设备安装工程为</w:t>
      </w:r>
      <w:r>
        <w:rPr>
          <w:rFonts w:ascii="Times New Roman" w:hAnsi="Times New Roman" w:cs="Times New Roman"/>
          <w:color w:val="auto"/>
          <w:sz w:val="21"/>
          <w:szCs w:val="21"/>
          <w:highlight w:val="none"/>
          <w:u w:val="single"/>
        </w:rPr>
        <w:t xml:space="preserve">  </w:t>
      </w:r>
      <w:r>
        <w:rPr>
          <w:rFonts w:hint="eastAsia" w:cs="Times New Roman"/>
          <w:color w:val="auto"/>
          <w:sz w:val="21"/>
          <w:szCs w:val="21"/>
          <w:highlight w:val="none"/>
          <w:u w:val="single"/>
          <w:lang w:val="en-US" w:eastAsia="zh-CN"/>
        </w:rPr>
        <w:t>2</w:t>
      </w:r>
      <w:r>
        <w:rPr>
          <w:rFonts w:ascii="Times New Roman" w:hAnsi="Times New Roman" w:cs="Times New Roman"/>
          <w:color w:val="auto"/>
          <w:sz w:val="21"/>
          <w:szCs w:val="21"/>
          <w:highlight w:val="none"/>
          <w:u w:val="single"/>
        </w:rPr>
        <w:t xml:space="preserve">  </w:t>
      </w:r>
      <w:r>
        <w:rPr>
          <w:rFonts w:hint="eastAsia" w:ascii="Times New Roman" w:hAnsi="宋体" w:cs="宋体"/>
          <w:color w:val="auto"/>
          <w:sz w:val="21"/>
          <w:szCs w:val="21"/>
          <w:highlight w:val="none"/>
        </w:rPr>
        <w:t>年；</w:t>
      </w:r>
    </w:p>
    <w:p w14:paraId="5BDF5C7A">
      <w:pPr>
        <w:spacing w:line="360" w:lineRule="auto"/>
        <w:ind w:firstLine="420"/>
        <w:rPr>
          <w:rFonts w:ascii="Times New Roman" w:hAnsi="宋体" w:cs="Times New Roman"/>
          <w:color w:val="auto"/>
          <w:sz w:val="21"/>
          <w:szCs w:val="21"/>
          <w:highlight w:val="none"/>
        </w:rPr>
      </w:pPr>
      <w:r>
        <w:rPr>
          <w:rFonts w:hint="eastAsia" w:ascii="Times New Roman" w:hAnsi="Times New Roman" w:cs="Times New Roman"/>
          <w:color w:val="auto"/>
          <w:sz w:val="21"/>
          <w:szCs w:val="21"/>
          <w:highlight w:val="none"/>
          <w:lang w:eastAsia="zh-CN"/>
        </w:rPr>
        <w:t>5.</w:t>
      </w:r>
      <w:r>
        <w:rPr>
          <w:rFonts w:hint="eastAsia" w:ascii="Times New Roman" w:hAnsi="宋体" w:cs="宋体"/>
          <w:color w:val="auto"/>
          <w:sz w:val="21"/>
          <w:szCs w:val="21"/>
          <w:highlight w:val="none"/>
        </w:rPr>
        <w:t>供热与供冷系统为</w:t>
      </w:r>
      <w:r>
        <w:rPr>
          <w:rFonts w:ascii="Times New Roman" w:hAnsi="Times New Roman" w:cs="Times New Roman"/>
          <w:color w:val="auto"/>
          <w:sz w:val="21"/>
          <w:szCs w:val="21"/>
          <w:highlight w:val="none"/>
          <w:u w:val="single"/>
        </w:rPr>
        <w:t xml:space="preserve">  </w:t>
      </w:r>
      <w:r>
        <w:rPr>
          <w:rFonts w:hint="eastAsia" w:cs="Times New Roman"/>
          <w:color w:val="auto"/>
          <w:sz w:val="21"/>
          <w:szCs w:val="21"/>
          <w:highlight w:val="none"/>
          <w:u w:val="single"/>
          <w:lang w:val="en-US" w:eastAsia="zh-CN"/>
        </w:rPr>
        <w:t>2</w:t>
      </w:r>
      <w:r>
        <w:rPr>
          <w:rFonts w:ascii="Times New Roman" w:hAnsi="Times New Roman" w:cs="Times New Roman"/>
          <w:color w:val="auto"/>
          <w:sz w:val="21"/>
          <w:szCs w:val="21"/>
          <w:highlight w:val="none"/>
          <w:u w:val="single"/>
        </w:rPr>
        <w:t xml:space="preserve">   </w:t>
      </w:r>
      <w:r>
        <w:rPr>
          <w:rFonts w:hint="eastAsia" w:ascii="Times New Roman" w:hAnsi="宋体" w:cs="宋体"/>
          <w:color w:val="auto"/>
          <w:sz w:val="21"/>
          <w:szCs w:val="21"/>
          <w:highlight w:val="none"/>
        </w:rPr>
        <w:t>个采暖期、供冷期；</w:t>
      </w:r>
    </w:p>
    <w:p w14:paraId="10F8F588">
      <w:pPr>
        <w:spacing w:line="360" w:lineRule="auto"/>
        <w:ind w:firstLine="420"/>
        <w:rPr>
          <w:rFonts w:ascii="Times New Roman" w:hAnsi="宋体" w:cs="Times New Roman"/>
          <w:color w:val="auto"/>
          <w:sz w:val="21"/>
          <w:szCs w:val="21"/>
          <w:highlight w:val="none"/>
        </w:rPr>
      </w:pPr>
      <w:r>
        <w:rPr>
          <w:rFonts w:hint="eastAsia" w:ascii="Times New Roman" w:hAnsi="Times New Roman" w:cs="Times New Roman"/>
          <w:color w:val="auto"/>
          <w:sz w:val="21"/>
          <w:szCs w:val="21"/>
          <w:highlight w:val="none"/>
          <w:lang w:eastAsia="zh-CN"/>
        </w:rPr>
        <w:t>6.</w:t>
      </w:r>
      <w:r>
        <w:rPr>
          <w:rFonts w:hint="eastAsia" w:ascii="Times New Roman" w:hAnsi="宋体" w:cs="宋体"/>
          <w:color w:val="auto"/>
          <w:sz w:val="21"/>
          <w:szCs w:val="21"/>
          <w:highlight w:val="none"/>
        </w:rPr>
        <w:t>住宅小区内的给排水设施、道路等配套工程为</w:t>
      </w:r>
      <w:r>
        <w:rPr>
          <w:rFonts w:ascii="Times New Roman" w:hAnsi="Times New Roman" w:cs="Times New Roman"/>
          <w:color w:val="auto"/>
          <w:sz w:val="21"/>
          <w:szCs w:val="21"/>
          <w:highlight w:val="none"/>
          <w:u w:val="single"/>
        </w:rPr>
        <w:t xml:space="preserve">   </w:t>
      </w:r>
      <w:r>
        <w:rPr>
          <w:rFonts w:hint="eastAsia" w:cs="Times New Roman"/>
          <w:color w:val="auto"/>
          <w:sz w:val="21"/>
          <w:szCs w:val="21"/>
          <w:highlight w:val="none"/>
          <w:u w:val="single"/>
          <w:lang w:val="en-US" w:eastAsia="zh-CN"/>
        </w:rPr>
        <w:t>2</w:t>
      </w:r>
      <w:r>
        <w:rPr>
          <w:rFonts w:ascii="Times New Roman" w:hAnsi="Times New Roman" w:cs="Times New Roman"/>
          <w:color w:val="auto"/>
          <w:sz w:val="21"/>
          <w:szCs w:val="21"/>
          <w:highlight w:val="none"/>
          <w:u w:val="single"/>
        </w:rPr>
        <w:t xml:space="preserve">  </w:t>
      </w:r>
      <w:r>
        <w:rPr>
          <w:rFonts w:hint="eastAsia" w:ascii="Times New Roman" w:hAnsi="宋体" w:cs="宋体"/>
          <w:color w:val="auto"/>
          <w:sz w:val="21"/>
          <w:szCs w:val="21"/>
          <w:highlight w:val="none"/>
        </w:rPr>
        <w:t>年；</w:t>
      </w:r>
    </w:p>
    <w:p w14:paraId="488630CE">
      <w:pPr>
        <w:spacing w:line="360" w:lineRule="auto"/>
        <w:ind w:firstLine="420"/>
        <w:rPr>
          <w:rFonts w:ascii="Times New Roman" w:hAnsi="宋体" w:cs="Times New Roman"/>
          <w:color w:val="auto"/>
          <w:sz w:val="21"/>
          <w:szCs w:val="21"/>
          <w:highlight w:val="none"/>
        </w:rPr>
      </w:pPr>
      <w:r>
        <w:rPr>
          <w:rFonts w:hint="eastAsia" w:ascii="Times New Roman" w:hAnsi="Times New Roman" w:cs="Times New Roman"/>
          <w:color w:val="auto"/>
          <w:sz w:val="21"/>
          <w:szCs w:val="21"/>
          <w:highlight w:val="none"/>
          <w:lang w:eastAsia="zh-CN"/>
        </w:rPr>
        <w:t>7.</w:t>
      </w:r>
      <w:r>
        <w:rPr>
          <w:rFonts w:hint="eastAsia" w:ascii="Times New Roman" w:hAnsi="宋体" w:cs="宋体"/>
          <w:color w:val="auto"/>
          <w:sz w:val="21"/>
          <w:szCs w:val="21"/>
          <w:highlight w:val="none"/>
        </w:rPr>
        <w:t>其他项目保修期限约定如下：</w:t>
      </w:r>
      <w:r>
        <w:rPr>
          <w:rFonts w:hint="eastAsia" w:ascii="Times New Roman" w:hAnsi="宋体" w:cs="Times New Roman"/>
          <w:color w:val="auto"/>
          <w:sz w:val="21"/>
          <w:szCs w:val="21"/>
          <w:highlight w:val="none"/>
          <w:u w:val="single"/>
        </w:rPr>
        <w:t>本工程整体保修期 2 年。接到故障报修 24 小时响应，48 小时派员到场维修，紧急情况 4 小时到场</w:t>
      </w:r>
      <w:r>
        <w:rPr>
          <w:rFonts w:hint="eastAsia" w:ascii="Times New Roman" w:hAnsi="宋体" w:cs="宋体"/>
          <w:color w:val="auto"/>
          <w:sz w:val="21"/>
          <w:szCs w:val="21"/>
          <w:highlight w:val="none"/>
        </w:rPr>
        <w:t>。</w:t>
      </w:r>
    </w:p>
    <w:p w14:paraId="7021C57B">
      <w:pPr>
        <w:spacing w:line="360" w:lineRule="auto"/>
        <w:ind w:firstLine="420"/>
        <w:rPr>
          <w:rFonts w:ascii="Times New Roman" w:hAnsi="宋体" w:cs="Times New Roman"/>
          <w:color w:val="auto"/>
          <w:sz w:val="21"/>
          <w:szCs w:val="21"/>
          <w:highlight w:val="none"/>
        </w:rPr>
      </w:pPr>
      <w:r>
        <w:rPr>
          <w:rFonts w:hint="eastAsia" w:ascii="Times New Roman" w:hAnsi="宋体" w:cs="宋体"/>
          <w:color w:val="auto"/>
          <w:sz w:val="21"/>
          <w:szCs w:val="21"/>
          <w:highlight w:val="none"/>
        </w:rPr>
        <w:t>质量保修期自工程竣工验收合格之日起计算。</w:t>
      </w:r>
    </w:p>
    <w:p w14:paraId="609AE3B1">
      <w:pPr>
        <w:spacing w:line="360" w:lineRule="auto"/>
        <w:ind w:firstLine="420"/>
        <w:rPr>
          <w:rFonts w:ascii="黑体" w:hAnsi="宋体" w:eastAsia="黑体" w:cs="Times New Roman"/>
          <w:color w:val="auto"/>
          <w:sz w:val="21"/>
          <w:szCs w:val="21"/>
          <w:highlight w:val="none"/>
        </w:rPr>
      </w:pPr>
      <w:r>
        <w:rPr>
          <w:rFonts w:hint="eastAsia" w:ascii="黑体" w:hAnsi="宋体" w:eastAsia="黑体" w:cs="黑体"/>
          <w:color w:val="auto"/>
          <w:sz w:val="21"/>
          <w:szCs w:val="21"/>
          <w:highlight w:val="none"/>
        </w:rPr>
        <w:t>三、缺陷责任期</w:t>
      </w:r>
    </w:p>
    <w:p w14:paraId="7A1A5CEE">
      <w:pPr>
        <w:spacing w:line="360" w:lineRule="auto"/>
        <w:ind w:firstLine="420"/>
        <w:rPr>
          <w:rFonts w:ascii="Times New Roman" w:hAnsi="宋体" w:cs="Times New Roman"/>
          <w:color w:val="auto"/>
          <w:sz w:val="21"/>
          <w:szCs w:val="21"/>
          <w:highlight w:val="none"/>
        </w:rPr>
      </w:pPr>
      <w:r>
        <w:rPr>
          <w:rFonts w:hint="eastAsia" w:ascii="Times New Roman" w:hAnsi="宋体" w:cs="宋体"/>
          <w:color w:val="auto"/>
          <w:sz w:val="21"/>
          <w:szCs w:val="21"/>
          <w:highlight w:val="none"/>
        </w:rPr>
        <w:t>工程缺陷责任期为</w:t>
      </w:r>
      <w:r>
        <w:rPr>
          <w:rFonts w:ascii="Times New Roman" w:hAnsi="Times New Roman" w:cs="Times New Roman"/>
          <w:color w:val="auto"/>
          <w:sz w:val="21"/>
          <w:szCs w:val="21"/>
          <w:highlight w:val="none"/>
          <w:u w:val="single"/>
        </w:rPr>
        <w:t xml:space="preserve">   </w:t>
      </w:r>
      <w:r>
        <w:rPr>
          <w:rFonts w:hint="eastAsia" w:cs="Times New Roman"/>
          <w:color w:val="auto"/>
          <w:sz w:val="21"/>
          <w:szCs w:val="21"/>
          <w:highlight w:val="none"/>
          <w:u w:val="single"/>
          <w:lang w:val="en-US" w:eastAsia="zh-CN"/>
        </w:rPr>
        <w:t>12</w:t>
      </w:r>
      <w:r>
        <w:rPr>
          <w:rFonts w:ascii="Times New Roman" w:hAnsi="Times New Roman" w:cs="Times New Roman"/>
          <w:color w:val="auto"/>
          <w:sz w:val="21"/>
          <w:szCs w:val="21"/>
          <w:highlight w:val="none"/>
          <w:u w:val="single"/>
        </w:rPr>
        <w:t xml:space="preserve">   </w:t>
      </w:r>
      <w:r>
        <w:rPr>
          <w:rFonts w:hint="eastAsia" w:ascii="Times New Roman" w:hAnsi="宋体" w:cs="宋体"/>
          <w:color w:val="auto"/>
          <w:sz w:val="21"/>
          <w:szCs w:val="21"/>
          <w:highlight w:val="none"/>
        </w:rPr>
        <w:t>个月（最长不超过</w:t>
      </w:r>
      <w:r>
        <w:rPr>
          <w:rFonts w:ascii="Times New Roman" w:hAnsi="宋体" w:cs="Times New Roman"/>
          <w:color w:val="auto"/>
          <w:sz w:val="21"/>
          <w:szCs w:val="21"/>
          <w:highlight w:val="none"/>
        </w:rPr>
        <w:t>24</w:t>
      </w:r>
      <w:r>
        <w:rPr>
          <w:rFonts w:hint="eastAsia" w:ascii="Times New Roman" w:hAnsi="宋体" w:cs="宋体"/>
          <w:color w:val="auto"/>
          <w:sz w:val="21"/>
          <w:szCs w:val="21"/>
          <w:highlight w:val="none"/>
        </w:rPr>
        <w:t>个月），缺陷责任期自工程竣工验收合格之日起计算。单位工程先于全部工程进行验收，单位工程缺陷责任期自单位工程验收合格之日起算。</w:t>
      </w:r>
    </w:p>
    <w:p w14:paraId="11B48311">
      <w:pPr>
        <w:spacing w:line="360" w:lineRule="auto"/>
        <w:ind w:firstLine="420"/>
        <w:rPr>
          <w:rFonts w:ascii="Times New Roman" w:hAnsi="宋体" w:cs="Times New Roman"/>
          <w:color w:val="auto"/>
          <w:sz w:val="21"/>
          <w:szCs w:val="21"/>
          <w:highlight w:val="none"/>
        </w:rPr>
      </w:pPr>
      <w:r>
        <w:rPr>
          <w:rFonts w:hint="eastAsia" w:ascii="Times New Roman" w:hAnsi="宋体" w:cs="宋体"/>
          <w:color w:val="auto"/>
          <w:sz w:val="21"/>
          <w:szCs w:val="21"/>
          <w:highlight w:val="none"/>
        </w:rPr>
        <w:t>缺陷责任期</w:t>
      </w:r>
      <w:r>
        <w:rPr>
          <w:rFonts w:hint="eastAsia" w:ascii="Times New Roman" w:hAnsi="宋体" w:cs="宋体"/>
          <w:color w:val="auto"/>
          <w:sz w:val="21"/>
          <w:szCs w:val="21"/>
          <w:highlight w:val="none"/>
          <w:u w:val="single"/>
        </w:rPr>
        <w:t>满</w:t>
      </w:r>
      <w:r>
        <w:rPr>
          <w:rFonts w:hint="eastAsia" w:ascii="仿宋_GB2312" w:hAnsi="宋体" w:cs="Times New Roman"/>
          <w:color w:val="auto"/>
          <w:sz w:val="21"/>
          <w:szCs w:val="21"/>
          <w:highlight w:val="none"/>
        </w:rPr>
        <w:t>之日起</w:t>
      </w:r>
      <w:r>
        <w:rPr>
          <w:rFonts w:hint="eastAsia" w:ascii="仿宋_GB2312" w:hAnsi="宋体" w:cs="Times New Roman"/>
          <w:color w:val="auto"/>
          <w:sz w:val="21"/>
          <w:szCs w:val="21"/>
          <w:highlight w:val="none"/>
          <w:u w:val="single"/>
        </w:rPr>
        <w:t xml:space="preserve"> </w:t>
      </w:r>
      <w:r>
        <w:rPr>
          <w:rFonts w:hint="eastAsia" w:ascii="仿宋_GB2312" w:hAnsi="宋体" w:cs="Times New Roman"/>
          <w:color w:val="auto"/>
          <w:sz w:val="21"/>
          <w:szCs w:val="21"/>
          <w:highlight w:val="none"/>
          <w:u w:val="single"/>
          <w:lang w:val="en-US" w:eastAsia="zh-CN"/>
        </w:rPr>
        <w:t>14</w:t>
      </w:r>
      <w:r>
        <w:rPr>
          <w:rFonts w:hint="eastAsia" w:ascii="仿宋_GB2312" w:hAnsi="宋体" w:cs="Times New Roman"/>
          <w:color w:val="auto"/>
          <w:sz w:val="21"/>
          <w:szCs w:val="21"/>
          <w:highlight w:val="none"/>
          <w:u w:val="single"/>
        </w:rPr>
        <w:t xml:space="preserve"> </w:t>
      </w:r>
      <w:r>
        <w:rPr>
          <w:rFonts w:hint="eastAsia" w:ascii="仿宋_GB2312" w:hAnsi="宋体" w:cs="Times New Roman"/>
          <w:color w:val="auto"/>
          <w:sz w:val="21"/>
          <w:szCs w:val="21"/>
          <w:highlight w:val="none"/>
        </w:rPr>
        <w:t>天</w:t>
      </w:r>
      <w:r>
        <w:rPr>
          <w:rFonts w:hint="eastAsia" w:ascii="Times New Roman" w:hAnsi="宋体" w:cs="宋体"/>
          <w:color w:val="auto"/>
          <w:sz w:val="21"/>
          <w:szCs w:val="21"/>
          <w:highlight w:val="none"/>
          <w:u w:val="single"/>
        </w:rPr>
        <w:t>（按</w:t>
      </w:r>
      <w:r>
        <w:rPr>
          <w:rFonts w:ascii="Times New Roman" w:hAnsi="宋体" w:cs="宋体"/>
          <w:color w:val="auto"/>
          <w:sz w:val="21"/>
          <w:szCs w:val="21"/>
          <w:highlight w:val="none"/>
          <w:u w:val="single"/>
        </w:rPr>
        <w:t>合同约定期限）</w:t>
      </w:r>
      <w:r>
        <w:rPr>
          <w:rFonts w:hint="eastAsia" w:ascii="Times New Roman" w:hAnsi="宋体" w:cs="宋体"/>
          <w:color w:val="auto"/>
          <w:sz w:val="21"/>
          <w:szCs w:val="21"/>
          <w:highlight w:val="none"/>
          <w:u w:val="single"/>
        </w:rPr>
        <w:t>，</w:t>
      </w:r>
      <w:r>
        <w:rPr>
          <w:rFonts w:hint="eastAsia" w:ascii="Times New Roman" w:hAnsi="宋体" w:cs="宋体"/>
          <w:color w:val="auto"/>
          <w:sz w:val="21"/>
          <w:szCs w:val="21"/>
          <w:highlight w:val="none"/>
        </w:rPr>
        <w:t>发包人应退还剩余的质量保证金。</w:t>
      </w:r>
    </w:p>
    <w:p w14:paraId="1EAE7B39">
      <w:pPr>
        <w:spacing w:line="360" w:lineRule="auto"/>
        <w:ind w:firstLine="420"/>
        <w:rPr>
          <w:rFonts w:ascii="黑体" w:hAnsi="宋体" w:eastAsia="黑体" w:cs="Times New Roman"/>
          <w:color w:val="auto"/>
          <w:sz w:val="21"/>
          <w:szCs w:val="21"/>
          <w:highlight w:val="none"/>
        </w:rPr>
      </w:pPr>
      <w:r>
        <w:rPr>
          <w:rFonts w:hint="eastAsia" w:ascii="黑体" w:hAnsi="宋体" w:eastAsia="黑体" w:cs="黑体"/>
          <w:color w:val="auto"/>
          <w:sz w:val="21"/>
          <w:szCs w:val="21"/>
          <w:highlight w:val="none"/>
        </w:rPr>
        <w:t>四、质量保修责任</w:t>
      </w:r>
    </w:p>
    <w:p w14:paraId="245102E7">
      <w:pPr>
        <w:spacing w:line="360" w:lineRule="auto"/>
        <w:ind w:left="105" w:leftChars="50" w:firstLine="430" w:firstLineChars="205"/>
        <w:rPr>
          <w:rFonts w:ascii="Times New Roman" w:hAnsi="宋体" w:cs="Times New Roman"/>
          <w:color w:val="auto"/>
          <w:sz w:val="21"/>
          <w:szCs w:val="21"/>
          <w:highlight w:val="none"/>
        </w:rPr>
      </w:pPr>
      <w:r>
        <w:rPr>
          <w:rFonts w:hint="eastAsia" w:ascii="Times New Roman" w:hAnsi="Times New Roman" w:cs="Times New Roman"/>
          <w:color w:val="auto"/>
          <w:sz w:val="21"/>
          <w:szCs w:val="21"/>
          <w:highlight w:val="none"/>
          <w:lang w:eastAsia="zh-CN"/>
        </w:rPr>
        <w:t>1.</w:t>
      </w:r>
      <w:r>
        <w:rPr>
          <w:rFonts w:hint="eastAsia" w:ascii="Times New Roman" w:hAnsi="宋体" w:cs="宋体"/>
          <w:color w:val="auto"/>
          <w:sz w:val="21"/>
          <w:szCs w:val="21"/>
          <w:highlight w:val="none"/>
        </w:rPr>
        <w:t>属于保修范围、内容的项目，承包人应当在接到保修通知之日起</w:t>
      </w:r>
      <w:r>
        <w:rPr>
          <w:rFonts w:ascii="Times New Roman" w:hAnsi="Times New Roman" w:cs="Times New Roman"/>
          <w:color w:val="auto"/>
          <w:sz w:val="21"/>
          <w:szCs w:val="21"/>
          <w:highlight w:val="none"/>
          <w:u w:val="single"/>
        </w:rPr>
        <w:t xml:space="preserve">      </w:t>
      </w:r>
      <w:r>
        <w:rPr>
          <w:rFonts w:hint="eastAsia" w:ascii="Times New Roman" w:hAnsi="宋体" w:cs="宋体"/>
          <w:color w:val="auto"/>
          <w:sz w:val="21"/>
          <w:szCs w:val="21"/>
          <w:highlight w:val="none"/>
        </w:rPr>
        <w:t>天内派人保修。承包人不在约定期限内派人保修的，发包人可以委托他人修理，修理费用从质量保证金内扣除。</w:t>
      </w:r>
    </w:p>
    <w:p w14:paraId="6505E30B">
      <w:pPr>
        <w:spacing w:line="360" w:lineRule="auto"/>
        <w:ind w:firstLine="420"/>
        <w:rPr>
          <w:rFonts w:ascii="Times New Roman" w:hAnsi="宋体" w:cs="Times New Roman"/>
          <w:color w:val="auto"/>
          <w:sz w:val="21"/>
          <w:szCs w:val="21"/>
          <w:highlight w:val="none"/>
        </w:rPr>
      </w:pPr>
      <w:r>
        <w:rPr>
          <w:rFonts w:hint="eastAsia" w:ascii="Times New Roman" w:hAnsi="Times New Roman" w:cs="Times New Roman"/>
          <w:color w:val="auto"/>
          <w:sz w:val="21"/>
          <w:szCs w:val="21"/>
          <w:highlight w:val="none"/>
          <w:lang w:eastAsia="zh-CN"/>
        </w:rPr>
        <w:t>2.</w:t>
      </w:r>
      <w:r>
        <w:rPr>
          <w:rFonts w:hint="eastAsia" w:ascii="Times New Roman" w:hAnsi="宋体" w:cs="宋体"/>
          <w:color w:val="auto"/>
          <w:sz w:val="21"/>
          <w:szCs w:val="21"/>
          <w:highlight w:val="none"/>
        </w:rPr>
        <w:t>发生紧急事故需抢修的，承包人在接到事故通知后，应当立即到达事故现场抢修。</w:t>
      </w:r>
    </w:p>
    <w:p w14:paraId="10371A44">
      <w:pPr>
        <w:spacing w:line="360" w:lineRule="auto"/>
        <w:ind w:firstLine="420"/>
        <w:rPr>
          <w:rFonts w:ascii="Times New Roman" w:hAnsi="宋体" w:cs="Times New Roman"/>
          <w:color w:val="auto"/>
          <w:sz w:val="21"/>
          <w:szCs w:val="21"/>
          <w:highlight w:val="none"/>
        </w:rPr>
      </w:pPr>
      <w:r>
        <w:rPr>
          <w:rFonts w:hint="eastAsia" w:ascii="Times New Roman" w:hAnsi="Times New Roman" w:cs="Times New Roman"/>
          <w:color w:val="auto"/>
          <w:sz w:val="21"/>
          <w:szCs w:val="21"/>
          <w:highlight w:val="none"/>
          <w:lang w:eastAsia="zh-CN"/>
        </w:rPr>
        <w:t>3.</w:t>
      </w:r>
      <w:r>
        <w:rPr>
          <w:rFonts w:hint="eastAsia" w:ascii="Times New Roman" w:hAnsi="宋体" w:cs="宋体"/>
          <w:color w:val="auto"/>
          <w:sz w:val="21"/>
          <w:szCs w:val="21"/>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542A9212">
      <w:pPr>
        <w:spacing w:line="360" w:lineRule="auto"/>
        <w:ind w:firstLine="420"/>
        <w:rPr>
          <w:rFonts w:ascii="Times New Roman" w:hAnsi="宋体" w:cs="Times New Roman"/>
          <w:color w:val="auto"/>
          <w:sz w:val="21"/>
          <w:szCs w:val="21"/>
          <w:highlight w:val="none"/>
        </w:rPr>
      </w:pPr>
      <w:r>
        <w:rPr>
          <w:rFonts w:hint="eastAsia" w:ascii="Times New Roman" w:hAnsi="Times New Roman" w:cs="Times New Roman"/>
          <w:color w:val="auto"/>
          <w:sz w:val="21"/>
          <w:szCs w:val="21"/>
          <w:highlight w:val="none"/>
          <w:lang w:eastAsia="zh-CN"/>
        </w:rPr>
        <w:t>4.</w:t>
      </w:r>
      <w:r>
        <w:rPr>
          <w:rFonts w:hint="eastAsia" w:ascii="Times New Roman" w:hAnsi="宋体" w:cs="宋体"/>
          <w:color w:val="auto"/>
          <w:sz w:val="21"/>
          <w:szCs w:val="21"/>
          <w:highlight w:val="none"/>
        </w:rPr>
        <w:t>质量保修完成后，由发包人组织验收。</w:t>
      </w:r>
    </w:p>
    <w:p w14:paraId="771BB4E0">
      <w:pPr>
        <w:spacing w:line="360" w:lineRule="auto"/>
        <w:ind w:firstLine="420"/>
        <w:rPr>
          <w:rFonts w:ascii="黑体" w:hAnsi="宋体" w:eastAsia="黑体" w:cs="Times New Roman"/>
          <w:color w:val="auto"/>
          <w:sz w:val="21"/>
          <w:szCs w:val="21"/>
          <w:highlight w:val="none"/>
        </w:rPr>
      </w:pPr>
      <w:r>
        <w:rPr>
          <w:rFonts w:hint="eastAsia" w:ascii="黑体" w:hAnsi="宋体" w:eastAsia="黑体" w:cs="黑体"/>
          <w:color w:val="auto"/>
          <w:sz w:val="21"/>
          <w:szCs w:val="21"/>
          <w:highlight w:val="none"/>
        </w:rPr>
        <w:t>五、保修费用</w:t>
      </w:r>
    </w:p>
    <w:p w14:paraId="2E852ABC">
      <w:pPr>
        <w:tabs>
          <w:tab w:val="left" w:pos="7380"/>
        </w:tabs>
        <w:spacing w:line="360" w:lineRule="auto"/>
        <w:ind w:firstLine="420"/>
        <w:rPr>
          <w:rFonts w:ascii="Times New Roman" w:hAnsi="宋体" w:cs="Times New Roman"/>
          <w:color w:val="auto"/>
          <w:sz w:val="21"/>
          <w:szCs w:val="21"/>
          <w:highlight w:val="none"/>
        </w:rPr>
      </w:pPr>
      <w:r>
        <w:rPr>
          <w:rFonts w:hint="eastAsia" w:ascii="Times New Roman" w:hAnsi="宋体" w:cs="宋体"/>
          <w:color w:val="auto"/>
          <w:sz w:val="21"/>
          <w:szCs w:val="21"/>
          <w:highlight w:val="none"/>
        </w:rPr>
        <w:t>保修费用由造成质量缺陷的责任方承担。</w:t>
      </w:r>
    </w:p>
    <w:p w14:paraId="60656147">
      <w:pPr>
        <w:spacing w:line="360" w:lineRule="auto"/>
        <w:ind w:firstLine="420"/>
        <w:rPr>
          <w:rFonts w:ascii="黑体" w:hAnsi="宋体" w:eastAsia="黑体" w:cs="黑体"/>
          <w:color w:val="auto"/>
          <w:sz w:val="21"/>
          <w:szCs w:val="21"/>
          <w:highlight w:val="none"/>
        </w:rPr>
      </w:pPr>
      <w:r>
        <w:rPr>
          <w:rFonts w:hint="eastAsia" w:ascii="黑体" w:hAnsi="宋体" w:eastAsia="黑体" w:cs="黑体"/>
          <w:color w:val="auto"/>
          <w:sz w:val="21"/>
          <w:szCs w:val="21"/>
          <w:highlight w:val="none"/>
        </w:rPr>
        <w:t>六、双方约定的其他工程质量保修事项：</w:t>
      </w:r>
      <w:r>
        <w:rPr>
          <w:rFonts w:ascii="黑体" w:hAnsi="宋体" w:eastAsia="黑体" w:cs="黑体"/>
          <w:color w:val="auto"/>
          <w:sz w:val="21"/>
          <w:szCs w:val="21"/>
          <w:highlight w:val="none"/>
        </w:rPr>
        <w:t xml:space="preserve"> </w:t>
      </w:r>
    </w:p>
    <w:p w14:paraId="2C1BDEA4">
      <w:pPr>
        <w:spacing w:line="360" w:lineRule="auto"/>
        <w:ind w:firstLine="420" w:firstLineChars="200"/>
        <w:jc w:val="left"/>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u w:val="single"/>
        </w:rPr>
        <w:t xml:space="preserve">                                                                                                                                                             </w:t>
      </w:r>
      <w:r>
        <w:rPr>
          <w:rFonts w:hint="eastAsia" w:ascii="Times New Roman" w:hAnsi="宋体" w:cs="宋体"/>
          <w:color w:val="auto"/>
          <w:sz w:val="21"/>
          <w:szCs w:val="21"/>
          <w:highlight w:val="none"/>
        </w:rPr>
        <w:t>。</w:t>
      </w:r>
    </w:p>
    <w:p w14:paraId="296B870A">
      <w:pPr>
        <w:spacing w:line="360" w:lineRule="auto"/>
        <w:ind w:firstLine="399" w:firstLineChars="190"/>
        <w:rPr>
          <w:rFonts w:ascii="Times New Roman" w:hAnsi="Times New Roman" w:cs="Times New Roman"/>
          <w:color w:val="auto"/>
          <w:sz w:val="21"/>
          <w:szCs w:val="21"/>
          <w:highlight w:val="none"/>
        </w:rPr>
      </w:pPr>
      <w:r>
        <w:rPr>
          <w:rFonts w:hint="eastAsia" w:ascii="Times New Roman" w:hAnsi="宋体" w:cs="宋体"/>
          <w:color w:val="auto"/>
          <w:sz w:val="21"/>
          <w:szCs w:val="21"/>
          <w:highlight w:val="none"/>
        </w:rPr>
        <w:t>工程质量保修书由发包人、承包人在工程竣工验收前共同签署，作为施工合同附件，其有效期限至保修期满。</w:t>
      </w:r>
    </w:p>
    <w:p w14:paraId="2F48E9CA">
      <w:pPr>
        <w:spacing w:line="360" w:lineRule="auto"/>
        <w:ind w:firstLine="420"/>
        <w:rPr>
          <w:rFonts w:ascii="Times New Roman" w:hAnsi="Times New Roman" w:cs="Times New Roman"/>
          <w:color w:val="auto"/>
          <w:sz w:val="21"/>
          <w:szCs w:val="21"/>
          <w:highlight w:val="none"/>
        </w:rPr>
      </w:pPr>
    </w:p>
    <w:p w14:paraId="07B0D349">
      <w:pPr>
        <w:spacing w:line="360" w:lineRule="auto"/>
        <w:rPr>
          <w:rFonts w:hint="eastAsia" w:ascii="Times New Roman" w:hAnsi="Times New Roman" w:eastAsia="宋体" w:cs="Times New Roman"/>
          <w:color w:val="auto"/>
          <w:sz w:val="21"/>
          <w:szCs w:val="21"/>
          <w:highlight w:val="none"/>
          <w:lang w:eastAsia="zh-CN"/>
        </w:rPr>
      </w:pPr>
      <w:r>
        <w:rPr>
          <w:rFonts w:ascii="Times New Roman" w:hAnsi="宋体" w:cs="Times New Roman"/>
          <w:color w:val="auto"/>
          <w:sz w:val="21"/>
          <w:szCs w:val="21"/>
          <w:highlight w:val="none"/>
        </w:rPr>
        <w:t>发包人</w:t>
      </w:r>
      <w:r>
        <w:rPr>
          <w:rFonts w:hint="eastAsia" w:ascii="Times New Roman" w:hAnsi="Times New Roman" w:cs="Times New Roman"/>
          <w:color w:val="auto"/>
          <w:sz w:val="21"/>
          <w:szCs w:val="21"/>
          <w:highlight w:val="none"/>
        </w:rPr>
        <w:t>（</w:t>
      </w:r>
      <w:r>
        <w:rPr>
          <w:rFonts w:ascii="Times New Roman" w:hAnsi="宋体" w:cs="Times New Roman"/>
          <w:color w:val="auto"/>
          <w:sz w:val="21"/>
          <w:szCs w:val="21"/>
          <w:highlight w:val="none"/>
        </w:rPr>
        <w:t>公章</w:t>
      </w:r>
      <w:r>
        <w:rPr>
          <w:rFonts w:hint="eastAsia" w:ascii="Times New Roman" w:hAnsi="Times New Roman" w:cs="Times New Roman"/>
          <w:color w:val="auto"/>
          <w:sz w:val="21"/>
          <w:szCs w:val="21"/>
          <w:highlight w:val="none"/>
        </w:rPr>
        <w:t>）</w:t>
      </w:r>
      <w:r>
        <w:rPr>
          <w:rFonts w:ascii="Times New Roman" w:hAnsi="宋体" w:cs="Times New Roman"/>
          <w:color w:val="auto"/>
          <w:sz w:val="21"/>
          <w:szCs w:val="21"/>
          <w:highlight w:val="none"/>
        </w:rPr>
        <w:t>：</w:t>
      </w:r>
      <w:r>
        <w:rPr>
          <w:rFonts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u w:val="single"/>
          <w:lang w:eastAsia="zh-CN"/>
        </w:rPr>
        <w:t xml:space="preserve">  </w:t>
      </w:r>
      <w:r>
        <w:rPr>
          <w:rFonts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u w:val="single"/>
          <w:lang w:eastAsia="zh-CN"/>
        </w:rPr>
        <w:t xml:space="preserve">    </w:t>
      </w:r>
      <w:r>
        <w:rPr>
          <w:rFonts w:ascii="Times New Roman" w:hAnsi="Times New Roman" w:cs="Times New Roman"/>
          <w:color w:val="auto"/>
          <w:sz w:val="21"/>
          <w:szCs w:val="21"/>
          <w:highlight w:val="none"/>
          <w:u w:val="single"/>
        </w:rPr>
        <w:t xml:space="preserve"> </w:t>
      </w:r>
      <w:r>
        <w:rPr>
          <w:rFonts w:hint="eastAsia" w:ascii="Times New Roman" w:hAnsi="Times New Roman" w:cs="Times New Roman"/>
          <w:color w:val="auto"/>
          <w:sz w:val="21"/>
          <w:szCs w:val="21"/>
          <w:highlight w:val="none"/>
          <w:u w:val="single"/>
        </w:rPr>
        <w:t xml:space="preserve"> </w:t>
      </w:r>
      <w:r>
        <w:rPr>
          <w:rFonts w:ascii="Times New Roman" w:hAnsi="Times New Roman" w:cs="Times New Roman"/>
          <w:color w:val="auto"/>
          <w:sz w:val="21"/>
          <w:szCs w:val="21"/>
          <w:highlight w:val="none"/>
          <w:u w:val="single"/>
        </w:rPr>
        <w:t xml:space="preserve">     </w:t>
      </w:r>
      <w:r>
        <w:rPr>
          <w:rFonts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rPr>
        <w:t xml:space="preserve">            </w:t>
      </w:r>
      <w:r>
        <w:rPr>
          <w:rFonts w:ascii="Times New Roman" w:hAnsi="宋体" w:cs="Times New Roman"/>
          <w:color w:val="auto"/>
          <w:sz w:val="21"/>
          <w:szCs w:val="21"/>
          <w:highlight w:val="none"/>
        </w:rPr>
        <w:t>承包人</w:t>
      </w:r>
      <w:r>
        <w:rPr>
          <w:rFonts w:hint="eastAsia" w:ascii="Times New Roman" w:hAnsi="Times New Roman" w:cs="Times New Roman"/>
          <w:color w:val="auto"/>
          <w:sz w:val="21"/>
          <w:szCs w:val="21"/>
          <w:highlight w:val="none"/>
        </w:rPr>
        <w:t>（</w:t>
      </w:r>
      <w:r>
        <w:rPr>
          <w:rFonts w:ascii="Times New Roman" w:hAnsi="宋体" w:cs="Times New Roman"/>
          <w:color w:val="auto"/>
          <w:sz w:val="21"/>
          <w:szCs w:val="21"/>
          <w:highlight w:val="none"/>
        </w:rPr>
        <w:t>公章</w:t>
      </w:r>
      <w:r>
        <w:rPr>
          <w:rFonts w:hint="eastAsia" w:ascii="Times New Roman" w:hAnsi="Times New Roman" w:cs="Times New Roman"/>
          <w:color w:val="auto"/>
          <w:sz w:val="21"/>
          <w:szCs w:val="21"/>
          <w:highlight w:val="none"/>
        </w:rPr>
        <w:t>）</w:t>
      </w:r>
      <w:r>
        <w:rPr>
          <w:rFonts w:ascii="Times New Roman" w:hAnsi="宋体" w:cs="Times New Roman"/>
          <w:color w:val="auto"/>
          <w:sz w:val="21"/>
          <w:szCs w:val="21"/>
          <w:highlight w:val="none"/>
        </w:rPr>
        <w:t>：</w:t>
      </w:r>
      <w:r>
        <w:rPr>
          <w:rFonts w:hint="eastAsia" w:ascii="宋体" w:hAnsi="宋体" w:cs="Times New Roman"/>
          <w:color w:val="auto"/>
          <w:sz w:val="21"/>
          <w:szCs w:val="21"/>
          <w:highlight w:val="none"/>
          <w:u w:val="single"/>
          <w:lang w:eastAsia="zh-CN"/>
        </w:rPr>
        <w:t xml:space="preserve">  </w:t>
      </w:r>
      <w:r>
        <w:rPr>
          <w:rFonts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u w:val="single"/>
          <w:lang w:eastAsia="zh-CN"/>
        </w:rPr>
        <w:t xml:space="preserve">  </w:t>
      </w:r>
    </w:p>
    <w:p w14:paraId="36909246">
      <w:pPr>
        <w:spacing w:line="360" w:lineRule="auto"/>
        <w:rPr>
          <w:rFonts w:hint="eastAsia" w:ascii="Times New Roman" w:hAnsi="Times New Roman" w:eastAsia="宋体" w:cs="Times New Roman"/>
          <w:color w:val="auto"/>
          <w:sz w:val="21"/>
          <w:szCs w:val="21"/>
          <w:highlight w:val="none"/>
          <w:lang w:eastAsia="zh-CN"/>
        </w:rPr>
      </w:pPr>
      <w:r>
        <w:rPr>
          <w:rFonts w:ascii="Times New Roman" w:hAnsi="宋体" w:cs="Times New Roman"/>
          <w:color w:val="auto"/>
          <w:sz w:val="21"/>
          <w:szCs w:val="21"/>
          <w:highlight w:val="none"/>
        </w:rPr>
        <w:t>地</w:t>
      </w:r>
      <w:r>
        <w:rPr>
          <w:rFonts w:ascii="Times New Roman" w:hAnsi="Times New Roman" w:cs="Times New Roman"/>
          <w:color w:val="auto"/>
          <w:sz w:val="21"/>
          <w:szCs w:val="21"/>
          <w:highlight w:val="none"/>
        </w:rPr>
        <w:t xml:space="preserve">  </w:t>
      </w:r>
      <w:r>
        <w:rPr>
          <w:rFonts w:ascii="Times New Roman" w:hAnsi="宋体" w:cs="Times New Roman"/>
          <w:color w:val="auto"/>
          <w:sz w:val="21"/>
          <w:szCs w:val="21"/>
          <w:highlight w:val="none"/>
        </w:rPr>
        <w:t>址：</w:t>
      </w:r>
      <w:r>
        <w:rPr>
          <w:rFonts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u w:val="single"/>
          <w:lang w:eastAsia="zh-CN"/>
        </w:rPr>
        <w:t xml:space="preserve">              </w:t>
      </w:r>
      <w:r>
        <w:rPr>
          <w:rFonts w:ascii="Times New Roman" w:hAnsi="Times New Roman" w:cs="Times New Roman"/>
          <w:color w:val="auto"/>
          <w:sz w:val="21"/>
          <w:szCs w:val="21"/>
          <w:highlight w:val="none"/>
          <w:u w:val="single"/>
        </w:rPr>
        <w:t xml:space="preserve">   </w:t>
      </w:r>
      <w:r>
        <w:rPr>
          <w:rFonts w:hint="eastAsia" w:ascii="Times New Roman" w:hAnsi="Times New Roman" w:cs="Times New Roman"/>
          <w:color w:val="auto"/>
          <w:sz w:val="21"/>
          <w:szCs w:val="21"/>
          <w:highlight w:val="none"/>
          <w:u w:val="single"/>
        </w:rPr>
        <w:t xml:space="preserve">  </w:t>
      </w:r>
      <w:r>
        <w:rPr>
          <w:rFonts w:ascii="Times New Roman" w:hAnsi="Times New Roman" w:cs="Times New Roman"/>
          <w:color w:val="auto"/>
          <w:sz w:val="21"/>
          <w:szCs w:val="21"/>
          <w:highlight w:val="none"/>
          <w:u w:val="single"/>
        </w:rPr>
        <w:t xml:space="preserve"> </w:t>
      </w:r>
      <w:r>
        <w:rPr>
          <w:rFonts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rPr>
        <w:t xml:space="preserve">             </w:t>
      </w:r>
      <w:r>
        <w:rPr>
          <w:rFonts w:ascii="Times New Roman" w:hAnsi="宋体" w:cs="Times New Roman"/>
          <w:color w:val="auto"/>
          <w:sz w:val="21"/>
          <w:szCs w:val="21"/>
          <w:highlight w:val="none"/>
        </w:rPr>
        <w:t>地</w:t>
      </w:r>
      <w:r>
        <w:rPr>
          <w:rFonts w:ascii="Times New Roman" w:hAnsi="Times New Roman" w:cs="Times New Roman"/>
          <w:color w:val="auto"/>
          <w:sz w:val="21"/>
          <w:szCs w:val="21"/>
          <w:highlight w:val="none"/>
        </w:rPr>
        <w:t xml:space="preserve">  </w:t>
      </w:r>
      <w:r>
        <w:rPr>
          <w:rFonts w:ascii="Times New Roman" w:hAnsi="宋体" w:cs="Times New Roman"/>
          <w:color w:val="auto"/>
          <w:sz w:val="21"/>
          <w:szCs w:val="21"/>
          <w:highlight w:val="none"/>
        </w:rPr>
        <w:t>址：</w:t>
      </w:r>
      <w:r>
        <w:rPr>
          <w:rFonts w:hint="eastAsia" w:ascii="宋体" w:hAnsi="宋体" w:cs="Times New Roman"/>
          <w:color w:val="auto"/>
          <w:sz w:val="21"/>
          <w:szCs w:val="21"/>
          <w:highlight w:val="none"/>
          <w:u w:val="single"/>
          <w:lang w:eastAsia="zh-CN"/>
        </w:rPr>
        <w:t xml:space="preserve">            </w:t>
      </w:r>
      <w:r>
        <w:rPr>
          <w:rFonts w:ascii="Times New Roman" w:hAnsi="Times New Roman" w:cs="Times New Roman"/>
          <w:color w:val="auto"/>
          <w:sz w:val="21"/>
          <w:szCs w:val="21"/>
          <w:highlight w:val="none"/>
          <w:u w:val="single"/>
        </w:rPr>
        <w:t xml:space="preserve"> </w:t>
      </w:r>
      <w:r>
        <w:rPr>
          <w:rFonts w:hint="eastAsia"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u w:val="single"/>
          <w:lang w:eastAsia="zh-CN"/>
        </w:rPr>
        <w:t xml:space="preserve">  </w:t>
      </w:r>
    </w:p>
    <w:p w14:paraId="64E45C11">
      <w:pPr>
        <w:spacing w:line="360" w:lineRule="auto"/>
        <w:rPr>
          <w:rFonts w:hint="eastAsia" w:ascii="Times New Roman" w:hAnsi="Times New Roman" w:eastAsia="宋体" w:cs="Times New Roman"/>
          <w:color w:val="auto"/>
          <w:sz w:val="21"/>
          <w:szCs w:val="21"/>
          <w:highlight w:val="none"/>
          <w:lang w:eastAsia="zh-CN"/>
        </w:rPr>
      </w:pPr>
      <w:r>
        <w:rPr>
          <w:rFonts w:ascii="Times New Roman" w:hAnsi="宋体" w:cs="Times New Roman"/>
          <w:color w:val="auto"/>
          <w:sz w:val="21"/>
          <w:szCs w:val="21"/>
          <w:highlight w:val="none"/>
        </w:rPr>
        <w:t>法定代表人</w:t>
      </w:r>
      <w:r>
        <w:rPr>
          <w:rFonts w:hint="eastAsia" w:ascii="Times New Roman" w:hAnsi="Times New Roman" w:cs="Times New Roman"/>
          <w:color w:val="auto"/>
          <w:sz w:val="21"/>
          <w:szCs w:val="21"/>
          <w:highlight w:val="none"/>
        </w:rPr>
        <w:t>（</w:t>
      </w:r>
      <w:r>
        <w:rPr>
          <w:rFonts w:ascii="Times New Roman" w:hAnsi="宋体" w:cs="Times New Roman"/>
          <w:color w:val="auto"/>
          <w:sz w:val="21"/>
          <w:szCs w:val="21"/>
          <w:highlight w:val="none"/>
        </w:rPr>
        <w:t>签字</w:t>
      </w:r>
      <w:r>
        <w:rPr>
          <w:rFonts w:hint="eastAsia" w:ascii="Times New Roman" w:hAnsi="Times New Roman" w:cs="Times New Roman"/>
          <w:color w:val="auto"/>
          <w:sz w:val="21"/>
          <w:szCs w:val="21"/>
          <w:highlight w:val="none"/>
        </w:rPr>
        <w:t>）</w:t>
      </w:r>
      <w:r>
        <w:rPr>
          <w:rFonts w:ascii="Times New Roman" w:hAnsi="宋体" w:cs="Times New Roman"/>
          <w:color w:val="auto"/>
          <w:sz w:val="21"/>
          <w:szCs w:val="21"/>
          <w:highlight w:val="none"/>
        </w:rPr>
        <w:t>：</w:t>
      </w:r>
      <w:r>
        <w:rPr>
          <w:rFonts w:hint="eastAsia" w:ascii="宋体" w:hAnsi="宋体" w:cs="Times New Roman"/>
          <w:color w:val="auto"/>
          <w:sz w:val="21"/>
          <w:szCs w:val="21"/>
          <w:highlight w:val="none"/>
          <w:u w:val="single"/>
          <w:lang w:eastAsia="zh-CN"/>
        </w:rPr>
        <w:t xml:space="preserve">    </w:t>
      </w:r>
      <w:r>
        <w:rPr>
          <w:rFonts w:ascii="Times New Roman" w:hAnsi="Times New Roman" w:cs="Times New Roman"/>
          <w:color w:val="auto"/>
          <w:sz w:val="21"/>
          <w:szCs w:val="21"/>
          <w:highlight w:val="none"/>
          <w:u w:val="single"/>
        </w:rPr>
        <w:t xml:space="preserve">      </w:t>
      </w:r>
      <w:r>
        <w:rPr>
          <w:rFonts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rPr>
        <w:t xml:space="preserve">             </w:t>
      </w:r>
      <w:r>
        <w:rPr>
          <w:rFonts w:ascii="Times New Roman" w:hAnsi="宋体" w:cs="Times New Roman"/>
          <w:color w:val="auto"/>
          <w:sz w:val="21"/>
          <w:szCs w:val="21"/>
          <w:highlight w:val="none"/>
        </w:rPr>
        <w:t>法定代表人</w:t>
      </w:r>
      <w:r>
        <w:rPr>
          <w:rFonts w:hint="eastAsia" w:ascii="Times New Roman" w:hAnsi="Times New Roman" w:cs="Times New Roman"/>
          <w:color w:val="auto"/>
          <w:sz w:val="21"/>
          <w:szCs w:val="21"/>
          <w:highlight w:val="none"/>
        </w:rPr>
        <w:t>（</w:t>
      </w:r>
      <w:r>
        <w:rPr>
          <w:rFonts w:ascii="Times New Roman" w:hAnsi="宋体" w:cs="Times New Roman"/>
          <w:color w:val="auto"/>
          <w:sz w:val="21"/>
          <w:szCs w:val="21"/>
          <w:highlight w:val="none"/>
        </w:rPr>
        <w:t>签字</w:t>
      </w:r>
      <w:r>
        <w:rPr>
          <w:rFonts w:hint="eastAsia" w:ascii="Times New Roman" w:hAnsi="Times New Roman" w:cs="Times New Roman"/>
          <w:color w:val="auto"/>
          <w:sz w:val="21"/>
          <w:szCs w:val="21"/>
          <w:highlight w:val="none"/>
        </w:rPr>
        <w:t>）</w:t>
      </w:r>
      <w:r>
        <w:rPr>
          <w:rFonts w:ascii="Times New Roman" w:hAnsi="宋体" w:cs="Times New Roman"/>
          <w:color w:val="auto"/>
          <w:sz w:val="21"/>
          <w:szCs w:val="21"/>
          <w:highlight w:val="none"/>
        </w:rPr>
        <w:t>：</w:t>
      </w:r>
      <w:r>
        <w:rPr>
          <w:rFonts w:hint="eastAsia" w:ascii="宋体" w:hAnsi="宋体" w:cs="Times New Roman"/>
          <w:color w:val="auto"/>
          <w:sz w:val="21"/>
          <w:szCs w:val="21"/>
          <w:highlight w:val="none"/>
          <w:u w:val="single"/>
          <w:lang w:eastAsia="zh-CN"/>
        </w:rPr>
        <w:t xml:space="preserve">  </w:t>
      </w:r>
      <w:r>
        <w:rPr>
          <w:rFonts w:hint="eastAsia" w:ascii="宋体" w:hAnsi="宋体" w:cs="Times New Roman"/>
          <w:color w:val="auto"/>
          <w:sz w:val="21"/>
          <w:szCs w:val="21"/>
          <w:highlight w:val="none"/>
          <w:u w:val="single"/>
        </w:rPr>
        <w:t xml:space="preserve">     </w:t>
      </w:r>
      <w:r>
        <w:rPr>
          <w:rFonts w:hint="eastAsia" w:ascii="宋体" w:hAnsi="宋体" w:cs="Times New Roman"/>
          <w:color w:val="auto"/>
          <w:sz w:val="21"/>
          <w:szCs w:val="21"/>
          <w:highlight w:val="none"/>
          <w:u w:val="single"/>
          <w:lang w:eastAsia="zh-CN"/>
        </w:rPr>
        <w:t xml:space="preserve">  </w:t>
      </w:r>
    </w:p>
    <w:p w14:paraId="5F568049">
      <w:pPr>
        <w:spacing w:line="360" w:lineRule="auto"/>
        <w:rPr>
          <w:rFonts w:hint="eastAsia" w:ascii="Times New Roman" w:hAnsi="Times New Roman" w:eastAsia="宋体" w:cs="Times New Roman"/>
          <w:color w:val="auto"/>
          <w:sz w:val="21"/>
          <w:szCs w:val="21"/>
          <w:highlight w:val="none"/>
          <w:lang w:eastAsia="zh-CN"/>
        </w:rPr>
      </w:pPr>
      <w:r>
        <w:rPr>
          <w:rFonts w:ascii="Times New Roman" w:hAnsi="宋体" w:cs="Times New Roman"/>
          <w:color w:val="auto"/>
          <w:sz w:val="21"/>
          <w:szCs w:val="21"/>
          <w:highlight w:val="none"/>
        </w:rPr>
        <w:t>委托代理人</w:t>
      </w:r>
      <w:r>
        <w:rPr>
          <w:rFonts w:hint="eastAsia" w:ascii="Times New Roman" w:hAnsi="Times New Roman" w:cs="Times New Roman"/>
          <w:color w:val="auto"/>
          <w:sz w:val="21"/>
          <w:szCs w:val="21"/>
          <w:highlight w:val="none"/>
        </w:rPr>
        <w:t>（</w:t>
      </w:r>
      <w:r>
        <w:rPr>
          <w:rFonts w:ascii="Times New Roman" w:hAnsi="宋体" w:cs="Times New Roman"/>
          <w:color w:val="auto"/>
          <w:sz w:val="21"/>
          <w:szCs w:val="21"/>
          <w:highlight w:val="none"/>
        </w:rPr>
        <w:t>签字</w:t>
      </w:r>
      <w:r>
        <w:rPr>
          <w:rFonts w:hint="eastAsia" w:ascii="Times New Roman" w:hAnsi="Times New Roman" w:cs="Times New Roman"/>
          <w:color w:val="auto"/>
          <w:sz w:val="21"/>
          <w:szCs w:val="21"/>
          <w:highlight w:val="none"/>
        </w:rPr>
        <w:t>）</w:t>
      </w:r>
      <w:r>
        <w:rPr>
          <w:rFonts w:ascii="Times New Roman" w:hAnsi="宋体" w:cs="Times New Roman"/>
          <w:color w:val="auto"/>
          <w:sz w:val="21"/>
          <w:szCs w:val="21"/>
          <w:highlight w:val="none"/>
        </w:rPr>
        <w:t>：</w:t>
      </w:r>
      <w:r>
        <w:rPr>
          <w:rFonts w:hint="eastAsia" w:ascii="宋体" w:hAnsi="宋体" w:cs="Times New Roman"/>
          <w:color w:val="auto"/>
          <w:sz w:val="21"/>
          <w:szCs w:val="21"/>
          <w:highlight w:val="none"/>
          <w:u w:val="single"/>
          <w:lang w:eastAsia="zh-CN"/>
        </w:rPr>
        <w:t xml:space="preserve">    </w:t>
      </w:r>
      <w:r>
        <w:rPr>
          <w:rFonts w:ascii="Times New Roman" w:hAnsi="Times New Roman" w:cs="Times New Roman"/>
          <w:color w:val="auto"/>
          <w:sz w:val="21"/>
          <w:szCs w:val="21"/>
          <w:highlight w:val="none"/>
          <w:u w:val="single"/>
        </w:rPr>
        <w:t xml:space="preserve">      </w:t>
      </w:r>
      <w:r>
        <w:rPr>
          <w:rFonts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rPr>
        <w:t xml:space="preserve">             </w:t>
      </w:r>
      <w:r>
        <w:rPr>
          <w:rFonts w:ascii="Times New Roman" w:hAnsi="宋体" w:cs="Times New Roman"/>
          <w:color w:val="auto"/>
          <w:sz w:val="21"/>
          <w:szCs w:val="21"/>
          <w:highlight w:val="none"/>
        </w:rPr>
        <w:t>委托代理人</w:t>
      </w:r>
      <w:r>
        <w:rPr>
          <w:rFonts w:hint="eastAsia" w:ascii="Times New Roman" w:hAnsi="Times New Roman" w:cs="Times New Roman"/>
          <w:color w:val="auto"/>
          <w:sz w:val="21"/>
          <w:szCs w:val="21"/>
          <w:highlight w:val="none"/>
        </w:rPr>
        <w:t>（</w:t>
      </w:r>
      <w:r>
        <w:rPr>
          <w:rFonts w:ascii="Times New Roman" w:hAnsi="宋体" w:cs="Times New Roman"/>
          <w:color w:val="auto"/>
          <w:sz w:val="21"/>
          <w:szCs w:val="21"/>
          <w:highlight w:val="none"/>
        </w:rPr>
        <w:t>签字</w:t>
      </w:r>
      <w:r>
        <w:rPr>
          <w:rFonts w:hint="eastAsia" w:ascii="Times New Roman" w:hAnsi="Times New Roman" w:cs="Times New Roman"/>
          <w:color w:val="auto"/>
          <w:sz w:val="21"/>
          <w:szCs w:val="21"/>
          <w:highlight w:val="none"/>
        </w:rPr>
        <w:t>）</w:t>
      </w:r>
      <w:r>
        <w:rPr>
          <w:rFonts w:ascii="Times New Roman" w:hAnsi="宋体" w:cs="Times New Roman"/>
          <w:color w:val="auto"/>
          <w:sz w:val="21"/>
          <w:szCs w:val="21"/>
          <w:highlight w:val="none"/>
        </w:rPr>
        <w:t>：</w:t>
      </w:r>
      <w:r>
        <w:rPr>
          <w:rFonts w:hint="eastAsia" w:ascii="宋体" w:hAnsi="宋体" w:cs="Times New Roman"/>
          <w:color w:val="auto"/>
          <w:sz w:val="21"/>
          <w:szCs w:val="21"/>
          <w:highlight w:val="none"/>
          <w:u w:val="single"/>
          <w:lang w:eastAsia="zh-CN"/>
        </w:rPr>
        <w:t xml:space="preserve">  </w:t>
      </w:r>
      <w:r>
        <w:rPr>
          <w:rFonts w:hint="eastAsia" w:ascii="宋体" w:hAnsi="宋体" w:cs="Times New Roman"/>
          <w:color w:val="auto"/>
          <w:sz w:val="21"/>
          <w:szCs w:val="21"/>
          <w:highlight w:val="none"/>
          <w:u w:val="single"/>
        </w:rPr>
        <w:t xml:space="preserve">     </w:t>
      </w:r>
      <w:r>
        <w:rPr>
          <w:rFonts w:hint="eastAsia" w:ascii="宋体" w:hAnsi="宋体" w:cs="Times New Roman"/>
          <w:color w:val="auto"/>
          <w:sz w:val="21"/>
          <w:szCs w:val="21"/>
          <w:highlight w:val="none"/>
          <w:u w:val="single"/>
          <w:lang w:eastAsia="zh-CN"/>
        </w:rPr>
        <w:t xml:space="preserve">  </w:t>
      </w:r>
    </w:p>
    <w:p w14:paraId="622FE3D4">
      <w:pPr>
        <w:spacing w:line="360" w:lineRule="auto"/>
        <w:rPr>
          <w:rFonts w:hint="eastAsia" w:ascii="Times New Roman" w:hAnsi="Times New Roman" w:eastAsia="宋体" w:cs="Times New Roman"/>
          <w:color w:val="auto"/>
          <w:sz w:val="21"/>
          <w:szCs w:val="21"/>
          <w:highlight w:val="none"/>
          <w:lang w:eastAsia="zh-CN"/>
        </w:rPr>
      </w:pPr>
      <w:r>
        <w:rPr>
          <w:rFonts w:ascii="Times New Roman" w:hAnsi="宋体" w:cs="Times New Roman"/>
          <w:color w:val="auto"/>
          <w:sz w:val="21"/>
          <w:szCs w:val="21"/>
          <w:highlight w:val="none"/>
        </w:rPr>
        <w:t>电</w:t>
      </w:r>
      <w:r>
        <w:rPr>
          <w:rFonts w:ascii="Times New Roman" w:hAnsi="Times New Roman" w:cs="Times New Roman"/>
          <w:color w:val="auto"/>
          <w:sz w:val="21"/>
          <w:szCs w:val="21"/>
          <w:highlight w:val="none"/>
        </w:rPr>
        <w:t xml:space="preserve">  </w:t>
      </w:r>
      <w:r>
        <w:rPr>
          <w:rFonts w:ascii="Times New Roman" w:hAnsi="宋体" w:cs="Times New Roman"/>
          <w:color w:val="auto"/>
          <w:sz w:val="21"/>
          <w:szCs w:val="21"/>
          <w:highlight w:val="none"/>
        </w:rPr>
        <w:t>话：</w:t>
      </w:r>
      <w:r>
        <w:rPr>
          <w:rFonts w:hint="eastAsia" w:ascii="宋体" w:hAnsi="宋体" w:cs="Times New Roman"/>
          <w:color w:val="auto"/>
          <w:sz w:val="21"/>
          <w:szCs w:val="21"/>
          <w:highlight w:val="none"/>
          <w:u w:val="single"/>
          <w:lang w:eastAsia="zh-CN"/>
        </w:rPr>
        <w:t xml:space="preserve">                </w:t>
      </w:r>
      <w:r>
        <w:rPr>
          <w:rFonts w:ascii="Times New Roman" w:hAnsi="Times New Roman" w:cs="Times New Roman"/>
          <w:color w:val="auto"/>
          <w:sz w:val="21"/>
          <w:szCs w:val="21"/>
          <w:highlight w:val="none"/>
          <w:u w:val="single"/>
        </w:rPr>
        <w:t xml:space="preserve"> </w:t>
      </w:r>
      <w:r>
        <w:rPr>
          <w:rFonts w:hint="eastAsia" w:ascii="Times New Roman" w:hAnsi="Times New Roman" w:cs="Times New Roman"/>
          <w:color w:val="auto"/>
          <w:sz w:val="21"/>
          <w:szCs w:val="21"/>
          <w:highlight w:val="none"/>
          <w:u w:val="single"/>
        </w:rPr>
        <w:t xml:space="preserve">  </w:t>
      </w:r>
      <w:r>
        <w:rPr>
          <w:rFonts w:ascii="Times New Roman" w:hAnsi="Times New Roman" w:cs="Times New Roman"/>
          <w:color w:val="auto"/>
          <w:sz w:val="21"/>
          <w:szCs w:val="21"/>
          <w:highlight w:val="none"/>
          <w:u w:val="single"/>
        </w:rPr>
        <w:t xml:space="preserve">  </w:t>
      </w:r>
      <w:r>
        <w:rPr>
          <w:rFonts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rPr>
        <w:t xml:space="preserve">             </w:t>
      </w:r>
      <w:r>
        <w:rPr>
          <w:rFonts w:ascii="Times New Roman" w:hAnsi="宋体" w:cs="Times New Roman"/>
          <w:color w:val="auto"/>
          <w:sz w:val="21"/>
          <w:szCs w:val="21"/>
          <w:highlight w:val="none"/>
        </w:rPr>
        <w:t>电</w:t>
      </w:r>
      <w:r>
        <w:rPr>
          <w:rFonts w:ascii="Times New Roman" w:hAnsi="Times New Roman" w:cs="Times New Roman"/>
          <w:color w:val="auto"/>
          <w:sz w:val="21"/>
          <w:szCs w:val="21"/>
          <w:highlight w:val="none"/>
        </w:rPr>
        <w:t xml:space="preserve">  </w:t>
      </w:r>
      <w:r>
        <w:rPr>
          <w:rFonts w:ascii="Times New Roman" w:hAnsi="宋体" w:cs="Times New Roman"/>
          <w:color w:val="auto"/>
          <w:sz w:val="21"/>
          <w:szCs w:val="21"/>
          <w:highlight w:val="none"/>
        </w:rPr>
        <w:t>话：</w:t>
      </w:r>
      <w:r>
        <w:rPr>
          <w:rFonts w:hint="eastAsia" w:ascii="宋体" w:hAnsi="宋体" w:cs="Times New Roman"/>
          <w:color w:val="auto"/>
          <w:sz w:val="21"/>
          <w:szCs w:val="21"/>
          <w:highlight w:val="none"/>
          <w:u w:val="single"/>
          <w:lang w:eastAsia="zh-CN"/>
        </w:rPr>
        <w:t xml:space="preserve">            </w:t>
      </w:r>
      <w:r>
        <w:rPr>
          <w:rFonts w:hint="eastAsia" w:ascii="宋体" w:hAnsi="宋体" w:cs="Times New Roman"/>
          <w:color w:val="auto"/>
          <w:sz w:val="21"/>
          <w:szCs w:val="21"/>
          <w:highlight w:val="none"/>
          <w:u w:val="single"/>
        </w:rPr>
        <w:t xml:space="preserve">      </w:t>
      </w:r>
      <w:r>
        <w:rPr>
          <w:rFonts w:hint="eastAsia" w:ascii="宋体" w:hAnsi="宋体" w:cs="Times New Roman"/>
          <w:color w:val="auto"/>
          <w:sz w:val="21"/>
          <w:szCs w:val="21"/>
          <w:highlight w:val="none"/>
          <w:u w:val="single"/>
          <w:lang w:eastAsia="zh-CN"/>
        </w:rPr>
        <w:t xml:space="preserve">  </w:t>
      </w:r>
    </w:p>
    <w:p w14:paraId="09679780">
      <w:pPr>
        <w:spacing w:line="360" w:lineRule="auto"/>
        <w:rPr>
          <w:rFonts w:hint="eastAsia" w:ascii="Times New Roman" w:hAnsi="Times New Roman" w:eastAsia="宋体" w:cs="Times New Roman"/>
          <w:color w:val="auto"/>
          <w:sz w:val="21"/>
          <w:szCs w:val="21"/>
          <w:highlight w:val="none"/>
          <w:lang w:eastAsia="zh-CN"/>
        </w:rPr>
      </w:pPr>
      <w:r>
        <w:rPr>
          <w:rFonts w:ascii="Times New Roman" w:hAnsi="宋体" w:cs="Times New Roman"/>
          <w:color w:val="auto"/>
          <w:sz w:val="21"/>
          <w:szCs w:val="21"/>
          <w:highlight w:val="none"/>
        </w:rPr>
        <w:t>传</w:t>
      </w:r>
      <w:r>
        <w:rPr>
          <w:rFonts w:ascii="Times New Roman" w:hAnsi="Times New Roman" w:cs="Times New Roman"/>
          <w:color w:val="auto"/>
          <w:sz w:val="21"/>
          <w:szCs w:val="21"/>
          <w:highlight w:val="none"/>
        </w:rPr>
        <w:t xml:space="preserve">  </w:t>
      </w:r>
      <w:r>
        <w:rPr>
          <w:rFonts w:ascii="Times New Roman" w:hAnsi="宋体" w:cs="Times New Roman"/>
          <w:color w:val="auto"/>
          <w:sz w:val="21"/>
          <w:szCs w:val="21"/>
          <w:highlight w:val="none"/>
        </w:rPr>
        <w:t>真：</w:t>
      </w:r>
      <w:r>
        <w:rPr>
          <w:rFonts w:hint="eastAsia" w:ascii="宋体" w:hAnsi="宋体" w:cs="Times New Roman"/>
          <w:color w:val="auto"/>
          <w:sz w:val="21"/>
          <w:szCs w:val="21"/>
          <w:highlight w:val="none"/>
          <w:u w:val="single"/>
          <w:lang w:eastAsia="zh-CN"/>
        </w:rPr>
        <w:t xml:space="preserve">                </w:t>
      </w:r>
      <w:r>
        <w:rPr>
          <w:rFonts w:hint="eastAsia" w:ascii="宋体" w:hAnsi="宋体" w:cs="Times New Roman"/>
          <w:color w:val="auto"/>
          <w:sz w:val="21"/>
          <w:szCs w:val="21"/>
          <w:highlight w:val="none"/>
          <w:u w:val="single"/>
        </w:rPr>
        <w:t xml:space="preserve">  </w:t>
      </w:r>
      <w:r>
        <w:rPr>
          <w:rFonts w:ascii="Times New Roman" w:hAnsi="Times New Roman" w:cs="Times New Roman"/>
          <w:color w:val="auto"/>
          <w:sz w:val="21"/>
          <w:szCs w:val="21"/>
          <w:highlight w:val="none"/>
          <w:u w:val="single"/>
        </w:rPr>
        <w:t xml:space="preserve">   </w:t>
      </w:r>
      <w:r>
        <w:rPr>
          <w:rFonts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rPr>
        <w:t xml:space="preserve">             </w:t>
      </w:r>
      <w:r>
        <w:rPr>
          <w:rFonts w:ascii="Times New Roman" w:hAnsi="宋体" w:cs="Times New Roman"/>
          <w:color w:val="auto"/>
          <w:sz w:val="21"/>
          <w:szCs w:val="21"/>
          <w:highlight w:val="none"/>
        </w:rPr>
        <w:t>传</w:t>
      </w:r>
      <w:r>
        <w:rPr>
          <w:rFonts w:ascii="Times New Roman" w:hAnsi="Times New Roman" w:cs="Times New Roman"/>
          <w:color w:val="auto"/>
          <w:sz w:val="21"/>
          <w:szCs w:val="21"/>
          <w:highlight w:val="none"/>
        </w:rPr>
        <w:t xml:space="preserve">  </w:t>
      </w:r>
      <w:r>
        <w:rPr>
          <w:rFonts w:ascii="Times New Roman" w:hAnsi="宋体" w:cs="Times New Roman"/>
          <w:color w:val="auto"/>
          <w:sz w:val="21"/>
          <w:szCs w:val="21"/>
          <w:highlight w:val="none"/>
        </w:rPr>
        <w:t>真：</w:t>
      </w:r>
      <w:r>
        <w:rPr>
          <w:rFonts w:hint="eastAsia" w:ascii="宋体" w:hAnsi="宋体" w:cs="Times New Roman"/>
          <w:color w:val="auto"/>
          <w:sz w:val="21"/>
          <w:szCs w:val="21"/>
          <w:highlight w:val="none"/>
          <w:u w:val="single"/>
          <w:lang w:eastAsia="zh-CN"/>
        </w:rPr>
        <w:t xml:space="preserve">              </w:t>
      </w:r>
      <w:r>
        <w:rPr>
          <w:rFonts w:hint="eastAsia" w:ascii="宋体" w:hAnsi="宋体" w:cs="Times New Roman"/>
          <w:color w:val="auto"/>
          <w:sz w:val="21"/>
          <w:szCs w:val="21"/>
          <w:highlight w:val="none"/>
          <w:u w:val="single"/>
        </w:rPr>
        <w:t xml:space="preserve">  </w:t>
      </w:r>
      <w:r>
        <w:rPr>
          <w:rFonts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u w:val="single"/>
          <w:lang w:eastAsia="zh-CN"/>
        </w:rPr>
        <w:t xml:space="preserve">  </w:t>
      </w:r>
    </w:p>
    <w:p w14:paraId="71DA9D7F">
      <w:pPr>
        <w:spacing w:line="360" w:lineRule="auto"/>
        <w:rPr>
          <w:rFonts w:hint="eastAsia" w:ascii="Times New Roman" w:hAnsi="Times New Roman" w:eastAsia="宋体" w:cs="Times New Roman"/>
          <w:color w:val="auto"/>
          <w:sz w:val="21"/>
          <w:szCs w:val="21"/>
          <w:highlight w:val="none"/>
          <w:lang w:eastAsia="zh-CN"/>
        </w:rPr>
      </w:pPr>
      <w:r>
        <w:rPr>
          <w:rFonts w:ascii="Times New Roman" w:hAnsi="宋体" w:cs="Times New Roman"/>
          <w:color w:val="auto"/>
          <w:sz w:val="21"/>
          <w:szCs w:val="21"/>
          <w:highlight w:val="none"/>
        </w:rPr>
        <w:t>开户银行：</w:t>
      </w:r>
      <w:r>
        <w:rPr>
          <w:rFonts w:hint="eastAsia" w:ascii="宋体" w:hAnsi="宋体" w:cs="Times New Roman"/>
          <w:color w:val="auto"/>
          <w:sz w:val="21"/>
          <w:szCs w:val="21"/>
          <w:highlight w:val="none"/>
          <w:u w:val="single"/>
          <w:lang w:eastAsia="zh-CN"/>
        </w:rPr>
        <w:t xml:space="preserve">              </w:t>
      </w:r>
      <w:r>
        <w:rPr>
          <w:rFonts w:hint="eastAsia" w:ascii="宋体" w:hAnsi="宋体" w:cs="Times New Roman"/>
          <w:color w:val="auto"/>
          <w:sz w:val="21"/>
          <w:szCs w:val="21"/>
          <w:highlight w:val="none"/>
          <w:u w:val="single"/>
        </w:rPr>
        <w:t xml:space="preserve">  </w:t>
      </w:r>
      <w:r>
        <w:rPr>
          <w:rFonts w:ascii="Times New Roman" w:hAnsi="Times New Roman" w:cs="Times New Roman"/>
          <w:color w:val="auto"/>
          <w:sz w:val="21"/>
          <w:szCs w:val="21"/>
          <w:highlight w:val="none"/>
          <w:u w:val="single"/>
        </w:rPr>
        <w:t xml:space="preserve">   </w:t>
      </w:r>
      <w:r>
        <w:rPr>
          <w:rFonts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rPr>
        <w:t xml:space="preserve">             </w:t>
      </w:r>
      <w:r>
        <w:rPr>
          <w:rFonts w:ascii="Times New Roman" w:hAnsi="宋体" w:cs="Times New Roman"/>
          <w:color w:val="auto"/>
          <w:sz w:val="21"/>
          <w:szCs w:val="21"/>
          <w:highlight w:val="none"/>
        </w:rPr>
        <w:t>开户银行：</w:t>
      </w:r>
      <w:r>
        <w:rPr>
          <w:rFonts w:hint="eastAsia" w:ascii="宋体" w:hAnsi="宋体" w:cs="Times New Roman"/>
          <w:color w:val="auto"/>
          <w:sz w:val="21"/>
          <w:szCs w:val="21"/>
          <w:highlight w:val="none"/>
          <w:u w:val="single"/>
          <w:lang w:eastAsia="zh-CN"/>
        </w:rPr>
        <w:t xml:space="preserve">            </w:t>
      </w:r>
      <w:r>
        <w:rPr>
          <w:rFonts w:hint="eastAsia" w:ascii="宋体" w:hAnsi="宋体" w:cs="Times New Roman"/>
          <w:color w:val="auto"/>
          <w:sz w:val="21"/>
          <w:szCs w:val="21"/>
          <w:highlight w:val="none"/>
          <w:u w:val="single"/>
        </w:rPr>
        <w:t xml:space="preserve">  </w:t>
      </w:r>
      <w:r>
        <w:rPr>
          <w:rFonts w:hint="eastAsia" w:ascii="宋体" w:hAnsi="宋体" w:cs="Times New Roman"/>
          <w:color w:val="auto"/>
          <w:sz w:val="21"/>
          <w:szCs w:val="21"/>
          <w:highlight w:val="none"/>
          <w:u w:val="single"/>
          <w:lang w:eastAsia="zh-CN"/>
        </w:rPr>
        <w:t xml:space="preserve">    </w:t>
      </w:r>
    </w:p>
    <w:p w14:paraId="6971D111">
      <w:pPr>
        <w:tabs>
          <w:tab w:val="left" w:pos="2880"/>
          <w:tab w:val="left" w:pos="3060"/>
          <w:tab w:val="left" w:pos="4500"/>
        </w:tabs>
        <w:spacing w:line="360" w:lineRule="auto"/>
        <w:rPr>
          <w:rFonts w:hint="eastAsia" w:ascii="Times New Roman" w:hAnsi="Times New Roman" w:eastAsia="宋体" w:cs="Times New Roman"/>
          <w:color w:val="auto"/>
          <w:sz w:val="21"/>
          <w:szCs w:val="21"/>
          <w:highlight w:val="none"/>
          <w:lang w:eastAsia="zh-CN"/>
        </w:rPr>
      </w:pPr>
      <w:r>
        <w:rPr>
          <w:rFonts w:ascii="Times New Roman" w:hAnsi="宋体" w:cs="Times New Roman"/>
          <w:color w:val="auto"/>
          <w:sz w:val="21"/>
          <w:szCs w:val="21"/>
          <w:highlight w:val="none"/>
        </w:rPr>
        <w:t>账</w:t>
      </w:r>
      <w:r>
        <w:rPr>
          <w:rFonts w:ascii="Times New Roman" w:hAnsi="Times New Roman" w:cs="Times New Roman"/>
          <w:color w:val="auto"/>
          <w:sz w:val="21"/>
          <w:szCs w:val="21"/>
          <w:highlight w:val="none"/>
        </w:rPr>
        <w:t xml:space="preserve">  </w:t>
      </w:r>
      <w:r>
        <w:rPr>
          <w:rFonts w:ascii="Times New Roman" w:hAnsi="宋体" w:cs="Times New Roman"/>
          <w:color w:val="auto"/>
          <w:sz w:val="21"/>
          <w:szCs w:val="21"/>
          <w:highlight w:val="none"/>
        </w:rPr>
        <w:t>号：</w:t>
      </w:r>
      <w:r>
        <w:rPr>
          <w:rFonts w:hint="eastAsia" w:ascii="宋体" w:hAnsi="宋体" w:cs="Times New Roman"/>
          <w:color w:val="auto"/>
          <w:sz w:val="21"/>
          <w:szCs w:val="21"/>
          <w:highlight w:val="none"/>
          <w:u w:val="single"/>
          <w:lang w:eastAsia="zh-CN"/>
        </w:rPr>
        <w:t xml:space="preserve">          </w:t>
      </w:r>
      <w:r>
        <w:rPr>
          <w:rFonts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u w:val="single"/>
          <w:lang w:eastAsia="zh-CN"/>
        </w:rPr>
        <w:t xml:space="preserve">  </w:t>
      </w:r>
      <w:r>
        <w:rPr>
          <w:rFonts w:ascii="Times New Roman" w:hAnsi="Times New Roman" w:cs="Times New Roman"/>
          <w:color w:val="auto"/>
          <w:sz w:val="21"/>
          <w:szCs w:val="21"/>
          <w:highlight w:val="none"/>
          <w:u w:val="single"/>
        </w:rPr>
        <w:t xml:space="preserve">   </w:t>
      </w:r>
      <w:r>
        <w:rPr>
          <w:rFonts w:hint="eastAsia" w:ascii="Times New Roman" w:hAnsi="Times New Roman" w:cs="Times New Roman"/>
          <w:color w:val="auto"/>
          <w:sz w:val="21"/>
          <w:szCs w:val="21"/>
          <w:highlight w:val="none"/>
          <w:u w:val="single"/>
        </w:rPr>
        <w:t xml:space="preserve">  </w:t>
      </w:r>
      <w:r>
        <w:rPr>
          <w:rFonts w:ascii="Times New Roman" w:hAnsi="Times New Roman" w:cs="Times New Roman"/>
          <w:color w:val="auto"/>
          <w:sz w:val="21"/>
          <w:szCs w:val="21"/>
          <w:highlight w:val="none"/>
          <w:u w:val="single"/>
        </w:rPr>
        <w:t xml:space="preserve"> </w:t>
      </w:r>
      <w:r>
        <w:rPr>
          <w:rFonts w:hint="eastAsia" w:ascii="Times New Roman" w:hAnsi="Times New Roman" w:cs="Times New Roman"/>
          <w:color w:val="auto"/>
          <w:sz w:val="21"/>
          <w:szCs w:val="21"/>
          <w:highlight w:val="none"/>
          <w:u w:val="single"/>
        </w:rPr>
        <w:t xml:space="preserve"> </w:t>
      </w:r>
      <w:r>
        <w:rPr>
          <w:rFonts w:ascii="Times New Roman" w:hAnsi="Times New Roman" w:cs="Times New Roman"/>
          <w:color w:val="auto"/>
          <w:sz w:val="21"/>
          <w:szCs w:val="21"/>
          <w:highlight w:val="none"/>
          <w:u w:val="single"/>
        </w:rPr>
        <w:t xml:space="preserve">  </w:t>
      </w:r>
      <w:r>
        <w:rPr>
          <w:rFonts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rPr>
        <w:t xml:space="preserve">            </w:t>
      </w:r>
      <w:r>
        <w:rPr>
          <w:rFonts w:ascii="Times New Roman" w:hAnsi="宋体" w:cs="Times New Roman"/>
          <w:color w:val="auto"/>
          <w:sz w:val="21"/>
          <w:szCs w:val="21"/>
          <w:highlight w:val="none"/>
        </w:rPr>
        <w:t>账</w:t>
      </w:r>
      <w:r>
        <w:rPr>
          <w:rFonts w:ascii="Times New Roman" w:hAnsi="Times New Roman" w:cs="Times New Roman"/>
          <w:color w:val="auto"/>
          <w:sz w:val="21"/>
          <w:szCs w:val="21"/>
          <w:highlight w:val="none"/>
        </w:rPr>
        <w:t xml:space="preserve">  </w:t>
      </w:r>
      <w:r>
        <w:rPr>
          <w:rFonts w:ascii="Times New Roman" w:hAnsi="宋体" w:cs="Times New Roman"/>
          <w:color w:val="auto"/>
          <w:sz w:val="21"/>
          <w:szCs w:val="21"/>
          <w:highlight w:val="none"/>
        </w:rPr>
        <w:t>号：</w:t>
      </w:r>
      <w:r>
        <w:rPr>
          <w:rFonts w:hint="eastAsia" w:ascii="宋体" w:hAnsi="宋体" w:cs="Times New Roman"/>
          <w:color w:val="auto"/>
          <w:sz w:val="21"/>
          <w:szCs w:val="21"/>
          <w:highlight w:val="none"/>
          <w:u w:val="single"/>
          <w:lang w:eastAsia="zh-CN"/>
        </w:rPr>
        <w:t xml:space="preserve">              </w:t>
      </w:r>
      <w:r>
        <w:rPr>
          <w:rFonts w:hint="eastAsia" w:ascii="宋体" w:hAnsi="宋体" w:cs="Times New Roman"/>
          <w:color w:val="auto"/>
          <w:sz w:val="21"/>
          <w:szCs w:val="21"/>
          <w:highlight w:val="none"/>
          <w:u w:val="single"/>
        </w:rPr>
        <w:t xml:space="preserve">    </w:t>
      </w:r>
      <w:r>
        <w:rPr>
          <w:rFonts w:hint="eastAsia" w:ascii="宋体" w:hAnsi="宋体" w:cs="Times New Roman"/>
          <w:color w:val="auto"/>
          <w:sz w:val="21"/>
          <w:szCs w:val="21"/>
          <w:highlight w:val="none"/>
          <w:u w:val="single"/>
          <w:lang w:eastAsia="zh-CN"/>
        </w:rPr>
        <w:t xml:space="preserve">  </w:t>
      </w:r>
    </w:p>
    <w:p w14:paraId="430F85C2">
      <w:pPr>
        <w:tabs>
          <w:tab w:val="left" w:pos="7200"/>
          <w:tab w:val="left" w:pos="7380"/>
          <w:tab w:val="left" w:pos="7560"/>
        </w:tabs>
        <w:spacing w:line="360" w:lineRule="auto"/>
        <w:rPr>
          <w:rFonts w:hint="eastAsia" w:ascii="Times New Roman" w:hAnsi="Times New Roman" w:eastAsia="宋体" w:cs="Times New Roman"/>
          <w:color w:val="auto"/>
          <w:sz w:val="21"/>
          <w:szCs w:val="21"/>
          <w:highlight w:val="none"/>
          <w:lang w:eastAsia="zh-CN"/>
        </w:rPr>
      </w:pPr>
      <w:r>
        <w:rPr>
          <w:rFonts w:ascii="Times New Roman" w:hAnsi="宋体" w:cs="Times New Roman"/>
          <w:color w:val="auto"/>
          <w:sz w:val="21"/>
          <w:szCs w:val="21"/>
          <w:highlight w:val="none"/>
        </w:rPr>
        <w:t>邮政编码：</w:t>
      </w:r>
      <w:r>
        <w:rPr>
          <w:rFonts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u w:val="single"/>
          <w:lang w:eastAsia="zh-CN"/>
        </w:rPr>
        <w:t xml:space="preserve">            </w:t>
      </w:r>
      <w:r>
        <w:rPr>
          <w:rFonts w:hint="eastAsia" w:ascii="宋体" w:hAnsi="宋体" w:cs="Times New Roman"/>
          <w:color w:val="auto"/>
          <w:sz w:val="21"/>
          <w:szCs w:val="21"/>
          <w:highlight w:val="none"/>
          <w:u w:val="single"/>
        </w:rPr>
        <w:t xml:space="preserve">  </w:t>
      </w:r>
      <w:r>
        <w:rPr>
          <w:rFonts w:ascii="Times New Roman" w:hAnsi="Times New Roman" w:cs="Times New Roman"/>
          <w:color w:val="auto"/>
          <w:sz w:val="21"/>
          <w:szCs w:val="21"/>
          <w:highlight w:val="none"/>
          <w:u w:val="single"/>
        </w:rPr>
        <w:t xml:space="preserve">    </w:t>
      </w:r>
      <w:r>
        <w:rPr>
          <w:rFonts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rPr>
        <w:t xml:space="preserve">             </w:t>
      </w:r>
      <w:r>
        <w:rPr>
          <w:rFonts w:ascii="Times New Roman" w:hAnsi="宋体" w:cs="Times New Roman"/>
          <w:color w:val="auto"/>
          <w:sz w:val="21"/>
          <w:szCs w:val="21"/>
          <w:highlight w:val="none"/>
        </w:rPr>
        <w:t>邮政编码：</w:t>
      </w:r>
      <w:r>
        <w:rPr>
          <w:rFonts w:hint="eastAsia" w:ascii="宋体" w:hAnsi="宋体" w:cs="Times New Roman"/>
          <w:color w:val="auto"/>
          <w:sz w:val="21"/>
          <w:szCs w:val="21"/>
          <w:highlight w:val="none"/>
          <w:u w:val="single"/>
          <w:lang w:eastAsia="zh-CN"/>
        </w:rPr>
        <w:t xml:space="preserve">            </w:t>
      </w:r>
      <w:r>
        <w:rPr>
          <w:rFonts w:hint="eastAsia" w:ascii="宋体" w:hAnsi="宋体" w:cs="Times New Roman"/>
          <w:color w:val="auto"/>
          <w:sz w:val="21"/>
          <w:szCs w:val="21"/>
          <w:highlight w:val="none"/>
          <w:u w:val="single"/>
        </w:rPr>
        <w:t xml:space="preserve">   </w:t>
      </w:r>
      <w:r>
        <w:rPr>
          <w:rFonts w:hint="eastAsia" w:ascii="宋体" w:hAnsi="宋体" w:cs="Times New Roman"/>
          <w:color w:val="auto"/>
          <w:sz w:val="21"/>
          <w:szCs w:val="21"/>
          <w:highlight w:val="none"/>
          <w:u w:val="single"/>
          <w:lang w:eastAsia="zh-CN"/>
        </w:rPr>
        <w:t xml:space="preserve">  </w:t>
      </w:r>
    </w:p>
    <w:p w14:paraId="18CD4B57">
      <w:pPr>
        <w:spacing w:before="120" w:beforeLines="50" w:after="120" w:afterLines="50" w:line="440" w:lineRule="exact"/>
        <w:jc w:val="center"/>
        <w:rPr>
          <w:rFonts w:ascii="黑体" w:hAnsi="宋体" w:eastAsia="黑体" w:cs="Times New Roman"/>
          <w:color w:val="auto"/>
          <w:sz w:val="21"/>
          <w:szCs w:val="21"/>
          <w:highlight w:val="none"/>
        </w:rPr>
      </w:pPr>
    </w:p>
    <w:p w14:paraId="54C0F931">
      <w:pPr>
        <w:spacing w:before="120" w:beforeLines="50" w:after="120" w:afterLines="50" w:line="440" w:lineRule="exact"/>
        <w:jc w:val="center"/>
        <w:rPr>
          <w:rFonts w:ascii="黑体" w:hAnsi="宋体" w:eastAsia="黑体" w:cs="Times New Roman"/>
          <w:color w:val="auto"/>
          <w:sz w:val="21"/>
          <w:szCs w:val="21"/>
          <w:highlight w:val="none"/>
        </w:rPr>
      </w:pPr>
    </w:p>
    <w:p w14:paraId="7BB34951">
      <w:pPr>
        <w:spacing w:before="120" w:beforeLines="50" w:after="120" w:afterLines="50" w:line="440" w:lineRule="exact"/>
        <w:jc w:val="center"/>
        <w:rPr>
          <w:rFonts w:ascii="黑体" w:hAnsi="宋体" w:eastAsia="黑体" w:cs="Times New Roman"/>
          <w:color w:val="auto"/>
          <w:sz w:val="21"/>
          <w:szCs w:val="21"/>
          <w:highlight w:val="none"/>
        </w:rPr>
      </w:pPr>
    </w:p>
    <w:p w14:paraId="1D0D0892">
      <w:pPr>
        <w:spacing w:before="120" w:beforeLines="50" w:after="120" w:afterLines="50" w:line="440" w:lineRule="exact"/>
        <w:jc w:val="both"/>
        <w:rPr>
          <w:rFonts w:ascii="黑体" w:hAnsi="宋体" w:eastAsia="黑体" w:cs="Times New Roman"/>
          <w:color w:val="auto"/>
          <w:sz w:val="21"/>
          <w:szCs w:val="21"/>
          <w:highlight w:val="none"/>
        </w:rPr>
      </w:pPr>
    </w:p>
    <w:p w14:paraId="1D47F74D">
      <w:pPr>
        <w:keepNext/>
        <w:keepLines/>
        <w:widowControl/>
        <w:spacing w:before="120" w:beforeLines="0" w:after="120" w:afterLines="0" w:line="360" w:lineRule="auto"/>
        <w:jc w:val="both"/>
        <w:outlineLvl w:val="3"/>
        <w:rPr>
          <w:rFonts w:ascii="Arial" w:hAnsi="Arial" w:eastAsia="黑体" w:cs="Times New Roman"/>
          <w:color w:val="auto"/>
          <w:kern w:val="0"/>
          <w:sz w:val="21"/>
          <w:szCs w:val="21"/>
          <w:highlight w:val="none"/>
          <w:lang w:val="en-US" w:eastAsia="zh-CN" w:bidi="ar-SA"/>
        </w:rPr>
      </w:pPr>
      <w:r>
        <w:rPr>
          <w:rFonts w:hint="eastAsia" w:ascii="仿宋_GB2312" w:hAnsi="Arial" w:eastAsia="仿宋_GB2312" w:cs="仿宋_GB2312"/>
          <w:color w:val="auto"/>
          <w:kern w:val="0"/>
          <w:sz w:val="21"/>
          <w:szCs w:val="21"/>
          <w:highlight w:val="none"/>
          <w:lang w:val="en-US" w:eastAsia="zh-CN" w:bidi="ar-SA"/>
        </w:rPr>
        <w:t>附件3：主要建设工程文件目录</w:t>
      </w:r>
    </w:p>
    <w:p w14:paraId="250AE377">
      <w:pPr>
        <w:spacing w:before="120" w:beforeLines="50" w:after="120" w:afterLines="50" w:line="440" w:lineRule="exact"/>
        <w:jc w:val="center"/>
        <w:rPr>
          <w:rFonts w:ascii="Times New Roman" w:hAnsi="Times New Roman" w:eastAsia="黑体" w:cs="Times New Roman"/>
          <w:color w:val="auto"/>
          <w:sz w:val="21"/>
          <w:szCs w:val="21"/>
          <w:highlight w:val="none"/>
        </w:rPr>
      </w:pPr>
      <w:r>
        <w:rPr>
          <w:rFonts w:ascii="Times New Roman" w:hAnsi="Times New Roman" w:eastAsia="黑体" w:cs="Times New Roman"/>
          <w:color w:val="auto"/>
          <w:sz w:val="21"/>
          <w:szCs w:val="21"/>
          <w:highlight w:val="none"/>
        </w:rPr>
        <w:t>主要建设工程文件目录</w:t>
      </w:r>
    </w:p>
    <w:tbl>
      <w:tblPr>
        <w:tblStyle w:val="5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694905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noWrap w:val="0"/>
            <w:vAlign w:val="center"/>
          </w:tcPr>
          <w:p w14:paraId="5F1E9A7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default" w:ascii="Calibri" w:hAnsi="Calibri" w:eastAsia="仿宋_GB2312" w:cs="Times New Roman"/>
                <w:color w:val="auto"/>
                <w:kern w:val="2"/>
                <w:sz w:val="21"/>
                <w:szCs w:val="21"/>
                <w:highlight w:val="none"/>
                <w:lang w:val="en-US" w:eastAsia="zh-CN" w:bidi="ar-SA"/>
              </w:rPr>
              <w:t>文件名称</w:t>
            </w:r>
          </w:p>
        </w:tc>
        <w:tc>
          <w:tcPr>
            <w:tcW w:w="1276" w:type="dxa"/>
            <w:tcBorders>
              <w:top w:val="single" w:color="auto" w:sz="12" w:space="0"/>
              <w:bottom w:val="double" w:color="auto" w:sz="6" w:space="0"/>
            </w:tcBorders>
            <w:noWrap w:val="0"/>
            <w:vAlign w:val="center"/>
          </w:tcPr>
          <w:p w14:paraId="1630C4FF">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default" w:ascii="Calibri" w:hAnsi="Calibri" w:eastAsia="仿宋_GB2312" w:cs="Times New Roman"/>
                <w:color w:val="auto"/>
                <w:kern w:val="2"/>
                <w:sz w:val="21"/>
                <w:szCs w:val="21"/>
                <w:highlight w:val="none"/>
                <w:lang w:val="en-US" w:eastAsia="zh-CN" w:bidi="ar-SA"/>
              </w:rPr>
              <w:t>套数</w:t>
            </w:r>
          </w:p>
        </w:tc>
        <w:tc>
          <w:tcPr>
            <w:tcW w:w="1450" w:type="dxa"/>
            <w:tcBorders>
              <w:top w:val="single" w:color="auto" w:sz="12" w:space="0"/>
              <w:bottom w:val="double" w:color="auto" w:sz="6" w:space="0"/>
            </w:tcBorders>
            <w:noWrap w:val="0"/>
            <w:vAlign w:val="center"/>
          </w:tcPr>
          <w:p w14:paraId="0B019EDA">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default" w:ascii="Calibri" w:hAnsi="Calibri" w:eastAsia="仿宋_GB2312" w:cs="Times New Roman"/>
                <w:color w:val="auto"/>
                <w:kern w:val="2"/>
                <w:sz w:val="21"/>
                <w:szCs w:val="21"/>
                <w:highlight w:val="none"/>
                <w:lang w:val="en-US" w:eastAsia="zh-CN" w:bidi="ar-SA"/>
              </w:rPr>
              <w:t>费用</w:t>
            </w:r>
            <w:r>
              <w:rPr>
                <w:rFonts w:hint="eastAsia" w:ascii="Calibri" w:hAnsi="Calibri" w:eastAsia="仿宋_GB2312" w:cs="Times New Roman"/>
                <w:color w:val="auto"/>
                <w:kern w:val="2"/>
                <w:sz w:val="21"/>
                <w:szCs w:val="21"/>
                <w:highlight w:val="none"/>
                <w:lang w:val="en-US" w:eastAsia="zh-CN" w:bidi="ar-SA"/>
              </w:rPr>
              <w:t>（元）</w:t>
            </w:r>
          </w:p>
        </w:tc>
        <w:tc>
          <w:tcPr>
            <w:tcW w:w="1243" w:type="dxa"/>
            <w:tcBorders>
              <w:top w:val="single" w:color="auto" w:sz="12" w:space="0"/>
              <w:bottom w:val="double" w:color="auto" w:sz="6" w:space="0"/>
            </w:tcBorders>
            <w:noWrap w:val="0"/>
            <w:vAlign w:val="center"/>
          </w:tcPr>
          <w:p w14:paraId="7C18098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default" w:ascii="Calibri" w:hAnsi="Calibri" w:eastAsia="仿宋_GB2312" w:cs="Times New Roman"/>
                <w:color w:val="auto"/>
                <w:kern w:val="2"/>
                <w:sz w:val="21"/>
                <w:szCs w:val="21"/>
                <w:highlight w:val="none"/>
                <w:lang w:val="en-US" w:eastAsia="zh-CN" w:bidi="ar-SA"/>
              </w:rPr>
              <w:t>质量</w:t>
            </w:r>
          </w:p>
        </w:tc>
        <w:tc>
          <w:tcPr>
            <w:tcW w:w="1450" w:type="dxa"/>
            <w:tcBorders>
              <w:top w:val="single" w:color="auto" w:sz="12" w:space="0"/>
              <w:bottom w:val="double" w:color="auto" w:sz="6" w:space="0"/>
            </w:tcBorders>
            <w:noWrap w:val="0"/>
            <w:vAlign w:val="top"/>
          </w:tcPr>
          <w:p w14:paraId="0F2755DC">
            <w:pPr>
              <w:keepNext w:val="0"/>
              <w:keepLines w:val="0"/>
              <w:suppressLineNumbers w:val="0"/>
              <w:spacing w:before="0" w:beforeAutospacing="0" w:after="0" w:afterAutospacing="0" w:line="440" w:lineRule="exact"/>
              <w:ind w:left="0" w:right="0"/>
              <w:jc w:val="center"/>
              <w:rPr>
                <w:rFonts w:hint="default" w:ascii="Calibri" w:hAnsi="Calibri" w:eastAsia="仿宋_GB2312" w:cs="Times New Roman"/>
                <w:color w:val="auto"/>
                <w:sz w:val="21"/>
                <w:szCs w:val="21"/>
                <w:highlight w:val="none"/>
              </w:rPr>
            </w:pPr>
            <w:r>
              <w:rPr>
                <w:rFonts w:hint="default" w:ascii="Calibri" w:hAnsi="Calibri" w:eastAsia="仿宋_GB2312" w:cs="Times New Roman"/>
                <w:color w:val="auto"/>
                <w:sz w:val="21"/>
                <w:szCs w:val="21"/>
                <w:highlight w:val="none"/>
              </w:rPr>
              <w:t>移交时间</w:t>
            </w:r>
          </w:p>
        </w:tc>
        <w:tc>
          <w:tcPr>
            <w:tcW w:w="1667" w:type="dxa"/>
            <w:tcBorders>
              <w:top w:val="single" w:color="auto" w:sz="12" w:space="0"/>
              <w:bottom w:val="double" w:color="auto" w:sz="6" w:space="0"/>
            </w:tcBorders>
            <w:noWrap w:val="0"/>
            <w:vAlign w:val="top"/>
          </w:tcPr>
          <w:p w14:paraId="774F1B89">
            <w:pPr>
              <w:keepNext w:val="0"/>
              <w:keepLines w:val="0"/>
              <w:suppressLineNumbers w:val="0"/>
              <w:spacing w:before="0" w:beforeAutospacing="0" w:after="0" w:afterAutospacing="0" w:line="440" w:lineRule="exact"/>
              <w:ind w:left="0" w:right="0"/>
              <w:jc w:val="center"/>
              <w:rPr>
                <w:rFonts w:hint="default" w:ascii="Calibri" w:hAnsi="Calibri" w:eastAsia="仿宋_GB2312" w:cs="Times New Roman"/>
                <w:color w:val="auto"/>
                <w:sz w:val="21"/>
                <w:szCs w:val="21"/>
                <w:highlight w:val="none"/>
              </w:rPr>
            </w:pPr>
            <w:r>
              <w:rPr>
                <w:rFonts w:hint="default" w:ascii="Calibri" w:hAnsi="Calibri" w:eastAsia="仿宋_GB2312" w:cs="Times New Roman"/>
                <w:color w:val="auto"/>
                <w:sz w:val="21"/>
                <w:szCs w:val="21"/>
                <w:highlight w:val="none"/>
              </w:rPr>
              <w:t>责任人</w:t>
            </w:r>
          </w:p>
        </w:tc>
      </w:tr>
      <w:tr w14:paraId="3DF936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noWrap w:val="0"/>
            <w:vAlign w:val="center"/>
          </w:tcPr>
          <w:p w14:paraId="415D913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276" w:type="dxa"/>
            <w:tcBorders>
              <w:top w:val="double" w:color="auto" w:sz="6" w:space="0"/>
              <w:bottom w:val="single" w:color="auto" w:sz="6" w:space="0"/>
            </w:tcBorders>
            <w:noWrap w:val="0"/>
            <w:vAlign w:val="center"/>
          </w:tcPr>
          <w:p w14:paraId="2B41302A">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50" w:type="dxa"/>
            <w:tcBorders>
              <w:top w:val="double" w:color="auto" w:sz="6" w:space="0"/>
              <w:bottom w:val="single" w:color="auto" w:sz="6" w:space="0"/>
            </w:tcBorders>
            <w:noWrap w:val="0"/>
            <w:vAlign w:val="center"/>
          </w:tcPr>
          <w:p w14:paraId="03AC5FA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243" w:type="dxa"/>
            <w:tcBorders>
              <w:top w:val="double" w:color="auto" w:sz="6" w:space="0"/>
              <w:bottom w:val="single" w:color="auto" w:sz="6" w:space="0"/>
            </w:tcBorders>
            <w:noWrap w:val="0"/>
            <w:vAlign w:val="center"/>
          </w:tcPr>
          <w:p w14:paraId="1EE2C93D">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50" w:type="dxa"/>
            <w:tcBorders>
              <w:top w:val="double" w:color="auto" w:sz="6" w:space="0"/>
              <w:bottom w:val="single" w:color="auto" w:sz="6" w:space="0"/>
            </w:tcBorders>
            <w:noWrap w:val="0"/>
            <w:vAlign w:val="center"/>
          </w:tcPr>
          <w:p w14:paraId="407F5678">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67" w:type="dxa"/>
            <w:tcBorders>
              <w:top w:val="double" w:color="auto" w:sz="6" w:space="0"/>
              <w:bottom w:val="single" w:color="auto" w:sz="6" w:space="0"/>
            </w:tcBorders>
            <w:noWrap w:val="0"/>
            <w:vAlign w:val="center"/>
          </w:tcPr>
          <w:p w14:paraId="42391DC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5324AF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noWrap w:val="0"/>
            <w:vAlign w:val="center"/>
          </w:tcPr>
          <w:p w14:paraId="7715F825">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276" w:type="dxa"/>
            <w:tcBorders>
              <w:top w:val="nil"/>
            </w:tcBorders>
            <w:noWrap w:val="0"/>
            <w:vAlign w:val="center"/>
          </w:tcPr>
          <w:p w14:paraId="2583EF9A">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50" w:type="dxa"/>
            <w:tcBorders>
              <w:top w:val="nil"/>
            </w:tcBorders>
            <w:noWrap w:val="0"/>
            <w:vAlign w:val="center"/>
          </w:tcPr>
          <w:p w14:paraId="38EEB275">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243" w:type="dxa"/>
            <w:tcBorders>
              <w:top w:val="nil"/>
            </w:tcBorders>
            <w:noWrap w:val="0"/>
            <w:vAlign w:val="center"/>
          </w:tcPr>
          <w:p w14:paraId="0380A0C5">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50" w:type="dxa"/>
            <w:tcBorders>
              <w:top w:val="nil"/>
            </w:tcBorders>
            <w:noWrap w:val="0"/>
            <w:vAlign w:val="center"/>
          </w:tcPr>
          <w:p w14:paraId="234A720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67" w:type="dxa"/>
            <w:tcBorders>
              <w:top w:val="nil"/>
            </w:tcBorders>
            <w:noWrap w:val="0"/>
            <w:vAlign w:val="center"/>
          </w:tcPr>
          <w:p w14:paraId="0266B28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77315F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51A6D5F9">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276" w:type="dxa"/>
            <w:noWrap w:val="0"/>
            <w:vAlign w:val="center"/>
          </w:tcPr>
          <w:p w14:paraId="6EC3F02A">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50" w:type="dxa"/>
            <w:noWrap w:val="0"/>
            <w:vAlign w:val="center"/>
          </w:tcPr>
          <w:p w14:paraId="7D82549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243" w:type="dxa"/>
            <w:noWrap w:val="0"/>
            <w:vAlign w:val="center"/>
          </w:tcPr>
          <w:p w14:paraId="540E8710">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50" w:type="dxa"/>
            <w:noWrap w:val="0"/>
            <w:vAlign w:val="center"/>
          </w:tcPr>
          <w:p w14:paraId="07FF720A">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67" w:type="dxa"/>
            <w:noWrap w:val="0"/>
            <w:vAlign w:val="center"/>
          </w:tcPr>
          <w:p w14:paraId="70C62C3F">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081B2E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4BBFA229">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276" w:type="dxa"/>
            <w:noWrap w:val="0"/>
            <w:vAlign w:val="center"/>
          </w:tcPr>
          <w:p w14:paraId="47EC0239">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50" w:type="dxa"/>
            <w:noWrap w:val="0"/>
            <w:vAlign w:val="center"/>
          </w:tcPr>
          <w:p w14:paraId="230D430D">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243" w:type="dxa"/>
            <w:noWrap w:val="0"/>
            <w:vAlign w:val="center"/>
          </w:tcPr>
          <w:p w14:paraId="219E1A98">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50" w:type="dxa"/>
            <w:noWrap w:val="0"/>
            <w:vAlign w:val="center"/>
          </w:tcPr>
          <w:p w14:paraId="5ADE4EBD">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67" w:type="dxa"/>
            <w:noWrap w:val="0"/>
            <w:vAlign w:val="center"/>
          </w:tcPr>
          <w:p w14:paraId="3197CAE7">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302F22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4132227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276" w:type="dxa"/>
            <w:noWrap w:val="0"/>
            <w:vAlign w:val="center"/>
          </w:tcPr>
          <w:p w14:paraId="66FDC971">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50" w:type="dxa"/>
            <w:noWrap w:val="0"/>
            <w:vAlign w:val="center"/>
          </w:tcPr>
          <w:p w14:paraId="729C2599">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243" w:type="dxa"/>
            <w:noWrap w:val="0"/>
            <w:vAlign w:val="center"/>
          </w:tcPr>
          <w:p w14:paraId="73710D6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50" w:type="dxa"/>
            <w:noWrap w:val="0"/>
            <w:vAlign w:val="center"/>
          </w:tcPr>
          <w:p w14:paraId="1973C63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67" w:type="dxa"/>
            <w:noWrap w:val="0"/>
            <w:vAlign w:val="center"/>
          </w:tcPr>
          <w:p w14:paraId="3EDE038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521360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6FF1C49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276" w:type="dxa"/>
            <w:noWrap w:val="0"/>
            <w:vAlign w:val="center"/>
          </w:tcPr>
          <w:p w14:paraId="46421C9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50" w:type="dxa"/>
            <w:noWrap w:val="0"/>
            <w:vAlign w:val="center"/>
          </w:tcPr>
          <w:p w14:paraId="34AD832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243" w:type="dxa"/>
            <w:noWrap w:val="0"/>
            <w:vAlign w:val="center"/>
          </w:tcPr>
          <w:p w14:paraId="3449611A">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50" w:type="dxa"/>
            <w:noWrap w:val="0"/>
            <w:vAlign w:val="center"/>
          </w:tcPr>
          <w:p w14:paraId="5A2DBFFF">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67" w:type="dxa"/>
            <w:noWrap w:val="0"/>
            <w:vAlign w:val="center"/>
          </w:tcPr>
          <w:p w14:paraId="6EDA221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35FB2D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27E46A2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276" w:type="dxa"/>
            <w:noWrap w:val="0"/>
            <w:vAlign w:val="center"/>
          </w:tcPr>
          <w:p w14:paraId="76E452C1">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50" w:type="dxa"/>
            <w:noWrap w:val="0"/>
            <w:vAlign w:val="center"/>
          </w:tcPr>
          <w:p w14:paraId="302EB89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243" w:type="dxa"/>
            <w:noWrap w:val="0"/>
            <w:vAlign w:val="center"/>
          </w:tcPr>
          <w:p w14:paraId="7FCCD7B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50" w:type="dxa"/>
            <w:noWrap w:val="0"/>
            <w:vAlign w:val="center"/>
          </w:tcPr>
          <w:p w14:paraId="6359C0C9">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67" w:type="dxa"/>
            <w:noWrap w:val="0"/>
            <w:vAlign w:val="center"/>
          </w:tcPr>
          <w:p w14:paraId="15B44EBA">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446F52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648D5BD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276" w:type="dxa"/>
            <w:noWrap w:val="0"/>
            <w:vAlign w:val="center"/>
          </w:tcPr>
          <w:p w14:paraId="0F3B33A8">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50" w:type="dxa"/>
            <w:noWrap w:val="0"/>
            <w:vAlign w:val="center"/>
          </w:tcPr>
          <w:p w14:paraId="4D855B79">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243" w:type="dxa"/>
            <w:noWrap w:val="0"/>
            <w:vAlign w:val="center"/>
          </w:tcPr>
          <w:p w14:paraId="433A5FA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50" w:type="dxa"/>
            <w:noWrap w:val="0"/>
            <w:vAlign w:val="center"/>
          </w:tcPr>
          <w:p w14:paraId="626E4FE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67" w:type="dxa"/>
            <w:noWrap w:val="0"/>
            <w:vAlign w:val="center"/>
          </w:tcPr>
          <w:p w14:paraId="7B87DA57">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63FD7C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9FE0747">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276" w:type="dxa"/>
            <w:noWrap w:val="0"/>
            <w:vAlign w:val="top"/>
          </w:tcPr>
          <w:p w14:paraId="5A4311A0">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50" w:type="dxa"/>
            <w:noWrap w:val="0"/>
            <w:vAlign w:val="top"/>
          </w:tcPr>
          <w:p w14:paraId="511FC904">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243" w:type="dxa"/>
            <w:noWrap w:val="0"/>
            <w:vAlign w:val="top"/>
          </w:tcPr>
          <w:p w14:paraId="0FCDC10E">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50" w:type="dxa"/>
            <w:noWrap w:val="0"/>
            <w:vAlign w:val="top"/>
          </w:tcPr>
          <w:p w14:paraId="3D63EF46">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667" w:type="dxa"/>
            <w:noWrap w:val="0"/>
            <w:vAlign w:val="top"/>
          </w:tcPr>
          <w:p w14:paraId="258E6316">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r>
      <w:tr w14:paraId="2760EF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341CA37F">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276" w:type="dxa"/>
            <w:noWrap w:val="0"/>
            <w:vAlign w:val="center"/>
          </w:tcPr>
          <w:p w14:paraId="0D64E23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50" w:type="dxa"/>
            <w:noWrap w:val="0"/>
            <w:vAlign w:val="center"/>
          </w:tcPr>
          <w:p w14:paraId="2E0DADF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243" w:type="dxa"/>
            <w:noWrap w:val="0"/>
            <w:vAlign w:val="center"/>
          </w:tcPr>
          <w:p w14:paraId="448896CA">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50" w:type="dxa"/>
            <w:noWrap w:val="0"/>
            <w:vAlign w:val="center"/>
          </w:tcPr>
          <w:p w14:paraId="73FBA05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667" w:type="dxa"/>
            <w:noWrap w:val="0"/>
            <w:vAlign w:val="center"/>
          </w:tcPr>
          <w:p w14:paraId="38C27EB5">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6B7556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644AB0FC">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276" w:type="dxa"/>
            <w:noWrap w:val="0"/>
            <w:vAlign w:val="top"/>
          </w:tcPr>
          <w:p w14:paraId="4B63FF32">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50" w:type="dxa"/>
            <w:noWrap w:val="0"/>
            <w:vAlign w:val="top"/>
          </w:tcPr>
          <w:p w14:paraId="4E8E6865">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243" w:type="dxa"/>
            <w:noWrap w:val="0"/>
            <w:vAlign w:val="top"/>
          </w:tcPr>
          <w:p w14:paraId="151627E8">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50" w:type="dxa"/>
            <w:noWrap w:val="0"/>
            <w:vAlign w:val="top"/>
          </w:tcPr>
          <w:p w14:paraId="71BA1786">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667" w:type="dxa"/>
            <w:noWrap w:val="0"/>
            <w:vAlign w:val="top"/>
          </w:tcPr>
          <w:p w14:paraId="2E3EF2C9">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r>
      <w:tr w14:paraId="0C1DAD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3E9E28E">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276" w:type="dxa"/>
            <w:noWrap w:val="0"/>
            <w:vAlign w:val="top"/>
          </w:tcPr>
          <w:p w14:paraId="02E71388">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50" w:type="dxa"/>
            <w:noWrap w:val="0"/>
            <w:vAlign w:val="top"/>
          </w:tcPr>
          <w:p w14:paraId="0B991A6B">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243" w:type="dxa"/>
            <w:noWrap w:val="0"/>
            <w:vAlign w:val="top"/>
          </w:tcPr>
          <w:p w14:paraId="18D50A6F">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50" w:type="dxa"/>
            <w:noWrap w:val="0"/>
            <w:vAlign w:val="top"/>
          </w:tcPr>
          <w:p w14:paraId="5A57398F">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667" w:type="dxa"/>
            <w:noWrap w:val="0"/>
            <w:vAlign w:val="top"/>
          </w:tcPr>
          <w:p w14:paraId="537CF9C5">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r>
      <w:tr w14:paraId="56B15B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6FDCE70F">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276" w:type="dxa"/>
            <w:noWrap w:val="0"/>
            <w:vAlign w:val="top"/>
          </w:tcPr>
          <w:p w14:paraId="6E4B2520">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50" w:type="dxa"/>
            <w:noWrap w:val="0"/>
            <w:vAlign w:val="top"/>
          </w:tcPr>
          <w:p w14:paraId="67C706B1">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243" w:type="dxa"/>
            <w:noWrap w:val="0"/>
            <w:vAlign w:val="top"/>
          </w:tcPr>
          <w:p w14:paraId="1C0F1E70">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50" w:type="dxa"/>
            <w:noWrap w:val="0"/>
            <w:vAlign w:val="top"/>
          </w:tcPr>
          <w:p w14:paraId="326629BE">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667" w:type="dxa"/>
            <w:noWrap w:val="0"/>
            <w:vAlign w:val="top"/>
          </w:tcPr>
          <w:p w14:paraId="006585FB">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r>
      <w:tr w14:paraId="4A9B85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893CE59">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276" w:type="dxa"/>
            <w:noWrap w:val="0"/>
            <w:vAlign w:val="top"/>
          </w:tcPr>
          <w:p w14:paraId="785A4C7D">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50" w:type="dxa"/>
            <w:noWrap w:val="0"/>
            <w:vAlign w:val="top"/>
          </w:tcPr>
          <w:p w14:paraId="624BE164">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243" w:type="dxa"/>
            <w:noWrap w:val="0"/>
            <w:vAlign w:val="top"/>
          </w:tcPr>
          <w:p w14:paraId="7B39B55A">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50" w:type="dxa"/>
            <w:noWrap w:val="0"/>
            <w:vAlign w:val="top"/>
          </w:tcPr>
          <w:p w14:paraId="0D82181E">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667" w:type="dxa"/>
            <w:noWrap w:val="0"/>
            <w:vAlign w:val="top"/>
          </w:tcPr>
          <w:p w14:paraId="1AAD8957">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r>
      <w:tr w14:paraId="08C24C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6F89BD34">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276" w:type="dxa"/>
            <w:noWrap w:val="0"/>
            <w:vAlign w:val="top"/>
          </w:tcPr>
          <w:p w14:paraId="060D6C49">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50" w:type="dxa"/>
            <w:noWrap w:val="0"/>
            <w:vAlign w:val="top"/>
          </w:tcPr>
          <w:p w14:paraId="5A9C27C2">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243" w:type="dxa"/>
            <w:noWrap w:val="0"/>
            <w:vAlign w:val="top"/>
          </w:tcPr>
          <w:p w14:paraId="53DDBFDC">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50" w:type="dxa"/>
            <w:noWrap w:val="0"/>
            <w:vAlign w:val="top"/>
          </w:tcPr>
          <w:p w14:paraId="6550C450">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667" w:type="dxa"/>
            <w:noWrap w:val="0"/>
            <w:vAlign w:val="top"/>
          </w:tcPr>
          <w:p w14:paraId="4373176B">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r>
      <w:tr w14:paraId="4714B9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291ED2D1">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276" w:type="dxa"/>
            <w:noWrap w:val="0"/>
            <w:vAlign w:val="top"/>
          </w:tcPr>
          <w:p w14:paraId="10DC42A2">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50" w:type="dxa"/>
            <w:noWrap w:val="0"/>
            <w:vAlign w:val="top"/>
          </w:tcPr>
          <w:p w14:paraId="658AE6B1">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243" w:type="dxa"/>
            <w:noWrap w:val="0"/>
            <w:vAlign w:val="top"/>
          </w:tcPr>
          <w:p w14:paraId="73EA383E">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50" w:type="dxa"/>
            <w:noWrap w:val="0"/>
            <w:vAlign w:val="top"/>
          </w:tcPr>
          <w:p w14:paraId="6C9B53D7">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667" w:type="dxa"/>
            <w:noWrap w:val="0"/>
            <w:vAlign w:val="top"/>
          </w:tcPr>
          <w:p w14:paraId="1DA8442C">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r>
      <w:tr w14:paraId="2D2C7C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73AAAE1">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276" w:type="dxa"/>
            <w:noWrap w:val="0"/>
            <w:vAlign w:val="top"/>
          </w:tcPr>
          <w:p w14:paraId="60A2BC6D">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50" w:type="dxa"/>
            <w:noWrap w:val="0"/>
            <w:vAlign w:val="top"/>
          </w:tcPr>
          <w:p w14:paraId="761A48EB">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243" w:type="dxa"/>
            <w:noWrap w:val="0"/>
            <w:vAlign w:val="top"/>
          </w:tcPr>
          <w:p w14:paraId="4E254595">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50" w:type="dxa"/>
            <w:noWrap w:val="0"/>
            <w:vAlign w:val="top"/>
          </w:tcPr>
          <w:p w14:paraId="6DBC296F">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667" w:type="dxa"/>
            <w:noWrap w:val="0"/>
            <w:vAlign w:val="top"/>
          </w:tcPr>
          <w:p w14:paraId="686E6219">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r>
      <w:tr w14:paraId="6544DA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2395D2E">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276" w:type="dxa"/>
            <w:noWrap w:val="0"/>
            <w:vAlign w:val="top"/>
          </w:tcPr>
          <w:p w14:paraId="11510769">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50" w:type="dxa"/>
            <w:noWrap w:val="0"/>
            <w:vAlign w:val="top"/>
          </w:tcPr>
          <w:p w14:paraId="79382D3A">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243" w:type="dxa"/>
            <w:noWrap w:val="0"/>
            <w:vAlign w:val="top"/>
          </w:tcPr>
          <w:p w14:paraId="5E774311">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50" w:type="dxa"/>
            <w:noWrap w:val="0"/>
            <w:vAlign w:val="top"/>
          </w:tcPr>
          <w:p w14:paraId="40E34B3D">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667" w:type="dxa"/>
            <w:noWrap w:val="0"/>
            <w:vAlign w:val="top"/>
          </w:tcPr>
          <w:p w14:paraId="5A98A698">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r>
      <w:tr w14:paraId="0AA87F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5D06446E">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276" w:type="dxa"/>
            <w:noWrap w:val="0"/>
            <w:vAlign w:val="top"/>
          </w:tcPr>
          <w:p w14:paraId="7DCEC763">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50" w:type="dxa"/>
            <w:noWrap w:val="0"/>
            <w:vAlign w:val="top"/>
          </w:tcPr>
          <w:p w14:paraId="44674972">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243" w:type="dxa"/>
            <w:noWrap w:val="0"/>
            <w:vAlign w:val="top"/>
          </w:tcPr>
          <w:p w14:paraId="4D999BB5">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50" w:type="dxa"/>
            <w:noWrap w:val="0"/>
            <w:vAlign w:val="top"/>
          </w:tcPr>
          <w:p w14:paraId="43E93172">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667" w:type="dxa"/>
            <w:noWrap w:val="0"/>
            <w:vAlign w:val="top"/>
          </w:tcPr>
          <w:p w14:paraId="5415B2DC">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r>
    </w:tbl>
    <w:p w14:paraId="25C68486">
      <w:pPr>
        <w:spacing w:line="440" w:lineRule="exact"/>
        <w:rPr>
          <w:rFonts w:hint="eastAsia" w:ascii="Times New Roman" w:hAnsi="Times New Roman" w:eastAsia="仿宋_GB2312" w:cs="Times New Roman"/>
          <w:color w:val="auto"/>
          <w:sz w:val="21"/>
          <w:szCs w:val="21"/>
          <w:highlight w:val="none"/>
        </w:rPr>
      </w:pPr>
    </w:p>
    <w:p w14:paraId="204B7323">
      <w:pPr>
        <w:keepNext/>
        <w:keepLines/>
        <w:widowControl/>
        <w:spacing w:before="120" w:beforeLines="0" w:after="120" w:afterLines="0" w:line="360" w:lineRule="auto"/>
        <w:jc w:val="both"/>
        <w:outlineLvl w:val="3"/>
        <w:rPr>
          <w:rFonts w:ascii="Arial" w:hAnsi="Arial" w:eastAsia="黑体" w:cs="Times New Roman"/>
          <w:color w:val="auto"/>
          <w:kern w:val="0"/>
          <w:sz w:val="21"/>
          <w:szCs w:val="21"/>
          <w:highlight w:val="none"/>
          <w:lang w:val="en-US" w:eastAsia="zh-CN" w:bidi="ar-SA"/>
        </w:rPr>
      </w:pPr>
      <w:r>
        <w:rPr>
          <w:rFonts w:ascii="Arial" w:hAnsi="Arial" w:eastAsia="仿宋_GB2312" w:cs="Times New Roman"/>
          <w:color w:val="auto"/>
          <w:kern w:val="0"/>
          <w:sz w:val="21"/>
          <w:szCs w:val="21"/>
          <w:highlight w:val="none"/>
          <w:lang w:val="en-US" w:eastAsia="zh-CN" w:bidi="ar-SA"/>
        </w:rPr>
        <w:br w:type="page"/>
      </w:r>
      <w:r>
        <w:rPr>
          <w:rFonts w:hint="eastAsia" w:ascii="仿宋_GB2312" w:hAnsi="Arial" w:eastAsia="仿宋_GB2312" w:cs="仿宋_GB2312"/>
          <w:color w:val="auto"/>
          <w:kern w:val="0"/>
          <w:sz w:val="21"/>
          <w:szCs w:val="21"/>
          <w:highlight w:val="none"/>
          <w:lang w:val="en-US" w:eastAsia="zh-CN" w:bidi="ar-SA"/>
        </w:rPr>
        <w:t>附件4：承包人用于本工程施工的机械设备表</w:t>
      </w:r>
    </w:p>
    <w:p w14:paraId="3CF95AD7">
      <w:pPr>
        <w:spacing w:line="440" w:lineRule="exact"/>
        <w:rPr>
          <w:rFonts w:ascii="Times New Roman" w:hAnsi="Times New Roman" w:eastAsia="黑体" w:cs="Times New Roman"/>
          <w:color w:val="auto"/>
          <w:sz w:val="21"/>
          <w:szCs w:val="21"/>
          <w:highlight w:val="none"/>
        </w:rPr>
      </w:pPr>
    </w:p>
    <w:p w14:paraId="2EFE9008">
      <w:pPr>
        <w:spacing w:before="120" w:beforeLines="50" w:after="120" w:afterLines="50" w:line="440" w:lineRule="exact"/>
        <w:jc w:val="center"/>
        <w:rPr>
          <w:rFonts w:ascii="Times New Roman" w:hAnsi="Times New Roman" w:eastAsia="黑体" w:cs="Times New Roman"/>
          <w:color w:val="auto"/>
          <w:sz w:val="21"/>
          <w:szCs w:val="21"/>
          <w:highlight w:val="none"/>
        </w:rPr>
      </w:pPr>
      <w:r>
        <w:rPr>
          <w:rFonts w:hint="eastAsia" w:ascii="Times New Roman" w:hAnsi="Times New Roman" w:eastAsia="黑体" w:cs="黑体"/>
          <w:color w:val="auto"/>
          <w:sz w:val="21"/>
          <w:szCs w:val="21"/>
          <w:highlight w:val="none"/>
        </w:rPr>
        <w:t>承包人用于本工程施工的机械设备表</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4425C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2" w:type="dxa"/>
            <w:noWrap w:val="0"/>
            <w:vAlign w:val="center"/>
          </w:tcPr>
          <w:p w14:paraId="7ABCDC0A">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序号</w:t>
            </w:r>
          </w:p>
        </w:tc>
        <w:tc>
          <w:tcPr>
            <w:tcW w:w="1418" w:type="dxa"/>
            <w:noWrap w:val="0"/>
            <w:vAlign w:val="center"/>
          </w:tcPr>
          <w:p w14:paraId="1285CC3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机械或设备名称</w:t>
            </w:r>
          </w:p>
        </w:tc>
        <w:tc>
          <w:tcPr>
            <w:tcW w:w="850" w:type="dxa"/>
            <w:noWrap w:val="0"/>
            <w:vAlign w:val="center"/>
          </w:tcPr>
          <w:p w14:paraId="37C3D69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规格型号</w:t>
            </w:r>
          </w:p>
        </w:tc>
        <w:tc>
          <w:tcPr>
            <w:tcW w:w="1058" w:type="dxa"/>
            <w:noWrap w:val="0"/>
            <w:vAlign w:val="center"/>
          </w:tcPr>
          <w:p w14:paraId="1DBD19D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数量</w:t>
            </w:r>
          </w:p>
        </w:tc>
        <w:tc>
          <w:tcPr>
            <w:tcW w:w="880" w:type="dxa"/>
            <w:noWrap w:val="0"/>
            <w:vAlign w:val="center"/>
          </w:tcPr>
          <w:p w14:paraId="6152FEDD">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产地</w:t>
            </w:r>
          </w:p>
        </w:tc>
        <w:tc>
          <w:tcPr>
            <w:tcW w:w="1020" w:type="dxa"/>
            <w:noWrap w:val="0"/>
            <w:vAlign w:val="center"/>
          </w:tcPr>
          <w:p w14:paraId="5A3E93E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制造年份</w:t>
            </w:r>
          </w:p>
        </w:tc>
        <w:tc>
          <w:tcPr>
            <w:tcW w:w="1480" w:type="dxa"/>
            <w:noWrap w:val="0"/>
            <w:vAlign w:val="center"/>
          </w:tcPr>
          <w:p w14:paraId="402F8DA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额定功率（</w:t>
            </w:r>
            <w:r>
              <w:rPr>
                <w:rFonts w:hint="default" w:ascii="Calibri" w:hAnsi="Calibri" w:eastAsia="仿宋_GB2312" w:cs="Times New Roman"/>
                <w:color w:val="auto"/>
                <w:kern w:val="2"/>
                <w:sz w:val="21"/>
                <w:szCs w:val="21"/>
                <w:highlight w:val="none"/>
                <w:lang w:val="en-US" w:eastAsia="zh-CN" w:bidi="ar-SA"/>
              </w:rPr>
              <w:t>kW</w:t>
            </w:r>
            <w:r>
              <w:rPr>
                <w:rFonts w:hint="eastAsia" w:ascii="Calibri" w:hAnsi="Calibri" w:eastAsia="仿宋_GB2312" w:cs="仿宋_GB2312"/>
                <w:color w:val="auto"/>
                <w:kern w:val="2"/>
                <w:sz w:val="21"/>
                <w:szCs w:val="21"/>
                <w:highlight w:val="none"/>
                <w:lang w:val="en-US" w:eastAsia="zh-CN" w:bidi="ar-SA"/>
              </w:rPr>
              <w:t>）</w:t>
            </w:r>
          </w:p>
        </w:tc>
        <w:tc>
          <w:tcPr>
            <w:tcW w:w="1020" w:type="dxa"/>
            <w:noWrap w:val="0"/>
            <w:vAlign w:val="center"/>
          </w:tcPr>
          <w:p w14:paraId="3D043EF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生产能力</w:t>
            </w:r>
          </w:p>
        </w:tc>
        <w:tc>
          <w:tcPr>
            <w:tcW w:w="921" w:type="dxa"/>
            <w:noWrap w:val="0"/>
            <w:vAlign w:val="center"/>
          </w:tcPr>
          <w:p w14:paraId="0581697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备注</w:t>
            </w:r>
          </w:p>
        </w:tc>
      </w:tr>
      <w:tr w14:paraId="2B92F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1B5F80AF">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8" w:type="dxa"/>
            <w:noWrap w:val="0"/>
            <w:vAlign w:val="center"/>
          </w:tcPr>
          <w:p w14:paraId="31A12C5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5BCCC75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58" w:type="dxa"/>
            <w:noWrap w:val="0"/>
            <w:vAlign w:val="center"/>
          </w:tcPr>
          <w:p w14:paraId="6A7BD851">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80" w:type="dxa"/>
            <w:noWrap w:val="0"/>
            <w:vAlign w:val="center"/>
          </w:tcPr>
          <w:p w14:paraId="17AD8E00">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20" w:type="dxa"/>
            <w:noWrap w:val="0"/>
            <w:vAlign w:val="center"/>
          </w:tcPr>
          <w:p w14:paraId="407CC9C8">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80" w:type="dxa"/>
            <w:noWrap w:val="0"/>
            <w:vAlign w:val="center"/>
          </w:tcPr>
          <w:p w14:paraId="4EC8E2E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20" w:type="dxa"/>
            <w:noWrap w:val="0"/>
            <w:vAlign w:val="center"/>
          </w:tcPr>
          <w:p w14:paraId="7B463A9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921" w:type="dxa"/>
            <w:noWrap w:val="0"/>
            <w:vAlign w:val="center"/>
          </w:tcPr>
          <w:p w14:paraId="124E700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24B0B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2EEFAB1">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8" w:type="dxa"/>
            <w:noWrap w:val="0"/>
            <w:vAlign w:val="center"/>
          </w:tcPr>
          <w:p w14:paraId="6C583B6D">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2A1C712F">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58" w:type="dxa"/>
            <w:noWrap w:val="0"/>
            <w:vAlign w:val="center"/>
          </w:tcPr>
          <w:p w14:paraId="491F19A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80" w:type="dxa"/>
            <w:noWrap w:val="0"/>
            <w:vAlign w:val="center"/>
          </w:tcPr>
          <w:p w14:paraId="073DD8F7">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20" w:type="dxa"/>
            <w:noWrap w:val="0"/>
            <w:vAlign w:val="center"/>
          </w:tcPr>
          <w:p w14:paraId="73E788A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80" w:type="dxa"/>
            <w:noWrap w:val="0"/>
            <w:vAlign w:val="center"/>
          </w:tcPr>
          <w:p w14:paraId="5364445D">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20" w:type="dxa"/>
            <w:noWrap w:val="0"/>
            <w:vAlign w:val="center"/>
          </w:tcPr>
          <w:p w14:paraId="34F140B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921" w:type="dxa"/>
            <w:noWrap w:val="0"/>
            <w:vAlign w:val="center"/>
          </w:tcPr>
          <w:p w14:paraId="3191297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12521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14428DE8">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8" w:type="dxa"/>
            <w:noWrap w:val="0"/>
            <w:vAlign w:val="center"/>
          </w:tcPr>
          <w:p w14:paraId="59842551">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1276163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58" w:type="dxa"/>
            <w:noWrap w:val="0"/>
            <w:vAlign w:val="center"/>
          </w:tcPr>
          <w:p w14:paraId="114524D0">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80" w:type="dxa"/>
            <w:noWrap w:val="0"/>
            <w:vAlign w:val="center"/>
          </w:tcPr>
          <w:p w14:paraId="18CEBAA1">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20" w:type="dxa"/>
            <w:noWrap w:val="0"/>
            <w:vAlign w:val="center"/>
          </w:tcPr>
          <w:p w14:paraId="362B7DC0">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80" w:type="dxa"/>
            <w:noWrap w:val="0"/>
            <w:vAlign w:val="center"/>
          </w:tcPr>
          <w:p w14:paraId="223C734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20" w:type="dxa"/>
            <w:noWrap w:val="0"/>
            <w:vAlign w:val="center"/>
          </w:tcPr>
          <w:p w14:paraId="1E52901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921" w:type="dxa"/>
            <w:noWrap w:val="0"/>
            <w:vAlign w:val="center"/>
          </w:tcPr>
          <w:p w14:paraId="1C4676B0">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297C0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92B894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8" w:type="dxa"/>
            <w:noWrap w:val="0"/>
            <w:vAlign w:val="center"/>
          </w:tcPr>
          <w:p w14:paraId="6D49FA10">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08AFA499">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58" w:type="dxa"/>
            <w:noWrap w:val="0"/>
            <w:vAlign w:val="center"/>
          </w:tcPr>
          <w:p w14:paraId="0DB667B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80" w:type="dxa"/>
            <w:noWrap w:val="0"/>
            <w:vAlign w:val="center"/>
          </w:tcPr>
          <w:p w14:paraId="1B2FA750">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20" w:type="dxa"/>
            <w:noWrap w:val="0"/>
            <w:vAlign w:val="center"/>
          </w:tcPr>
          <w:p w14:paraId="08DDB080">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80" w:type="dxa"/>
            <w:noWrap w:val="0"/>
            <w:vAlign w:val="center"/>
          </w:tcPr>
          <w:p w14:paraId="4D8E2AF0">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20" w:type="dxa"/>
            <w:noWrap w:val="0"/>
            <w:vAlign w:val="center"/>
          </w:tcPr>
          <w:p w14:paraId="1691B77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921" w:type="dxa"/>
            <w:noWrap w:val="0"/>
            <w:vAlign w:val="center"/>
          </w:tcPr>
          <w:p w14:paraId="5D271A58">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332D5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2FC163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8" w:type="dxa"/>
            <w:noWrap w:val="0"/>
            <w:vAlign w:val="center"/>
          </w:tcPr>
          <w:p w14:paraId="636FF699">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5083CC4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58" w:type="dxa"/>
            <w:noWrap w:val="0"/>
            <w:vAlign w:val="center"/>
          </w:tcPr>
          <w:p w14:paraId="3764134A">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80" w:type="dxa"/>
            <w:noWrap w:val="0"/>
            <w:vAlign w:val="center"/>
          </w:tcPr>
          <w:p w14:paraId="449AF298">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20" w:type="dxa"/>
            <w:noWrap w:val="0"/>
            <w:vAlign w:val="center"/>
          </w:tcPr>
          <w:p w14:paraId="59413DD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80" w:type="dxa"/>
            <w:noWrap w:val="0"/>
            <w:vAlign w:val="center"/>
          </w:tcPr>
          <w:p w14:paraId="0BDB8E97">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20" w:type="dxa"/>
            <w:noWrap w:val="0"/>
            <w:vAlign w:val="center"/>
          </w:tcPr>
          <w:p w14:paraId="5BA5260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921" w:type="dxa"/>
            <w:noWrap w:val="0"/>
            <w:vAlign w:val="center"/>
          </w:tcPr>
          <w:p w14:paraId="63BF16C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2D52E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4B19F76A">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8" w:type="dxa"/>
            <w:noWrap w:val="0"/>
            <w:vAlign w:val="center"/>
          </w:tcPr>
          <w:p w14:paraId="35F84651">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1A03FEA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58" w:type="dxa"/>
            <w:noWrap w:val="0"/>
            <w:vAlign w:val="center"/>
          </w:tcPr>
          <w:p w14:paraId="607A8958">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80" w:type="dxa"/>
            <w:noWrap w:val="0"/>
            <w:vAlign w:val="center"/>
          </w:tcPr>
          <w:p w14:paraId="124F6659">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20" w:type="dxa"/>
            <w:noWrap w:val="0"/>
            <w:vAlign w:val="center"/>
          </w:tcPr>
          <w:p w14:paraId="7C012E5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80" w:type="dxa"/>
            <w:noWrap w:val="0"/>
            <w:vAlign w:val="center"/>
          </w:tcPr>
          <w:p w14:paraId="0D9A791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20" w:type="dxa"/>
            <w:noWrap w:val="0"/>
            <w:vAlign w:val="center"/>
          </w:tcPr>
          <w:p w14:paraId="1B2C3E07">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921" w:type="dxa"/>
            <w:noWrap w:val="0"/>
            <w:vAlign w:val="center"/>
          </w:tcPr>
          <w:p w14:paraId="10A0A4C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2D975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4AEAABF7">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8" w:type="dxa"/>
            <w:noWrap w:val="0"/>
            <w:vAlign w:val="center"/>
          </w:tcPr>
          <w:p w14:paraId="6009904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14AB0A20">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58" w:type="dxa"/>
            <w:noWrap w:val="0"/>
            <w:vAlign w:val="center"/>
          </w:tcPr>
          <w:p w14:paraId="1171B939">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80" w:type="dxa"/>
            <w:noWrap w:val="0"/>
            <w:vAlign w:val="center"/>
          </w:tcPr>
          <w:p w14:paraId="18D02A55">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20" w:type="dxa"/>
            <w:noWrap w:val="0"/>
            <w:vAlign w:val="center"/>
          </w:tcPr>
          <w:p w14:paraId="594E65E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80" w:type="dxa"/>
            <w:noWrap w:val="0"/>
            <w:vAlign w:val="center"/>
          </w:tcPr>
          <w:p w14:paraId="3922C25D">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20" w:type="dxa"/>
            <w:noWrap w:val="0"/>
            <w:vAlign w:val="center"/>
          </w:tcPr>
          <w:p w14:paraId="4E09B69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921" w:type="dxa"/>
            <w:noWrap w:val="0"/>
            <w:vAlign w:val="center"/>
          </w:tcPr>
          <w:p w14:paraId="2EEA3BA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67BAB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62" w:type="dxa"/>
            <w:noWrap w:val="0"/>
            <w:vAlign w:val="center"/>
          </w:tcPr>
          <w:p w14:paraId="0FD31B9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8" w:type="dxa"/>
            <w:noWrap w:val="0"/>
            <w:vAlign w:val="center"/>
          </w:tcPr>
          <w:p w14:paraId="04AA1558">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337D48D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58" w:type="dxa"/>
            <w:noWrap w:val="0"/>
            <w:vAlign w:val="center"/>
          </w:tcPr>
          <w:p w14:paraId="09A2C46A">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80" w:type="dxa"/>
            <w:noWrap w:val="0"/>
            <w:vAlign w:val="center"/>
          </w:tcPr>
          <w:p w14:paraId="30F10BD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20" w:type="dxa"/>
            <w:noWrap w:val="0"/>
            <w:vAlign w:val="center"/>
          </w:tcPr>
          <w:p w14:paraId="1CD4877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80" w:type="dxa"/>
            <w:noWrap w:val="0"/>
            <w:vAlign w:val="center"/>
          </w:tcPr>
          <w:p w14:paraId="4C839607">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20" w:type="dxa"/>
            <w:noWrap w:val="0"/>
            <w:vAlign w:val="center"/>
          </w:tcPr>
          <w:p w14:paraId="21D0FBA5">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921" w:type="dxa"/>
            <w:noWrap w:val="0"/>
            <w:vAlign w:val="center"/>
          </w:tcPr>
          <w:p w14:paraId="5B5CB9A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6C33D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CB88CC7">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18" w:type="dxa"/>
            <w:noWrap w:val="0"/>
            <w:vAlign w:val="top"/>
          </w:tcPr>
          <w:p w14:paraId="22E31D3E">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850" w:type="dxa"/>
            <w:noWrap w:val="0"/>
            <w:vAlign w:val="top"/>
          </w:tcPr>
          <w:p w14:paraId="3D9FF319">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58" w:type="dxa"/>
            <w:noWrap w:val="0"/>
            <w:vAlign w:val="top"/>
          </w:tcPr>
          <w:p w14:paraId="6F169FEF">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880" w:type="dxa"/>
            <w:noWrap w:val="0"/>
            <w:vAlign w:val="top"/>
          </w:tcPr>
          <w:p w14:paraId="52C39EB4">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20" w:type="dxa"/>
            <w:noWrap w:val="0"/>
            <w:vAlign w:val="top"/>
          </w:tcPr>
          <w:p w14:paraId="3F0379C1">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80" w:type="dxa"/>
            <w:noWrap w:val="0"/>
            <w:vAlign w:val="top"/>
          </w:tcPr>
          <w:p w14:paraId="408785A9">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20" w:type="dxa"/>
            <w:noWrap w:val="0"/>
            <w:vAlign w:val="top"/>
          </w:tcPr>
          <w:p w14:paraId="24BF2039">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921" w:type="dxa"/>
            <w:noWrap w:val="0"/>
            <w:vAlign w:val="top"/>
          </w:tcPr>
          <w:p w14:paraId="746844B4">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r>
      <w:tr w14:paraId="21F4A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62" w:type="dxa"/>
            <w:noWrap w:val="0"/>
            <w:vAlign w:val="center"/>
          </w:tcPr>
          <w:p w14:paraId="18F57C2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8" w:type="dxa"/>
            <w:noWrap w:val="0"/>
            <w:vAlign w:val="center"/>
          </w:tcPr>
          <w:p w14:paraId="43FF8B3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50" w:type="dxa"/>
            <w:noWrap w:val="0"/>
            <w:vAlign w:val="center"/>
          </w:tcPr>
          <w:p w14:paraId="1DC82BD8">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58" w:type="dxa"/>
            <w:noWrap w:val="0"/>
            <w:vAlign w:val="center"/>
          </w:tcPr>
          <w:p w14:paraId="78D569F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880" w:type="dxa"/>
            <w:noWrap w:val="0"/>
            <w:vAlign w:val="center"/>
          </w:tcPr>
          <w:p w14:paraId="262A8C85">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20" w:type="dxa"/>
            <w:noWrap w:val="0"/>
            <w:vAlign w:val="center"/>
          </w:tcPr>
          <w:p w14:paraId="69FA10B8">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80" w:type="dxa"/>
            <w:noWrap w:val="0"/>
            <w:vAlign w:val="center"/>
          </w:tcPr>
          <w:p w14:paraId="03AE05DF">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020" w:type="dxa"/>
            <w:noWrap w:val="0"/>
            <w:vAlign w:val="center"/>
          </w:tcPr>
          <w:p w14:paraId="68FC57F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921" w:type="dxa"/>
            <w:noWrap w:val="0"/>
            <w:vAlign w:val="center"/>
          </w:tcPr>
          <w:p w14:paraId="0367096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03E55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6903722">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18" w:type="dxa"/>
            <w:noWrap w:val="0"/>
            <w:vAlign w:val="top"/>
          </w:tcPr>
          <w:p w14:paraId="6FFC6471">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850" w:type="dxa"/>
            <w:noWrap w:val="0"/>
            <w:vAlign w:val="top"/>
          </w:tcPr>
          <w:p w14:paraId="4DFDDC06">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58" w:type="dxa"/>
            <w:noWrap w:val="0"/>
            <w:vAlign w:val="top"/>
          </w:tcPr>
          <w:p w14:paraId="59DC1E01">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880" w:type="dxa"/>
            <w:noWrap w:val="0"/>
            <w:vAlign w:val="top"/>
          </w:tcPr>
          <w:p w14:paraId="2E5C333D">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20" w:type="dxa"/>
            <w:noWrap w:val="0"/>
            <w:vAlign w:val="top"/>
          </w:tcPr>
          <w:p w14:paraId="649A2579">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80" w:type="dxa"/>
            <w:noWrap w:val="0"/>
            <w:vAlign w:val="top"/>
          </w:tcPr>
          <w:p w14:paraId="46F7A4DE">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20" w:type="dxa"/>
            <w:noWrap w:val="0"/>
            <w:vAlign w:val="top"/>
          </w:tcPr>
          <w:p w14:paraId="0DABD4D6">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921" w:type="dxa"/>
            <w:noWrap w:val="0"/>
            <w:vAlign w:val="top"/>
          </w:tcPr>
          <w:p w14:paraId="7E2F1FB5">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r>
      <w:tr w14:paraId="483B1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62" w:type="dxa"/>
            <w:noWrap w:val="0"/>
            <w:vAlign w:val="top"/>
          </w:tcPr>
          <w:p w14:paraId="072C94BC">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18" w:type="dxa"/>
            <w:noWrap w:val="0"/>
            <w:vAlign w:val="top"/>
          </w:tcPr>
          <w:p w14:paraId="227B5D3A">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850" w:type="dxa"/>
            <w:noWrap w:val="0"/>
            <w:vAlign w:val="top"/>
          </w:tcPr>
          <w:p w14:paraId="499D2699">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58" w:type="dxa"/>
            <w:noWrap w:val="0"/>
            <w:vAlign w:val="top"/>
          </w:tcPr>
          <w:p w14:paraId="782E8518">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880" w:type="dxa"/>
            <w:noWrap w:val="0"/>
            <w:vAlign w:val="top"/>
          </w:tcPr>
          <w:p w14:paraId="41276261">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20" w:type="dxa"/>
            <w:noWrap w:val="0"/>
            <w:vAlign w:val="top"/>
          </w:tcPr>
          <w:p w14:paraId="7E93414E">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80" w:type="dxa"/>
            <w:noWrap w:val="0"/>
            <w:vAlign w:val="top"/>
          </w:tcPr>
          <w:p w14:paraId="57024C93">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20" w:type="dxa"/>
            <w:noWrap w:val="0"/>
            <w:vAlign w:val="top"/>
          </w:tcPr>
          <w:p w14:paraId="36518004">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921" w:type="dxa"/>
            <w:noWrap w:val="0"/>
            <w:vAlign w:val="top"/>
          </w:tcPr>
          <w:p w14:paraId="569ACAB9">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r>
      <w:tr w14:paraId="7647B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62" w:type="dxa"/>
            <w:noWrap w:val="0"/>
            <w:vAlign w:val="top"/>
          </w:tcPr>
          <w:p w14:paraId="4A113FB7">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18" w:type="dxa"/>
            <w:noWrap w:val="0"/>
            <w:vAlign w:val="top"/>
          </w:tcPr>
          <w:p w14:paraId="2BBBC2D7">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850" w:type="dxa"/>
            <w:noWrap w:val="0"/>
            <w:vAlign w:val="top"/>
          </w:tcPr>
          <w:p w14:paraId="03326E4B">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58" w:type="dxa"/>
            <w:noWrap w:val="0"/>
            <w:vAlign w:val="top"/>
          </w:tcPr>
          <w:p w14:paraId="36BF4E7E">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880" w:type="dxa"/>
            <w:noWrap w:val="0"/>
            <w:vAlign w:val="top"/>
          </w:tcPr>
          <w:p w14:paraId="1473DEBB">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20" w:type="dxa"/>
            <w:noWrap w:val="0"/>
            <w:vAlign w:val="top"/>
          </w:tcPr>
          <w:p w14:paraId="5FCF661C">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80" w:type="dxa"/>
            <w:noWrap w:val="0"/>
            <w:vAlign w:val="top"/>
          </w:tcPr>
          <w:p w14:paraId="78809F75">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20" w:type="dxa"/>
            <w:noWrap w:val="0"/>
            <w:vAlign w:val="top"/>
          </w:tcPr>
          <w:p w14:paraId="7D52DC04">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921" w:type="dxa"/>
            <w:noWrap w:val="0"/>
            <w:vAlign w:val="top"/>
          </w:tcPr>
          <w:p w14:paraId="59B77CAA">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r>
      <w:tr w14:paraId="44F6A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62" w:type="dxa"/>
            <w:noWrap w:val="0"/>
            <w:vAlign w:val="top"/>
          </w:tcPr>
          <w:p w14:paraId="2D3CE7C4">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18" w:type="dxa"/>
            <w:noWrap w:val="0"/>
            <w:vAlign w:val="top"/>
          </w:tcPr>
          <w:p w14:paraId="16607DBC">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850" w:type="dxa"/>
            <w:noWrap w:val="0"/>
            <w:vAlign w:val="top"/>
          </w:tcPr>
          <w:p w14:paraId="4A8888D5">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58" w:type="dxa"/>
            <w:noWrap w:val="0"/>
            <w:vAlign w:val="top"/>
          </w:tcPr>
          <w:p w14:paraId="71EE7885">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880" w:type="dxa"/>
            <w:noWrap w:val="0"/>
            <w:vAlign w:val="top"/>
          </w:tcPr>
          <w:p w14:paraId="45C8156E">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20" w:type="dxa"/>
            <w:noWrap w:val="0"/>
            <w:vAlign w:val="top"/>
          </w:tcPr>
          <w:p w14:paraId="1AFAA15D">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80" w:type="dxa"/>
            <w:noWrap w:val="0"/>
            <w:vAlign w:val="top"/>
          </w:tcPr>
          <w:p w14:paraId="167E58C0">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20" w:type="dxa"/>
            <w:noWrap w:val="0"/>
            <w:vAlign w:val="top"/>
          </w:tcPr>
          <w:p w14:paraId="1ECFA6A3">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921" w:type="dxa"/>
            <w:noWrap w:val="0"/>
            <w:vAlign w:val="top"/>
          </w:tcPr>
          <w:p w14:paraId="417735B4">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r>
      <w:tr w14:paraId="5B34A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4811E033">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18" w:type="dxa"/>
            <w:noWrap w:val="0"/>
            <w:vAlign w:val="top"/>
          </w:tcPr>
          <w:p w14:paraId="554CB9EE">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850" w:type="dxa"/>
            <w:noWrap w:val="0"/>
            <w:vAlign w:val="top"/>
          </w:tcPr>
          <w:p w14:paraId="72DA0DAA">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58" w:type="dxa"/>
            <w:noWrap w:val="0"/>
            <w:vAlign w:val="top"/>
          </w:tcPr>
          <w:p w14:paraId="680C4D0D">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880" w:type="dxa"/>
            <w:noWrap w:val="0"/>
            <w:vAlign w:val="top"/>
          </w:tcPr>
          <w:p w14:paraId="195E63A7">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20" w:type="dxa"/>
            <w:noWrap w:val="0"/>
            <w:vAlign w:val="top"/>
          </w:tcPr>
          <w:p w14:paraId="478D0756">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80" w:type="dxa"/>
            <w:noWrap w:val="0"/>
            <w:vAlign w:val="top"/>
          </w:tcPr>
          <w:p w14:paraId="74003E9F">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20" w:type="dxa"/>
            <w:noWrap w:val="0"/>
            <w:vAlign w:val="top"/>
          </w:tcPr>
          <w:p w14:paraId="413C6452">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921" w:type="dxa"/>
            <w:noWrap w:val="0"/>
            <w:vAlign w:val="top"/>
          </w:tcPr>
          <w:p w14:paraId="3EA53004">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r>
      <w:tr w14:paraId="45DCF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56C6ABB3">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18" w:type="dxa"/>
            <w:noWrap w:val="0"/>
            <w:vAlign w:val="top"/>
          </w:tcPr>
          <w:p w14:paraId="3514533C">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850" w:type="dxa"/>
            <w:noWrap w:val="0"/>
            <w:vAlign w:val="top"/>
          </w:tcPr>
          <w:p w14:paraId="1BB651CD">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58" w:type="dxa"/>
            <w:noWrap w:val="0"/>
            <w:vAlign w:val="top"/>
          </w:tcPr>
          <w:p w14:paraId="543D2E2C">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880" w:type="dxa"/>
            <w:noWrap w:val="0"/>
            <w:vAlign w:val="top"/>
          </w:tcPr>
          <w:p w14:paraId="26173988">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20" w:type="dxa"/>
            <w:noWrap w:val="0"/>
            <w:vAlign w:val="top"/>
          </w:tcPr>
          <w:p w14:paraId="55816CB3">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80" w:type="dxa"/>
            <w:noWrap w:val="0"/>
            <w:vAlign w:val="top"/>
          </w:tcPr>
          <w:p w14:paraId="4C339201">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20" w:type="dxa"/>
            <w:noWrap w:val="0"/>
            <w:vAlign w:val="top"/>
          </w:tcPr>
          <w:p w14:paraId="7C71C6ED">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921" w:type="dxa"/>
            <w:noWrap w:val="0"/>
            <w:vAlign w:val="top"/>
          </w:tcPr>
          <w:p w14:paraId="70DB1A18">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r>
      <w:tr w14:paraId="51D9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22578FA">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18" w:type="dxa"/>
            <w:noWrap w:val="0"/>
            <w:vAlign w:val="top"/>
          </w:tcPr>
          <w:p w14:paraId="5370C6C6">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850" w:type="dxa"/>
            <w:noWrap w:val="0"/>
            <w:vAlign w:val="top"/>
          </w:tcPr>
          <w:p w14:paraId="2F045ECC">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58" w:type="dxa"/>
            <w:noWrap w:val="0"/>
            <w:vAlign w:val="top"/>
          </w:tcPr>
          <w:p w14:paraId="1A26C877">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880" w:type="dxa"/>
            <w:noWrap w:val="0"/>
            <w:vAlign w:val="top"/>
          </w:tcPr>
          <w:p w14:paraId="65A4B025">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20" w:type="dxa"/>
            <w:noWrap w:val="0"/>
            <w:vAlign w:val="top"/>
          </w:tcPr>
          <w:p w14:paraId="2E8EADFD">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80" w:type="dxa"/>
            <w:noWrap w:val="0"/>
            <w:vAlign w:val="top"/>
          </w:tcPr>
          <w:p w14:paraId="6BEFC24F">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20" w:type="dxa"/>
            <w:noWrap w:val="0"/>
            <w:vAlign w:val="top"/>
          </w:tcPr>
          <w:p w14:paraId="68A9A949">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921" w:type="dxa"/>
            <w:noWrap w:val="0"/>
            <w:vAlign w:val="top"/>
          </w:tcPr>
          <w:p w14:paraId="63A79616">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r>
      <w:tr w14:paraId="3DF0B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62" w:type="dxa"/>
            <w:noWrap w:val="0"/>
            <w:vAlign w:val="top"/>
          </w:tcPr>
          <w:p w14:paraId="7E12BF84">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18" w:type="dxa"/>
            <w:noWrap w:val="0"/>
            <w:vAlign w:val="top"/>
          </w:tcPr>
          <w:p w14:paraId="70E35527">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850" w:type="dxa"/>
            <w:noWrap w:val="0"/>
            <w:vAlign w:val="top"/>
          </w:tcPr>
          <w:p w14:paraId="26A8CEF9">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58" w:type="dxa"/>
            <w:noWrap w:val="0"/>
            <w:vAlign w:val="top"/>
          </w:tcPr>
          <w:p w14:paraId="7478E395">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880" w:type="dxa"/>
            <w:noWrap w:val="0"/>
            <w:vAlign w:val="top"/>
          </w:tcPr>
          <w:p w14:paraId="31D4D358">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20" w:type="dxa"/>
            <w:noWrap w:val="0"/>
            <w:vAlign w:val="top"/>
          </w:tcPr>
          <w:p w14:paraId="59A23A2E">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80" w:type="dxa"/>
            <w:noWrap w:val="0"/>
            <w:vAlign w:val="top"/>
          </w:tcPr>
          <w:p w14:paraId="73382B20">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20" w:type="dxa"/>
            <w:noWrap w:val="0"/>
            <w:vAlign w:val="top"/>
          </w:tcPr>
          <w:p w14:paraId="2A4A13E6">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921" w:type="dxa"/>
            <w:noWrap w:val="0"/>
            <w:vAlign w:val="top"/>
          </w:tcPr>
          <w:p w14:paraId="12CD4C6E">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r>
      <w:tr w14:paraId="36328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62" w:type="dxa"/>
            <w:noWrap w:val="0"/>
            <w:vAlign w:val="top"/>
          </w:tcPr>
          <w:p w14:paraId="0BF335E8">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18" w:type="dxa"/>
            <w:noWrap w:val="0"/>
            <w:vAlign w:val="top"/>
          </w:tcPr>
          <w:p w14:paraId="61775AB3">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850" w:type="dxa"/>
            <w:noWrap w:val="0"/>
            <w:vAlign w:val="top"/>
          </w:tcPr>
          <w:p w14:paraId="338093C3">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58" w:type="dxa"/>
            <w:noWrap w:val="0"/>
            <w:vAlign w:val="top"/>
          </w:tcPr>
          <w:p w14:paraId="3E40D512">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880" w:type="dxa"/>
            <w:noWrap w:val="0"/>
            <w:vAlign w:val="top"/>
          </w:tcPr>
          <w:p w14:paraId="46D43165">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20" w:type="dxa"/>
            <w:noWrap w:val="0"/>
            <w:vAlign w:val="top"/>
          </w:tcPr>
          <w:p w14:paraId="60B263A4">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480" w:type="dxa"/>
            <w:noWrap w:val="0"/>
            <w:vAlign w:val="top"/>
          </w:tcPr>
          <w:p w14:paraId="64599FEC">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1020" w:type="dxa"/>
            <w:noWrap w:val="0"/>
            <w:vAlign w:val="top"/>
          </w:tcPr>
          <w:p w14:paraId="4A55EAF5">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c>
          <w:tcPr>
            <w:tcW w:w="921" w:type="dxa"/>
            <w:noWrap w:val="0"/>
            <w:vAlign w:val="top"/>
          </w:tcPr>
          <w:p w14:paraId="574ED861">
            <w:pPr>
              <w:keepNext w:val="0"/>
              <w:keepLines w:val="0"/>
              <w:suppressLineNumbers w:val="0"/>
              <w:spacing w:before="0" w:beforeAutospacing="0" w:after="0" w:afterAutospacing="0"/>
              <w:ind w:left="0" w:right="0"/>
              <w:rPr>
                <w:rFonts w:hint="default" w:ascii="Calibri" w:hAnsi="Calibri" w:eastAsia="仿宋_GB2312" w:cs="Times New Roman"/>
                <w:color w:val="auto"/>
                <w:sz w:val="21"/>
                <w:szCs w:val="21"/>
                <w:highlight w:val="none"/>
              </w:rPr>
            </w:pPr>
          </w:p>
        </w:tc>
      </w:tr>
    </w:tbl>
    <w:p w14:paraId="0C5F704E">
      <w:pPr>
        <w:spacing w:line="440" w:lineRule="exact"/>
        <w:rPr>
          <w:rFonts w:eastAsia="仿宋_GB2312"/>
          <w:color w:val="auto"/>
          <w:sz w:val="21"/>
          <w:szCs w:val="21"/>
          <w:highlight w:val="none"/>
        </w:rPr>
        <w:sectPr>
          <w:pgSz w:w="11907" w:h="16840"/>
          <w:pgMar w:top="1440" w:right="1440" w:bottom="1440" w:left="1797" w:header="851" w:footer="851" w:gutter="0"/>
          <w:cols w:space="720" w:num="1"/>
          <w:docGrid w:linePitch="312" w:charSpace="0"/>
        </w:sectPr>
      </w:pPr>
    </w:p>
    <w:p w14:paraId="1CB1FD54">
      <w:pPr>
        <w:keepNext/>
        <w:keepLines/>
        <w:widowControl/>
        <w:spacing w:before="120" w:beforeLines="0" w:after="120" w:afterLines="0" w:line="360" w:lineRule="auto"/>
        <w:jc w:val="both"/>
        <w:outlineLvl w:val="3"/>
        <w:rPr>
          <w:rFonts w:hint="eastAsia" w:ascii="仿宋_GB2312" w:hAnsi="Arial" w:eastAsia="仿宋_GB2312" w:cs="仿宋_GB2312"/>
          <w:color w:val="auto"/>
          <w:kern w:val="0"/>
          <w:sz w:val="21"/>
          <w:szCs w:val="21"/>
          <w:highlight w:val="none"/>
          <w:lang w:val="en-US" w:eastAsia="zh-CN" w:bidi="ar-SA"/>
        </w:rPr>
      </w:pPr>
      <w:r>
        <w:rPr>
          <w:rFonts w:hint="eastAsia" w:ascii="仿宋_GB2312" w:hAnsi="Arial" w:eastAsia="仿宋_GB2312" w:cs="仿宋_GB2312"/>
          <w:color w:val="auto"/>
          <w:kern w:val="0"/>
          <w:sz w:val="21"/>
          <w:szCs w:val="21"/>
          <w:highlight w:val="none"/>
          <w:lang w:val="en-US" w:eastAsia="zh-CN" w:bidi="ar-SA"/>
        </w:rPr>
        <w:t>附件5：承包人主要施工管理人员表</w:t>
      </w:r>
    </w:p>
    <w:p w14:paraId="40D1D5E9">
      <w:pPr>
        <w:spacing w:before="120" w:beforeLines="50" w:after="120" w:afterLines="50" w:line="440" w:lineRule="exact"/>
        <w:jc w:val="center"/>
        <w:rPr>
          <w:rFonts w:ascii="Times New Roman" w:hAnsi="Times New Roman" w:eastAsia="黑体" w:cs="Times New Roman"/>
          <w:color w:val="auto"/>
          <w:sz w:val="21"/>
          <w:szCs w:val="21"/>
          <w:highlight w:val="none"/>
        </w:rPr>
      </w:pPr>
      <w:r>
        <w:rPr>
          <w:rFonts w:hint="eastAsia" w:ascii="Times New Roman" w:hAnsi="Times New Roman" w:eastAsia="黑体" w:cs="黑体"/>
          <w:color w:val="auto"/>
          <w:sz w:val="21"/>
          <w:szCs w:val="21"/>
          <w:highlight w:val="none"/>
        </w:rPr>
        <w:t>承包人主要施工管理人员表</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75D9D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40F6C0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名</w:t>
            </w:r>
            <w:r>
              <w:rPr>
                <w:rFonts w:hint="default" w:ascii="Calibri" w:hAnsi="Calibri" w:eastAsia="仿宋_GB2312" w:cs="Times New Roman"/>
                <w:color w:val="auto"/>
                <w:kern w:val="2"/>
                <w:sz w:val="21"/>
                <w:szCs w:val="21"/>
                <w:highlight w:val="none"/>
                <w:lang w:val="en-US" w:eastAsia="zh-CN" w:bidi="ar-SA"/>
              </w:rPr>
              <w:t xml:space="preserve">    </w:t>
            </w:r>
            <w:r>
              <w:rPr>
                <w:rFonts w:hint="eastAsia" w:ascii="Calibri" w:hAnsi="Calibri" w:eastAsia="仿宋_GB2312" w:cs="仿宋_GB2312"/>
                <w:color w:val="auto"/>
                <w:kern w:val="2"/>
                <w:sz w:val="21"/>
                <w:szCs w:val="21"/>
                <w:highlight w:val="none"/>
                <w:lang w:val="en-US" w:eastAsia="zh-CN" w:bidi="ar-SA"/>
              </w:rPr>
              <w:t>称</w:t>
            </w:r>
          </w:p>
        </w:tc>
        <w:tc>
          <w:tcPr>
            <w:tcW w:w="1418" w:type="dxa"/>
            <w:noWrap w:val="0"/>
            <w:vAlign w:val="center"/>
          </w:tcPr>
          <w:p w14:paraId="4B9717B8">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姓名</w:t>
            </w:r>
          </w:p>
        </w:tc>
        <w:tc>
          <w:tcPr>
            <w:tcW w:w="1134" w:type="dxa"/>
            <w:noWrap w:val="0"/>
            <w:vAlign w:val="center"/>
          </w:tcPr>
          <w:p w14:paraId="3B4FF0F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职务</w:t>
            </w:r>
          </w:p>
        </w:tc>
        <w:tc>
          <w:tcPr>
            <w:tcW w:w="1134" w:type="dxa"/>
            <w:noWrap w:val="0"/>
            <w:vAlign w:val="center"/>
          </w:tcPr>
          <w:p w14:paraId="5011A4A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职称</w:t>
            </w:r>
          </w:p>
        </w:tc>
        <w:tc>
          <w:tcPr>
            <w:tcW w:w="4252" w:type="dxa"/>
            <w:noWrap w:val="0"/>
            <w:vAlign w:val="center"/>
          </w:tcPr>
          <w:p w14:paraId="0BE2BB89">
            <w:pPr>
              <w:keepNext/>
              <w:keepLines w:val="0"/>
              <w:widowControl w:val="0"/>
              <w:suppressLineNumbers w:val="0"/>
              <w:spacing w:before="0" w:beforeAutospacing="0" w:after="0" w:afterAutospacing="0" w:line="440" w:lineRule="exact"/>
              <w:ind w:left="0" w:leftChars="0"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计划进场时间</w:t>
            </w:r>
          </w:p>
        </w:tc>
      </w:tr>
      <w:tr w14:paraId="64F0A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0457AB19">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一、总部人员</w:t>
            </w:r>
          </w:p>
        </w:tc>
      </w:tr>
      <w:tr w14:paraId="24496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CBC1CAD">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项目主管</w:t>
            </w:r>
          </w:p>
        </w:tc>
        <w:tc>
          <w:tcPr>
            <w:tcW w:w="1418" w:type="dxa"/>
            <w:noWrap w:val="0"/>
            <w:vAlign w:val="center"/>
          </w:tcPr>
          <w:p w14:paraId="32CA67B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25FEC815">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2936D95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4252" w:type="dxa"/>
            <w:noWrap w:val="0"/>
            <w:vAlign w:val="center"/>
          </w:tcPr>
          <w:p w14:paraId="324A1DAF">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3D2A8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524B926E">
            <w:pPr>
              <w:keepNext/>
              <w:keepLines w:val="0"/>
              <w:widowControl w:val="0"/>
              <w:suppressLineNumbers w:val="0"/>
              <w:spacing w:before="0" w:beforeAutospacing="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其他人员</w:t>
            </w:r>
          </w:p>
        </w:tc>
        <w:tc>
          <w:tcPr>
            <w:tcW w:w="1418" w:type="dxa"/>
            <w:noWrap w:val="0"/>
            <w:vAlign w:val="center"/>
          </w:tcPr>
          <w:p w14:paraId="6912A5D0">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7D2CE169">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7F97EF19">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4252" w:type="dxa"/>
            <w:noWrap w:val="0"/>
            <w:vAlign w:val="center"/>
          </w:tcPr>
          <w:p w14:paraId="56BA305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24E9C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90144D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8" w:type="dxa"/>
            <w:noWrap w:val="0"/>
            <w:vAlign w:val="center"/>
          </w:tcPr>
          <w:p w14:paraId="5D1B5121">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6BBC9CA0">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4425E479">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4252" w:type="dxa"/>
            <w:noWrap w:val="0"/>
            <w:vAlign w:val="center"/>
          </w:tcPr>
          <w:p w14:paraId="71ADCC6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021D9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964AF0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8" w:type="dxa"/>
            <w:noWrap w:val="0"/>
            <w:vAlign w:val="center"/>
          </w:tcPr>
          <w:p w14:paraId="2BFC141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1A86AE4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326861A7">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4252" w:type="dxa"/>
            <w:noWrap w:val="0"/>
            <w:vAlign w:val="center"/>
          </w:tcPr>
          <w:p w14:paraId="63AF36B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7DD4D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5A99B52F">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二、现场人员</w:t>
            </w:r>
          </w:p>
        </w:tc>
      </w:tr>
      <w:tr w14:paraId="5A763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C9A57A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项目经理</w:t>
            </w:r>
          </w:p>
        </w:tc>
        <w:tc>
          <w:tcPr>
            <w:tcW w:w="1418" w:type="dxa"/>
            <w:noWrap w:val="0"/>
            <w:vAlign w:val="center"/>
          </w:tcPr>
          <w:p w14:paraId="2690498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1303A857">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098F7498">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4252" w:type="dxa"/>
            <w:noWrap w:val="0"/>
            <w:vAlign w:val="center"/>
          </w:tcPr>
          <w:p w14:paraId="1044B32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0A34D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1BD1D6D">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项目副经理</w:t>
            </w:r>
          </w:p>
        </w:tc>
        <w:tc>
          <w:tcPr>
            <w:tcW w:w="1418" w:type="dxa"/>
            <w:noWrap w:val="0"/>
            <w:vAlign w:val="center"/>
          </w:tcPr>
          <w:p w14:paraId="0FC50A91">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61E3E28F">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7DBD828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4252" w:type="dxa"/>
            <w:noWrap w:val="0"/>
            <w:vAlign w:val="center"/>
          </w:tcPr>
          <w:p w14:paraId="0030632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41E66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3A9F117">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技术负责人</w:t>
            </w:r>
          </w:p>
        </w:tc>
        <w:tc>
          <w:tcPr>
            <w:tcW w:w="1418" w:type="dxa"/>
            <w:noWrap w:val="0"/>
            <w:vAlign w:val="center"/>
          </w:tcPr>
          <w:p w14:paraId="6060DFA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2533A20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62869C1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4252" w:type="dxa"/>
            <w:noWrap w:val="0"/>
            <w:vAlign w:val="center"/>
          </w:tcPr>
          <w:p w14:paraId="3E37E205">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541B7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63A06F0">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造价管理</w:t>
            </w:r>
          </w:p>
        </w:tc>
        <w:tc>
          <w:tcPr>
            <w:tcW w:w="1418" w:type="dxa"/>
            <w:noWrap w:val="0"/>
            <w:vAlign w:val="center"/>
          </w:tcPr>
          <w:p w14:paraId="06151A68">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2412ED7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67FEF94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4252" w:type="dxa"/>
            <w:noWrap w:val="0"/>
            <w:vAlign w:val="center"/>
          </w:tcPr>
          <w:p w14:paraId="5D56EF2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0058E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5904C8AB">
            <w:pPr>
              <w:keepNext/>
              <w:keepLines w:val="0"/>
              <w:widowControl w:val="0"/>
              <w:suppressLineNumbers w:val="0"/>
              <w:spacing w:before="0" w:beforeAutospacing="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质量管理</w:t>
            </w:r>
          </w:p>
        </w:tc>
        <w:tc>
          <w:tcPr>
            <w:tcW w:w="1418" w:type="dxa"/>
            <w:noWrap w:val="0"/>
            <w:vAlign w:val="center"/>
          </w:tcPr>
          <w:p w14:paraId="12F30D3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0592D31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613333F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4252" w:type="dxa"/>
            <w:noWrap w:val="0"/>
            <w:vAlign w:val="center"/>
          </w:tcPr>
          <w:p w14:paraId="3214B08A">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2D6D7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1B22102">
            <w:pPr>
              <w:keepNext/>
              <w:keepLines w:val="0"/>
              <w:widowControl w:val="0"/>
              <w:suppressLineNumbers w:val="0"/>
              <w:spacing w:before="0" w:beforeAutospacing="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8" w:type="dxa"/>
            <w:noWrap w:val="0"/>
            <w:vAlign w:val="center"/>
          </w:tcPr>
          <w:p w14:paraId="6BC7101A">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13A3976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4B028B9D">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4252" w:type="dxa"/>
            <w:noWrap w:val="0"/>
            <w:vAlign w:val="center"/>
          </w:tcPr>
          <w:p w14:paraId="2B5FFA3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74EC9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8A4C1C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8" w:type="dxa"/>
            <w:noWrap w:val="0"/>
            <w:vAlign w:val="center"/>
          </w:tcPr>
          <w:p w14:paraId="6AB5B8C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2E8DEDD1">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759562A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4252" w:type="dxa"/>
            <w:noWrap w:val="0"/>
            <w:vAlign w:val="center"/>
          </w:tcPr>
          <w:p w14:paraId="737DCA2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34CF7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034947A">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材料管理</w:t>
            </w:r>
          </w:p>
        </w:tc>
        <w:tc>
          <w:tcPr>
            <w:tcW w:w="1418" w:type="dxa"/>
            <w:noWrap w:val="0"/>
            <w:vAlign w:val="center"/>
          </w:tcPr>
          <w:p w14:paraId="48ADE33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3B83A5ED">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3378484D">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4252" w:type="dxa"/>
            <w:noWrap w:val="0"/>
            <w:vAlign w:val="center"/>
          </w:tcPr>
          <w:p w14:paraId="2B1C685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4E145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F378059">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计划管理</w:t>
            </w:r>
          </w:p>
        </w:tc>
        <w:tc>
          <w:tcPr>
            <w:tcW w:w="1418" w:type="dxa"/>
            <w:noWrap w:val="0"/>
            <w:vAlign w:val="center"/>
          </w:tcPr>
          <w:p w14:paraId="798FACF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79067D67">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1CA128A7">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4252" w:type="dxa"/>
            <w:noWrap w:val="0"/>
            <w:vAlign w:val="center"/>
          </w:tcPr>
          <w:p w14:paraId="04F4734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4F033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4FFC9EC4">
            <w:pPr>
              <w:keepNext/>
              <w:keepLines w:val="0"/>
              <w:widowControl w:val="0"/>
              <w:suppressLineNumbers w:val="0"/>
              <w:spacing w:before="0" w:beforeAutospacing="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安全管理</w:t>
            </w:r>
          </w:p>
        </w:tc>
        <w:tc>
          <w:tcPr>
            <w:tcW w:w="1418" w:type="dxa"/>
            <w:noWrap w:val="0"/>
            <w:vAlign w:val="center"/>
          </w:tcPr>
          <w:p w14:paraId="4ECDF26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5AC3AD61">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6A748A7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4252" w:type="dxa"/>
            <w:noWrap w:val="0"/>
            <w:vAlign w:val="center"/>
          </w:tcPr>
          <w:p w14:paraId="2D95674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54395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8578193">
            <w:pPr>
              <w:keepNext/>
              <w:keepLines w:val="0"/>
              <w:widowControl w:val="0"/>
              <w:suppressLineNumbers w:val="0"/>
              <w:spacing w:before="0" w:beforeAutospacing="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8" w:type="dxa"/>
            <w:noWrap w:val="0"/>
            <w:vAlign w:val="center"/>
          </w:tcPr>
          <w:p w14:paraId="42361B11">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6B99FB1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2224801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4252" w:type="dxa"/>
            <w:noWrap w:val="0"/>
            <w:vAlign w:val="center"/>
          </w:tcPr>
          <w:p w14:paraId="0511F284">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5B9BA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4847228">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8" w:type="dxa"/>
            <w:noWrap w:val="0"/>
            <w:vAlign w:val="center"/>
          </w:tcPr>
          <w:p w14:paraId="5CDBE11F">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5FFE6E8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328B349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4252" w:type="dxa"/>
            <w:noWrap w:val="0"/>
            <w:vAlign w:val="center"/>
          </w:tcPr>
          <w:p w14:paraId="0ADDB5D9">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07004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4BD04D2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其他人员</w:t>
            </w:r>
          </w:p>
        </w:tc>
        <w:tc>
          <w:tcPr>
            <w:tcW w:w="1418" w:type="dxa"/>
            <w:noWrap w:val="0"/>
            <w:vAlign w:val="center"/>
          </w:tcPr>
          <w:p w14:paraId="6B166621">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068612A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7C389A9E">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4252" w:type="dxa"/>
            <w:noWrap w:val="0"/>
            <w:vAlign w:val="center"/>
          </w:tcPr>
          <w:p w14:paraId="5CD0C927">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20BCF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738F17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8" w:type="dxa"/>
            <w:noWrap w:val="0"/>
            <w:vAlign w:val="center"/>
          </w:tcPr>
          <w:p w14:paraId="1B9E14E8">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21D27C85">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56F4B851">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4252" w:type="dxa"/>
            <w:noWrap w:val="0"/>
            <w:vAlign w:val="center"/>
          </w:tcPr>
          <w:p w14:paraId="295FE595">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1D0D3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CFB198A">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8" w:type="dxa"/>
            <w:noWrap w:val="0"/>
            <w:vAlign w:val="center"/>
          </w:tcPr>
          <w:p w14:paraId="154F2ABA">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356CCBF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326C9A3B">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4252" w:type="dxa"/>
            <w:noWrap w:val="0"/>
            <w:vAlign w:val="center"/>
          </w:tcPr>
          <w:p w14:paraId="36296E6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5FBD5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D27326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8" w:type="dxa"/>
            <w:noWrap w:val="0"/>
            <w:vAlign w:val="center"/>
          </w:tcPr>
          <w:p w14:paraId="6970202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75C578C5">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23115A4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4252" w:type="dxa"/>
            <w:noWrap w:val="0"/>
            <w:vAlign w:val="center"/>
          </w:tcPr>
          <w:p w14:paraId="688C434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6FD04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623E0BC">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8" w:type="dxa"/>
            <w:noWrap w:val="0"/>
            <w:vAlign w:val="center"/>
          </w:tcPr>
          <w:p w14:paraId="05EDEBC3">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57D079B7">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006E3672">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4252" w:type="dxa"/>
            <w:noWrap w:val="0"/>
            <w:vAlign w:val="center"/>
          </w:tcPr>
          <w:p w14:paraId="5A7A2DC8">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r w14:paraId="192F0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CB02858">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418" w:type="dxa"/>
            <w:noWrap w:val="0"/>
            <w:vAlign w:val="center"/>
          </w:tcPr>
          <w:p w14:paraId="256EE485">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4973E105">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1134" w:type="dxa"/>
            <w:noWrap w:val="0"/>
            <w:vAlign w:val="center"/>
          </w:tcPr>
          <w:p w14:paraId="186E4A06">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c>
          <w:tcPr>
            <w:tcW w:w="4252" w:type="dxa"/>
            <w:noWrap w:val="0"/>
            <w:vAlign w:val="center"/>
          </w:tcPr>
          <w:p w14:paraId="23E53495">
            <w:pPr>
              <w:keepNext/>
              <w:keepLines w:val="0"/>
              <w:widowControl w:val="0"/>
              <w:suppressLineNumbers w:val="0"/>
              <w:spacing w:before="0" w:beforeAutospacing="0" w:after="0" w:afterAutospacing="0" w:line="440" w:lineRule="exact"/>
              <w:ind w:left="63" w:right="63"/>
              <w:jc w:val="both"/>
              <w:rPr>
                <w:rFonts w:hint="default" w:ascii="Calibri" w:hAnsi="Calibri" w:eastAsia="仿宋_GB2312" w:cs="Times New Roman"/>
                <w:color w:val="auto"/>
                <w:kern w:val="2"/>
                <w:sz w:val="21"/>
                <w:szCs w:val="21"/>
                <w:highlight w:val="none"/>
                <w:lang w:val="en-US" w:eastAsia="zh-CN" w:bidi="ar-SA"/>
              </w:rPr>
            </w:pPr>
          </w:p>
        </w:tc>
      </w:tr>
    </w:tbl>
    <w:p w14:paraId="1D411C56">
      <w:pPr>
        <w:spacing w:line="360" w:lineRule="auto"/>
        <w:ind w:firstLine="420" w:firstLineChars="200"/>
        <w:rPr>
          <w:rFonts w:ascii="宋体" w:hAnsi="宋体" w:cs="Times New Roman"/>
          <w:color w:val="auto"/>
          <w:sz w:val="21"/>
          <w:szCs w:val="21"/>
          <w:highlight w:val="none"/>
        </w:rPr>
      </w:pPr>
    </w:p>
    <w:p w14:paraId="1E1E8CCA">
      <w:pPr>
        <w:keepNext/>
        <w:keepLines/>
        <w:widowControl/>
        <w:spacing w:before="120" w:beforeLines="0" w:after="120" w:afterLines="0" w:line="360" w:lineRule="auto"/>
        <w:jc w:val="both"/>
        <w:outlineLvl w:val="3"/>
        <w:rPr>
          <w:rFonts w:hint="eastAsia" w:ascii="仿宋_GB2312" w:hAnsi="Arial" w:eastAsia="仿宋_GB2312" w:cs="仿宋_GB2312"/>
          <w:color w:val="auto"/>
          <w:kern w:val="0"/>
          <w:sz w:val="21"/>
          <w:szCs w:val="21"/>
          <w:highlight w:val="none"/>
          <w:lang w:val="en-US" w:eastAsia="zh-CN" w:bidi="ar-SA"/>
        </w:rPr>
      </w:pPr>
      <w:r>
        <w:rPr>
          <w:rFonts w:hint="eastAsia" w:ascii="仿宋_GB2312" w:hAnsi="Arial" w:eastAsia="仿宋_GB2312" w:cs="仿宋_GB2312"/>
          <w:color w:val="auto"/>
          <w:kern w:val="0"/>
          <w:sz w:val="21"/>
          <w:szCs w:val="21"/>
          <w:highlight w:val="none"/>
          <w:lang w:val="en-US" w:eastAsia="zh-CN" w:bidi="ar-SA"/>
        </w:rPr>
        <w:t>附件6：预付款支付申请（核准）表</w:t>
      </w:r>
    </w:p>
    <w:p w14:paraId="280E2668">
      <w:pPr>
        <w:jc w:val="center"/>
        <w:outlineLvl w:val="9"/>
        <w:rPr>
          <w:rFonts w:hint="eastAsia" w:ascii="宋体" w:hAnsi="宋体" w:cs="Times New Roman"/>
          <w:b/>
          <w:color w:val="auto"/>
          <w:sz w:val="21"/>
          <w:szCs w:val="21"/>
          <w:highlight w:val="none"/>
        </w:rPr>
      </w:pPr>
      <w:r>
        <w:rPr>
          <w:rFonts w:hint="eastAsia" w:ascii="宋体" w:hAnsi="宋体" w:cs="Times New Roman"/>
          <w:b/>
          <w:color w:val="auto"/>
          <w:sz w:val="21"/>
          <w:szCs w:val="21"/>
          <w:highlight w:val="none"/>
        </w:rPr>
        <w:t>预付款支付申请（核准）表</w:t>
      </w:r>
    </w:p>
    <w:p w14:paraId="7967A44F">
      <w:pPr>
        <w:jc w:val="center"/>
        <w:outlineLvl w:val="9"/>
        <w:rPr>
          <w:rFonts w:hint="eastAsia" w:ascii="宋体" w:hAnsi="宋体" w:cs="Times New Roman"/>
          <w:b/>
          <w:color w:val="auto"/>
          <w:sz w:val="21"/>
          <w:szCs w:val="21"/>
          <w:highlight w:val="none"/>
          <w:lang w:val="en-US" w:eastAsia="zh-CN"/>
        </w:rPr>
      </w:pPr>
    </w:p>
    <w:p w14:paraId="642C342D">
      <w:pPr>
        <w:spacing w:line="360" w:lineRule="auto"/>
        <w:rPr>
          <w:rFonts w:ascii="Times New Roman" w:hAnsi="Times New Roman" w:cs="Times New Roman"/>
          <w:color w:val="auto"/>
          <w:sz w:val="21"/>
          <w:szCs w:val="21"/>
          <w:highlight w:val="none"/>
        </w:rPr>
      </w:pPr>
      <w:r>
        <w:rPr>
          <w:rFonts w:hint="eastAsia" w:ascii="宋体" w:hAnsi="宋体" w:cs="Times New Roman"/>
          <w:color w:val="auto"/>
          <w:sz w:val="21"/>
          <w:szCs w:val="21"/>
          <w:highlight w:val="none"/>
        </w:rPr>
        <w:t xml:space="preserve">工程名称：                                          </w:t>
      </w:r>
      <w:r>
        <w:rPr>
          <w:rFonts w:hint="eastAsia" w:ascii="宋体" w:hAnsi="宋体" w:cs="Times New Roman"/>
          <w:color w:val="auto"/>
          <w:sz w:val="21"/>
          <w:szCs w:val="21"/>
          <w:highlight w:val="none"/>
          <w:lang w:val="en-US" w:eastAsia="zh-CN"/>
        </w:rPr>
        <w:t xml:space="preserve">              </w:t>
      </w:r>
      <w:r>
        <w:rPr>
          <w:rFonts w:hint="eastAsia" w:ascii="宋体" w:hAnsi="宋体" w:cs="Times New Roman"/>
          <w:color w:val="auto"/>
          <w:sz w:val="21"/>
          <w:szCs w:val="21"/>
          <w:highlight w:val="none"/>
        </w:rPr>
        <w:t xml:space="preserve">   编号：</w:t>
      </w:r>
    </w:p>
    <w:tbl>
      <w:tblPr>
        <w:tblStyle w:val="54"/>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6"/>
        <w:gridCol w:w="4543"/>
      </w:tblGrid>
      <w:tr w14:paraId="6CCAE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639" w:type="dxa"/>
            <w:gridSpan w:val="2"/>
            <w:tcBorders>
              <w:top w:val="single" w:color="auto" w:sz="4" w:space="0"/>
              <w:left w:val="single" w:color="auto" w:sz="4" w:space="0"/>
              <w:bottom w:val="single" w:color="auto" w:sz="4" w:space="0"/>
              <w:right w:val="single" w:color="auto" w:sz="4" w:space="0"/>
            </w:tcBorders>
            <w:noWrap w:val="0"/>
            <w:vAlign w:val="top"/>
          </w:tcPr>
          <w:p w14:paraId="4F086044">
            <w:pPr>
              <w:keepNext w:val="0"/>
              <w:keepLines w:val="0"/>
              <w:suppressLineNumbers w:val="0"/>
              <w:spacing w:before="0" w:beforeAutospacing="0" w:after="0" w:afterAutospacing="0" w:line="480" w:lineRule="exact"/>
              <w:ind w:left="525" w:leftChars="149" w:right="0" w:hanging="212" w:hangingChars="101"/>
              <w:rPr>
                <w:rFonts w:hint="default" w:ascii="Times New Roman" w:hAnsi="Times New Roman" w:cs="Times New Roman"/>
                <w:color w:val="auto"/>
                <w:sz w:val="21"/>
                <w:szCs w:val="21"/>
                <w:highlight w:val="none"/>
                <w:u w:val="single"/>
              </w:rPr>
            </w:pPr>
            <w:r>
              <w:rPr>
                <w:rFonts w:hint="eastAsia" w:ascii="宋体" w:hAnsi="宋体" w:cs="Times New Roman"/>
                <w:color w:val="auto"/>
                <w:sz w:val="21"/>
                <w:szCs w:val="21"/>
                <w:highlight w:val="none"/>
              </w:rPr>
              <w:t>致：</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u w:val="single"/>
              </w:rPr>
              <w:t>（发包人全称）</w:t>
            </w:r>
          </w:p>
          <w:p w14:paraId="5483EF59">
            <w:pPr>
              <w:keepNext w:val="0"/>
              <w:keepLines w:val="0"/>
              <w:suppressLineNumbers w:val="0"/>
              <w:spacing w:before="0" w:beforeAutospacing="0" w:after="0" w:afterAutospacing="0" w:line="400" w:lineRule="exact"/>
              <w:ind w:left="-4" w:leftChars="-2" w:right="0" w:firstLine="315" w:firstLineChars="15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我方根据施工合同的约定</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现申请支付工程预付款额为</w:t>
            </w:r>
            <w:r>
              <w:rPr>
                <w:rFonts w:hint="eastAsia" w:ascii="Times New Roman" w:hAnsi="Times New Roman" w:cs="Times New Roman"/>
                <w:color w:val="auto"/>
                <w:sz w:val="21"/>
                <w:szCs w:val="21"/>
                <w:highlight w:val="none"/>
                <w:lang w:eastAsia="zh-CN"/>
              </w:rPr>
              <w:t>（</w:t>
            </w:r>
            <w:r>
              <w:rPr>
                <w:rFonts w:hint="eastAsia" w:ascii="宋体" w:hAnsi="宋体" w:cs="Times New Roman"/>
                <w:color w:val="auto"/>
                <w:sz w:val="21"/>
                <w:szCs w:val="21"/>
                <w:highlight w:val="none"/>
              </w:rPr>
              <w:t>大写</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u w:val="single"/>
              </w:rPr>
              <w:t xml:space="preserve">     </w:t>
            </w:r>
            <w:r>
              <w:rPr>
                <w:rFonts w:hint="eastAsia" w:ascii="Times New Roman" w:hAnsi="Times New Roman" w:cs="Times New Roman"/>
                <w:color w:val="auto"/>
                <w:sz w:val="21"/>
                <w:szCs w:val="21"/>
                <w:highlight w:val="none"/>
                <w:u w:val="single"/>
              </w:rPr>
              <w:t xml:space="preserve">             </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元</w:t>
            </w:r>
            <w:r>
              <w:rPr>
                <w:rFonts w:hint="eastAsia" w:ascii="宋体" w:hAnsi="宋体" w:cs="Times New Roman"/>
                <w:color w:val="auto"/>
                <w:sz w:val="21"/>
                <w:szCs w:val="21"/>
                <w:highlight w:val="none"/>
                <w:lang w:eastAsia="zh-CN"/>
              </w:rPr>
              <w:t>，</w:t>
            </w:r>
            <w:r>
              <w:rPr>
                <w:rFonts w:hint="eastAsia" w:ascii="Times New Roman" w:hAnsi="Times New Roman" w:cs="Times New Roman"/>
                <w:color w:val="auto"/>
                <w:sz w:val="21"/>
                <w:szCs w:val="21"/>
                <w:highlight w:val="none"/>
                <w:lang w:eastAsia="zh-CN"/>
              </w:rPr>
              <w:t>（</w:t>
            </w:r>
            <w:r>
              <w:rPr>
                <w:rFonts w:hint="eastAsia" w:ascii="宋体" w:hAnsi="宋体" w:cs="Times New Roman"/>
                <w:color w:val="auto"/>
                <w:sz w:val="21"/>
                <w:szCs w:val="21"/>
                <w:highlight w:val="none"/>
              </w:rPr>
              <w:t>小写</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u w:val="single"/>
              </w:rPr>
              <w:t xml:space="preserve">     </w:t>
            </w:r>
            <w:r>
              <w:rPr>
                <w:rFonts w:hint="eastAsia" w:ascii="Times New Roman" w:hAnsi="Times New Roman" w:cs="Times New Roman"/>
                <w:color w:val="auto"/>
                <w:sz w:val="21"/>
                <w:szCs w:val="21"/>
                <w:highlight w:val="none"/>
                <w:u w:val="single"/>
              </w:rPr>
              <w:t xml:space="preserve">      </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元</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请予核准。</w:t>
            </w:r>
          </w:p>
          <w:tbl>
            <w:tblPr>
              <w:tblStyle w:val="54"/>
              <w:tblW w:w="8842"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211"/>
              <w:gridCol w:w="1661"/>
              <w:gridCol w:w="1336"/>
              <w:gridCol w:w="1498"/>
              <w:gridCol w:w="1500"/>
            </w:tblGrid>
            <w:tr w14:paraId="7F67C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center"/>
                </w:tcPr>
                <w:p w14:paraId="40924D3E">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序号</w:t>
                  </w:r>
                </w:p>
              </w:tc>
              <w:tc>
                <w:tcPr>
                  <w:tcW w:w="2211" w:type="dxa"/>
                  <w:tcBorders>
                    <w:top w:val="single" w:color="auto" w:sz="4" w:space="0"/>
                    <w:left w:val="single" w:color="auto" w:sz="4" w:space="0"/>
                    <w:bottom w:val="single" w:color="auto" w:sz="4" w:space="0"/>
                    <w:right w:val="single" w:color="auto" w:sz="4" w:space="0"/>
                  </w:tcBorders>
                  <w:noWrap w:val="0"/>
                  <w:vAlign w:val="center"/>
                </w:tcPr>
                <w:p w14:paraId="5BA1DF6A">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 xml:space="preserve">名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称</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4F32EFC0">
                  <w:pPr>
                    <w:keepNext w:val="0"/>
                    <w:keepLines w:val="0"/>
                    <w:suppressLineNumbers w:val="0"/>
                    <w:spacing w:before="0" w:beforeAutospacing="0" w:after="0" w:afterAutospacing="0" w:line="280" w:lineRule="exact"/>
                    <w:ind w:left="0" w:right="0"/>
                    <w:jc w:val="center"/>
                    <w:rPr>
                      <w:rFonts w:hint="default" w:ascii="宋体" w:hAnsi="宋体" w:cs="Times New Roman"/>
                      <w:color w:val="auto"/>
                      <w:sz w:val="21"/>
                      <w:szCs w:val="21"/>
                      <w:highlight w:val="none"/>
                    </w:rPr>
                  </w:pPr>
                  <w:r>
                    <w:rPr>
                      <w:rFonts w:hint="eastAsia" w:ascii="宋体" w:hAnsi="宋体" w:cs="Times New Roman"/>
                      <w:color w:val="auto"/>
                      <w:sz w:val="21"/>
                      <w:szCs w:val="21"/>
                      <w:highlight w:val="none"/>
                    </w:rPr>
                    <w:t>计算基数</w:t>
                  </w:r>
                </w:p>
              </w:tc>
              <w:tc>
                <w:tcPr>
                  <w:tcW w:w="1336" w:type="dxa"/>
                  <w:tcBorders>
                    <w:top w:val="single" w:color="auto" w:sz="4" w:space="0"/>
                    <w:left w:val="single" w:color="auto" w:sz="4" w:space="0"/>
                    <w:bottom w:val="single" w:color="auto" w:sz="4" w:space="0"/>
                    <w:right w:val="single" w:color="auto" w:sz="4" w:space="0"/>
                  </w:tcBorders>
                  <w:noWrap w:val="0"/>
                  <w:vAlign w:val="center"/>
                </w:tcPr>
                <w:p w14:paraId="68ADEE8A">
                  <w:pPr>
                    <w:keepNext w:val="0"/>
                    <w:keepLines w:val="0"/>
                    <w:suppressLineNumbers w:val="0"/>
                    <w:spacing w:before="0" w:beforeAutospacing="0" w:after="0" w:afterAutospacing="0" w:line="280" w:lineRule="exact"/>
                    <w:ind w:left="0" w:right="0"/>
                    <w:jc w:val="center"/>
                    <w:rPr>
                      <w:rFonts w:hint="default" w:ascii="宋体" w:hAnsi="宋体" w:cs="Times New Roman"/>
                      <w:color w:val="auto"/>
                      <w:sz w:val="21"/>
                      <w:szCs w:val="21"/>
                      <w:highlight w:val="none"/>
                    </w:rPr>
                  </w:pPr>
                  <w:r>
                    <w:rPr>
                      <w:rFonts w:hint="eastAsia" w:ascii="宋体" w:hAnsi="宋体" w:cs="Times New Roman"/>
                      <w:color w:val="auto"/>
                      <w:sz w:val="21"/>
                      <w:szCs w:val="21"/>
                      <w:highlight w:val="none"/>
                    </w:rPr>
                    <w:t>支付比例</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8582D6F">
                  <w:pPr>
                    <w:keepNext w:val="0"/>
                    <w:keepLines w:val="0"/>
                    <w:suppressLineNumbers w:val="0"/>
                    <w:spacing w:before="0" w:beforeAutospacing="0" w:after="0" w:afterAutospacing="0" w:line="280" w:lineRule="exact"/>
                    <w:ind w:left="0" w:right="0"/>
                    <w:jc w:val="center"/>
                    <w:rPr>
                      <w:rFonts w:hint="default" w:ascii="宋体" w:hAnsi="宋体" w:cs="Times New Roman"/>
                      <w:color w:val="auto"/>
                      <w:sz w:val="21"/>
                      <w:szCs w:val="21"/>
                      <w:highlight w:val="none"/>
                    </w:rPr>
                  </w:pPr>
                  <w:r>
                    <w:rPr>
                      <w:rFonts w:hint="eastAsia" w:ascii="宋体" w:hAnsi="宋体" w:cs="Times New Roman"/>
                      <w:color w:val="auto"/>
                      <w:sz w:val="21"/>
                      <w:szCs w:val="21"/>
                      <w:highlight w:val="none"/>
                    </w:rPr>
                    <w:t>申请金额（元）</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CBEF205">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复核金额（元）</w:t>
                  </w:r>
                </w:p>
              </w:tc>
            </w:tr>
            <w:tr w14:paraId="47102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6A269A2A">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1</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1A931829">
                  <w:pPr>
                    <w:keepNext w:val="0"/>
                    <w:keepLines w:val="0"/>
                    <w:suppressLineNumbers w:val="0"/>
                    <w:spacing w:before="0" w:beforeAutospacing="0" w:after="0" w:afterAutospacing="0" w:line="280" w:lineRule="exact"/>
                    <w:ind w:left="0" w:right="0"/>
                    <w:rPr>
                      <w:rFonts w:hint="default" w:ascii="宋体" w:hAnsi="宋体" w:cs="Times New Roman"/>
                      <w:color w:val="auto"/>
                      <w:sz w:val="21"/>
                      <w:szCs w:val="21"/>
                      <w:highlight w:val="none"/>
                    </w:rPr>
                  </w:pPr>
                  <w:r>
                    <w:rPr>
                      <w:rFonts w:hint="eastAsia" w:ascii="宋体" w:hAnsi="宋体" w:cs="Times New Roman"/>
                      <w:color w:val="auto"/>
                      <w:sz w:val="21"/>
                      <w:szCs w:val="21"/>
                      <w:highlight w:val="none"/>
                    </w:rPr>
                    <w:t>签约合同价款</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709F25CB">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41B07D74">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41578565">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3B331DE0">
                  <w:pPr>
                    <w:keepNext w:val="0"/>
                    <w:keepLines w:val="0"/>
                    <w:suppressLineNumbers w:val="0"/>
                    <w:spacing w:before="0" w:beforeAutospacing="0" w:after="0" w:afterAutospacing="0" w:line="280" w:lineRule="exact"/>
                    <w:ind w:left="0" w:right="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r>
            <w:tr w14:paraId="58B97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4531EF73">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1.1</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78373FF2">
                  <w:pPr>
                    <w:keepNext w:val="0"/>
                    <w:keepLines w:val="0"/>
                    <w:suppressLineNumbers w:val="0"/>
                    <w:spacing w:before="0" w:beforeAutospacing="0" w:after="0" w:afterAutospacing="0" w:line="280" w:lineRule="exact"/>
                    <w:ind w:left="0" w:right="0"/>
                    <w:rPr>
                      <w:rFonts w:hint="default" w:ascii="宋体" w:hAnsi="宋体" w:cs="Times New Roman"/>
                      <w:color w:val="auto"/>
                      <w:sz w:val="21"/>
                      <w:szCs w:val="21"/>
                      <w:highlight w:val="none"/>
                    </w:rPr>
                  </w:pPr>
                  <w:r>
                    <w:rPr>
                      <w:rFonts w:hint="eastAsia" w:ascii="宋体" w:hAnsi="宋体" w:cs="Times New Roman"/>
                      <w:color w:val="auto"/>
                      <w:sz w:val="21"/>
                      <w:szCs w:val="21"/>
                      <w:highlight w:val="none"/>
                    </w:rPr>
                    <w:t>暂列金额</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595E96B9">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19AEF01D">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E728B7A">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82CACBB">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r>
            <w:tr w14:paraId="7C60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016A5DF9">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1.</w:t>
                  </w:r>
                  <w:r>
                    <w:rPr>
                      <w:rFonts w:hint="eastAsia" w:ascii="Times New Roman" w:hAnsi="Times New Roman" w:cs="Times New Roman"/>
                      <w:color w:val="auto"/>
                      <w:sz w:val="21"/>
                      <w:szCs w:val="21"/>
                      <w:highlight w:val="none"/>
                      <w:lang w:val="en-US" w:eastAsia="zh-CN"/>
                    </w:rPr>
                    <w:t>2</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7B0EC2C4">
                  <w:pPr>
                    <w:keepNext w:val="0"/>
                    <w:keepLines w:val="0"/>
                    <w:suppressLineNumbers w:val="0"/>
                    <w:spacing w:before="0" w:beforeAutospacing="0" w:after="0" w:afterAutospacing="0" w:line="280" w:lineRule="exact"/>
                    <w:ind w:left="0" w:right="0"/>
                    <w:rPr>
                      <w:rFonts w:hint="default" w:ascii="宋体" w:hAnsi="宋体" w:cs="Times New Roman"/>
                      <w:color w:val="auto"/>
                      <w:sz w:val="21"/>
                      <w:szCs w:val="21"/>
                      <w:highlight w:val="none"/>
                    </w:rPr>
                  </w:pPr>
                  <w:r>
                    <w:rPr>
                      <w:rFonts w:hint="eastAsia" w:ascii="宋体" w:hAnsi="宋体" w:cs="Times New Roman"/>
                      <w:color w:val="auto"/>
                      <w:sz w:val="21"/>
                      <w:szCs w:val="21"/>
                      <w:highlight w:val="none"/>
                    </w:rPr>
                    <w:t>专业工程暂估价</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4AB74ECC">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6F8E252E">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7237D314">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F61F36E">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r>
            <w:tr w14:paraId="7776A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705055AE">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1.</w:t>
                  </w:r>
                  <w:r>
                    <w:rPr>
                      <w:rFonts w:hint="eastAsia" w:ascii="Times New Roman" w:hAnsi="Times New Roman" w:cs="Times New Roman"/>
                      <w:color w:val="auto"/>
                      <w:sz w:val="21"/>
                      <w:szCs w:val="21"/>
                      <w:highlight w:val="none"/>
                      <w:lang w:val="en-US" w:eastAsia="zh-CN"/>
                    </w:rPr>
                    <w:t>3</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6D32A741">
                  <w:pPr>
                    <w:keepNext w:val="0"/>
                    <w:keepLines w:val="0"/>
                    <w:suppressLineNumbers w:val="0"/>
                    <w:spacing w:before="0" w:beforeAutospacing="0" w:after="0" w:afterAutospacing="0" w:line="280" w:lineRule="exact"/>
                    <w:ind w:left="0" w:right="0"/>
                    <w:rPr>
                      <w:rFonts w:hint="default" w:ascii="宋体" w:hAnsi="宋体" w:cs="Times New Roman"/>
                      <w:color w:val="auto"/>
                      <w:sz w:val="21"/>
                      <w:szCs w:val="21"/>
                      <w:highlight w:val="none"/>
                      <w:lang w:val="en"/>
                    </w:rPr>
                  </w:pPr>
                  <w:r>
                    <w:rPr>
                      <w:rFonts w:hint="default" w:ascii="宋体" w:hAnsi="宋体" w:cs="Times New Roman"/>
                      <w:color w:val="auto"/>
                      <w:sz w:val="21"/>
                      <w:szCs w:val="21"/>
                      <w:highlight w:val="none"/>
                      <w:lang w:val="en"/>
                    </w:rPr>
                    <w:t>安全生产费</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5839CBDB">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1423EAE2">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DC2951C">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2D7D8540">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r>
            <w:tr w14:paraId="3D084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56FF80FF">
                  <w:pPr>
                    <w:keepNext w:val="0"/>
                    <w:keepLines w:val="0"/>
                    <w:suppressLineNumbers w:val="0"/>
                    <w:spacing w:before="0" w:beforeAutospacing="0" w:after="0" w:afterAutospacing="0" w:line="280" w:lineRule="exact"/>
                    <w:ind w:left="0" w:right="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2</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00EA570D">
                  <w:pPr>
                    <w:keepNext w:val="0"/>
                    <w:keepLines w:val="0"/>
                    <w:suppressLineNumbers w:val="0"/>
                    <w:spacing w:before="0" w:beforeAutospacing="0" w:after="0" w:afterAutospacing="0" w:line="280" w:lineRule="exact"/>
                    <w:ind w:left="0" w:right="0"/>
                    <w:rPr>
                      <w:rFonts w:hint="eastAsia" w:ascii="宋体" w:hAnsi="宋体" w:eastAsia="宋体" w:cs="Times New Roman"/>
                      <w:color w:val="auto"/>
                      <w:sz w:val="21"/>
                      <w:szCs w:val="21"/>
                      <w:highlight w:val="none"/>
                      <w:lang w:eastAsia="zh-CN"/>
                    </w:rPr>
                  </w:pPr>
                  <w:r>
                    <w:rPr>
                      <w:rFonts w:hint="eastAsia" w:ascii="宋体" w:hAnsi="宋体" w:cs="Times New Roman"/>
                      <w:color w:val="auto"/>
                      <w:sz w:val="21"/>
                      <w:szCs w:val="21"/>
                      <w:highlight w:val="none"/>
                      <w:lang w:val="en-US" w:eastAsia="zh-CN"/>
                    </w:rPr>
                    <w:t>应付</w:t>
                  </w:r>
                  <w:r>
                    <w:rPr>
                      <w:rFonts w:hint="eastAsia" w:ascii="宋体" w:hAnsi="宋体" w:cs="Times New Roman"/>
                      <w:color w:val="auto"/>
                      <w:sz w:val="21"/>
                      <w:szCs w:val="21"/>
                      <w:highlight w:val="none"/>
                      <w:lang w:eastAsia="zh-CN"/>
                    </w:rPr>
                    <w:t>预付款</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4E0431A9">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1-(1.1+1.2+1.3)</w:t>
                  </w:r>
                </w:p>
              </w:tc>
              <w:tc>
                <w:tcPr>
                  <w:tcW w:w="1336" w:type="dxa"/>
                  <w:tcBorders>
                    <w:top w:val="single" w:color="auto" w:sz="4" w:space="0"/>
                    <w:left w:val="single" w:color="auto" w:sz="4" w:space="0"/>
                    <w:bottom w:val="single" w:color="auto" w:sz="4" w:space="0"/>
                    <w:right w:val="single" w:color="auto" w:sz="4" w:space="0"/>
                  </w:tcBorders>
                  <w:noWrap w:val="0"/>
                  <w:vAlign w:val="center"/>
                </w:tcPr>
                <w:p w14:paraId="44688F0B">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6F29CD8A">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09CF52AA">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r>
            <w:tr w14:paraId="78B38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56246B4">
                  <w:pPr>
                    <w:keepNext w:val="0"/>
                    <w:keepLines w:val="0"/>
                    <w:suppressLineNumbers w:val="0"/>
                    <w:spacing w:before="0" w:beforeAutospacing="0" w:after="0" w:afterAutospacing="0" w:line="280" w:lineRule="exact"/>
                    <w:ind w:left="0" w:leftChars="0" w:right="0" w:rightChars="0"/>
                    <w:jc w:val="center"/>
                    <w:rPr>
                      <w:rFonts w:hint="eastAsia" w:ascii="Calibri" w:hAnsi="Calibri" w:eastAsia="宋体" w:cs="Times New Roman"/>
                      <w:color w:val="auto"/>
                      <w:sz w:val="21"/>
                      <w:szCs w:val="21"/>
                      <w:highlight w:val="none"/>
                      <w:lang w:val="en-US" w:eastAsia="zh-CN"/>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03ACD68B">
                  <w:pPr>
                    <w:keepNext w:val="0"/>
                    <w:keepLines w:val="0"/>
                    <w:suppressLineNumbers w:val="0"/>
                    <w:spacing w:before="0" w:beforeAutospacing="0" w:after="0" w:afterAutospacing="0" w:line="280" w:lineRule="exact"/>
                    <w:ind w:left="0" w:leftChars="0" w:right="0" w:rightChars="0"/>
                    <w:rPr>
                      <w:rFonts w:hint="default" w:ascii="Calibri" w:hAnsi="Calibri" w:cs="Times New Roman"/>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579F97A5">
                  <w:pPr>
                    <w:keepNext w:val="0"/>
                    <w:keepLines w:val="0"/>
                    <w:suppressLineNumbers w:val="0"/>
                    <w:spacing w:before="0" w:beforeAutospacing="0" w:after="0" w:afterAutospacing="0" w:line="280" w:lineRule="exact"/>
                    <w:ind w:left="0" w:right="0"/>
                    <w:jc w:val="center"/>
                    <w:rPr>
                      <w:rFonts w:hint="default" w:ascii="Calibri" w:hAnsi="Calibri" w:cs="Times New Roman"/>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708A5C73">
                  <w:pPr>
                    <w:keepNext w:val="0"/>
                    <w:keepLines w:val="0"/>
                    <w:suppressLineNumbers w:val="0"/>
                    <w:spacing w:before="0" w:beforeAutospacing="0" w:after="0" w:afterAutospacing="0" w:line="280" w:lineRule="exact"/>
                    <w:ind w:left="0" w:right="0"/>
                    <w:jc w:val="center"/>
                    <w:rPr>
                      <w:rFonts w:hint="default" w:ascii="Calibri" w:hAnsi="Calibri" w:cs="Times New Roman"/>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1D3B7EC">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26E957C8">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r>
            <w:tr w14:paraId="1D27B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0067C9F2">
                  <w:pPr>
                    <w:keepNext w:val="0"/>
                    <w:keepLines w:val="0"/>
                    <w:suppressLineNumbers w:val="0"/>
                    <w:spacing w:before="0" w:beforeAutospacing="0" w:after="0" w:afterAutospacing="0" w:line="280" w:lineRule="exact"/>
                    <w:ind w:left="0" w:leftChars="0" w:right="0" w:rightChars="0"/>
                    <w:jc w:val="center"/>
                    <w:rPr>
                      <w:rFonts w:hint="default" w:ascii="Calibri" w:hAnsi="Calibri" w:cs="Times New Roman"/>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2636431">
                  <w:pPr>
                    <w:keepNext w:val="0"/>
                    <w:keepLines w:val="0"/>
                    <w:suppressLineNumbers w:val="0"/>
                    <w:spacing w:before="0" w:beforeAutospacing="0" w:after="0" w:afterAutospacing="0" w:line="280" w:lineRule="exact"/>
                    <w:ind w:left="0" w:leftChars="0" w:right="0" w:rightChars="0"/>
                    <w:rPr>
                      <w:rFonts w:hint="default" w:ascii="Calibri" w:hAnsi="Calibri" w:cs="Times New Roman"/>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70E8E23">
                  <w:pPr>
                    <w:keepNext w:val="0"/>
                    <w:keepLines w:val="0"/>
                    <w:suppressLineNumbers w:val="0"/>
                    <w:spacing w:before="0" w:beforeAutospacing="0" w:after="0" w:afterAutospacing="0" w:line="280" w:lineRule="exact"/>
                    <w:ind w:left="0" w:right="0"/>
                    <w:jc w:val="center"/>
                    <w:rPr>
                      <w:rFonts w:hint="default" w:ascii="Calibri" w:hAnsi="Calibri" w:cs="Times New Roman"/>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4747B49B">
                  <w:pPr>
                    <w:keepNext w:val="0"/>
                    <w:keepLines w:val="0"/>
                    <w:suppressLineNumbers w:val="0"/>
                    <w:spacing w:before="0" w:beforeAutospacing="0" w:after="0" w:afterAutospacing="0" w:line="280" w:lineRule="exact"/>
                    <w:ind w:left="0" w:right="0"/>
                    <w:jc w:val="center"/>
                    <w:rPr>
                      <w:rFonts w:hint="default" w:ascii="Calibri" w:hAnsi="Calibri" w:cs="Times New Roman"/>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571616D7">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988D749">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r>
            <w:tr w14:paraId="3EBD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12C162C6">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4608D28">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01B1F4BF">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009E01B">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E23C645">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22CCDE3F">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r>
            <w:tr w14:paraId="72F49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5F3AB2F3">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7B909654">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41650E06">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5D5F3B7">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ED64251">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20750C2D">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r>
            <w:tr w14:paraId="33372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4CD1BB55">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67CC8DAF">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1A0D14FE">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6821F0DB">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F01D893">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4006B3A">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r>
            <w:tr w14:paraId="0179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3DC6AD72">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30384E23">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1958C74">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4F81D3F">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8B57200">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2DF68ACF">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r>
          </w:tbl>
          <w:p w14:paraId="4A0280AF">
            <w:pPr>
              <w:keepNext w:val="0"/>
              <w:keepLines w:val="0"/>
              <w:suppressLineNumbers w:val="0"/>
              <w:wordWrap w:val="0"/>
              <w:spacing w:before="0" w:beforeAutospacing="0" w:after="0" w:afterAutospacing="0" w:line="400" w:lineRule="exact"/>
              <w:ind w:left="0" w:right="42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          </w:t>
            </w:r>
          </w:p>
          <w:p w14:paraId="26BA24C7">
            <w:pPr>
              <w:keepNext w:val="0"/>
              <w:keepLines w:val="0"/>
              <w:suppressLineNumbers w:val="0"/>
              <w:wordWrap w:val="0"/>
              <w:spacing w:before="0" w:beforeAutospacing="0" w:after="0" w:afterAutospacing="0" w:line="400" w:lineRule="exact"/>
              <w:ind w:left="0" w:right="420"/>
              <w:rPr>
                <w:rFonts w:hint="default" w:ascii="Times New Roman" w:hAnsi="Times New Roman" w:cs="Times New Roman"/>
                <w:color w:val="auto"/>
                <w:sz w:val="21"/>
                <w:szCs w:val="21"/>
                <w:highlight w:val="none"/>
              </w:rPr>
            </w:pPr>
          </w:p>
          <w:p w14:paraId="27EE7C1D">
            <w:pPr>
              <w:keepNext w:val="0"/>
              <w:keepLines w:val="0"/>
              <w:suppressLineNumbers w:val="0"/>
              <w:wordWrap w:val="0"/>
              <w:spacing w:before="0" w:beforeAutospacing="0" w:after="0" w:afterAutospacing="0" w:line="400" w:lineRule="exact"/>
              <w:ind w:left="0" w:right="42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 xml:space="preserve">承包人（章） </w:t>
            </w:r>
            <w:r>
              <w:rPr>
                <w:rFonts w:hint="default" w:ascii="Times New Roman" w:hAnsi="Times New Roman" w:cs="Times New Roman"/>
                <w:color w:val="auto"/>
                <w:sz w:val="21"/>
                <w:szCs w:val="21"/>
                <w:highlight w:val="none"/>
              </w:rPr>
              <w:t xml:space="preserve">            </w:t>
            </w:r>
          </w:p>
          <w:p w14:paraId="05F242BE">
            <w:pPr>
              <w:keepNext w:val="0"/>
              <w:keepLines w:val="0"/>
              <w:suppressLineNumbers w:val="0"/>
              <w:spacing w:before="0" w:beforeAutospacing="0" w:after="0" w:afterAutospacing="0" w:line="400" w:lineRule="exact"/>
              <w:ind w:left="0" w:right="420" w:firstLine="435"/>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造价人员</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承包人代表</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 xml:space="preserve">日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期</w:t>
            </w:r>
            <w:r>
              <w:rPr>
                <w:rFonts w:hint="default" w:ascii="Times New Roman" w:hAnsi="Times New Roman" w:cs="Times New Roman"/>
                <w:color w:val="auto"/>
                <w:sz w:val="21"/>
                <w:szCs w:val="21"/>
                <w:highlight w:val="none"/>
                <w:u w:val="single"/>
              </w:rPr>
              <w:t xml:space="preserve">               </w:t>
            </w:r>
          </w:p>
        </w:tc>
      </w:tr>
      <w:tr w14:paraId="7B293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9" w:hRule="atLeast"/>
          <w:jc w:val="center"/>
        </w:trPr>
        <w:tc>
          <w:tcPr>
            <w:tcW w:w="5096" w:type="dxa"/>
            <w:tcBorders>
              <w:top w:val="single" w:color="auto" w:sz="4" w:space="0"/>
              <w:left w:val="single" w:color="auto" w:sz="4" w:space="0"/>
              <w:bottom w:val="single" w:color="auto" w:sz="4" w:space="0"/>
              <w:right w:val="single" w:color="auto" w:sz="4" w:space="0"/>
            </w:tcBorders>
            <w:noWrap w:val="0"/>
            <w:vAlign w:val="top"/>
          </w:tcPr>
          <w:p w14:paraId="2307336C">
            <w:pPr>
              <w:keepNext w:val="0"/>
              <w:keepLines w:val="0"/>
              <w:suppressLineNumbers w:val="0"/>
              <w:spacing w:before="0" w:beforeAutospacing="0" w:after="0" w:afterAutospacing="0" w:line="360" w:lineRule="exact"/>
              <w:ind w:left="0" w:right="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复核意见：</w:t>
            </w:r>
          </w:p>
          <w:p w14:paraId="068489A2">
            <w:pPr>
              <w:keepNext w:val="0"/>
              <w:keepLines w:val="0"/>
              <w:suppressLineNumbers w:val="0"/>
              <w:spacing w:before="0" w:beforeAutospacing="0" w:after="0" w:afterAutospacing="0" w:line="360" w:lineRule="exact"/>
              <w:ind w:left="0" w:right="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□与合同约定不相符</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修改意见见附件。</w:t>
            </w:r>
          </w:p>
          <w:p w14:paraId="2D0C744E">
            <w:pPr>
              <w:keepNext w:val="0"/>
              <w:keepLines w:val="0"/>
              <w:suppressLineNumbers w:val="0"/>
              <w:spacing w:before="0" w:beforeAutospacing="0" w:after="0" w:afterAutospacing="0" w:line="360" w:lineRule="exact"/>
              <w:ind w:left="0" w:right="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□与合同约定相符</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具体金额由造价工程师复核。</w:t>
            </w:r>
          </w:p>
          <w:p w14:paraId="5DCBEF76">
            <w:pPr>
              <w:keepNext w:val="0"/>
              <w:keepLines w:val="0"/>
              <w:suppressLineNumbers w:val="0"/>
              <w:spacing w:before="0" w:beforeAutospacing="0" w:after="0" w:afterAutospacing="0" w:line="360" w:lineRule="exact"/>
              <w:ind w:left="0" w:right="0" w:firstLine="435"/>
              <w:jc w:val="center"/>
              <w:rPr>
                <w:rFonts w:hint="default" w:ascii="Times New Roman" w:hAnsi="Times New Roman" w:cs="Times New Roman"/>
                <w:color w:val="auto"/>
                <w:sz w:val="21"/>
                <w:szCs w:val="21"/>
                <w:highlight w:val="none"/>
                <w:u w:val="single"/>
              </w:rPr>
            </w:pP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监理工程师</w:t>
            </w:r>
            <w:r>
              <w:rPr>
                <w:rFonts w:hint="default" w:ascii="Times New Roman" w:hAnsi="Times New Roman" w:cs="Times New Roman"/>
                <w:color w:val="auto"/>
                <w:sz w:val="21"/>
                <w:szCs w:val="21"/>
                <w:highlight w:val="none"/>
                <w:u w:val="single"/>
              </w:rPr>
              <w:t xml:space="preserve">           </w:t>
            </w:r>
          </w:p>
          <w:p w14:paraId="26904B5A">
            <w:pPr>
              <w:keepNext w:val="0"/>
              <w:keepLines w:val="0"/>
              <w:suppressLineNumbers w:val="0"/>
              <w:spacing w:before="0" w:beforeAutospacing="0" w:after="0" w:afterAutospacing="0" w:line="360" w:lineRule="exact"/>
              <w:ind w:left="0" w:right="0" w:firstLine="435"/>
              <w:jc w:val="center"/>
              <w:rPr>
                <w:rFonts w:hint="default" w:ascii="Times New Roman" w:hAnsi="Times New Roman" w:cs="Times New Roman"/>
                <w:color w:val="auto"/>
                <w:sz w:val="21"/>
                <w:szCs w:val="21"/>
                <w:highlight w:val="none"/>
                <w:u w:val="single"/>
              </w:rPr>
            </w:pP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 xml:space="preserve">日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期</w:t>
            </w:r>
            <w:r>
              <w:rPr>
                <w:rFonts w:hint="default" w:ascii="Times New Roman" w:hAnsi="Times New Roman" w:cs="Times New Roman"/>
                <w:color w:val="auto"/>
                <w:sz w:val="21"/>
                <w:szCs w:val="21"/>
                <w:highlight w:val="none"/>
                <w:u w:val="single"/>
              </w:rPr>
              <w:t xml:space="preserve">           </w:t>
            </w:r>
          </w:p>
        </w:tc>
        <w:tc>
          <w:tcPr>
            <w:tcW w:w="4543" w:type="dxa"/>
            <w:tcBorders>
              <w:top w:val="single" w:color="auto" w:sz="4" w:space="0"/>
              <w:left w:val="single" w:color="auto" w:sz="4" w:space="0"/>
              <w:bottom w:val="single" w:color="auto" w:sz="4" w:space="0"/>
              <w:right w:val="single" w:color="auto" w:sz="4" w:space="0"/>
            </w:tcBorders>
            <w:noWrap w:val="0"/>
            <w:vAlign w:val="top"/>
          </w:tcPr>
          <w:p w14:paraId="21B99296">
            <w:pPr>
              <w:keepNext w:val="0"/>
              <w:keepLines w:val="0"/>
              <w:suppressLineNumbers w:val="0"/>
              <w:spacing w:before="0" w:beforeAutospacing="0" w:after="0" w:afterAutospacing="0" w:line="360" w:lineRule="exact"/>
              <w:ind w:left="0" w:right="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复核意见：</w:t>
            </w:r>
          </w:p>
          <w:p w14:paraId="1DEE84AE">
            <w:pPr>
              <w:keepNext w:val="0"/>
              <w:keepLines w:val="0"/>
              <w:suppressLineNumbers w:val="0"/>
              <w:spacing w:before="0" w:beforeAutospacing="0" w:after="0" w:afterAutospacing="0" w:line="360" w:lineRule="exact"/>
              <w:ind w:left="0" w:right="0" w:firstLine="435"/>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你方提出的支付申请经复核</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应支付预付款金额为</w:t>
            </w:r>
            <w:r>
              <w:rPr>
                <w:rFonts w:hint="eastAsia" w:ascii="Times New Roman" w:hAnsi="Times New Roman" w:cs="Times New Roman"/>
                <w:color w:val="auto"/>
                <w:sz w:val="21"/>
                <w:szCs w:val="21"/>
                <w:highlight w:val="none"/>
                <w:lang w:eastAsia="zh-CN"/>
              </w:rPr>
              <w:t>（</w:t>
            </w:r>
            <w:r>
              <w:rPr>
                <w:rFonts w:hint="eastAsia" w:ascii="宋体" w:hAnsi="宋体" w:cs="Times New Roman"/>
                <w:color w:val="auto"/>
                <w:sz w:val="21"/>
                <w:szCs w:val="21"/>
                <w:highlight w:val="none"/>
              </w:rPr>
              <w:t>大写</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u w:val="single"/>
              </w:rPr>
              <w:t xml:space="preserve">         </w:t>
            </w:r>
            <w:r>
              <w:rPr>
                <w:rFonts w:hint="eastAsia" w:ascii="Times New Roman" w:hAnsi="Times New Roman" w:cs="Times New Roman"/>
                <w:color w:val="auto"/>
                <w:sz w:val="21"/>
                <w:szCs w:val="21"/>
                <w:highlight w:val="none"/>
                <w:u w:val="single"/>
              </w:rPr>
              <w:t xml:space="preserve">          </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元</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（小写）</w:t>
            </w:r>
            <w:r>
              <w:rPr>
                <w:rFonts w:hint="default" w:ascii="Times New Roman" w:hAnsi="Times New Roman" w:cs="Times New Roman"/>
                <w:color w:val="auto"/>
                <w:sz w:val="21"/>
                <w:szCs w:val="21"/>
                <w:highlight w:val="none"/>
                <w:u w:val="single"/>
              </w:rPr>
              <w:t xml:space="preserve">   </w:t>
            </w:r>
            <w:r>
              <w:rPr>
                <w:rFonts w:hint="eastAsia" w:ascii="Times New Roman" w:hAnsi="Times New Roman" w:cs="Times New Roman"/>
                <w:color w:val="auto"/>
                <w:sz w:val="21"/>
                <w:szCs w:val="21"/>
                <w:highlight w:val="none"/>
                <w:u w:val="single"/>
              </w:rPr>
              <w:t xml:space="preserve">   </w:t>
            </w:r>
            <w:r>
              <w:rPr>
                <w:rFonts w:hint="default" w:ascii="Times New Roman" w:hAnsi="Times New Roman" w:cs="Times New Roman"/>
                <w:color w:val="auto"/>
                <w:sz w:val="21"/>
                <w:szCs w:val="21"/>
                <w:highlight w:val="none"/>
                <w:u w:val="single"/>
              </w:rPr>
              <w:t xml:space="preserve">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元。</w:t>
            </w:r>
          </w:p>
          <w:p w14:paraId="0B92D222">
            <w:pPr>
              <w:keepNext w:val="0"/>
              <w:keepLines w:val="0"/>
              <w:suppressLineNumbers w:val="0"/>
              <w:spacing w:before="0" w:beforeAutospacing="0" w:after="0" w:afterAutospacing="0" w:line="360" w:lineRule="exact"/>
              <w:ind w:left="0" w:right="0" w:firstLine="435"/>
              <w:jc w:val="center"/>
              <w:rPr>
                <w:rFonts w:hint="default" w:ascii="Times New Roman" w:hAnsi="Times New Roman" w:cs="Times New Roman"/>
                <w:color w:val="auto"/>
                <w:sz w:val="21"/>
                <w:szCs w:val="21"/>
                <w:highlight w:val="none"/>
                <w:u w:val="single"/>
              </w:rPr>
            </w:pP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造价工程师</w:t>
            </w:r>
            <w:r>
              <w:rPr>
                <w:rFonts w:hint="default" w:ascii="Times New Roman" w:hAnsi="Times New Roman" w:cs="Times New Roman"/>
                <w:color w:val="auto"/>
                <w:sz w:val="21"/>
                <w:szCs w:val="21"/>
                <w:highlight w:val="none"/>
                <w:u w:val="single"/>
              </w:rPr>
              <w:t xml:space="preserve">           </w:t>
            </w:r>
          </w:p>
          <w:p w14:paraId="25A82812">
            <w:pPr>
              <w:keepNext w:val="0"/>
              <w:keepLines w:val="0"/>
              <w:suppressLineNumbers w:val="0"/>
              <w:spacing w:before="0" w:beforeAutospacing="0" w:after="0" w:afterAutospacing="0" w:line="360" w:lineRule="exact"/>
              <w:ind w:left="0" w:right="0" w:firstLine="435"/>
              <w:jc w:val="center"/>
              <w:rPr>
                <w:rFonts w:hint="default" w:ascii="Times New Roman" w:hAnsi="Times New Roman" w:cs="Times New Roman"/>
                <w:color w:val="auto"/>
                <w:sz w:val="21"/>
                <w:szCs w:val="21"/>
                <w:highlight w:val="none"/>
                <w:u w:val="single"/>
              </w:rPr>
            </w:pP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 xml:space="preserve">日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期</w:t>
            </w:r>
            <w:r>
              <w:rPr>
                <w:rFonts w:hint="default" w:ascii="Times New Roman" w:hAnsi="Times New Roman" w:cs="Times New Roman"/>
                <w:color w:val="auto"/>
                <w:sz w:val="21"/>
                <w:szCs w:val="21"/>
                <w:highlight w:val="none"/>
                <w:u w:val="single"/>
              </w:rPr>
              <w:t xml:space="preserve">           </w:t>
            </w:r>
          </w:p>
        </w:tc>
      </w:tr>
      <w:tr w14:paraId="032E5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9639" w:type="dxa"/>
            <w:gridSpan w:val="2"/>
            <w:tcBorders>
              <w:top w:val="single" w:color="auto" w:sz="4" w:space="0"/>
              <w:left w:val="single" w:color="auto" w:sz="4" w:space="0"/>
              <w:bottom w:val="single" w:color="auto" w:sz="4" w:space="0"/>
              <w:right w:val="single" w:color="auto" w:sz="4" w:space="0"/>
            </w:tcBorders>
            <w:noWrap w:val="0"/>
            <w:vAlign w:val="top"/>
          </w:tcPr>
          <w:p w14:paraId="3F9C887D">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审核意见：</w:t>
            </w:r>
          </w:p>
          <w:p w14:paraId="7719CD6B">
            <w:pPr>
              <w:keepNext w:val="0"/>
              <w:keepLines w:val="0"/>
              <w:suppressLineNumbers w:val="0"/>
              <w:spacing w:before="0" w:beforeAutospacing="0" w:after="0" w:afterAutospacing="0"/>
              <w:ind w:left="0" w:right="0" w:firstLine="435"/>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□不同意。</w:t>
            </w:r>
          </w:p>
          <w:p w14:paraId="0F293579">
            <w:pPr>
              <w:keepNext w:val="0"/>
              <w:keepLines w:val="0"/>
              <w:suppressLineNumbers w:val="0"/>
              <w:spacing w:before="0" w:beforeAutospacing="0" w:after="0" w:afterAutospacing="0"/>
              <w:ind w:left="0" w:right="0" w:firstLine="420" w:firstLineChars="20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□同意</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支付时间为本表签发后的</w:t>
            </w:r>
            <w:r>
              <w:rPr>
                <w:rFonts w:hint="eastAsia" w:ascii="Times New Roman" w:hAnsi="Times New Roman" w:cs="Times New Roman"/>
                <w:color w:val="auto"/>
                <w:sz w:val="21"/>
                <w:szCs w:val="21"/>
                <w:highlight w:val="none"/>
              </w:rPr>
              <w:t>15</w:t>
            </w:r>
            <w:r>
              <w:rPr>
                <w:rFonts w:hint="eastAsia" w:ascii="宋体" w:hAnsi="宋体" w:cs="Times New Roman"/>
                <w:color w:val="auto"/>
                <w:sz w:val="21"/>
                <w:szCs w:val="21"/>
                <w:highlight w:val="none"/>
              </w:rPr>
              <w:t>天内。</w:t>
            </w:r>
          </w:p>
          <w:p w14:paraId="53A95B2A">
            <w:pPr>
              <w:keepNext w:val="0"/>
              <w:keepLines w:val="0"/>
              <w:suppressLineNumbers w:val="0"/>
              <w:spacing w:before="0" w:beforeAutospacing="0" w:after="0" w:afterAutospacing="0"/>
              <w:ind w:left="0" w:right="735" w:firstLine="6195" w:firstLineChars="295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 xml:space="preserve">发包人（章） </w:t>
            </w:r>
            <w:r>
              <w:rPr>
                <w:rFonts w:hint="default" w:ascii="Times New Roman" w:hAnsi="Times New Roman" w:cs="Times New Roman"/>
                <w:color w:val="auto"/>
                <w:sz w:val="21"/>
                <w:szCs w:val="21"/>
                <w:highlight w:val="none"/>
              </w:rPr>
              <w:t xml:space="preserve">          </w:t>
            </w:r>
          </w:p>
          <w:p w14:paraId="0FAEECA9">
            <w:pPr>
              <w:keepNext w:val="0"/>
              <w:keepLines w:val="0"/>
              <w:suppressLineNumbers w:val="0"/>
              <w:spacing w:before="0" w:beforeAutospacing="0" w:after="0" w:afterAutospacing="0"/>
              <w:ind w:left="0" w:right="420" w:firstLine="6195" w:firstLineChars="2950"/>
              <w:rPr>
                <w:rFonts w:hint="default" w:ascii="Times New Roman" w:hAnsi="Times New Roman" w:cs="Times New Roman"/>
                <w:color w:val="auto"/>
                <w:sz w:val="21"/>
                <w:szCs w:val="21"/>
                <w:highlight w:val="none"/>
                <w:u w:val="single"/>
              </w:rPr>
            </w:pPr>
            <w:r>
              <w:rPr>
                <w:rFonts w:hint="eastAsia" w:ascii="宋体" w:hAnsi="宋体" w:cs="Times New Roman"/>
                <w:color w:val="auto"/>
                <w:sz w:val="21"/>
                <w:szCs w:val="21"/>
                <w:highlight w:val="none"/>
              </w:rPr>
              <w:t>发包人代表</w:t>
            </w:r>
            <w:r>
              <w:rPr>
                <w:rFonts w:hint="default" w:ascii="Times New Roman" w:hAnsi="Times New Roman" w:cs="Times New Roman"/>
                <w:color w:val="auto"/>
                <w:sz w:val="21"/>
                <w:szCs w:val="21"/>
                <w:highlight w:val="none"/>
                <w:u w:val="single"/>
              </w:rPr>
              <w:t xml:space="preserve">             </w:t>
            </w:r>
          </w:p>
          <w:p w14:paraId="5361C24D">
            <w:pPr>
              <w:keepNext w:val="0"/>
              <w:keepLines w:val="0"/>
              <w:suppressLineNumbers w:val="0"/>
              <w:spacing w:before="0" w:beforeAutospacing="0" w:after="0" w:afterAutospacing="0"/>
              <w:ind w:left="0" w:right="420" w:firstLine="6195" w:firstLineChars="2950"/>
              <w:rPr>
                <w:rFonts w:hint="default" w:ascii="Times New Roman" w:hAnsi="Times New Roman" w:cs="Times New Roman"/>
                <w:color w:val="auto"/>
                <w:sz w:val="21"/>
                <w:szCs w:val="21"/>
                <w:highlight w:val="none"/>
                <w:u w:val="single"/>
              </w:rPr>
            </w:pPr>
            <w:r>
              <w:rPr>
                <w:rFonts w:hint="eastAsia" w:ascii="宋体" w:hAnsi="宋体" w:cs="Times New Roman"/>
                <w:color w:val="auto"/>
                <w:sz w:val="21"/>
                <w:szCs w:val="21"/>
                <w:highlight w:val="none"/>
              </w:rPr>
              <w:t xml:space="preserve">日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期</w:t>
            </w:r>
            <w:r>
              <w:rPr>
                <w:rFonts w:hint="default" w:ascii="Times New Roman" w:hAnsi="Times New Roman" w:cs="Times New Roman"/>
                <w:color w:val="auto"/>
                <w:sz w:val="21"/>
                <w:szCs w:val="21"/>
                <w:highlight w:val="none"/>
                <w:u w:val="single"/>
              </w:rPr>
              <w:t xml:space="preserve">             </w:t>
            </w:r>
          </w:p>
        </w:tc>
      </w:tr>
    </w:tbl>
    <w:p w14:paraId="38D1874C">
      <w:pPr>
        <w:ind w:firstLine="420" w:firstLineChars="200"/>
        <w:rPr>
          <w:rFonts w:ascii="宋体" w:hAnsi="宋体" w:cs="Times New Roman"/>
          <w:color w:val="auto"/>
          <w:sz w:val="21"/>
          <w:szCs w:val="21"/>
          <w:highlight w:val="none"/>
        </w:rPr>
      </w:pPr>
      <w:r>
        <w:rPr>
          <w:rFonts w:hint="eastAsia" w:ascii="宋体" w:hAnsi="宋体" w:cs="Times New Roman"/>
          <w:color w:val="auto"/>
          <w:sz w:val="21"/>
          <w:szCs w:val="21"/>
          <w:highlight w:val="none"/>
        </w:rPr>
        <w:t>注：1.在选择栏中的</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内作标识</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 xml:space="preserve">。 </w:t>
      </w:r>
    </w:p>
    <w:p w14:paraId="4BE11C9F">
      <w:pPr>
        <w:ind w:left="720" w:hanging="840" w:hangingChars="400"/>
        <w:rPr>
          <w:rFonts w:ascii="宋体" w:hAnsi="宋体" w:cs="Times New Roman"/>
          <w:color w:val="auto"/>
          <w:sz w:val="21"/>
          <w:szCs w:val="21"/>
          <w:highlight w:val="none"/>
        </w:rPr>
      </w:pPr>
      <w:r>
        <w:rPr>
          <w:rFonts w:hint="eastAsia" w:ascii="宋体" w:hAnsi="宋体" w:cs="Times New Roman"/>
          <w:color w:val="auto"/>
          <w:sz w:val="21"/>
          <w:szCs w:val="21"/>
          <w:highlight w:val="none"/>
        </w:rPr>
        <w:t xml:space="preserve">    </w:t>
      </w:r>
      <w:r>
        <w:rPr>
          <w:rFonts w:ascii="宋体" w:hAnsi="宋体" w:cs="Times New Roman"/>
          <w:color w:val="auto"/>
          <w:sz w:val="21"/>
          <w:szCs w:val="21"/>
          <w:highlight w:val="none"/>
        </w:rPr>
        <w:t xml:space="preserve">  </w:t>
      </w:r>
      <w:r>
        <w:rPr>
          <w:rFonts w:hint="eastAsia" w:ascii="宋体" w:hAnsi="宋体" w:cs="Times New Roman"/>
          <w:color w:val="auto"/>
          <w:sz w:val="21"/>
          <w:szCs w:val="21"/>
          <w:highlight w:val="none"/>
        </w:rPr>
        <w:t xml:space="preserve">  2.本表一式四份</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由承包人填报</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发包人、监理人、工程造价咨询人、承包人各存一份。</w:t>
      </w:r>
    </w:p>
    <w:p w14:paraId="51F3840C">
      <w:pPr>
        <w:spacing w:before="0" w:beforeLines="0"/>
        <w:ind w:left="714" w:leftChars="340" w:firstLine="0" w:firstLineChars="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3.应付预付款计算基数=签约合同价款-暂列金额-专业工程暂估价-安全生产费</w:t>
      </w:r>
      <w:r>
        <w:rPr>
          <w:rFonts w:hint="eastAsia" w:ascii="宋体" w:hAnsi="宋体" w:eastAsia="宋体" w:cs="Times New Roman"/>
          <w:color w:val="auto"/>
          <w:sz w:val="21"/>
          <w:szCs w:val="21"/>
          <w:highlight w:val="none"/>
          <w:lang w:eastAsia="zh-CN"/>
        </w:rPr>
        <w:t>。</w:t>
      </w:r>
    </w:p>
    <w:p w14:paraId="3A30AFC5">
      <w:pPr>
        <w:spacing w:before="120" w:beforeLines="50"/>
        <w:ind w:left="1200" w:hanging="840" w:hangingChars="400"/>
        <w:rPr>
          <w:rFonts w:hint="eastAsia" w:ascii="Times New Roman" w:hAnsi="Times New Roman" w:eastAsia="仿宋_GB2312" w:cs="Times New Roman"/>
          <w:color w:val="auto"/>
          <w:sz w:val="21"/>
          <w:szCs w:val="21"/>
          <w:highlight w:val="none"/>
        </w:rPr>
      </w:pPr>
    </w:p>
    <w:p w14:paraId="7E471129">
      <w:pPr>
        <w:widowControl w:val="0"/>
        <w:spacing w:after="120" w:afterLines="0" w:line="240" w:lineRule="auto"/>
        <w:ind w:firstLine="210" w:firstLineChars="100"/>
        <w:jc w:val="both"/>
        <w:rPr>
          <w:rFonts w:hint="eastAsia" w:ascii="Times New Roman" w:hAnsi="Times New Roman" w:eastAsia="仿宋_GB2312" w:cs="Times New Roman"/>
          <w:color w:val="auto"/>
          <w:kern w:val="2"/>
          <w:sz w:val="21"/>
          <w:szCs w:val="21"/>
          <w:highlight w:val="none"/>
          <w:lang w:val="en-US" w:eastAsia="zh-CN" w:bidi="ar-SA"/>
        </w:rPr>
      </w:pPr>
    </w:p>
    <w:p w14:paraId="09231104">
      <w:pPr>
        <w:keepNext/>
        <w:keepLines/>
        <w:widowControl/>
        <w:spacing w:before="120" w:beforeLines="0" w:after="120" w:afterLines="0" w:line="360" w:lineRule="auto"/>
        <w:jc w:val="both"/>
        <w:outlineLvl w:val="3"/>
        <w:rPr>
          <w:rFonts w:hint="eastAsia" w:ascii="仿宋_GB2312" w:hAnsi="Arial" w:eastAsia="仿宋_GB2312" w:cs="仿宋_GB2312"/>
          <w:color w:val="auto"/>
          <w:kern w:val="0"/>
          <w:sz w:val="21"/>
          <w:szCs w:val="21"/>
          <w:highlight w:val="none"/>
          <w:lang w:val="en-US" w:eastAsia="zh-CN" w:bidi="ar-SA"/>
        </w:rPr>
      </w:pPr>
      <w:r>
        <w:rPr>
          <w:rFonts w:hint="eastAsia" w:ascii="仿宋_GB2312" w:hAnsi="Arial" w:eastAsia="仿宋_GB2312" w:cs="仿宋_GB2312"/>
          <w:color w:val="auto"/>
          <w:kern w:val="0"/>
          <w:sz w:val="21"/>
          <w:szCs w:val="21"/>
          <w:highlight w:val="none"/>
          <w:lang w:val="en-US" w:eastAsia="zh-CN" w:bidi="ar-SA"/>
        </w:rPr>
        <w:t>附件7：进度款支付申请（核准）表</w:t>
      </w:r>
    </w:p>
    <w:p w14:paraId="7F271CB0">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进度款支付申请（核准）表</w:t>
      </w:r>
    </w:p>
    <w:p w14:paraId="497709F9">
      <w:pPr>
        <w:rPr>
          <w:rFonts w:ascii="Times New Roman" w:hAnsi="Times New Roman" w:cs="Times New Roman"/>
          <w:color w:val="auto"/>
          <w:sz w:val="21"/>
          <w:szCs w:val="21"/>
          <w:highlight w:val="none"/>
        </w:rPr>
      </w:pPr>
      <w:r>
        <w:rPr>
          <w:rFonts w:hint="eastAsia" w:ascii="宋体" w:hAnsi="宋体" w:cs="Times New Roman"/>
          <w:color w:val="auto"/>
          <w:sz w:val="21"/>
          <w:szCs w:val="21"/>
          <w:highlight w:val="none"/>
        </w:rPr>
        <w:t xml:space="preserve">工程名称：                                      </w:t>
      </w:r>
      <w:r>
        <w:rPr>
          <w:rFonts w:hint="eastAsia" w:ascii="宋体" w:hAnsi="宋体" w:cs="Times New Roman"/>
          <w:color w:val="auto"/>
          <w:sz w:val="21"/>
          <w:szCs w:val="21"/>
          <w:highlight w:val="none"/>
          <w:lang w:val="en-US" w:eastAsia="zh-CN"/>
        </w:rPr>
        <w:t xml:space="preserve">       </w:t>
      </w:r>
      <w:r>
        <w:rPr>
          <w:rFonts w:hint="eastAsia" w:ascii="宋体" w:hAnsi="宋体" w:cs="Times New Roman"/>
          <w:color w:val="auto"/>
          <w:sz w:val="21"/>
          <w:szCs w:val="21"/>
          <w:highlight w:val="none"/>
        </w:rPr>
        <w:t>编号：</w:t>
      </w:r>
    </w:p>
    <w:tbl>
      <w:tblPr>
        <w:tblStyle w:val="54"/>
        <w:tblW w:w="95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9"/>
        <w:gridCol w:w="4552"/>
      </w:tblGrid>
      <w:tr w14:paraId="770EC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8" w:hRule="atLeast"/>
          <w:jc w:val="center"/>
        </w:trPr>
        <w:tc>
          <w:tcPr>
            <w:tcW w:w="9511" w:type="dxa"/>
            <w:gridSpan w:val="2"/>
            <w:tcBorders>
              <w:top w:val="single" w:color="auto" w:sz="4" w:space="0"/>
              <w:left w:val="single" w:color="auto" w:sz="4" w:space="0"/>
              <w:bottom w:val="single" w:color="auto" w:sz="4" w:space="0"/>
              <w:right w:val="single" w:color="auto" w:sz="4" w:space="0"/>
            </w:tcBorders>
            <w:noWrap w:val="0"/>
            <w:vAlign w:val="top"/>
          </w:tcPr>
          <w:p w14:paraId="46624389">
            <w:pPr>
              <w:keepNext w:val="0"/>
              <w:keepLines w:val="0"/>
              <w:suppressLineNumbers w:val="0"/>
              <w:spacing w:before="0" w:beforeAutospacing="0" w:after="0" w:afterAutospacing="0" w:line="480" w:lineRule="exact"/>
              <w:ind w:left="525" w:leftChars="149" w:right="0" w:hanging="212" w:hangingChars="101"/>
              <w:rPr>
                <w:rFonts w:hint="default" w:ascii="Times New Roman" w:hAnsi="Times New Roman" w:eastAsia="宋体" w:cs="Times New Roman"/>
                <w:color w:val="auto"/>
                <w:sz w:val="21"/>
                <w:szCs w:val="21"/>
                <w:highlight w:val="none"/>
                <w:u w:val="single"/>
              </w:rPr>
            </w:pPr>
            <w:r>
              <w:rPr>
                <w:rFonts w:hint="eastAsia" w:ascii="宋体" w:hAnsi="宋体" w:eastAsia="宋体" w:cs="Times New Roman"/>
                <w:color w:val="auto"/>
                <w:sz w:val="21"/>
                <w:szCs w:val="21"/>
                <w:highlight w:val="none"/>
              </w:rPr>
              <w:t>致：</w:t>
            </w:r>
            <w:r>
              <w:rPr>
                <w:rFonts w:hint="default" w:ascii="Times New Roman" w:hAnsi="Times New Roman"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u w:val="single"/>
              </w:rPr>
              <w:t>（发包人全称）</w:t>
            </w:r>
          </w:p>
          <w:p w14:paraId="273A9C6B">
            <w:pPr>
              <w:keepNext w:val="0"/>
              <w:keepLines w:val="0"/>
              <w:suppressLineNumbers w:val="0"/>
              <w:spacing w:before="0" w:beforeAutospacing="0" w:after="0" w:afterAutospacing="0" w:line="400" w:lineRule="exact"/>
              <w:ind w:left="-4" w:leftChars="-2" w:right="0" w:firstLine="315" w:firstLineChars="150"/>
              <w:rPr>
                <w:rFonts w:hint="default"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我方于</w:t>
            </w:r>
            <w:r>
              <w:rPr>
                <w:rFonts w:hint="default" w:ascii="Times New Roman" w:hAnsi="Times New Roman"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至</w:t>
            </w:r>
            <w:r>
              <w:rPr>
                <w:rFonts w:hint="default" w:ascii="Times New Roman" w:hAnsi="Times New Roman"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期间已完成了</w:t>
            </w:r>
            <w:r>
              <w:rPr>
                <w:rFonts w:hint="default" w:ascii="Times New Roman" w:hAnsi="Times New Roman"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工作，根据施工合同的约定，现申请支付本期的进度款额为</w:t>
            </w:r>
            <w:r>
              <w:rPr>
                <w:rFonts w:hint="eastAsia" w:ascii="宋体" w:hAnsi="宋体" w:cs="Times New Roman"/>
                <w:color w:val="auto"/>
                <w:sz w:val="21"/>
                <w:szCs w:val="21"/>
                <w:highlight w:val="none"/>
                <w:lang w:eastAsia="zh-CN"/>
              </w:rPr>
              <w:t>（</w:t>
            </w:r>
            <w:r>
              <w:rPr>
                <w:rFonts w:hint="eastAsia" w:ascii="宋体" w:hAnsi="宋体" w:eastAsia="宋体" w:cs="Times New Roman"/>
                <w:color w:val="auto"/>
                <w:sz w:val="21"/>
                <w:szCs w:val="21"/>
                <w:highlight w:val="none"/>
              </w:rPr>
              <w:t>大写</w:t>
            </w:r>
            <w:r>
              <w:rPr>
                <w:rFonts w:hint="eastAsia" w:ascii="宋体" w:hAnsi="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元，</w:t>
            </w:r>
            <w:r>
              <w:rPr>
                <w:rFonts w:hint="eastAsia" w:ascii="宋体" w:hAnsi="宋体" w:cs="Times New Roman"/>
                <w:color w:val="auto"/>
                <w:sz w:val="21"/>
                <w:szCs w:val="21"/>
                <w:highlight w:val="none"/>
                <w:lang w:eastAsia="zh-CN"/>
              </w:rPr>
              <w:t>（</w:t>
            </w:r>
            <w:r>
              <w:rPr>
                <w:rFonts w:hint="eastAsia" w:ascii="宋体" w:hAnsi="宋体" w:eastAsia="宋体" w:cs="Times New Roman"/>
                <w:color w:val="auto"/>
                <w:sz w:val="21"/>
                <w:szCs w:val="21"/>
                <w:highlight w:val="none"/>
              </w:rPr>
              <w:t>小写</w:t>
            </w:r>
            <w:r>
              <w:rPr>
                <w:rFonts w:hint="eastAsia" w:ascii="宋体" w:hAnsi="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元，请予核准。</w:t>
            </w:r>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738"/>
              <w:gridCol w:w="4656"/>
              <w:gridCol w:w="1328"/>
              <w:gridCol w:w="1291"/>
              <w:gridCol w:w="572"/>
            </w:tblGrid>
            <w:tr w14:paraId="1E390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7E0E08A8">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序号</w:t>
                  </w:r>
                </w:p>
              </w:tc>
              <w:tc>
                <w:tcPr>
                  <w:tcW w:w="5394" w:type="dxa"/>
                  <w:gridSpan w:val="2"/>
                  <w:tcBorders>
                    <w:top w:val="single" w:color="auto" w:sz="4" w:space="0"/>
                    <w:left w:val="single" w:color="auto" w:sz="4" w:space="0"/>
                    <w:bottom w:val="single" w:color="auto" w:sz="4" w:space="0"/>
                    <w:right w:val="single" w:color="auto" w:sz="4" w:space="0"/>
                  </w:tcBorders>
                  <w:noWrap w:val="0"/>
                  <w:vAlign w:val="center"/>
                </w:tcPr>
                <w:p w14:paraId="4C5CBC50">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名 </w:t>
                  </w:r>
                  <w:r>
                    <w:rPr>
                      <w:rFonts w:hint="default" w:ascii="Times New Roman" w:hAnsi="Times New Roman" w:eastAsia="宋体" w:cs="Times New Roman"/>
                      <w:color w:val="auto"/>
                      <w:sz w:val="21"/>
                      <w:szCs w:val="21"/>
                      <w:highlight w:val="none"/>
                    </w:rPr>
                    <w:t xml:space="preserve">     </w:t>
                  </w:r>
                  <w:r>
                    <w:rPr>
                      <w:rFonts w:hint="eastAsia" w:ascii="宋体" w:hAnsi="宋体" w:eastAsia="宋体" w:cs="Times New Roman"/>
                      <w:color w:val="auto"/>
                      <w:sz w:val="21"/>
                      <w:szCs w:val="21"/>
                      <w:highlight w:val="none"/>
                    </w:rPr>
                    <w:t>称</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0EF32294">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申请金额（元）</w:t>
                  </w: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27D075D">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核定金额（元）</w:t>
                  </w:r>
                </w:p>
              </w:tc>
              <w:tc>
                <w:tcPr>
                  <w:tcW w:w="572" w:type="dxa"/>
                  <w:tcBorders>
                    <w:top w:val="single" w:color="auto" w:sz="4" w:space="0"/>
                    <w:left w:val="single" w:color="auto" w:sz="4" w:space="0"/>
                    <w:bottom w:val="single" w:color="auto" w:sz="4" w:space="0"/>
                    <w:right w:val="single" w:color="auto" w:sz="4" w:space="0"/>
                  </w:tcBorders>
                  <w:noWrap w:val="0"/>
                  <w:vAlign w:val="center"/>
                </w:tcPr>
                <w:p w14:paraId="52314623">
                  <w:pPr>
                    <w:keepNext w:val="0"/>
                    <w:keepLines w:val="0"/>
                    <w:suppressLineNumbers w:val="0"/>
                    <w:spacing w:before="0" w:beforeAutospacing="0" w:after="0" w:afterAutospacing="0" w:line="280" w:lineRule="exact"/>
                    <w:ind w:left="0" w:right="0"/>
                    <w:jc w:val="center"/>
                    <w:rPr>
                      <w:rFonts w:hint="default"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备注</w:t>
                  </w:r>
                </w:p>
              </w:tc>
            </w:tr>
            <w:tr w14:paraId="27FD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699" w:type="dxa"/>
                  <w:tcBorders>
                    <w:top w:val="single" w:color="auto" w:sz="4" w:space="0"/>
                    <w:left w:val="single" w:color="auto" w:sz="4" w:space="0"/>
                    <w:bottom w:val="single" w:color="auto" w:sz="4" w:space="0"/>
                    <w:right w:val="single" w:color="auto" w:sz="4" w:space="0"/>
                  </w:tcBorders>
                  <w:noWrap w:val="0"/>
                  <w:vAlign w:val="top"/>
                </w:tcPr>
                <w:p w14:paraId="5CE8F533">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6EBE2BD8">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累计已完成的工程价款（不含本期）</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12E3CBEB">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61DE4B9">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708B6267">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 w:val="21"/>
                      <w:szCs w:val="21"/>
                      <w:highlight w:val="none"/>
                    </w:rPr>
                  </w:pPr>
                </w:p>
              </w:tc>
            </w:tr>
            <w:tr w14:paraId="732AB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1D6A316E">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A77F202">
                  <w:pPr>
                    <w:keepNext w:val="0"/>
                    <w:keepLines w:val="0"/>
                    <w:suppressLineNumbers w:val="0"/>
                    <w:spacing w:before="0" w:beforeAutospacing="0" w:after="0" w:afterAutospacing="0" w:line="280" w:lineRule="exact"/>
                    <w:ind w:left="0" w:right="0"/>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rPr>
                    <w:t>累计已实际支付的工程价款</w:t>
                  </w:r>
                  <w:r>
                    <w:rPr>
                      <w:rFonts w:hint="eastAsia" w:ascii="宋体" w:hAnsi="宋体" w:cs="Times New Roman"/>
                      <w:color w:val="auto"/>
                      <w:sz w:val="21"/>
                      <w:szCs w:val="21"/>
                      <w:highlight w:val="none"/>
                      <w:lang w:eastAsia="zh-CN"/>
                    </w:rPr>
                    <w:t>（含预付款）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1FDF1698">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88563B9">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7A4187A2">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 w:val="21"/>
                      <w:szCs w:val="21"/>
                      <w:highlight w:val="none"/>
                    </w:rPr>
                  </w:pPr>
                </w:p>
              </w:tc>
            </w:tr>
            <w:tr w14:paraId="1A00C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03557F66">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2.1</w:t>
                  </w:r>
                </w:p>
              </w:tc>
              <w:tc>
                <w:tcPr>
                  <w:tcW w:w="738" w:type="dxa"/>
                  <w:tcBorders>
                    <w:top w:val="nil"/>
                    <w:left w:val="single" w:color="auto" w:sz="4" w:space="0"/>
                    <w:bottom w:val="single" w:color="auto" w:sz="4" w:space="0"/>
                    <w:right w:val="single" w:color="auto" w:sz="4" w:space="0"/>
                  </w:tcBorders>
                  <w:noWrap w:val="0"/>
                  <w:vAlign w:val="center"/>
                </w:tcPr>
                <w:p w14:paraId="741AB53E">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其中</w:t>
                  </w:r>
                </w:p>
              </w:tc>
              <w:tc>
                <w:tcPr>
                  <w:tcW w:w="4656" w:type="dxa"/>
                  <w:tcBorders>
                    <w:top w:val="single" w:color="auto" w:sz="4" w:space="0"/>
                    <w:left w:val="single" w:color="auto" w:sz="4" w:space="0"/>
                    <w:bottom w:val="single" w:color="auto" w:sz="4" w:space="0"/>
                    <w:right w:val="single" w:color="auto" w:sz="4" w:space="0"/>
                  </w:tcBorders>
                  <w:noWrap w:val="0"/>
                  <w:vAlign w:val="top"/>
                </w:tcPr>
                <w:p w14:paraId="2C829D76">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2BCEE44">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7E90351">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4403A59C">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 w:val="21"/>
                      <w:szCs w:val="21"/>
                      <w:highlight w:val="none"/>
                    </w:rPr>
                  </w:pPr>
                </w:p>
              </w:tc>
            </w:tr>
            <w:tr w14:paraId="6FC8F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4552A4E1">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3</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2827871E">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eastAsia="zh-CN"/>
                    </w:rPr>
                    <w:t>本</w:t>
                  </w:r>
                  <w:r>
                    <w:rPr>
                      <w:rFonts w:hint="eastAsia" w:ascii="宋体" w:hAnsi="宋体" w:eastAsia="宋体" w:cs="Times New Roman"/>
                      <w:color w:val="auto"/>
                      <w:sz w:val="21"/>
                      <w:szCs w:val="21"/>
                      <w:highlight w:val="none"/>
                    </w:rPr>
                    <w:t>期完成的工程价款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009ACF6F">
                  <w:pPr>
                    <w:keepNext w:val="0"/>
                    <w:keepLines w:val="0"/>
                    <w:suppressLineNumbers w:val="0"/>
                    <w:spacing w:before="0" w:beforeAutospacing="0" w:after="0" w:afterAutospacing="0" w:line="280" w:lineRule="exact"/>
                    <w:ind w:left="0" w:right="0"/>
                    <w:jc w:val="center"/>
                    <w:rPr>
                      <w:rFonts w:hint="default" w:ascii="宋体" w:hAnsi="宋体" w:eastAsia="宋体" w:cs="Times New Roman"/>
                      <w:b/>
                      <w:bCs/>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B3502F3">
                  <w:pPr>
                    <w:keepNext w:val="0"/>
                    <w:keepLines w:val="0"/>
                    <w:suppressLineNumbers w:val="0"/>
                    <w:spacing w:before="0" w:beforeAutospacing="0" w:after="0" w:afterAutospacing="0" w:line="280" w:lineRule="exact"/>
                    <w:ind w:left="0" w:right="0"/>
                    <w:jc w:val="center"/>
                    <w:rPr>
                      <w:rFonts w:hint="default" w:ascii="宋体" w:hAnsi="宋体" w:eastAsia="宋体" w:cs="Times New Roman"/>
                      <w:b/>
                      <w:bCs/>
                      <w:color w:val="auto"/>
                      <w:sz w:val="21"/>
                      <w:szCs w:val="21"/>
                      <w:highlight w:val="none"/>
                      <w:lang w:val="en-US" w:eastAsia="zh-CN"/>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3A37008">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 w:val="21"/>
                      <w:szCs w:val="21"/>
                      <w:highlight w:val="none"/>
                    </w:rPr>
                  </w:pPr>
                </w:p>
              </w:tc>
            </w:tr>
            <w:tr w14:paraId="4346C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center"/>
                </w:tcPr>
                <w:p w14:paraId="3290A72F">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3.1</w:t>
                  </w:r>
                </w:p>
              </w:tc>
              <w:tc>
                <w:tcPr>
                  <w:tcW w:w="738" w:type="dxa"/>
                  <w:tcBorders>
                    <w:top w:val="nil"/>
                    <w:left w:val="single" w:color="auto" w:sz="4" w:space="0"/>
                    <w:bottom w:val="single" w:color="auto" w:sz="4" w:space="0"/>
                    <w:right w:val="single" w:color="auto" w:sz="4" w:space="0"/>
                  </w:tcBorders>
                  <w:noWrap w:val="0"/>
                  <w:vAlign w:val="center"/>
                </w:tcPr>
                <w:p w14:paraId="767D1A33">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其中</w:t>
                  </w:r>
                </w:p>
              </w:tc>
              <w:tc>
                <w:tcPr>
                  <w:tcW w:w="4656" w:type="dxa"/>
                  <w:tcBorders>
                    <w:top w:val="single" w:color="auto" w:sz="4" w:space="0"/>
                    <w:left w:val="single" w:color="auto" w:sz="4" w:space="0"/>
                    <w:bottom w:val="single" w:color="auto" w:sz="4" w:space="0"/>
                    <w:right w:val="single" w:color="auto" w:sz="4" w:space="0"/>
                  </w:tcBorders>
                  <w:noWrap w:val="0"/>
                  <w:vAlign w:val="top"/>
                </w:tcPr>
                <w:p w14:paraId="4771C24E">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人工费</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2679E910">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4939BFFF">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561C5A90">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 w:val="21"/>
                      <w:szCs w:val="21"/>
                      <w:highlight w:val="none"/>
                    </w:rPr>
                  </w:pPr>
                </w:p>
              </w:tc>
            </w:tr>
            <w:tr w14:paraId="7A3DB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546C8853">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4</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5BC6CDD2">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eastAsia="zh-CN"/>
                    </w:rPr>
                    <w:t>本</w:t>
                  </w:r>
                  <w:r>
                    <w:rPr>
                      <w:rFonts w:hint="eastAsia" w:ascii="宋体" w:hAnsi="宋体" w:eastAsia="宋体" w:cs="Times New Roman"/>
                      <w:color w:val="auto"/>
                      <w:sz w:val="21"/>
                      <w:szCs w:val="21"/>
                      <w:highlight w:val="none"/>
                    </w:rPr>
                    <w:t>期应扣除的工程价款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44B8F0C">
                  <w:pPr>
                    <w:keepNext w:val="0"/>
                    <w:keepLines w:val="0"/>
                    <w:suppressLineNumbers w:val="0"/>
                    <w:spacing w:before="0" w:beforeAutospacing="0" w:after="0" w:afterAutospacing="0" w:line="280" w:lineRule="exact"/>
                    <w:ind w:left="0" w:right="0"/>
                    <w:jc w:val="center"/>
                    <w:rPr>
                      <w:rFonts w:hint="default" w:ascii="宋体" w:hAnsi="宋体" w:eastAsia="宋体" w:cs="Times New Roman"/>
                      <w:b/>
                      <w:bCs/>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D5BBD15">
                  <w:pPr>
                    <w:keepNext w:val="0"/>
                    <w:keepLines w:val="0"/>
                    <w:suppressLineNumbers w:val="0"/>
                    <w:spacing w:before="0" w:beforeAutospacing="0" w:after="0" w:afterAutospacing="0" w:line="280" w:lineRule="exact"/>
                    <w:ind w:left="0" w:right="0"/>
                    <w:jc w:val="center"/>
                    <w:rPr>
                      <w:rFonts w:hint="default" w:ascii="宋体" w:hAnsi="宋体" w:eastAsia="宋体" w:cs="Times New Roman"/>
                      <w:b/>
                      <w:bCs/>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5C9CC003">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 w:val="21"/>
                      <w:szCs w:val="21"/>
                      <w:highlight w:val="none"/>
                    </w:rPr>
                  </w:pPr>
                </w:p>
              </w:tc>
            </w:tr>
            <w:tr w14:paraId="53B22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699" w:type="dxa"/>
                  <w:tcBorders>
                    <w:top w:val="single" w:color="auto" w:sz="4" w:space="0"/>
                    <w:left w:val="single" w:color="auto" w:sz="4" w:space="0"/>
                    <w:bottom w:val="single" w:color="auto" w:sz="4" w:space="0"/>
                    <w:right w:val="single" w:color="auto" w:sz="4" w:space="0"/>
                  </w:tcBorders>
                  <w:noWrap w:val="0"/>
                  <w:vAlign w:val="top"/>
                </w:tcPr>
                <w:p w14:paraId="7096D219">
                  <w:pPr>
                    <w:keepNext w:val="0"/>
                    <w:keepLines w:val="0"/>
                    <w:suppressLineNumbers w:val="0"/>
                    <w:spacing w:before="0" w:beforeAutospacing="0" w:after="0" w:afterAutospacing="0" w:line="280" w:lineRule="exact"/>
                    <w:ind w:left="0" w:right="0"/>
                    <w:jc w:val="center"/>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rPr>
                    <w:t>4.</w:t>
                  </w:r>
                  <w:r>
                    <w:rPr>
                      <w:rFonts w:hint="eastAsia" w:ascii="宋体" w:hAnsi="宋体" w:eastAsia="宋体" w:cs="Times New Roman"/>
                      <w:color w:val="auto"/>
                      <w:sz w:val="21"/>
                      <w:szCs w:val="21"/>
                      <w:highlight w:val="none"/>
                      <w:lang w:val="en-US" w:eastAsia="zh-CN"/>
                    </w:rPr>
                    <w:t>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2430D914">
                  <w:pPr>
                    <w:keepNext w:val="0"/>
                    <w:keepLines w:val="0"/>
                    <w:suppressLineNumbers w:val="0"/>
                    <w:spacing w:before="0" w:beforeAutospacing="0" w:after="0" w:afterAutospacing="0"/>
                    <w:ind w:left="0" w:right="0"/>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扣除</w:t>
                  </w:r>
                  <w:r>
                    <w:rPr>
                      <w:rFonts w:hint="eastAsia" w:ascii="宋体" w:hAnsi="宋体" w:eastAsia="宋体" w:cs="Times New Roman"/>
                      <w:color w:val="auto"/>
                      <w:sz w:val="21"/>
                      <w:szCs w:val="21"/>
                      <w:highlight w:val="none"/>
                      <w:lang w:eastAsia="zh-CN"/>
                    </w:rPr>
                    <w:t>本</w:t>
                  </w:r>
                  <w:r>
                    <w:rPr>
                      <w:rFonts w:hint="eastAsia" w:ascii="宋体" w:hAnsi="宋体" w:eastAsia="宋体" w:cs="Times New Roman"/>
                      <w:color w:val="auto"/>
                      <w:sz w:val="21"/>
                      <w:szCs w:val="21"/>
                      <w:highlight w:val="none"/>
                    </w:rPr>
                    <w:t>期应抵扣的预付款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7BA13FB5">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32B9B4AD">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B62808E">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 w:val="21"/>
                      <w:szCs w:val="21"/>
                      <w:highlight w:val="none"/>
                    </w:rPr>
                  </w:pPr>
                </w:p>
              </w:tc>
            </w:tr>
            <w:tr w14:paraId="3734C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4E346213">
                  <w:pPr>
                    <w:keepNext w:val="0"/>
                    <w:keepLines w:val="0"/>
                    <w:suppressLineNumbers w:val="0"/>
                    <w:spacing w:before="0" w:beforeAutospacing="0" w:after="0" w:afterAutospacing="0" w:line="280" w:lineRule="exact"/>
                    <w:ind w:left="0" w:right="0"/>
                    <w:jc w:val="center"/>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rPr>
                    <w:t>4.</w:t>
                  </w:r>
                  <w:r>
                    <w:rPr>
                      <w:rFonts w:hint="eastAsia" w:ascii="宋体" w:hAnsi="宋体" w:eastAsia="宋体" w:cs="Times New Roman"/>
                      <w:color w:val="auto"/>
                      <w:sz w:val="21"/>
                      <w:szCs w:val="21"/>
                      <w:highlight w:val="none"/>
                      <w:lang w:val="en-US" w:eastAsia="zh-CN"/>
                    </w:rPr>
                    <w:t>2</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0FF6B9E">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扣除</w:t>
                  </w:r>
                  <w:r>
                    <w:rPr>
                      <w:rFonts w:hint="eastAsia" w:ascii="宋体" w:hAnsi="宋体" w:eastAsia="宋体" w:cs="Times New Roman"/>
                      <w:color w:val="auto"/>
                      <w:sz w:val="21"/>
                      <w:szCs w:val="21"/>
                      <w:highlight w:val="none"/>
                      <w:lang w:eastAsia="zh-CN"/>
                    </w:rPr>
                    <w:t>本</w:t>
                  </w:r>
                  <w:r>
                    <w:rPr>
                      <w:rFonts w:hint="eastAsia" w:ascii="宋体" w:hAnsi="宋体" w:eastAsia="宋体" w:cs="Times New Roman"/>
                      <w:color w:val="auto"/>
                      <w:sz w:val="21"/>
                      <w:szCs w:val="21"/>
                      <w:highlight w:val="none"/>
                    </w:rPr>
                    <w:t>期应预留的质量保证金（如有）</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934650B">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3CEEECE1">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4B35F8A5">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 w:val="21"/>
                      <w:szCs w:val="21"/>
                      <w:highlight w:val="none"/>
                    </w:rPr>
                  </w:pPr>
                </w:p>
              </w:tc>
            </w:tr>
            <w:tr w14:paraId="50214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1EB5AC64">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5</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74DCAB99">
                  <w:pPr>
                    <w:keepNext w:val="0"/>
                    <w:keepLines w:val="0"/>
                    <w:suppressLineNumbers w:val="0"/>
                    <w:spacing w:before="0" w:beforeAutospacing="0" w:after="0" w:afterAutospacing="0"/>
                    <w:ind w:left="0" w:right="0"/>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已签发的进度款支付证书中出现错误需在当期中支付或扣除的工程价款；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D23B1D3">
                  <w:pPr>
                    <w:keepNext w:val="0"/>
                    <w:keepLines w:val="0"/>
                    <w:suppressLineNumbers w:val="0"/>
                    <w:spacing w:before="0" w:beforeAutospacing="0" w:after="0" w:afterAutospacing="0" w:line="280" w:lineRule="exact"/>
                    <w:ind w:left="0" w:right="0"/>
                    <w:jc w:val="center"/>
                    <w:rPr>
                      <w:rFonts w:hint="eastAsia" w:ascii="宋体" w:hAnsi="宋体" w:eastAsia="宋体" w:cs="Times New Roman"/>
                      <w:color w:val="auto"/>
                      <w:sz w:val="21"/>
                      <w:szCs w:val="21"/>
                      <w:highlight w:val="none"/>
                      <w:lang w:val="en-US" w:eastAsia="zh-CN"/>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D232E23">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491CE59F">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 w:val="21"/>
                      <w:szCs w:val="21"/>
                      <w:highlight w:val="none"/>
                    </w:rPr>
                  </w:pPr>
                </w:p>
              </w:tc>
            </w:tr>
            <w:tr w14:paraId="0CF26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center"/>
                </w:tcPr>
                <w:p w14:paraId="1AD39FEA">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6</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58195FAA">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lang w:eastAsia="zh-CN"/>
                    </w:rPr>
                    <w:t>本</w:t>
                  </w:r>
                  <w:r>
                    <w:rPr>
                      <w:rFonts w:hint="eastAsia" w:ascii="宋体" w:hAnsi="宋体" w:eastAsia="宋体" w:cs="Times New Roman"/>
                      <w:color w:val="auto"/>
                      <w:sz w:val="21"/>
                      <w:szCs w:val="21"/>
                      <w:highlight w:val="none"/>
                    </w:rPr>
                    <w:t>期应支付工程价款</w:t>
                  </w:r>
                  <w:r>
                    <w:rPr>
                      <w:rFonts w:hint="eastAsia" w:ascii="宋体" w:hAnsi="宋体" w:eastAsia="宋体" w:cs="Times New Roman"/>
                      <w:strike w:val="0"/>
                      <w:color w:val="auto"/>
                      <w:sz w:val="21"/>
                      <w:szCs w:val="21"/>
                      <w:highlight w:val="none"/>
                    </w:rPr>
                    <w:t>=&lt;3&gt;</w:t>
                  </w:r>
                </w:p>
                <w:p w14:paraId="3573632F">
                  <w:pPr>
                    <w:keepNext w:val="0"/>
                    <w:keepLines w:val="0"/>
                    <w:suppressLineNumbers w:val="0"/>
                    <w:spacing w:before="0" w:beforeAutospacing="0" w:after="0" w:afterAutospacing="0" w:line="280" w:lineRule="exact"/>
                    <w:ind w:left="0" w:right="0" w:firstLine="210"/>
                    <w:rPr>
                      <w:rFonts w:hint="default" w:ascii="宋体" w:hAnsi="宋体" w:eastAsia="宋体" w:cs="Times New Roman"/>
                      <w:color w:val="auto"/>
                      <w:sz w:val="21"/>
                      <w:szCs w:val="21"/>
                      <w:highlight w:val="none"/>
                    </w:rPr>
                  </w:pPr>
                  <w:r>
                    <w:rPr>
                      <w:rFonts w:hint="eastAsia" w:ascii="宋体" w:hAnsi="宋体" w:eastAsia="宋体" w:cs="Times New Roman"/>
                      <w:strike w:val="0"/>
                      <w:color w:val="auto"/>
                      <w:sz w:val="21"/>
                      <w:szCs w:val="21"/>
                      <w:highlight w:val="none"/>
                    </w:rPr>
                    <w:t>×支付比例</w:t>
                  </w:r>
                  <w:r>
                    <w:rPr>
                      <w:rFonts w:hint="eastAsia" w:ascii="宋体" w:hAnsi="宋体" w:cs="Times New Roman"/>
                      <w:strike w:val="0"/>
                      <w:color w:val="auto"/>
                      <w:sz w:val="21"/>
                      <w:szCs w:val="21"/>
                      <w:highlight w:val="none"/>
                      <w:lang w:eastAsia="zh-CN"/>
                    </w:rPr>
                    <w:t>－</w:t>
                  </w:r>
                  <w:r>
                    <w:rPr>
                      <w:rFonts w:hint="eastAsia" w:ascii="宋体" w:hAnsi="宋体" w:eastAsia="宋体" w:cs="Times New Roman"/>
                      <w:strike w:val="0"/>
                      <w:color w:val="auto"/>
                      <w:sz w:val="21"/>
                      <w:szCs w:val="21"/>
                      <w:highlight w:val="none"/>
                      <w:lang w:val="en-US" w:eastAsia="zh-CN"/>
                    </w:rPr>
                    <w:t>&lt;4&gt;</w:t>
                  </w:r>
                  <w:r>
                    <w:rPr>
                      <w:rFonts w:hint="eastAsia" w:ascii="宋体" w:hAnsi="宋体" w:eastAsia="宋体" w:cs="Times New Roman"/>
                      <w:strike w:val="0"/>
                      <w:color w:val="auto"/>
                      <w:sz w:val="21"/>
                      <w:szCs w:val="21"/>
                      <w:highlight w:val="none"/>
                    </w:rPr>
                    <w:t>＋&lt;5&gt;</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09C10AB">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F419029">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40B997AD">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 w:val="21"/>
                      <w:szCs w:val="21"/>
                      <w:highlight w:val="none"/>
                    </w:rPr>
                  </w:pPr>
                </w:p>
              </w:tc>
            </w:tr>
            <w:tr w14:paraId="74309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2C57C15D">
                  <w:pPr>
                    <w:keepNext w:val="0"/>
                    <w:keepLines w:val="0"/>
                    <w:suppressLineNumbers w:val="0"/>
                    <w:spacing w:before="0" w:beforeAutospacing="0" w:after="0" w:afterAutospacing="0" w:line="280" w:lineRule="exact"/>
                    <w:ind w:left="0" w:right="0"/>
                    <w:jc w:val="center"/>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lang w:val="en-US" w:eastAsia="zh-CN"/>
                    </w:rPr>
                    <w:t>6.1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520E9398">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其中：本期应支付</w:t>
                  </w:r>
                  <w:r>
                    <w:rPr>
                      <w:rFonts w:hint="eastAsia" w:ascii="宋体" w:hAnsi="宋体" w:eastAsia="宋体" w:cs="Times New Roman"/>
                      <w:color w:val="auto"/>
                      <w:sz w:val="21"/>
                      <w:szCs w:val="21"/>
                      <w:highlight w:val="none"/>
                    </w:rPr>
                    <w:t>人工费=&lt;3.1&gt;×支付比例</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283131CB">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9FADC8E">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73FC815A">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 w:val="21"/>
                      <w:szCs w:val="21"/>
                      <w:highlight w:val="none"/>
                    </w:rPr>
                  </w:pPr>
                </w:p>
              </w:tc>
            </w:tr>
            <w:tr w14:paraId="08C12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2DE2CF1E">
                  <w:pPr>
                    <w:keepNext w:val="0"/>
                    <w:keepLines w:val="0"/>
                    <w:suppressLineNumbers w:val="0"/>
                    <w:spacing w:before="0" w:beforeAutospacing="0" w:after="0" w:afterAutospacing="0" w:line="280" w:lineRule="exact"/>
                    <w:ind w:left="0" w:right="0"/>
                    <w:jc w:val="center"/>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lang w:val="en-US" w:eastAsia="zh-CN"/>
                    </w:rPr>
                    <w:t>7</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1F00E6A1">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累计已完成的工程价款（含本期）=&lt;1&gt;＋&lt;3&gt;</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B6F11F9">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0097D32">
                  <w:pPr>
                    <w:keepNext w:val="0"/>
                    <w:keepLines w:val="0"/>
                    <w:suppressLineNumbers w:val="0"/>
                    <w:spacing w:before="0" w:beforeAutospacing="0" w:after="0" w:afterAutospacing="0" w:line="280" w:lineRule="exact"/>
                    <w:ind w:left="0" w:right="0"/>
                    <w:jc w:val="center"/>
                    <w:rPr>
                      <w:rFonts w:hint="default" w:ascii="宋体" w:hAnsi="宋体" w:eastAsia="宋体" w:cs="Times New Roman"/>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118E9CA1">
                  <w:pPr>
                    <w:keepNext w:val="0"/>
                    <w:keepLines w:val="0"/>
                    <w:suppressLineNumbers w:val="0"/>
                    <w:spacing w:before="0" w:beforeAutospacing="0" w:after="0" w:afterAutospacing="0" w:line="280" w:lineRule="exact"/>
                    <w:ind w:left="0" w:right="0"/>
                    <w:rPr>
                      <w:rFonts w:hint="default" w:ascii="宋体" w:hAnsi="宋体" w:eastAsia="宋体" w:cs="Times New Roman"/>
                      <w:color w:val="auto"/>
                      <w:sz w:val="21"/>
                      <w:szCs w:val="21"/>
                      <w:highlight w:val="none"/>
                    </w:rPr>
                  </w:pPr>
                </w:p>
              </w:tc>
            </w:tr>
          </w:tbl>
          <w:p w14:paraId="76905FF9">
            <w:pPr>
              <w:keepNext w:val="0"/>
              <w:keepLines w:val="0"/>
              <w:suppressLineNumbers w:val="0"/>
              <w:wordWrap w:val="0"/>
              <w:spacing w:before="0" w:beforeAutospacing="0" w:after="0" w:afterAutospacing="0" w:line="400" w:lineRule="exact"/>
              <w:ind w:left="0" w:right="420"/>
              <w:rPr>
                <w:rFonts w:hint="default"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附：上述</w:t>
            </w:r>
            <w:r>
              <w:rPr>
                <w:rFonts w:hint="eastAsia" w:ascii="Times New Roman" w:hAnsi="Times New Roman"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rPr>
              <w:t>详见附件清单。</w:t>
            </w:r>
          </w:p>
          <w:p w14:paraId="3CC44D84">
            <w:pPr>
              <w:keepNext w:val="0"/>
              <w:keepLines w:val="0"/>
              <w:suppressLineNumbers w:val="0"/>
              <w:wordWrap w:val="0"/>
              <w:spacing w:before="0" w:beforeAutospacing="0" w:after="0" w:afterAutospacing="0" w:line="400" w:lineRule="exact"/>
              <w:ind w:left="0" w:right="42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                                            </w:t>
            </w:r>
            <w:r>
              <w:rPr>
                <w:rFonts w:hint="eastAsia" w:ascii="宋体" w:hAnsi="宋体" w:eastAsia="宋体" w:cs="Times New Roman"/>
                <w:color w:val="auto"/>
                <w:sz w:val="21"/>
                <w:szCs w:val="21"/>
                <w:highlight w:val="none"/>
              </w:rPr>
              <w:t xml:space="preserve">承包人（章） </w:t>
            </w:r>
            <w:r>
              <w:rPr>
                <w:rFonts w:hint="default" w:ascii="Times New Roman" w:hAnsi="Times New Roman" w:eastAsia="宋体" w:cs="Times New Roman"/>
                <w:color w:val="auto"/>
                <w:sz w:val="21"/>
                <w:szCs w:val="21"/>
                <w:highlight w:val="none"/>
              </w:rPr>
              <w:t xml:space="preserve">            </w:t>
            </w:r>
          </w:p>
          <w:p w14:paraId="775714E7">
            <w:pPr>
              <w:keepNext w:val="0"/>
              <w:keepLines w:val="0"/>
              <w:suppressLineNumbers w:val="0"/>
              <w:spacing w:before="0" w:beforeAutospacing="0" w:after="0" w:afterAutospacing="0" w:line="400" w:lineRule="exact"/>
              <w:ind w:left="0" w:right="420" w:firstLine="435"/>
              <w:rPr>
                <w:rFonts w:hint="default"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造价人员</w:t>
            </w:r>
            <w:r>
              <w:rPr>
                <w:rFonts w:hint="default" w:ascii="Times New Roman" w:hAnsi="Times New Roman"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承包人代表</w:t>
            </w:r>
            <w:r>
              <w:rPr>
                <w:rFonts w:hint="default" w:ascii="Times New Roman" w:hAnsi="Times New Roman"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 xml:space="preserve">日 </w:t>
            </w:r>
            <w:r>
              <w:rPr>
                <w:rFonts w:hint="default" w:ascii="Times New Roman" w:hAnsi="Times New Roman" w:eastAsia="宋体" w:cs="Times New Roman"/>
                <w:color w:val="auto"/>
                <w:sz w:val="21"/>
                <w:szCs w:val="21"/>
                <w:highlight w:val="none"/>
              </w:rPr>
              <w:t xml:space="preserve">     </w:t>
            </w:r>
            <w:r>
              <w:rPr>
                <w:rFonts w:hint="eastAsia" w:ascii="宋体" w:hAnsi="宋体" w:eastAsia="宋体" w:cs="Times New Roman"/>
                <w:color w:val="auto"/>
                <w:sz w:val="21"/>
                <w:szCs w:val="21"/>
                <w:highlight w:val="none"/>
              </w:rPr>
              <w:t>期</w:t>
            </w:r>
            <w:r>
              <w:rPr>
                <w:rFonts w:hint="default" w:ascii="Times New Roman" w:hAnsi="Times New Roman" w:eastAsia="宋体" w:cs="Times New Roman"/>
                <w:color w:val="auto"/>
                <w:sz w:val="21"/>
                <w:szCs w:val="21"/>
                <w:highlight w:val="none"/>
                <w:u w:val="single"/>
              </w:rPr>
              <w:t xml:space="preserve">               </w:t>
            </w:r>
          </w:p>
        </w:tc>
      </w:tr>
      <w:tr w14:paraId="2F16E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59" w:type="dxa"/>
            <w:tcBorders>
              <w:top w:val="single" w:color="auto" w:sz="4" w:space="0"/>
              <w:left w:val="single" w:color="auto" w:sz="4" w:space="0"/>
              <w:bottom w:val="single" w:color="auto" w:sz="4" w:space="0"/>
              <w:right w:val="single" w:color="auto" w:sz="4" w:space="0"/>
            </w:tcBorders>
            <w:noWrap w:val="0"/>
            <w:vAlign w:val="top"/>
          </w:tcPr>
          <w:p w14:paraId="1BD56A85">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复核意见：</w:t>
            </w:r>
          </w:p>
          <w:p w14:paraId="415A31E2">
            <w:pPr>
              <w:keepNext w:val="0"/>
              <w:keepLines w:val="0"/>
              <w:suppressLineNumbers w:val="0"/>
              <w:spacing w:before="0" w:beforeAutospacing="0" w:after="0" w:afterAutospacing="0" w:line="360" w:lineRule="exact"/>
              <w:ind w:left="0" w:right="0" w:firstLine="312"/>
              <w:rPr>
                <w:rFonts w:hint="default"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□与实际施工情况不相符，修改意见见附件。</w:t>
            </w:r>
          </w:p>
          <w:p w14:paraId="3BA67388">
            <w:pPr>
              <w:keepNext w:val="0"/>
              <w:keepLines w:val="0"/>
              <w:suppressLineNumbers w:val="0"/>
              <w:spacing w:before="0" w:beforeAutospacing="0" w:after="0" w:afterAutospacing="0" w:line="360" w:lineRule="exact"/>
              <w:ind w:left="0" w:right="0" w:firstLine="312"/>
              <w:rPr>
                <w:rFonts w:hint="default"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□与实际施工情况相符，具体金额由造价工程师复核。</w:t>
            </w:r>
          </w:p>
          <w:p w14:paraId="0D57B1EF">
            <w:pPr>
              <w:keepNext w:val="0"/>
              <w:keepLines w:val="0"/>
              <w:suppressLineNumbers w:val="0"/>
              <w:spacing w:before="0" w:beforeAutospacing="0" w:after="0" w:afterAutospacing="0" w:line="360" w:lineRule="exact"/>
              <w:ind w:left="0" w:right="0" w:firstLine="435"/>
              <w:jc w:val="right"/>
              <w:rPr>
                <w:rFonts w:hint="default" w:ascii="Times New Roman" w:hAnsi="Times New Roman" w:eastAsia="宋体" w:cs="Times New Roman"/>
                <w:color w:val="auto"/>
                <w:sz w:val="21"/>
                <w:szCs w:val="21"/>
                <w:highlight w:val="none"/>
              </w:rPr>
            </w:pPr>
          </w:p>
          <w:p w14:paraId="33F36ED0">
            <w:pPr>
              <w:keepNext w:val="0"/>
              <w:keepLines w:val="0"/>
              <w:suppressLineNumbers w:val="0"/>
              <w:spacing w:before="0" w:beforeAutospacing="0" w:after="0" w:afterAutospacing="0" w:line="360" w:lineRule="exact"/>
              <w:ind w:left="0" w:right="0"/>
              <w:jc w:val="both"/>
              <w:rPr>
                <w:rFonts w:hint="default"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lang w:eastAsia="zh-CN"/>
              </w:rPr>
              <w:t>监理</w:t>
            </w:r>
            <w:r>
              <w:rPr>
                <w:rFonts w:hint="eastAsia" w:ascii="宋体" w:hAnsi="宋体" w:eastAsia="宋体" w:cs="Times New Roman"/>
                <w:color w:val="auto"/>
                <w:sz w:val="21"/>
                <w:szCs w:val="21"/>
                <w:highlight w:val="none"/>
              </w:rPr>
              <w:t>工程师</w:t>
            </w:r>
            <w:r>
              <w:rPr>
                <w:rFonts w:hint="default" w:ascii="Times New Roman" w:hAnsi="Times New Roman" w:eastAsia="宋体" w:cs="Times New Roman"/>
                <w:color w:val="auto"/>
                <w:sz w:val="21"/>
                <w:szCs w:val="21"/>
                <w:highlight w:val="none"/>
                <w:u w:val="single"/>
              </w:rPr>
              <w:t xml:space="preserve">           </w:t>
            </w:r>
            <w:r>
              <w:rPr>
                <w:rFonts w:hint="default" w:ascii="Times New Roman" w:hAnsi="Times New Roman" w:eastAsia="宋体" w:cs="Times New Roman"/>
                <w:color w:val="auto"/>
                <w:sz w:val="21"/>
                <w:szCs w:val="21"/>
                <w:highlight w:val="none"/>
              </w:rPr>
              <w:t xml:space="preserve">        </w:t>
            </w:r>
            <w:r>
              <w:rPr>
                <w:rFonts w:hint="eastAsia" w:ascii="宋体" w:hAnsi="宋体" w:eastAsia="宋体" w:cs="Times New Roman"/>
                <w:color w:val="auto"/>
                <w:sz w:val="21"/>
                <w:szCs w:val="21"/>
                <w:highlight w:val="none"/>
              </w:rPr>
              <w:t xml:space="preserve">日 </w:t>
            </w:r>
            <w:r>
              <w:rPr>
                <w:rFonts w:hint="default" w:ascii="Times New Roman" w:hAnsi="Times New Roman" w:eastAsia="宋体" w:cs="Times New Roman"/>
                <w:color w:val="auto"/>
                <w:sz w:val="21"/>
                <w:szCs w:val="21"/>
                <w:highlight w:val="none"/>
              </w:rPr>
              <w:t xml:space="preserve">     </w:t>
            </w:r>
            <w:r>
              <w:rPr>
                <w:rFonts w:hint="eastAsia" w:ascii="宋体" w:hAnsi="宋体" w:eastAsia="宋体" w:cs="Times New Roman"/>
                <w:color w:val="auto"/>
                <w:sz w:val="21"/>
                <w:szCs w:val="21"/>
                <w:highlight w:val="none"/>
              </w:rPr>
              <w:t>期</w:t>
            </w:r>
            <w:r>
              <w:rPr>
                <w:rFonts w:hint="default" w:ascii="Times New Roman" w:hAnsi="Times New Roman" w:eastAsia="宋体" w:cs="Times New Roman"/>
                <w:color w:val="auto"/>
                <w:sz w:val="21"/>
                <w:szCs w:val="21"/>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4E01CF7C">
            <w:pPr>
              <w:keepNext w:val="0"/>
              <w:keepLines w:val="0"/>
              <w:suppressLineNumbers w:val="0"/>
              <w:spacing w:before="0" w:beforeAutospacing="0" w:after="0" w:afterAutospacing="0" w:line="360" w:lineRule="exact"/>
              <w:ind w:left="0" w:right="0"/>
              <w:rPr>
                <w:rFonts w:hint="default"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复核意见：</w:t>
            </w:r>
          </w:p>
          <w:p w14:paraId="41DBEB90">
            <w:pPr>
              <w:keepNext w:val="0"/>
              <w:keepLines w:val="0"/>
              <w:suppressLineNumbers w:val="0"/>
              <w:spacing w:before="0" w:beforeAutospacing="0" w:after="0" w:afterAutospacing="0" w:line="360" w:lineRule="exact"/>
              <w:ind w:left="0" w:right="0" w:firstLine="435"/>
              <w:rPr>
                <w:rFonts w:hint="default" w:ascii="Times New Roman" w:hAnsi="Times New Roman" w:eastAsia="宋体" w:cs="Times New Roman"/>
                <w:color w:val="auto"/>
                <w:sz w:val="21"/>
                <w:szCs w:val="21"/>
                <w:highlight w:val="none"/>
                <w:u w:val="single"/>
              </w:rPr>
            </w:pPr>
            <w:r>
              <w:rPr>
                <w:rFonts w:hint="eastAsia" w:ascii="宋体" w:hAnsi="宋体" w:eastAsia="宋体" w:cs="Times New Roman"/>
                <w:color w:val="auto"/>
                <w:sz w:val="21"/>
                <w:szCs w:val="21"/>
                <w:highlight w:val="none"/>
              </w:rPr>
              <w:t>你方提出的支付申请经复核，本周期已完成工程价款为</w:t>
            </w:r>
            <w:r>
              <w:rPr>
                <w:rFonts w:hint="eastAsia" w:ascii="宋体" w:hAnsi="宋体" w:cs="Times New Roman"/>
                <w:color w:val="auto"/>
                <w:sz w:val="21"/>
                <w:szCs w:val="21"/>
                <w:highlight w:val="none"/>
                <w:lang w:eastAsia="zh-CN"/>
              </w:rPr>
              <w:t>（</w:t>
            </w:r>
            <w:r>
              <w:rPr>
                <w:rFonts w:hint="eastAsia" w:ascii="宋体" w:hAnsi="宋体" w:eastAsia="宋体" w:cs="Times New Roman"/>
                <w:color w:val="auto"/>
                <w:sz w:val="21"/>
                <w:szCs w:val="21"/>
                <w:highlight w:val="none"/>
              </w:rPr>
              <w:t>大写</w:t>
            </w:r>
            <w:r>
              <w:rPr>
                <w:rFonts w:hint="eastAsia" w:ascii="宋体" w:hAnsi="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元，（小写）</w:t>
            </w:r>
            <w:r>
              <w:rPr>
                <w:rFonts w:hint="default" w:ascii="Times New Roman" w:hAnsi="Times New Roman" w:eastAsia="宋体" w:cs="Times New Roman"/>
                <w:color w:val="auto"/>
                <w:sz w:val="21"/>
                <w:szCs w:val="21"/>
                <w:highlight w:val="none"/>
                <w:u w:val="single"/>
              </w:rPr>
              <w:t xml:space="preserve">          </w:t>
            </w:r>
            <w:r>
              <w:rPr>
                <w:rFonts w:hint="default" w:ascii="Times New Roman" w:hAnsi="Times New Roman" w:eastAsia="宋体" w:cs="Times New Roman"/>
                <w:color w:val="auto"/>
                <w:sz w:val="21"/>
                <w:szCs w:val="21"/>
                <w:highlight w:val="none"/>
              </w:rPr>
              <w:t xml:space="preserve"> </w:t>
            </w:r>
            <w:r>
              <w:rPr>
                <w:rFonts w:hint="eastAsia" w:ascii="宋体" w:hAnsi="宋体" w:eastAsia="宋体" w:cs="Times New Roman"/>
                <w:color w:val="auto"/>
                <w:sz w:val="21"/>
                <w:szCs w:val="21"/>
                <w:highlight w:val="none"/>
              </w:rPr>
              <w:t>元，本期间应支付金额为（大写）</w:t>
            </w:r>
            <w:r>
              <w:rPr>
                <w:rFonts w:hint="default" w:ascii="Times New Roman" w:hAnsi="Times New Roman"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元，（小写）</w:t>
            </w:r>
            <w:r>
              <w:rPr>
                <w:rFonts w:hint="default" w:ascii="Times New Roman" w:hAnsi="Times New Roman"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元。</w:t>
            </w:r>
          </w:p>
          <w:p w14:paraId="0AA31405">
            <w:pPr>
              <w:keepNext w:val="0"/>
              <w:keepLines w:val="0"/>
              <w:suppressLineNumbers w:val="0"/>
              <w:spacing w:before="0" w:beforeAutospacing="0" w:after="0" w:afterAutospacing="0" w:line="360" w:lineRule="exact"/>
              <w:ind w:left="0" w:right="0"/>
              <w:jc w:val="both"/>
              <w:rPr>
                <w:rFonts w:hint="default" w:ascii="Times New Roman" w:hAnsi="Times New Roman" w:eastAsia="宋体" w:cs="Times New Roman"/>
                <w:color w:val="auto"/>
                <w:sz w:val="21"/>
                <w:szCs w:val="21"/>
                <w:highlight w:val="none"/>
                <w:u w:val="single"/>
              </w:rPr>
            </w:pPr>
            <w:r>
              <w:rPr>
                <w:rFonts w:hint="eastAsia" w:ascii="宋体" w:hAnsi="宋体" w:eastAsia="宋体" w:cs="Times New Roman"/>
                <w:color w:val="auto"/>
                <w:sz w:val="21"/>
                <w:szCs w:val="21"/>
                <w:highlight w:val="none"/>
              </w:rPr>
              <w:t>造价工程师</w:t>
            </w:r>
            <w:r>
              <w:rPr>
                <w:rFonts w:hint="default" w:ascii="Times New Roman" w:hAnsi="Times New Roman" w:eastAsia="宋体" w:cs="Times New Roman"/>
                <w:color w:val="auto"/>
                <w:sz w:val="21"/>
                <w:szCs w:val="21"/>
                <w:highlight w:val="none"/>
                <w:u w:val="single"/>
              </w:rPr>
              <w:t xml:space="preserve">           </w:t>
            </w:r>
            <w:r>
              <w:rPr>
                <w:rFonts w:hint="default" w:ascii="Times New Roman" w:hAnsi="Times New Roman" w:eastAsia="宋体" w:cs="Times New Roman"/>
                <w:color w:val="auto"/>
                <w:sz w:val="21"/>
                <w:szCs w:val="21"/>
                <w:highlight w:val="none"/>
              </w:rPr>
              <w:t xml:space="preserve">    </w:t>
            </w:r>
            <w:r>
              <w:rPr>
                <w:rFonts w:hint="eastAsia" w:ascii="宋体" w:hAnsi="宋体" w:eastAsia="宋体" w:cs="Times New Roman"/>
                <w:color w:val="auto"/>
                <w:sz w:val="21"/>
                <w:szCs w:val="21"/>
                <w:highlight w:val="none"/>
              </w:rPr>
              <w:t xml:space="preserve">日 </w:t>
            </w:r>
            <w:r>
              <w:rPr>
                <w:rFonts w:hint="default" w:ascii="Times New Roman" w:hAnsi="Times New Roman" w:eastAsia="宋体" w:cs="Times New Roman"/>
                <w:color w:val="auto"/>
                <w:sz w:val="21"/>
                <w:szCs w:val="21"/>
                <w:highlight w:val="none"/>
              </w:rPr>
              <w:t xml:space="preserve">     </w:t>
            </w:r>
            <w:r>
              <w:rPr>
                <w:rFonts w:hint="eastAsia" w:ascii="宋体" w:hAnsi="宋体" w:eastAsia="宋体" w:cs="Times New Roman"/>
                <w:color w:val="auto"/>
                <w:sz w:val="21"/>
                <w:szCs w:val="21"/>
                <w:highlight w:val="none"/>
              </w:rPr>
              <w:t>期</w:t>
            </w:r>
            <w:r>
              <w:rPr>
                <w:rFonts w:hint="default" w:ascii="Times New Roman" w:hAnsi="Times New Roman" w:eastAsia="宋体" w:cs="Times New Roman"/>
                <w:color w:val="auto"/>
                <w:sz w:val="21"/>
                <w:szCs w:val="21"/>
                <w:highlight w:val="none"/>
                <w:u w:val="single"/>
              </w:rPr>
              <w:t xml:space="preserve">           </w:t>
            </w:r>
          </w:p>
        </w:tc>
      </w:tr>
      <w:tr w14:paraId="1A32F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1" w:hRule="atLeast"/>
          <w:jc w:val="center"/>
        </w:trPr>
        <w:tc>
          <w:tcPr>
            <w:tcW w:w="9511" w:type="dxa"/>
            <w:gridSpan w:val="2"/>
            <w:tcBorders>
              <w:top w:val="single" w:color="auto" w:sz="4" w:space="0"/>
              <w:left w:val="single" w:color="auto" w:sz="4" w:space="0"/>
              <w:bottom w:val="single" w:color="auto" w:sz="4" w:space="0"/>
              <w:right w:val="single" w:color="auto" w:sz="4" w:space="0"/>
            </w:tcBorders>
            <w:noWrap w:val="0"/>
            <w:vAlign w:val="top"/>
          </w:tcPr>
          <w:p w14:paraId="0F1248D0">
            <w:pPr>
              <w:keepNext w:val="0"/>
              <w:keepLines w:val="0"/>
              <w:suppressLineNumbers w:val="0"/>
              <w:spacing w:before="0" w:beforeAutospacing="0" w:after="0" w:afterAutospacing="0" w:line="400" w:lineRule="exact"/>
              <w:ind w:left="0" w:right="0"/>
              <w:rPr>
                <w:rFonts w:hint="default"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审核意见：</w:t>
            </w:r>
          </w:p>
          <w:p w14:paraId="0CF0A4F9">
            <w:pPr>
              <w:keepNext w:val="0"/>
              <w:keepLines w:val="0"/>
              <w:suppressLineNumbers w:val="0"/>
              <w:spacing w:before="0" w:beforeAutospacing="0" w:after="0" w:afterAutospacing="0" w:line="400" w:lineRule="exact"/>
              <w:ind w:left="0" w:right="0" w:firstLine="435"/>
              <w:rPr>
                <w:rFonts w:hint="default"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□不同意。</w:t>
            </w:r>
          </w:p>
          <w:p w14:paraId="025CEDE9">
            <w:pPr>
              <w:keepNext w:val="0"/>
              <w:keepLines w:val="0"/>
              <w:suppressLineNumbers w:val="0"/>
              <w:spacing w:before="0" w:beforeAutospacing="0" w:after="0" w:afterAutospacing="0" w:line="400" w:lineRule="exact"/>
              <w:ind w:left="0" w:right="0" w:firstLine="420" w:firstLineChars="200"/>
              <w:rPr>
                <w:rFonts w:hint="default"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□同意，支付时间为本表签发后的</w:t>
            </w:r>
            <w:r>
              <w:rPr>
                <w:rFonts w:hint="eastAsia" w:ascii="Times New Roman" w:hAnsi="Times New Roman" w:eastAsia="宋体" w:cs="Times New Roman"/>
                <w:color w:val="auto"/>
                <w:sz w:val="21"/>
                <w:szCs w:val="21"/>
                <w:highlight w:val="none"/>
              </w:rPr>
              <w:t>15</w:t>
            </w:r>
            <w:r>
              <w:rPr>
                <w:rFonts w:hint="eastAsia" w:ascii="宋体" w:hAnsi="宋体" w:eastAsia="宋体" w:cs="Times New Roman"/>
                <w:color w:val="auto"/>
                <w:sz w:val="21"/>
                <w:szCs w:val="21"/>
                <w:highlight w:val="none"/>
              </w:rPr>
              <w:t>天内。</w:t>
            </w:r>
          </w:p>
          <w:p w14:paraId="4CC9A6FB">
            <w:pPr>
              <w:keepNext w:val="0"/>
              <w:keepLines w:val="0"/>
              <w:suppressLineNumbers w:val="0"/>
              <w:wordWrap w:val="0"/>
              <w:spacing w:before="0" w:beforeAutospacing="0" w:after="0" w:afterAutospacing="0" w:line="400" w:lineRule="exact"/>
              <w:ind w:left="0" w:right="0" w:firstLine="420" w:firstLineChars="200"/>
              <w:jc w:val="right"/>
              <w:rPr>
                <w:rFonts w:hint="default"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发包人（章） </w:t>
            </w:r>
            <w:r>
              <w:rPr>
                <w:rFonts w:hint="default" w:ascii="Times New Roman" w:hAnsi="Times New Roman" w:eastAsia="宋体" w:cs="Times New Roman"/>
                <w:color w:val="auto"/>
                <w:sz w:val="21"/>
                <w:szCs w:val="21"/>
                <w:highlight w:val="none"/>
              </w:rPr>
              <w:t xml:space="preserve">          </w:t>
            </w:r>
          </w:p>
          <w:p w14:paraId="3622EF93">
            <w:pPr>
              <w:keepNext w:val="0"/>
              <w:keepLines w:val="0"/>
              <w:suppressLineNumbers w:val="0"/>
              <w:wordWrap w:val="0"/>
              <w:spacing w:before="0" w:beforeAutospacing="0" w:after="0" w:afterAutospacing="0" w:line="400" w:lineRule="exact"/>
              <w:ind w:left="0" w:right="0" w:firstLine="420" w:firstLineChars="200"/>
              <w:jc w:val="right"/>
              <w:rPr>
                <w:rFonts w:hint="default" w:ascii="Times New Roman" w:hAnsi="Times New Roman" w:eastAsia="宋体" w:cs="Times New Roman"/>
                <w:color w:val="auto"/>
                <w:sz w:val="21"/>
                <w:szCs w:val="21"/>
                <w:highlight w:val="none"/>
                <w:u w:val="single"/>
              </w:rPr>
            </w:pPr>
            <w:r>
              <w:rPr>
                <w:rFonts w:hint="eastAsia" w:ascii="宋体" w:hAnsi="宋体" w:eastAsia="宋体" w:cs="Times New Roman"/>
                <w:color w:val="auto"/>
                <w:sz w:val="21"/>
                <w:szCs w:val="21"/>
                <w:highlight w:val="none"/>
              </w:rPr>
              <w:t>发包人代表</w:t>
            </w:r>
            <w:r>
              <w:rPr>
                <w:rFonts w:hint="default" w:ascii="Times New Roman" w:hAnsi="Times New Roman" w:eastAsia="宋体" w:cs="Times New Roman"/>
                <w:color w:val="auto"/>
                <w:sz w:val="21"/>
                <w:szCs w:val="21"/>
                <w:highlight w:val="none"/>
                <w:u w:val="single"/>
              </w:rPr>
              <w:t xml:space="preserve">             </w:t>
            </w:r>
          </w:p>
          <w:p w14:paraId="503D0A33">
            <w:pPr>
              <w:keepNext w:val="0"/>
              <w:keepLines w:val="0"/>
              <w:suppressLineNumbers w:val="0"/>
              <w:wordWrap w:val="0"/>
              <w:spacing w:before="0" w:beforeAutospacing="0" w:after="0" w:afterAutospacing="0" w:line="400" w:lineRule="exact"/>
              <w:ind w:left="0" w:right="0" w:firstLine="420" w:firstLineChars="200"/>
              <w:jc w:val="right"/>
              <w:rPr>
                <w:rFonts w:hint="default" w:ascii="Times New Roman" w:hAnsi="Times New Roman" w:eastAsia="宋体" w:cs="Times New Roman"/>
                <w:color w:val="auto"/>
                <w:sz w:val="21"/>
                <w:szCs w:val="21"/>
                <w:highlight w:val="none"/>
                <w:u w:val="single"/>
              </w:rPr>
            </w:pPr>
            <w:r>
              <w:rPr>
                <w:rFonts w:hint="eastAsia" w:ascii="宋体" w:hAnsi="宋体" w:eastAsia="宋体" w:cs="Times New Roman"/>
                <w:color w:val="auto"/>
                <w:sz w:val="21"/>
                <w:szCs w:val="21"/>
                <w:highlight w:val="none"/>
              </w:rPr>
              <w:t xml:space="preserve">日 </w:t>
            </w:r>
            <w:r>
              <w:rPr>
                <w:rFonts w:hint="default" w:ascii="Times New Roman" w:hAnsi="Times New Roman" w:eastAsia="宋体" w:cs="Times New Roman"/>
                <w:color w:val="auto"/>
                <w:sz w:val="21"/>
                <w:szCs w:val="21"/>
                <w:highlight w:val="none"/>
              </w:rPr>
              <w:t xml:space="preserve">     </w:t>
            </w:r>
            <w:r>
              <w:rPr>
                <w:rFonts w:hint="eastAsia" w:ascii="宋体" w:hAnsi="宋体" w:eastAsia="宋体" w:cs="Times New Roman"/>
                <w:color w:val="auto"/>
                <w:sz w:val="21"/>
                <w:szCs w:val="21"/>
                <w:highlight w:val="none"/>
              </w:rPr>
              <w:t>期</w:t>
            </w:r>
            <w:r>
              <w:rPr>
                <w:rFonts w:hint="default" w:ascii="Times New Roman" w:hAnsi="Times New Roman" w:eastAsia="宋体" w:cs="Times New Roman"/>
                <w:color w:val="auto"/>
                <w:sz w:val="21"/>
                <w:szCs w:val="21"/>
                <w:highlight w:val="none"/>
                <w:u w:val="single"/>
              </w:rPr>
              <w:t xml:space="preserve">             </w:t>
            </w:r>
          </w:p>
        </w:tc>
      </w:tr>
    </w:tbl>
    <w:p w14:paraId="41F2BD54">
      <w:pPr>
        <w:spacing w:beforeLines="50"/>
        <w:ind w:firstLine="420" w:firstLineChars="200"/>
        <w:rPr>
          <w:rFonts w:ascii="Times New Roman" w:hAnsi="Times New Roman" w:cs="Times New Roman"/>
          <w:color w:val="auto"/>
          <w:sz w:val="21"/>
          <w:szCs w:val="21"/>
          <w:highlight w:val="none"/>
        </w:rPr>
      </w:pPr>
      <w:r>
        <w:rPr>
          <w:rFonts w:hint="eastAsia" w:ascii="宋体" w:hAnsi="宋体" w:cs="Times New Roman"/>
          <w:color w:val="auto"/>
          <w:sz w:val="21"/>
          <w:szCs w:val="21"/>
          <w:highlight w:val="none"/>
        </w:rPr>
        <w:t>注：</w:t>
      </w:r>
      <w:r>
        <w:rPr>
          <w:rFonts w:hint="eastAsia" w:ascii="Times New Roman" w:hAnsi="Times New Roman" w:cs="Times New Roman"/>
          <w:color w:val="auto"/>
          <w:sz w:val="21"/>
          <w:szCs w:val="21"/>
          <w:highlight w:val="none"/>
        </w:rPr>
        <w:t>1.</w:t>
      </w:r>
      <w:r>
        <w:rPr>
          <w:rFonts w:hint="eastAsia" w:ascii="宋体" w:hAnsi="宋体" w:cs="Times New Roman"/>
          <w:color w:val="auto"/>
          <w:sz w:val="21"/>
          <w:szCs w:val="21"/>
          <w:highlight w:val="none"/>
        </w:rPr>
        <w:t>在选择栏中的</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内作标识</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 xml:space="preserve">。 </w:t>
      </w:r>
    </w:p>
    <w:p w14:paraId="286644D0">
      <w:pPr>
        <w:spacing w:beforeLines="50"/>
        <w:ind w:firstLine="840" w:firstLineChars="400"/>
        <w:rPr>
          <w:rFonts w:ascii="宋体" w:hAnsi="宋体" w:cs="Times New Roman"/>
          <w:color w:val="auto"/>
          <w:sz w:val="21"/>
          <w:szCs w:val="21"/>
          <w:highlight w:val="none"/>
        </w:rPr>
      </w:pPr>
      <w:r>
        <w:rPr>
          <w:rFonts w:hint="eastAsia" w:ascii="Times New Roman" w:hAnsi="Times New Roman" w:cs="Times New Roman"/>
          <w:color w:val="auto"/>
          <w:sz w:val="21"/>
          <w:szCs w:val="21"/>
          <w:highlight w:val="none"/>
        </w:rPr>
        <w:t>2.</w:t>
      </w:r>
      <w:r>
        <w:rPr>
          <w:rFonts w:hint="eastAsia" w:ascii="宋体" w:hAnsi="宋体" w:cs="Times New Roman"/>
          <w:color w:val="auto"/>
          <w:sz w:val="21"/>
          <w:szCs w:val="21"/>
          <w:highlight w:val="none"/>
        </w:rPr>
        <w:t>本表一式四份，由承包人填报，发包人、监理人、造价咨询人、承包人各存一份。</w:t>
      </w:r>
    </w:p>
    <w:p w14:paraId="4EBADD4E">
      <w:pPr>
        <w:keepNext/>
        <w:keepLines/>
        <w:widowControl/>
        <w:spacing w:before="120" w:beforeLines="0" w:after="120" w:afterLines="0" w:line="360" w:lineRule="auto"/>
        <w:jc w:val="both"/>
        <w:outlineLvl w:val="3"/>
        <w:rPr>
          <w:rFonts w:hint="eastAsia" w:ascii="仿宋_GB2312" w:hAnsi="Arial" w:eastAsia="仿宋_GB2312" w:cs="仿宋_GB2312"/>
          <w:color w:val="auto"/>
          <w:kern w:val="0"/>
          <w:sz w:val="21"/>
          <w:szCs w:val="21"/>
          <w:highlight w:val="none"/>
          <w:lang w:val="en-US" w:eastAsia="zh-CN" w:bidi="ar-SA"/>
        </w:rPr>
      </w:pPr>
      <w:r>
        <w:rPr>
          <w:rFonts w:hint="eastAsia" w:ascii="仿宋_GB2312" w:hAnsi="Arial" w:eastAsia="仿宋_GB2312" w:cs="仿宋_GB2312"/>
          <w:color w:val="auto"/>
          <w:kern w:val="0"/>
          <w:sz w:val="21"/>
          <w:szCs w:val="21"/>
          <w:highlight w:val="none"/>
          <w:lang w:val="en-US" w:eastAsia="zh-CN" w:bidi="ar-SA"/>
        </w:rPr>
        <w:t>附件8：竣工（施工过程）结算款支付申请（核准）表</w:t>
      </w:r>
    </w:p>
    <w:p w14:paraId="73BAB222">
      <w:pPr>
        <w:wordWrap/>
        <w:jc w:val="center"/>
        <w:outlineLvl w:val="9"/>
        <w:rPr>
          <w:rFonts w:ascii="Times New Roman" w:hAnsi="Times New Roman" w:cs="Times New Roman"/>
          <w:b/>
          <w:color w:val="auto"/>
          <w:sz w:val="21"/>
          <w:szCs w:val="21"/>
          <w:highlight w:val="none"/>
        </w:rPr>
      </w:pPr>
      <w:r>
        <w:rPr>
          <w:rFonts w:hint="default" w:ascii="宋体" w:hAnsi="宋体" w:cs="Times New Roman"/>
          <w:b/>
          <w:color w:val="auto"/>
          <w:sz w:val="21"/>
          <w:szCs w:val="21"/>
          <w:highlight w:val="none"/>
          <w:lang w:val="en"/>
        </w:rPr>
        <w:t>竣工</w:t>
      </w:r>
      <w:r>
        <w:rPr>
          <w:rFonts w:hint="default" w:ascii="宋体" w:hAnsi="宋体" w:cs="Times New Roman"/>
          <w:b/>
          <w:color w:val="auto"/>
          <w:sz w:val="21"/>
          <w:szCs w:val="21"/>
          <w:highlight w:val="none"/>
          <w:lang w:val="en" w:eastAsia="zh-CN"/>
        </w:rPr>
        <w:t>（施工过程）</w:t>
      </w:r>
      <w:r>
        <w:rPr>
          <w:rFonts w:hint="default" w:ascii="宋体" w:hAnsi="宋体" w:cs="Times New Roman"/>
          <w:b/>
          <w:color w:val="auto"/>
          <w:sz w:val="21"/>
          <w:szCs w:val="21"/>
          <w:highlight w:val="none"/>
          <w:lang w:val="en"/>
        </w:rPr>
        <w:t>结算款支付申请（核准）表</w:t>
      </w:r>
    </w:p>
    <w:p w14:paraId="7FE4D33D">
      <w:pPr>
        <w:ind w:firstLine="420" w:firstLineChars="200"/>
        <w:rPr>
          <w:rFonts w:ascii="Times New Roman" w:hAnsi="Times New Roman" w:cs="Times New Roman"/>
          <w:color w:val="auto"/>
          <w:sz w:val="21"/>
          <w:szCs w:val="21"/>
          <w:highlight w:val="none"/>
        </w:rPr>
      </w:pPr>
      <w:r>
        <w:rPr>
          <w:rFonts w:hint="eastAsia" w:ascii="宋体" w:hAnsi="宋体" w:cs="Times New Roman"/>
          <w:color w:val="auto"/>
          <w:sz w:val="21"/>
          <w:szCs w:val="21"/>
          <w:highlight w:val="none"/>
        </w:rPr>
        <w:t xml:space="preserve">工程名称：                                    </w:t>
      </w:r>
      <w:r>
        <w:rPr>
          <w:rFonts w:hint="eastAsia" w:ascii="宋体" w:hAnsi="宋体" w:cs="Times New Roman"/>
          <w:color w:val="auto"/>
          <w:sz w:val="21"/>
          <w:szCs w:val="21"/>
          <w:highlight w:val="none"/>
          <w:lang w:val="en-US" w:eastAsia="zh-CN"/>
        </w:rPr>
        <w:t xml:space="preserve">         </w:t>
      </w:r>
      <w:r>
        <w:rPr>
          <w:rFonts w:hint="eastAsia" w:ascii="宋体" w:hAnsi="宋体" w:cs="Times New Roman"/>
          <w:color w:val="auto"/>
          <w:sz w:val="21"/>
          <w:szCs w:val="21"/>
          <w:highlight w:val="none"/>
        </w:rPr>
        <w:t>编号：</w:t>
      </w:r>
    </w:p>
    <w:tbl>
      <w:tblPr>
        <w:tblStyle w:val="348"/>
        <w:tblW w:w="92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49"/>
        <w:gridCol w:w="4280"/>
      </w:tblGrid>
      <w:tr w14:paraId="08456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8" w:hRule="atLeast"/>
          <w:jc w:val="center"/>
        </w:trPr>
        <w:tc>
          <w:tcPr>
            <w:tcW w:w="9229" w:type="dxa"/>
            <w:gridSpan w:val="2"/>
            <w:noWrap w:val="0"/>
            <w:vAlign w:val="top"/>
          </w:tcPr>
          <w:p w14:paraId="5D39888C">
            <w:pPr>
              <w:pStyle w:val="347"/>
              <w:spacing w:before="234" w:line="220" w:lineRule="auto"/>
              <w:ind w:left="85"/>
              <w:rPr>
                <w:rFonts w:hint="eastAsia" w:eastAsia="宋体"/>
                <w:color w:val="auto"/>
                <w:sz w:val="21"/>
                <w:szCs w:val="21"/>
                <w:highlight w:val="none"/>
                <w:lang w:eastAsia="zh-CN"/>
              </w:rPr>
            </w:pPr>
            <w:r>
              <w:rPr>
                <w:color w:val="auto"/>
                <w:spacing w:val="1"/>
                <w:sz w:val="21"/>
                <w:szCs w:val="21"/>
                <w:highlight w:val="none"/>
              </w:rPr>
              <w:t>致</w:t>
            </w:r>
            <w:r>
              <w:rPr>
                <w:color w:val="auto"/>
                <w:spacing w:val="-26"/>
                <w:sz w:val="21"/>
                <w:szCs w:val="21"/>
                <w:highlight w:val="none"/>
              </w:rPr>
              <w:t xml:space="preserve"> </w:t>
            </w:r>
            <w:r>
              <w:rPr>
                <w:color w:val="auto"/>
                <w:spacing w:val="1"/>
                <w:sz w:val="21"/>
                <w:szCs w:val="21"/>
                <w:highlight w:val="none"/>
              </w:rPr>
              <w:t>：</w:t>
            </w:r>
            <w:r>
              <w:rPr>
                <w:color w:val="auto"/>
                <w:spacing w:val="3"/>
                <w:sz w:val="21"/>
                <w:szCs w:val="21"/>
                <w:highlight w:val="none"/>
                <w:u w:val="single"/>
              </w:rPr>
              <w:t xml:space="preserve">                   </w:t>
            </w:r>
            <w:r>
              <w:rPr>
                <w:rFonts w:hint="eastAsia" w:eastAsia="宋体"/>
                <w:color w:val="auto"/>
                <w:spacing w:val="1"/>
                <w:sz w:val="21"/>
                <w:szCs w:val="21"/>
                <w:highlight w:val="none"/>
                <w:lang w:eastAsia="zh-CN"/>
              </w:rPr>
              <w:t>（</w:t>
            </w:r>
            <w:r>
              <w:rPr>
                <w:color w:val="auto"/>
                <w:spacing w:val="1"/>
                <w:sz w:val="21"/>
                <w:szCs w:val="21"/>
                <w:highlight w:val="none"/>
              </w:rPr>
              <w:t>发包人全称</w:t>
            </w:r>
            <w:r>
              <w:rPr>
                <w:rFonts w:hint="eastAsia" w:eastAsia="宋体"/>
                <w:color w:val="auto"/>
                <w:spacing w:val="1"/>
                <w:sz w:val="21"/>
                <w:szCs w:val="21"/>
                <w:highlight w:val="none"/>
                <w:lang w:eastAsia="zh-CN"/>
              </w:rPr>
              <w:t>）</w:t>
            </w:r>
          </w:p>
          <w:p w14:paraId="75EABFB4">
            <w:pPr>
              <w:pStyle w:val="347"/>
              <w:spacing w:before="59" w:line="248" w:lineRule="auto"/>
              <w:ind w:left="124" w:firstLine="399"/>
              <w:rPr>
                <w:color w:val="auto"/>
                <w:sz w:val="21"/>
                <w:szCs w:val="21"/>
                <w:highlight w:val="none"/>
              </w:rPr>
            </w:pPr>
            <w:r>
              <w:rPr>
                <w:color w:val="auto"/>
                <w:spacing w:val="-5"/>
                <w:sz w:val="21"/>
                <w:szCs w:val="21"/>
                <w:highlight w:val="none"/>
              </w:rPr>
              <w:t>我方于</w:t>
            </w:r>
            <w:r>
              <w:rPr>
                <w:color w:val="auto"/>
                <w:spacing w:val="11"/>
                <w:sz w:val="21"/>
                <w:szCs w:val="21"/>
                <w:highlight w:val="none"/>
                <w:u w:val="single" w:color="auto"/>
              </w:rPr>
              <w:t xml:space="preserve">      </w:t>
            </w:r>
            <w:r>
              <w:rPr>
                <w:color w:val="auto"/>
                <w:spacing w:val="-5"/>
                <w:sz w:val="21"/>
                <w:szCs w:val="21"/>
                <w:highlight w:val="none"/>
              </w:rPr>
              <w:t>至</w:t>
            </w:r>
            <w:r>
              <w:rPr>
                <w:color w:val="auto"/>
                <w:spacing w:val="-93"/>
                <w:sz w:val="21"/>
                <w:szCs w:val="21"/>
                <w:highlight w:val="none"/>
              </w:rPr>
              <w:t xml:space="preserve"> </w:t>
            </w:r>
            <w:r>
              <w:rPr>
                <w:color w:val="auto"/>
                <w:spacing w:val="16"/>
                <w:sz w:val="21"/>
                <w:szCs w:val="21"/>
                <w:highlight w:val="none"/>
                <w:u w:val="single" w:color="auto"/>
              </w:rPr>
              <w:t xml:space="preserve">     </w:t>
            </w:r>
            <w:r>
              <w:rPr>
                <w:color w:val="auto"/>
                <w:spacing w:val="-101"/>
                <w:sz w:val="21"/>
                <w:szCs w:val="21"/>
                <w:highlight w:val="none"/>
              </w:rPr>
              <w:t xml:space="preserve"> </w:t>
            </w:r>
            <w:r>
              <w:rPr>
                <w:color w:val="auto"/>
                <w:spacing w:val="-5"/>
                <w:sz w:val="21"/>
                <w:szCs w:val="21"/>
                <w:highlight w:val="none"/>
              </w:rPr>
              <w:t>期间已完成合同约定的工作</w:t>
            </w:r>
            <w:r>
              <w:rPr>
                <w:rFonts w:hint="eastAsia" w:eastAsia="宋体"/>
                <w:color w:val="auto"/>
                <w:spacing w:val="-5"/>
                <w:sz w:val="21"/>
                <w:szCs w:val="21"/>
                <w:highlight w:val="none"/>
                <w:lang w:eastAsia="zh-CN"/>
              </w:rPr>
              <w:t>，</w:t>
            </w:r>
            <w:r>
              <w:rPr>
                <w:color w:val="auto"/>
                <w:spacing w:val="-5"/>
                <w:sz w:val="21"/>
                <w:szCs w:val="21"/>
                <w:highlight w:val="none"/>
              </w:rPr>
              <w:t>工程已经完工</w:t>
            </w:r>
            <w:r>
              <w:rPr>
                <w:rFonts w:hint="eastAsia" w:eastAsia="宋体"/>
                <w:color w:val="auto"/>
                <w:spacing w:val="-5"/>
                <w:sz w:val="21"/>
                <w:szCs w:val="21"/>
                <w:highlight w:val="none"/>
                <w:lang w:eastAsia="zh-CN"/>
              </w:rPr>
              <w:t>，</w:t>
            </w:r>
            <w:r>
              <w:rPr>
                <w:color w:val="auto"/>
                <w:spacing w:val="-5"/>
                <w:sz w:val="21"/>
                <w:szCs w:val="21"/>
                <w:highlight w:val="none"/>
              </w:rPr>
              <w:t>根据施工合同的约</w:t>
            </w:r>
            <w:r>
              <w:rPr>
                <w:color w:val="auto"/>
                <w:spacing w:val="-6"/>
                <w:sz w:val="21"/>
                <w:szCs w:val="21"/>
                <w:highlight w:val="none"/>
              </w:rPr>
              <w:t>定</w:t>
            </w:r>
            <w:r>
              <w:rPr>
                <w:rFonts w:hint="eastAsia" w:eastAsia="宋体"/>
                <w:color w:val="auto"/>
                <w:spacing w:val="-6"/>
                <w:sz w:val="21"/>
                <w:szCs w:val="21"/>
                <w:highlight w:val="none"/>
                <w:lang w:eastAsia="zh-CN"/>
              </w:rPr>
              <w:t>，</w:t>
            </w:r>
            <w:r>
              <w:rPr>
                <w:color w:val="auto"/>
                <w:spacing w:val="-6"/>
                <w:sz w:val="21"/>
                <w:szCs w:val="21"/>
                <w:highlight w:val="none"/>
              </w:rPr>
              <w:t>现申</w:t>
            </w:r>
            <w:r>
              <w:rPr>
                <w:color w:val="auto"/>
                <w:sz w:val="21"/>
                <w:szCs w:val="21"/>
                <w:highlight w:val="none"/>
              </w:rPr>
              <w:t xml:space="preserve"> </w:t>
            </w:r>
            <w:r>
              <w:rPr>
                <w:color w:val="auto"/>
                <w:spacing w:val="3"/>
                <w:sz w:val="21"/>
                <w:szCs w:val="21"/>
                <w:highlight w:val="none"/>
              </w:rPr>
              <w:t>请支付竣工结算合同款额为</w:t>
            </w:r>
            <w:r>
              <w:rPr>
                <w:rFonts w:hint="eastAsia" w:eastAsia="宋体"/>
                <w:color w:val="auto"/>
                <w:spacing w:val="3"/>
                <w:sz w:val="21"/>
                <w:szCs w:val="21"/>
                <w:highlight w:val="none"/>
                <w:lang w:eastAsia="zh-CN"/>
              </w:rPr>
              <w:t>（</w:t>
            </w:r>
            <w:r>
              <w:rPr>
                <w:color w:val="auto"/>
                <w:spacing w:val="3"/>
                <w:sz w:val="21"/>
                <w:szCs w:val="21"/>
                <w:highlight w:val="none"/>
              </w:rPr>
              <w:t>大写</w:t>
            </w:r>
            <w:r>
              <w:rPr>
                <w:rFonts w:hint="eastAsia" w:eastAsia="宋体"/>
                <w:color w:val="auto"/>
                <w:spacing w:val="3"/>
                <w:sz w:val="21"/>
                <w:szCs w:val="21"/>
                <w:highlight w:val="none"/>
                <w:lang w:eastAsia="zh-CN"/>
              </w:rPr>
              <w:t>）</w:t>
            </w:r>
            <w:r>
              <w:rPr>
                <w:color w:val="auto"/>
                <w:spacing w:val="6"/>
                <w:sz w:val="21"/>
                <w:szCs w:val="21"/>
                <w:highlight w:val="none"/>
                <w:u w:val="single" w:color="auto"/>
              </w:rPr>
              <w:t xml:space="preserve">                </w:t>
            </w:r>
            <w:r>
              <w:rPr>
                <w:rFonts w:hint="eastAsia" w:eastAsia="宋体"/>
                <w:color w:val="auto"/>
                <w:spacing w:val="3"/>
                <w:sz w:val="21"/>
                <w:szCs w:val="21"/>
                <w:highlight w:val="none"/>
                <w:u w:val="single" w:color="auto"/>
                <w:lang w:eastAsia="zh-CN"/>
              </w:rPr>
              <w:t>（</w:t>
            </w:r>
            <w:r>
              <w:rPr>
                <w:color w:val="auto"/>
                <w:spacing w:val="3"/>
                <w:sz w:val="21"/>
                <w:szCs w:val="21"/>
                <w:highlight w:val="none"/>
                <w:u w:val="single" w:color="auto"/>
              </w:rPr>
              <w:t>小</w:t>
            </w:r>
            <w:r>
              <w:rPr>
                <w:color w:val="auto"/>
                <w:spacing w:val="3"/>
                <w:sz w:val="21"/>
                <w:szCs w:val="21"/>
                <w:highlight w:val="none"/>
              </w:rPr>
              <w:t xml:space="preserve">写  </w:t>
            </w:r>
            <w:r>
              <w:rPr>
                <w:color w:val="auto"/>
                <w:spacing w:val="3"/>
                <w:sz w:val="21"/>
                <w:szCs w:val="21"/>
                <w:highlight w:val="none"/>
                <w:u w:val="single" w:color="auto"/>
              </w:rPr>
              <w:t xml:space="preserve">             </w:t>
            </w:r>
            <w:r>
              <w:rPr>
                <w:rFonts w:hint="eastAsia" w:eastAsia="宋体"/>
                <w:color w:val="auto"/>
                <w:spacing w:val="3"/>
                <w:sz w:val="21"/>
                <w:szCs w:val="21"/>
                <w:highlight w:val="none"/>
                <w:lang w:eastAsia="zh-CN"/>
              </w:rPr>
              <w:t>），</w:t>
            </w:r>
            <w:r>
              <w:rPr>
                <w:color w:val="auto"/>
                <w:spacing w:val="3"/>
                <w:sz w:val="21"/>
                <w:szCs w:val="21"/>
                <w:highlight w:val="none"/>
              </w:rPr>
              <w:t>请予核准。</w:t>
            </w:r>
          </w:p>
          <w:p w14:paraId="61B7F9DD">
            <w:pPr>
              <w:spacing w:line="21" w:lineRule="exact"/>
              <w:rPr>
                <w:rFonts w:ascii="Times New Roman" w:hAnsi="Times New Roman" w:cs="Times New Roman"/>
                <w:color w:val="auto"/>
                <w:sz w:val="21"/>
                <w:szCs w:val="21"/>
                <w:highlight w:val="none"/>
              </w:rPr>
            </w:pPr>
          </w:p>
          <w:tbl>
            <w:tblPr>
              <w:tblStyle w:val="348"/>
              <w:tblW w:w="8710" w:type="dxa"/>
              <w:tblInd w:w="2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5"/>
              <w:gridCol w:w="3396"/>
              <w:gridCol w:w="1588"/>
              <w:gridCol w:w="1558"/>
              <w:gridCol w:w="1593"/>
            </w:tblGrid>
            <w:tr w14:paraId="57222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5" w:type="dxa"/>
                  <w:noWrap w:val="0"/>
                  <w:vAlign w:val="top"/>
                </w:tcPr>
                <w:p w14:paraId="09BDDB8C">
                  <w:pPr>
                    <w:pStyle w:val="347"/>
                    <w:spacing w:before="73" w:line="221" w:lineRule="auto"/>
                    <w:ind w:left="85"/>
                    <w:rPr>
                      <w:color w:val="auto"/>
                      <w:sz w:val="21"/>
                      <w:szCs w:val="21"/>
                      <w:highlight w:val="none"/>
                    </w:rPr>
                  </w:pPr>
                  <w:r>
                    <w:rPr>
                      <w:color w:val="auto"/>
                      <w:spacing w:val="-2"/>
                      <w:sz w:val="21"/>
                      <w:szCs w:val="21"/>
                      <w:highlight w:val="none"/>
                    </w:rPr>
                    <w:t>序号</w:t>
                  </w:r>
                </w:p>
              </w:tc>
              <w:tc>
                <w:tcPr>
                  <w:tcW w:w="3396" w:type="dxa"/>
                  <w:noWrap w:val="0"/>
                  <w:vAlign w:val="top"/>
                </w:tcPr>
                <w:p w14:paraId="01507E12">
                  <w:pPr>
                    <w:pStyle w:val="347"/>
                    <w:spacing w:before="75" w:line="221" w:lineRule="auto"/>
                    <w:ind w:left="1490"/>
                    <w:rPr>
                      <w:color w:val="auto"/>
                      <w:sz w:val="21"/>
                      <w:szCs w:val="21"/>
                      <w:highlight w:val="none"/>
                    </w:rPr>
                  </w:pPr>
                  <w:r>
                    <w:rPr>
                      <w:color w:val="auto"/>
                      <w:spacing w:val="-3"/>
                      <w:sz w:val="21"/>
                      <w:szCs w:val="21"/>
                      <w:highlight w:val="none"/>
                    </w:rPr>
                    <w:t>名称</w:t>
                  </w:r>
                </w:p>
              </w:tc>
              <w:tc>
                <w:tcPr>
                  <w:tcW w:w="1588" w:type="dxa"/>
                  <w:noWrap w:val="0"/>
                  <w:vAlign w:val="top"/>
                </w:tcPr>
                <w:p w14:paraId="639D4607">
                  <w:pPr>
                    <w:pStyle w:val="347"/>
                    <w:spacing w:before="72" w:line="219" w:lineRule="auto"/>
                    <w:ind w:left="204"/>
                    <w:jc w:val="center"/>
                    <w:rPr>
                      <w:rFonts w:hint="eastAsia" w:eastAsia="宋体"/>
                      <w:color w:val="auto"/>
                      <w:sz w:val="21"/>
                      <w:szCs w:val="21"/>
                      <w:highlight w:val="none"/>
                      <w:lang w:eastAsia="zh-CN"/>
                    </w:rPr>
                  </w:pPr>
                  <w:r>
                    <w:rPr>
                      <w:color w:val="auto"/>
                      <w:spacing w:val="5"/>
                      <w:sz w:val="21"/>
                      <w:szCs w:val="21"/>
                      <w:highlight w:val="none"/>
                    </w:rPr>
                    <w:t>申请金额</w:t>
                  </w:r>
                  <w:r>
                    <w:rPr>
                      <w:rFonts w:hint="eastAsia" w:eastAsia="宋体"/>
                      <w:color w:val="auto"/>
                      <w:spacing w:val="5"/>
                      <w:sz w:val="21"/>
                      <w:szCs w:val="21"/>
                      <w:highlight w:val="none"/>
                      <w:lang w:eastAsia="zh-CN"/>
                    </w:rPr>
                    <w:t>（</w:t>
                  </w:r>
                  <w:r>
                    <w:rPr>
                      <w:color w:val="auto"/>
                      <w:spacing w:val="5"/>
                      <w:sz w:val="21"/>
                      <w:szCs w:val="21"/>
                      <w:highlight w:val="none"/>
                    </w:rPr>
                    <w:t>元</w:t>
                  </w:r>
                  <w:r>
                    <w:rPr>
                      <w:rFonts w:hint="eastAsia" w:eastAsia="宋体"/>
                      <w:color w:val="auto"/>
                      <w:spacing w:val="5"/>
                      <w:sz w:val="21"/>
                      <w:szCs w:val="21"/>
                      <w:highlight w:val="none"/>
                      <w:lang w:eastAsia="zh-CN"/>
                    </w:rPr>
                    <w:t>）</w:t>
                  </w:r>
                </w:p>
              </w:tc>
              <w:tc>
                <w:tcPr>
                  <w:tcW w:w="1558" w:type="dxa"/>
                  <w:noWrap w:val="0"/>
                  <w:vAlign w:val="top"/>
                </w:tcPr>
                <w:p w14:paraId="044AA2BB">
                  <w:pPr>
                    <w:pStyle w:val="347"/>
                    <w:spacing w:before="72" w:line="219" w:lineRule="auto"/>
                    <w:ind w:left="205"/>
                    <w:jc w:val="center"/>
                    <w:rPr>
                      <w:rFonts w:hint="eastAsia" w:eastAsia="宋体"/>
                      <w:color w:val="auto"/>
                      <w:sz w:val="21"/>
                      <w:szCs w:val="21"/>
                      <w:highlight w:val="none"/>
                      <w:lang w:eastAsia="zh-CN"/>
                    </w:rPr>
                  </w:pPr>
                  <w:r>
                    <w:rPr>
                      <w:color w:val="auto"/>
                      <w:spacing w:val="5"/>
                      <w:sz w:val="21"/>
                      <w:szCs w:val="21"/>
                      <w:highlight w:val="none"/>
                    </w:rPr>
                    <w:t>复核金额</w:t>
                  </w:r>
                  <w:r>
                    <w:rPr>
                      <w:rFonts w:hint="eastAsia" w:eastAsia="宋体"/>
                      <w:color w:val="auto"/>
                      <w:spacing w:val="5"/>
                      <w:sz w:val="21"/>
                      <w:szCs w:val="21"/>
                      <w:highlight w:val="none"/>
                      <w:lang w:eastAsia="zh-CN"/>
                    </w:rPr>
                    <w:t>（</w:t>
                  </w:r>
                  <w:r>
                    <w:rPr>
                      <w:color w:val="auto"/>
                      <w:spacing w:val="5"/>
                      <w:sz w:val="21"/>
                      <w:szCs w:val="21"/>
                      <w:highlight w:val="none"/>
                    </w:rPr>
                    <w:t>元</w:t>
                  </w:r>
                  <w:r>
                    <w:rPr>
                      <w:rFonts w:hint="eastAsia" w:eastAsia="宋体"/>
                      <w:color w:val="auto"/>
                      <w:spacing w:val="5"/>
                      <w:sz w:val="21"/>
                      <w:szCs w:val="21"/>
                      <w:highlight w:val="none"/>
                      <w:lang w:eastAsia="zh-CN"/>
                    </w:rPr>
                    <w:t>）</w:t>
                  </w:r>
                </w:p>
              </w:tc>
              <w:tc>
                <w:tcPr>
                  <w:tcW w:w="1593" w:type="dxa"/>
                  <w:noWrap w:val="0"/>
                  <w:vAlign w:val="top"/>
                </w:tcPr>
                <w:p w14:paraId="1EA4A186">
                  <w:pPr>
                    <w:pStyle w:val="347"/>
                    <w:spacing w:before="73" w:line="221" w:lineRule="auto"/>
                    <w:ind w:left="628"/>
                    <w:rPr>
                      <w:color w:val="auto"/>
                      <w:sz w:val="21"/>
                      <w:szCs w:val="21"/>
                      <w:highlight w:val="none"/>
                    </w:rPr>
                  </w:pPr>
                  <w:r>
                    <w:rPr>
                      <w:color w:val="auto"/>
                      <w:spacing w:val="-3"/>
                      <w:sz w:val="21"/>
                      <w:szCs w:val="21"/>
                      <w:highlight w:val="none"/>
                    </w:rPr>
                    <w:t>备注</w:t>
                  </w:r>
                </w:p>
              </w:tc>
            </w:tr>
            <w:tr w14:paraId="19E87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75" w:type="dxa"/>
                  <w:noWrap w:val="0"/>
                  <w:vAlign w:val="top"/>
                </w:tcPr>
                <w:p w14:paraId="46020230">
                  <w:pPr>
                    <w:pStyle w:val="347"/>
                    <w:spacing w:before="117" w:line="184" w:lineRule="auto"/>
                    <w:ind w:left="225"/>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w:t>
                  </w:r>
                </w:p>
              </w:tc>
              <w:tc>
                <w:tcPr>
                  <w:tcW w:w="3396" w:type="dxa"/>
                  <w:noWrap w:val="0"/>
                  <w:vAlign w:val="top"/>
                </w:tcPr>
                <w:p w14:paraId="50D83228">
                  <w:pPr>
                    <w:pStyle w:val="347"/>
                    <w:spacing w:before="68" w:line="218" w:lineRule="auto"/>
                    <w:ind w:left="0"/>
                    <w:rPr>
                      <w:color w:val="auto"/>
                      <w:sz w:val="21"/>
                      <w:szCs w:val="21"/>
                      <w:highlight w:val="none"/>
                    </w:rPr>
                  </w:pPr>
                  <w:r>
                    <w:rPr>
                      <w:color w:val="auto"/>
                      <w:spacing w:val="-1"/>
                      <w:sz w:val="21"/>
                      <w:szCs w:val="21"/>
                      <w:highlight w:val="none"/>
                    </w:rPr>
                    <w:t>工程竣工</w:t>
                  </w:r>
                  <w:r>
                    <w:rPr>
                      <w:rFonts w:hint="eastAsia" w:eastAsia="宋体"/>
                      <w:color w:val="auto"/>
                      <w:spacing w:val="-1"/>
                      <w:sz w:val="21"/>
                      <w:szCs w:val="21"/>
                      <w:highlight w:val="none"/>
                      <w:lang w:eastAsia="zh-CN"/>
                    </w:rPr>
                    <w:t>（施工过程）</w:t>
                  </w:r>
                  <w:r>
                    <w:rPr>
                      <w:color w:val="auto"/>
                      <w:spacing w:val="-1"/>
                      <w:sz w:val="21"/>
                      <w:szCs w:val="21"/>
                      <w:highlight w:val="none"/>
                    </w:rPr>
                    <w:t>结算价款总额</w:t>
                  </w:r>
                </w:p>
              </w:tc>
              <w:tc>
                <w:tcPr>
                  <w:tcW w:w="1588" w:type="dxa"/>
                  <w:noWrap w:val="0"/>
                  <w:vAlign w:val="top"/>
                </w:tcPr>
                <w:p w14:paraId="3E841BB8">
                  <w:pPr>
                    <w:rPr>
                      <w:rFonts w:ascii="Arial" w:hAnsi="Times New Roman" w:cs="Times New Roman"/>
                      <w:color w:val="auto"/>
                      <w:sz w:val="21"/>
                      <w:szCs w:val="21"/>
                      <w:highlight w:val="none"/>
                    </w:rPr>
                  </w:pPr>
                </w:p>
              </w:tc>
              <w:tc>
                <w:tcPr>
                  <w:tcW w:w="1558" w:type="dxa"/>
                  <w:noWrap w:val="0"/>
                  <w:vAlign w:val="top"/>
                </w:tcPr>
                <w:p w14:paraId="5567313F">
                  <w:pPr>
                    <w:rPr>
                      <w:rFonts w:ascii="Arial" w:hAnsi="Times New Roman" w:cs="Times New Roman"/>
                      <w:color w:val="auto"/>
                      <w:sz w:val="21"/>
                      <w:szCs w:val="21"/>
                      <w:highlight w:val="none"/>
                    </w:rPr>
                  </w:pPr>
                </w:p>
              </w:tc>
              <w:tc>
                <w:tcPr>
                  <w:tcW w:w="1593" w:type="dxa"/>
                  <w:noWrap w:val="0"/>
                  <w:vAlign w:val="top"/>
                </w:tcPr>
                <w:p w14:paraId="5BFD72CA">
                  <w:pPr>
                    <w:rPr>
                      <w:rFonts w:ascii="Arial" w:hAnsi="Times New Roman" w:cs="Times New Roman"/>
                      <w:color w:val="auto"/>
                      <w:sz w:val="21"/>
                      <w:szCs w:val="21"/>
                      <w:highlight w:val="none"/>
                    </w:rPr>
                  </w:pPr>
                </w:p>
              </w:tc>
            </w:tr>
            <w:tr w14:paraId="49CB65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75" w:type="dxa"/>
                  <w:noWrap w:val="0"/>
                  <w:vAlign w:val="top"/>
                </w:tcPr>
                <w:p w14:paraId="3B57EACB">
                  <w:pPr>
                    <w:pStyle w:val="347"/>
                    <w:spacing w:before="130" w:line="183" w:lineRule="auto"/>
                    <w:ind w:left="225"/>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w:t>
                  </w:r>
                </w:p>
              </w:tc>
              <w:tc>
                <w:tcPr>
                  <w:tcW w:w="3396" w:type="dxa"/>
                  <w:noWrap w:val="0"/>
                  <w:vAlign w:val="top"/>
                </w:tcPr>
                <w:p w14:paraId="7EAA1286">
                  <w:pPr>
                    <w:pStyle w:val="347"/>
                    <w:spacing w:before="80" w:line="218" w:lineRule="auto"/>
                    <w:ind w:left="0"/>
                    <w:rPr>
                      <w:color w:val="auto"/>
                      <w:sz w:val="21"/>
                      <w:szCs w:val="21"/>
                      <w:highlight w:val="none"/>
                    </w:rPr>
                  </w:pPr>
                  <w:r>
                    <w:rPr>
                      <w:color w:val="auto"/>
                      <w:sz w:val="21"/>
                      <w:szCs w:val="21"/>
                      <w:highlight w:val="none"/>
                    </w:rPr>
                    <w:t>累计已实际支付的价款</w:t>
                  </w:r>
                </w:p>
              </w:tc>
              <w:tc>
                <w:tcPr>
                  <w:tcW w:w="1588" w:type="dxa"/>
                  <w:noWrap w:val="0"/>
                  <w:vAlign w:val="top"/>
                </w:tcPr>
                <w:p w14:paraId="3F8128FE">
                  <w:pPr>
                    <w:rPr>
                      <w:rFonts w:ascii="Arial" w:hAnsi="Times New Roman" w:cs="Times New Roman"/>
                      <w:color w:val="auto"/>
                      <w:sz w:val="21"/>
                      <w:szCs w:val="21"/>
                      <w:highlight w:val="none"/>
                    </w:rPr>
                  </w:pPr>
                </w:p>
              </w:tc>
              <w:tc>
                <w:tcPr>
                  <w:tcW w:w="1558" w:type="dxa"/>
                  <w:noWrap w:val="0"/>
                  <w:vAlign w:val="top"/>
                </w:tcPr>
                <w:p w14:paraId="76B9DCBE">
                  <w:pPr>
                    <w:rPr>
                      <w:rFonts w:ascii="Arial" w:hAnsi="Times New Roman" w:cs="Times New Roman"/>
                      <w:color w:val="auto"/>
                      <w:sz w:val="21"/>
                      <w:szCs w:val="21"/>
                      <w:highlight w:val="none"/>
                    </w:rPr>
                  </w:pPr>
                </w:p>
              </w:tc>
              <w:tc>
                <w:tcPr>
                  <w:tcW w:w="1593" w:type="dxa"/>
                  <w:noWrap w:val="0"/>
                  <w:vAlign w:val="top"/>
                </w:tcPr>
                <w:p w14:paraId="7A0BD39A">
                  <w:pPr>
                    <w:rPr>
                      <w:rFonts w:ascii="Arial" w:hAnsi="Times New Roman" w:cs="Times New Roman"/>
                      <w:color w:val="auto"/>
                      <w:sz w:val="21"/>
                      <w:szCs w:val="21"/>
                      <w:highlight w:val="none"/>
                    </w:rPr>
                  </w:pPr>
                </w:p>
              </w:tc>
            </w:tr>
            <w:tr w14:paraId="48D57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575" w:type="dxa"/>
                  <w:noWrap w:val="0"/>
                  <w:vAlign w:val="top"/>
                </w:tcPr>
                <w:p w14:paraId="5101AA71">
                  <w:pPr>
                    <w:pStyle w:val="347"/>
                    <w:spacing w:before="123" w:line="183" w:lineRule="auto"/>
                    <w:ind w:left="225"/>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3</w:t>
                  </w:r>
                </w:p>
              </w:tc>
              <w:tc>
                <w:tcPr>
                  <w:tcW w:w="3396" w:type="dxa"/>
                  <w:noWrap w:val="0"/>
                  <w:vAlign w:val="top"/>
                </w:tcPr>
                <w:p w14:paraId="6706BFD4">
                  <w:pPr>
                    <w:pStyle w:val="347"/>
                    <w:spacing w:before="75" w:line="220" w:lineRule="auto"/>
                    <w:ind w:left="0"/>
                    <w:rPr>
                      <w:color w:val="auto"/>
                      <w:sz w:val="21"/>
                      <w:szCs w:val="21"/>
                      <w:highlight w:val="none"/>
                    </w:rPr>
                  </w:pPr>
                  <w:r>
                    <w:rPr>
                      <w:color w:val="auto"/>
                      <w:spacing w:val="-1"/>
                      <w:sz w:val="21"/>
                      <w:szCs w:val="21"/>
                      <w:highlight w:val="none"/>
                    </w:rPr>
                    <w:t>应预留的质量保证金</w:t>
                  </w:r>
                </w:p>
              </w:tc>
              <w:tc>
                <w:tcPr>
                  <w:tcW w:w="1588" w:type="dxa"/>
                  <w:noWrap w:val="0"/>
                  <w:vAlign w:val="top"/>
                </w:tcPr>
                <w:p w14:paraId="69111ACB">
                  <w:pPr>
                    <w:rPr>
                      <w:rFonts w:ascii="Arial" w:hAnsi="Times New Roman" w:cs="Times New Roman"/>
                      <w:color w:val="auto"/>
                      <w:sz w:val="21"/>
                      <w:szCs w:val="21"/>
                      <w:highlight w:val="none"/>
                    </w:rPr>
                  </w:pPr>
                </w:p>
              </w:tc>
              <w:tc>
                <w:tcPr>
                  <w:tcW w:w="1558" w:type="dxa"/>
                  <w:noWrap w:val="0"/>
                  <w:vAlign w:val="top"/>
                </w:tcPr>
                <w:p w14:paraId="57CBADC1">
                  <w:pPr>
                    <w:rPr>
                      <w:rFonts w:ascii="Arial" w:hAnsi="Times New Roman" w:cs="Times New Roman"/>
                      <w:color w:val="auto"/>
                      <w:sz w:val="21"/>
                      <w:szCs w:val="21"/>
                      <w:highlight w:val="none"/>
                    </w:rPr>
                  </w:pPr>
                </w:p>
              </w:tc>
              <w:tc>
                <w:tcPr>
                  <w:tcW w:w="1593" w:type="dxa"/>
                  <w:noWrap w:val="0"/>
                  <w:vAlign w:val="top"/>
                </w:tcPr>
                <w:p w14:paraId="2FB524DB">
                  <w:pPr>
                    <w:rPr>
                      <w:rFonts w:ascii="Arial" w:hAnsi="Times New Roman" w:cs="Times New Roman"/>
                      <w:color w:val="auto"/>
                      <w:sz w:val="21"/>
                      <w:szCs w:val="21"/>
                      <w:highlight w:val="none"/>
                    </w:rPr>
                  </w:pPr>
                </w:p>
              </w:tc>
            </w:tr>
            <w:tr w14:paraId="31915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5" w:type="dxa"/>
                  <w:noWrap w:val="0"/>
                  <w:vAlign w:val="top"/>
                </w:tcPr>
                <w:p w14:paraId="73AF0F2C">
                  <w:pPr>
                    <w:pStyle w:val="347"/>
                    <w:spacing w:before="125" w:line="182" w:lineRule="auto"/>
                    <w:ind w:left="225"/>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4</w:t>
                  </w:r>
                </w:p>
              </w:tc>
              <w:tc>
                <w:tcPr>
                  <w:tcW w:w="3396" w:type="dxa"/>
                  <w:noWrap w:val="0"/>
                  <w:vAlign w:val="top"/>
                </w:tcPr>
                <w:p w14:paraId="4561968B">
                  <w:pPr>
                    <w:pStyle w:val="347"/>
                    <w:spacing w:before="76" w:line="219" w:lineRule="auto"/>
                    <w:ind w:left="0"/>
                    <w:rPr>
                      <w:color w:val="auto"/>
                      <w:sz w:val="21"/>
                      <w:szCs w:val="21"/>
                      <w:highlight w:val="none"/>
                    </w:rPr>
                  </w:pPr>
                  <w:r>
                    <w:rPr>
                      <w:color w:val="auto"/>
                      <w:spacing w:val="-1"/>
                      <w:sz w:val="21"/>
                      <w:szCs w:val="21"/>
                      <w:highlight w:val="none"/>
                    </w:rPr>
                    <w:t>实际应支付的竣工</w:t>
                  </w:r>
                  <w:r>
                    <w:rPr>
                      <w:rFonts w:hint="eastAsia" w:eastAsia="宋体"/>
                      <w:color w:val="auto"/>
                      <w:spacing w:val="-1"/>
                      <w:sz w:val="21"/>
                      <w:szCs w:val="21"/>
                      <w:highlight w:val="none"/>
                      <w:lang w:eastAsia="zh-CN"/>
                    </w:rPr>
                    <w:t>（施工过程）</w:t>
                  </w:r>
                  <w:r>
                    <w:rPr>
                      <w:color w:val="auto"/>
                      <w:spacing w:val="-1"/>
                      <w:sz w:val="21"/>
                      <w:szCs w:val="21"/>
                      <w:highlight w:val="none"/>
                    </w:rPr>
                    <w:t>结算款金额</w:t>
                  </w:r>
                </w:p>
              </w:tc>
              <w:tc>
                <w:tcPr>
                  <w:tcW w:w="1588" w:type="dxa"/>
                  <w:noWrap w:val="0"/>
                  <w:vAlign w:val="top"/>
                </w:tcPr>
                <w:p w14:paraId="3684EB84">
                  <w:pPr>
                    <w:rPr>
                      <w:rFonts w:ascii="Arial" w:hAnsi="Times New Roman" w:cs="Times New Roman"/>
                      <w:color w:val="auto"/>
                      <w:sz w:val="21"/>
                      <w:szCs w:val="21"/>
                      <w:highlight w:val="none"/>
                    </w:rPr>
                  </w:pPr>
                </w:p>
              </w:tc>
              <w:tc>
                <w:tcPr>
                  <w:tcW w:w="1558" w:type="dxa"/>
                  <w:noWrap w:val="0"/>
                  <w:vAlign w:val="top"/>
                </w:tcPr>
                <w:p w14:paraId="648C910C">
                  <w:pPr>
                    <w:rPr>
                      <w:rFonts w:ascii="Arial" w:hAnsi="Times New Roman" w:cs="Times New Roman"/>
                      <w:color w:val="auto"/>
                      <w:sz w:val="21"/>
                      <w:szCs w:val="21"/>
                      <w:highlight w:val="none"/>
                    </w:rPr>
                  </w:pPr>
                </w:p>
              </w:tc>
              <w:tc>
                <w:tcPr>
                  <w:tcW w:w="1593" w:type="dxa"/>
                  <w:noWrap w:val="0"/>
                  <w:vAlign w:val="top"/>
                </w:tcPr>
                <w:p w14:paraId="25F89986">
                  <w:pPr>
                    <w:rPr>
                      <w:rFonts w:ascii="Arial" w:hAnsi="Times New Roman" w:cs="Times New Roman"/>
                      <w:color w:val="auto"/>
                      <w:sz w:val="21"/>
                      <w:szCs w:val="21"/>
                      <w:highlight w:val="none"/>
                    </w:rPr>
                  </w:pPr>
                </w:p>
              </w:tc>
            </w:tr>
          </w:tbl>
          <w:p w14:paraId="059DE0EC">
            <w:pPr>
              <w:spacing w:line="330" w:lineRule="auto"/>
              <w:rPr>
                <w:rFonts w:ascii="Arial" w:hAnsi="Times New Roman" w:cs="Times New Roman"/>
                <w:color w:val="auto"/>
                <w:sz w:val="21"/>
                <w:szCs w:val="21"/>
                <w:highlight w:val="none"/>
              </w:rPr>
            </w:pPr>
          </w:p>
          <w:p w14:paraId="65A30886">
            <w:pPr>
              <w:spacing w:line="330" w:lineRule="auto"/>
              <w:rPr>
                <w:rFonts w:ascii="Arial" w:hAnsi="Times New Roman" w:cs="Times New Roman"/>
                <w:color w:val="auto"/>
                <w:sz w:val="21"/>
                <w:szCs w:val="21"/>
                <w:highlight w:val="none"/>
              </w:rPr>
            </w:pPr>
          </w:p>
          <w:p w14:paraId="6CC38699">
            <w:pPr>
              <w:pStyle w:val="347"/>
              <w:spacing w:before="68" w:line="219" w:lineRule="auto"/>
              <w:ind w:left="6824"/>
              <w:rPr>
                <w:rFonts w:hint="eastAsia" w:eastAsia="宋体"/>
                <w:color w:val="auto"/>
                <w:spacing w:val="7"/>
                <w:sz w:val="21"/>
                <w:szCs w:val="21"/>
                <w:highlight w:val="none"/>
                <w:lang w:eastAsia="zh-CN"/>
              </w:rPr>
            </w:pPr>
            <w:r>
              <w:rPr>
                <w:color w:val="auto"/>
                <w:spacing w:val="7"/>
                <w:sz w:val="21"/>
                <w:szCs w:val="21"/>
                <w:highlight w:val="none"/>
              </w:rPr>
              <w:t>承包人</w:t>
            </w:r>
            <w:r>
              <w:rPr>
                <w:rFonts w:hint="eastAsia" w:eastAsia="宋体"/>
                <w:color w:val="auto"/>
                <w:spacing w:val="7"/>
                <w:sz w:val="21"/>
                <w:szCs w:val="21"/>
                <w:highlight w:val="none"/>
                <w:lang w:eastAsia="zh-CN"/>
              </w:rPr>
              <w:t>（</w:t>
            </w:r>
            <w:r>
              <w:rPr>
                <w:color w:val="auto"/>
                <w:spacing w:val="7"/>
                <w:sz w:val="21"/>
                <w:szCs w:val="21"/>
                <w:highlight w:val="none"/>
              </w:rPr>
              <w:t>章</w:t>
            </w:r>
            <w:r>
              <w:rPr>
                <w:rFonts w:hint="eastAsia" w:eastAsia="宋体"/>
                <w:color w:val="auto"/>
                <w:spacing w:val="7"/>
                <w:sz w:val="21"/>
                <w:szCs w:val="21"/>
                <w:highlight w:val="none"/>
                <w:lang w:eastAsia="zh-CN"/>
              </w:rPr>
              <w:t>）</w:t>
            </w:r>
          </w:p>
          <w:p w14:paraId="4F28BBB5">
            <w:pPr>
              <w:pStyle w:val="347"/>
              <w:spacing w:before="142" w:line="226" w:lineRule="auto"/>
              <w:ind w:left="104"/>
              <w:rPr>
                <w:color w:val="auto"/>
                <w:sz w:val="21"/>
                <w:szCs w:val="21"/>
                <w:highlight w:val="none"/>
              </w:rPr>
            </w:pPr>
            <w:r>
              <w:rPr>
                <w:color w:val="auto"/>
                <w:spacing w:val="-3"/>
                <w:sz w:val="21"/>
                <w:szCs w:val="21"/>
                <w:highlight w:val="none"/>
                <w:u w:val="none"/>
              </w:rPr>
              <w:t>编制人员</w:t>
            </w:r>
            <w:r>
              <w:rPr>
                <w:color w:val="auto"/>
                <w:spacing w:val="3"/>
                <w:sz w:val="21"/>
                <w:szCs w:val="21"/>
                <w:highlight w:val="none"/>
                <w:u w:val="none"/>
              </w:rPr>
              <w:t xml:space="preserve">                 </w:t>
            </w:r>
            <w:r>
              <w:rPr>
                <w:color w:val="auto"/>
                <w:spacing w:val="-3"/>
                <w:sz w:val="21"/>
                <w:szCs w:val="21"/>
                <w:highlight w:val="none"/>
                <w:u w:val="none"/>
              </w:rPr>
              <w:t>承包人代表</w:t>
            </w:r>
            <w:r>
              <w:rPr>
                <w:color w:val="auto"/>
                <w:spacing w:val="3"/>
                <w:sz w:val="21"/>
                <w:szCs w:val="21"/>
                <w:highlight w:val="none"/>
                <w:u w:val="none"/>
              </w:rPr>
              <w:t xml:space="preserve">                      </w:t>
            </w:r>
            <w:r>
              <w:rPr>
                <w:color w:val="auto"/>
                <w:spacing w:val="-3"/>
                <w:position w:val="1"/>
                <w:sz w:val="21"/>
                <w:szCs w:val="21"/>
                <w:highlight w:val="none"/>
                <w:u w:val="none"/>
              </w:rPr>
              <w:t>日</w:t>
            </w:r>
            <w:r>
              <w:rPr>
                <w:color w:val="auto"/>
                <w:spacing w:val="-31"/>
                <w:position w:val="1"/>
                <w:sz w:val="21"/>
                <w:szCs w:val="21"/>
                <w:highlight w:val="none"/>
                <w:u w:val="none"/>
              </w:rPr>
              <w:t xml:space="preserve"> </w:t>
            </w:r>
            <w:r>
              <w:rPr>
                <w:color w:val="auto"/>
                <w:spacing w:val="-3"/>
                <w:position w:val="1"/>
                <w:sz w:val="21"/>
                <w:szCs w:val="21"/>
                <w:highlight w:val="none"/>
                <w:u w:val="none"/>
              </w:rPr>
              <w:t>期</w:t>
            </w:r>
          </w:p>
        </w:tc>
      </w:tr>
      <w:tr w14:paraId="5CC85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9" w:hRule="atLeast"/>
          <w:jc w:val="center"/>
        </w:trPr>
        <w:tc>
          <w:tcPr>
            <w:tcW w:w="4949" w:type="dxa"/>
            <w:noWrap w:val="0"/>
            <w:vAlign w:val="top"/>
          </w:tcPr>
          <w:p w14:paraId="617C3022">
            <w:pPr>
              <w:spacing w:line="251" w:lineRule="auto"/>
              <w:jc w:val="left"/>
              <w:rPr>
                <w:rFonts w:ascii="Times New Roman" w:hAnsi="Times New Roman" w:cs="Times New Roman"/>
                <w:color w:val="auto"/>
                <w:sz w:val="21"/>
                <w:szCs w:val="21"/>
                <w:highlight w:val="none"/>
              </w:rPr>
            </w:pPr>
            <w:r>
              <w:rPr>
                <w:rFonts w:ascii="Times New Roman" w:hAnsi="Times New Roman" w:cs="Times New Roman"/>
                <w:color w:val="auto"/>
                <w:spacing w:val="-1"/>
                <w:sz w:val="21"/>
                <w:szCs w:val="21"/>
                <w:highlight w:val="none"/>
              </w:rPr>
              <w:t>复核意见：</w:t>
            </w:r>
          </w:p>
          <w:p w14:paraId="1E4C21FA">
            <w:pPr>
              <w:spacing w:line="360" w:lineRule="exact"/>
              <w:jc w:val="left"/>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□与实际施工情况不相符</w:t>
            </w:r>
            <w:r>
              <w:rPr>
                <w:rFonts w:hint="eastAsia" w:ascii="Times New Roman" w:hAnsi="Times New Roman" w:cs="Times New Roman"/>
                <w:color w:val="auto"/>
                <w:sz w:val="21"/>
                <w:szCs w:val="21"/>
                <w:highlight w:val="none"/>
                <w:lang w:eastAsia="zh-CN"/>
              </w:rPr>
              <w:t>，</w:t>
            </w:r>
            <w:r>
              <w:rPr>
                <w:rFonts w:ascii="Times New Roman" w:hAnsi="Times New Roman" w:cs="Times New Roman"/>
                <w:color w:val="auto"/>
                <w:sz w:val="21"/>
                <w:szCs w:val="21"/>
                <w:highlight w:val="none"/>
              </w:rPr>
              <w:t>修改意见见附件</w:t>
            </w:r>
          </w:p>
          <w:p w14:paraId="6A7E8702">
            <w:pPr>
              <w:spacing w:line="360" w:lineRule="exact"/>
              <w:jc w:val="left"/>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w:t>
            </w:r>
            <w:r>
              <w:rPr>
                <w:rFonts w:ascii="Times New Roman" w:hAnsi="Times New Roman" w:cs="Times New Roman"/>
                <w:color w:val="auto"/>
                <w:spacing w:val="-8"/>
                <w:sz w:val="21"/>
                <w:szCs w:val="21"/>
                <w:highlight w:val="none"/>
              </w:rPr>
              <w:t>与实际施工情况相符</w:t>
            </w:r>
            <w:r>
              <w:rPr>
                <w:rFonts w:hint="eastAsia" w:ascii="Times New Roman" w:hAnsi="Times New Roman" w:cs="Times New Roman"/>
                <w:color w:val="auto"/>
                <w:spacing w:val="-8"/>
                <w:sz w:val="21"/>
                <w:szCs w:val="21"/>
                <w:highlight w:val="none"/>
                <w:lang w:eastAsia="zh-CN"/>
              </w:rPr>
              <w:t>，</w:t>
            </w:r>
            <w:r>
              <w:rPr>
                <w:rFonts w:ascii="Times New Roman" w:hAnsi="Times New Roman" w:cs="Times New Roman"/>
                <w:color w:val="auto"/>
                <w:spacing w:val="-8"/>
                <w:sz w:val="21"/>
                <w:szCs w:val="21"/>
                <w:highlight w:val="none"/>
              </w:rPr>
              <w:t>具体金额应由造价工程师复核</w:t>
            </w:r>
          </w:p>
          <w:p w14:paraId="2BB321A6">
            <w:pPr>
              <w:spacing w:line="251" w:lineRule="auto"/>
              <w:jc w:val="left"/>
              <w:rPr>
                <w:rFonts w:ascii="Arial" w:hAnsi="Times New Roman" w:cs="Times New Roman"/>
                <w:color w:val="auto"/>
                <w:sz w:val="21"/>
                <w:szCs w:val="21"/>
                <w:highlight w:val="none"/>
              </w:rPr>
            </w:pPr>
          </w:p>
          <w:p w14:paraId="732FD54D">
            <w:pPr>
              <w:spacing w:line="251" w:lineRule="auto"/>
              <w:jc w:val="left"/>
              <w:rPr>
                <w:rFonts w:ascii="Arial" w:hAnsi="Times New Roman" w:cs="Times New Roman"/>
                <w:color w:val="auto"/>
                <w:sz w:val="21"/>
                <w:szCs w:val="21"/>
                <w:highlight w:val="none"/>
              </w:rPr>
            </w:pPr>
          </w:p>
          <w:p w14:paraId="458DC0DB">
            <w:pPr>
              <w:spacing w:line="251" w:lineRule="auto"/>
              <w:jc w:val="left"/>
              <w:rPr>
                <w:rFonts w:ascii="Arial" w:hAnsi="Times New Roman" w:cs="Times New Roman"/>
                <w:color w:val="auto"/>
                <w:sz w:val="21"/>
                <w:szCs w:val="21"/>
                <w:highlight w:val="none"/>
              </w:rPr>
            </w:pPr>
          </w:p>
          <w:p w14:paraId="02EF32F8">
            <w:pPr>
              <w:spacing w:line="251" w:lineRule="auto"/>
              <w:jc w:val="left"/>
              <w:rPr>
                <w:rFonts w:ascii="Arial" w:hAnsi="Times New Roman" w:cs="Times New Roman"/>
                <w:color w:val="auto"/>
                <w:sz w:val="21"/>
                <w:szCs w:val="21"/>
                <w:highlight w:val="none"/>
              </w:rPr>
            </w:pPr>
          </w:p>
          <w:p w14:paraId="1F776E92">
            <w:pPr>
              <w:spacing w:line="251" w:lineRule="auto"/>
              <w:ind w:firstLine="0"/>
              <w:jc w:val="left"/>
              <w:rPr>
                <w:rFonts w:hint="eastAsia" w:ascii="宋体" w:hAnsi="宋体" w:cs="Times New Roman"/>
                <w:color w:val="auto"/>
                <w:sz w:val="21"/>
                <w:szCs w:val="21"/>
                <w:highlight w:val="none"/>
              </w:rPr>
            </w:pPr>
          </w:p>
          <w:p w14:paraId="199B7FA8">
            <w:pPr>
              <w:spacing w:line="251" w:lineRule="auto"/>
              <w:ind w:firstLine="2310" w:firstLineChars="1100"/>
              <w:jc w:val="left"/>
              <w:rPr>
                <w:rFonts w:ascii="Times New Roman" w:hAnsi="Times New Roman" w:cs="Times New Roman"/>
                <w:color w:val="auto"/>
                <w:sz w:val="21"/>
                <w:szCs w:val="21"/>
                <w:highlight w:val="none"/>
                <w:u w:val="single"/>
              </w:rPr>
            </w:pPr>
            <w:r>
              <w:rPr>
                <w:rFonts w:hint="eastAsia" w:ascii="宋体" w:hAnsi="宋体" w:eastAsia="宋体" w:cs="Times New Roman"/>
                <w:color w:val="auto"/>
                <w:sz w:val="21"/>
                <w:szCs w:val="21"/>
                <w:highlight w:val="none"/>
                <w:lang w:eastAsia="zh-CN"/>
              </w:rPr>
              <w:t>监理</w:t>
            </w:r>
            <w:r>
              <w:rPr>
                <w:rFonts w:hint="eastAsia" w:ascii="宋体" w:hAnsi="宋体" w:eastAsia="宋体" w:cs="Times New Roman"/>
                <w:color w:val="auto"/>
                <w:sz w:val="21"/>
                <w:szCs w:val="21"/>
                <w:highlight w:val="none"/>
              </w:rPr>
              <w:t>工程师</w:t>
            </w:r>
            <w:r>
              <w:rPr>
                <w:rFonts w:ascii="Times New Roman" w:hAnsi="Times New Roman" w:cs="Times New Roman"/>
                <w:color w:val="auto"/>
                <w:sz w:val="21"/>
                <w:szCs w:val="21"/>
                <w:highlight w:val="none"/>
                <w:u w:val="single"/>
              </w:rPr>
              <w:t xml:space="preserve">           </w:t>
            </w:r>
          </w:p>
          <w:p w14:paraId="3FFEE6E4">
            <w:pPr>
              <w:spacing w:line="251" w:lineRule="auto"/>
              <w:jc w:val="left"/>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lang w:val="en-US" w:eastAsia="zh-CN"/>
              </w:rPr>
              <w:t xml:space="preserve"> </w:t>
            </w:r>
            <w:r>
              <w:rPr>
                <w:rFonts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lang w:val="en-US" w:eastAsia="zh-CN"/>
              </w:rPr>
              <w:t xml:space="preserve">            </w:t>
            </w:r>
            <w:r>
              <w:rPr>
                <w:rFonts w:hint="eastAsia" w:ascii="宋体" w:hAnsi="宋体" w:cs="Times New Roman"/>
                <w:color w:val="auto"/>
                <w:sz w:val="21"/>
                <w:szCs w:val="21"/>
                <w:highlight w:val="none"/>
              </w:rPr>
              <w:t>日</w:t>
            </w:r>
            <w:r>
              <w:rPr>
                <w:rFonts w:hint="eastAsia" w:ascii="宋体" w:hAnsi="宋体" w:cs="Times New Roman"/>
                <w:color w:val="auto"/>
                <w:sz w:val="21"/>
                <w:szCs w:val="21"/>
                <w:highlight w:val="none"/>
                <w:lang w:val="en-US" w:eastAsia="zh-CN"/>
              </w:rPr>
              <w:t xml:space="preserve">   </w:t>
            </w:r>
            <w:r>
              <w:rPr>
                <w:rFonts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期</w:t>
            </w:r>
            <w:r>
              <w:rPr>
                <w:rFonts w:ascii="Times New Roman" w:hAnsi="Times New Roman" w:cs="Times New Roman"/>
                <w:color w:val="auto"/>
                <w:sz w:val="21"/>
                <w:szCs w:val="21"/>
                <w:highlight w:val="none"/>
                <w:u w:val="single"/>
              </w:rPr>
              <w:t xml:space="preserve">           </w:t>
            </w:r>
          </w:p>
        </w:tc>
        <w:tc>
          <w:tcPr>
            <w:tcW w:w="4280" w:type="dxa"/>
            <w:noWrap w:val="0"/>
            <w:vAlign w:val="top"/>
          </w:tcPr>
          <w:p w14:paraId="614B206A">
            <w:pPr>
              <w:pStyle w:val="347"/>
              <w:spacing w:before="68" w:line="219" w:lineRule="auto"/>
              <w:ind w:left="115"/>
              <w:rPr>
                <w:color w:val="auto"/>
                <w:sz w:val="21"/>
                <w:szCs w:val="21"/>
                <w:highlight w:val="none"/>
              </w:rPr>
            </w:pPr>
            <w:r>
              <w:rPr>
                <w:color w:val="auto"/>
                <w:spacing w:val="-1"/>
                <w:sz w:val="21"/>
                <w:szCs w:val="21"/>
                <w:highlight w:val="none"/>
              </w:rPr>
              <w:t>复核意见：</w:t>
            </w:r>
          </w:p>
          <w:p w14:paraId="36308D8E">
            <w:pPr>
              <w:pStyle w:val="347"/>
              <w:spacing w:before="60" w:line="233" w:lineRule="auto"/>
              <w:ind w:left="115" w:firstLine="415"/>
              <w:rPr>
                <w:color w:val="auto"/>
                <w:sz w:val="21"/>
                <w:szCs w:val="21"/>
                <w:highlight w:val="none"/>
              </w:rPr>
            </w:pPr>
            <w:r>
              <w:rPr>
                <w:color w:val="auto"/>
                <w:spacing w:val="-3"/>
                <w:sz w:val="21"/>
                <w:szCs w:val="21"/>
                <w:highlight w:val="none"/>
              </w:rPr>
              <w:t>你方提出的竣工</w:t>
            </w:r>
            <w:r>
              <w:rPr>
                <w:rFonts w:hint="eastAsia"/>
                <w:color w:val="auto"/>
                <w:spacing w:val="-3"/>
                <w:sz w:val="21"/>
                <w:szCs w:val="21"/>
                <w:highlight w:val="none"/>
              </w:rPr>
              <w:t>（施工过程）</w:t>
            </w:r>
            <w:r>
              <w:rPr>
                <w:color w:val="auto"/>
                <w:spacing w:val="-3"/>
                <w:sz w:val="21"/>
                <w:szCs w:val="21"/>
                <w:highlight w:val="none"/>
              </w:rPr>
              <w:t>结算款支付申请经复核</w:t>
            </w:r>
            <w:r>
              <w:rPr>
                <w:rFonts w:hint="eastAsia" w:eastAsia="宋体"/>
                <w:color w:val="auto"/>
                <w:spacing w:val="-3"/>
                <w:sz w:val="21"/>
                <w:szCs w:val="21"/>
                <w:highlight w:val="none"/>
                <w:lang w:eastAsia="zh-CN"/>
              </w:rPr>
              <w:t>，</w:t>
            </w:r>
            <w:r>
              <w:rPr>
                <w:color w:val="auto"/>
                <w:spacing w:val="11"/>
                <w:sz w:val="21"/>
                <w:szCs w:val="21"/>
                <w:highlight w:val="none"/>
              </w:rPr>
              <w:t xml:space="preserve"> </w:t>
            </w:r>
            <w:r>
              <w:rPr>
                <w:color w:val="auto"/>
                <w:spacing w:val="1"/>
                <w:sz w:val="21"/>
                <w:szCs w:val="21"/>
                <w:highlight w:val="none"/>
              </w:rPr>
              <w:t>竣工</w:t>
            </w:r>
            <w:r>
              <w:rPr>
                <w:rFonts w:hint="eastAsia"/>
                <w:color w:val="auto"/>
                <w:spacing w:val="1"/>
                <w:sz w:val="21"/>
                <w:szCs w:val="21"/>
                <w:highlight w:val="none"/>
              </w:rPr>
              <w:t>（施工过程）</w:t>
            </w:r>
            <w:r>
              <w:rPr>
                <w:color w:val="auto"/>
                <w:spacing w:val="1"/>
                <w:sz w:val="21"/>
                <w:szCs w:val="21"/>
                <w:highlight w:val="none"/>
              </w:rPr>
              <w:t>结算款总额为</w:t>
            </w:r>
            <w:r>
              <w:rPr>
                <w:rFonts w:hint="eastAsia" w:eastAsia="宋体"/>
                <w:color w:val="auto"/>
                <w:spacing w:val="1"/>
                <w:sz w:val="21"/>
                <w:szCs w:val="21"/>
                <w:highlight w:val="none"/>
                <w:lang w:eastAsia="zh-CN"/>
              </w:rPr>
              <w:t>（</w:t>
            </w:r>
            <w:r>
              <w:rPr>
                <w:color w:val="auto"/>
                <w:spacing w:val="1"/>
                <w:sz w:val="21"/>
                <w:szCs w:val="21"/>
                <w:highlight w:val="none"/>
              </w:rPr>
              <w:t>大写</w:t>
            </w:r>
            <w:r>
              <w:rPr>
                <w:rFonts w:hint="eastAsia" w:eastAsia="宋体"/>
                <w:color w:val="auto"/>
                <w:spacing w:val="1"/>
                <w:sz w:val="21"/>
                <w:szCs w:val="21"/>
                <w:highlight w:val="none"/>
                <w:u w:val="single" w:color="auto"/>
                <w:lang w:eastAsia="zh-CN"/>
              </w:rPr>
              <w:t>）</w:t>
            </w:r>
            <w:r>
              <w:rPr>
                <w:color w:val="auto"/>
                <w:spacing w:val="28"/>
                <w:sz w:val="21"/>
                <w:szCs w:val="21"/>
                <w:highlight w:val="none"/>
                <w:u w:val="single" w:color="auto"/>
              </w:rPr>
              <w:t xml:space="preserve">  </w:t>
            </w:r>
            <w:r>
              <w:rPr>
                <w:color w:val="auto"/>
                <w:sz w:val="21"/>
                <w:szCs w:val="21"/>
                <w:highlight w:val="none"/>
                <w:u w:val="single" w:color="auto"/>
              </w:rPr>
              <w:t xml:space="preserve">    </w:t>
            </w:r>
            <w:r>
              <w:rPr>
                <w:rFonts w:hint="eastAsia" w:eastAsia="宋体"/>
                <w:color w:val="auto"/>
                <w:sz w:val="21"/>
                <w:szCs w:val="21"/>
                <w:highlight w:val="none"/>
                <w:lang w:eastAsia="zh-CN"/>
              </w:rPr>
              <w:t>（</w:t>
            </w:r>
            <w:r>
              <w:rPr>
                <w:color w:val="auto"/>
                <w:sz w:val="21"/>
                <w:szCs w:val="21"/>
                <w:highlight w:val="none"/>
              </w:rPr>
              <w:t>小写</w:t>
            </w:r>
            <w:r>
              <w:rPr>
                <w:color w:val="auto"/>
                <w:spacing w:val="11"/>
                <w:sz w:val="21"/>
                <w:szCs w:val="21"/>
                <w:highlight w:val="none"/>
                <w:u w:val="single" w:color="auto"/>
              </w:rPr>
              <w:t xml:space="preserve">        </w:t>
            </w:r>
            <w:r>
              <w:rPr>
                <w:color w:val="auto"/>
                <w:spacing w:val="-98"/>
                <w:sz w:val="21"/>
                <w:szCs w:val="21"/>
                <w:highlight w:val="none"/>
              </w:rPr>
              <w:t xml:space="preserve"> </w:t>
            </w:r>
            <w:r>
              <w:rPr>
                <w:rFonts w:hint="eastAsia" w:eastAsia="宋体"/>
                <w:color w:val="auto"/>
                <w:sz w:val="21"/>
                <w:szCs w:val="21"/>
                <w:highlight w:val="none"/>
                <w:lang w:eastAsia="zh-CN"/>
              </w:rPr>
              <w:t>），</w:t>
            </w:r>
          </w:p>
          <w:p w14:paraId="708FF90B">
            <w:pPr>
              <w:pStyle w:val="347"/>
              <w:spacing w:before="67" w:line="216" w:lineRule="auto"/>
              <w:ind w:left="115"/>
              <w:rPr>
                <w:rFonts w:ascii="Arial"/>
                <w:color w:val="auto"/>
                <w:sz w:val="21"/>
                <w:szCs w:val="21"/>
                <w:highlight w:val="none"/>
              </w:rPr>
            </w:pPr>
            <w:r>
              <w:rPr>
                <w:color w:val="auto"/>
                <w:sz w:val="21"/>
                <w:szCs w:val="21"/>
                <w:highlight w:val="none"/>
              </w:rPr>
              <w:t>扣除前期支付以及质量</w:t>
            </w:r>
            <w:r>
              <w:rPr>
                <w:color w:val="auto"/>
                <w:spacing w:val="2"/>
                <w:sz w:val="21"/>
                <w:szCs w:val="21"/>
                <w:highlight w:val="none"/>
              </w:rPr>
              <w:t>保证金后应支付金额为</w:t>
            </w:r>
            <w:r>
              <w:rPr>
                <w:rFonts w:hint="eastAsia" w:eastAsia="宋体"/>
                <w:color w:val="auto"/>
                <w:spacing w:val="2"/>
                <w:sz w:val="21"/>
                <w:szCs w:val="21"/>
                <w:highlight w:val="none"/>
                <w:lang w:eastAsia="zh-CN"/>
              </w:rPr>
              <w:t>（</w:t>
            </w:r>
            <w:r>
              <w:rPr>
                <w:color w:val="auto"/>
                <w:spacing w:val="2"/>
                <w:sz w:val="21"/>
                <w:szCs w:val="21"/>
                <w:highlight w:val="none"/>
              </w:rPr>
              <w:t>大写</w:t>
            </w:r>
            <w:r>
              <w:rPr>
                <w:rFonts w:hint="eastAsia" w:eastAsia="宋体"/>
                <w:color w:val="auto"/>
                <w:spacing w:val="7"/>
                <w:sz w:val="21"/>
                <w:szCs w:val="21"/>
                <w:highlight w:val="none"/>
                <w:lang w:eastAsia="zh-CN"/>
              </w:rPr>
              <w:t>）</w:t>
            </w:r>
            <w:r>
              <w:rPr>
                <w:rFonts w:hint="eastAsia" w:eastAsia="宋体"/>
                <w:color w:val="auto"/>
                <w:spacing w:val="2"/>
                <w:sz w:val="21"/>
                <w:szCs w:val="21"/>
                <w:highlight w:val="none"/>
                <w:u w:val="single"/>
                <w:lang w:val="en-US" w:eastAsia="zh-CN"/>
              </w:rPr>
              <w:t xml:space="preserve">       </w:t>
            </w:r>
            <w:r>
              <w:rPr>
                <w:color w:val="auto"/>
                <w:spacing w:val="-39"/>
                <w:sz w:val="21"/>
                <w:szCs w:val="21"/>
                <w:highlight w:val="none"/>
                <w:u w:val="single" w:color="auto"/>
              </w:rPr>
              <w:t xml:space="preserve"> </w:t>
            </w:r>
            <w:r>
              <w:rPr>
                <w:color w:val="auto"/>
                <w:spacing w:val="-100"/>
                <w:sz w:val="21"/>
                <w:szCs w:val="21"/>
                <w:highlight w:val="none"/>
              </w:rPr>
              <w:t xml:space="preserve"> </w:t>
            </w:r>
            <w:r>
              <w:rPr>
                <w:color w:val="auto"/>
                <w:spacing w:val="8"/>
                <w:sz w:val="21"/>
                <w:szCs w:val="21"/>
                <w:highlight w:val="none"/>
                <w:u w:val="single" w:color="auto"/>
              </w:rPr>
              <w:t xml:space="preserve">           </w:t>
            </w:r>
            <w:r>
              <w:rPr>
                <w:color w:val="auto"/>
                <w:spacing w:val="7"/>
                <w:sz w:val="21"/>
                <w:szCs w:val="21"/>
                <w:highlight w:val="none"/>
              </w:rPr>
              <w:t xml:space="preserve"> </w:t>
            </w:r>
            <w:r>
              <w:rPr>
                <w:rFonts w:hint="eastAsia" w:eastAsia="宋体"/>
                <w:color w:val="auto"/>
                <w:spacing w:val="-18"/>
                <w:sz w:val="21"/>
                <w:szCs w:val="21"/>
                <w:highlight w:val="none"/>
                <w:lang w:eastAsia="zh-CN"/>
              </w:rPr>
              <w:t>（</w:t>
            </w:r>
            <w:r>
              <w:rPr>
                <w:color w:val="auto"/>
                <w:spacing w:val="4"/>
                <w:sz w:val="21"/>
                <w:szCs w:val="21"/>
                <w:highlight w:val="none"/>
              </w:rPr>
              <w:t xml:space="preserve"> </w:t>
            </w:r>
            <w:r>
              <w:rPr>
                <w:color w:val="auto"/>
                <w:spacing w:val="-18"/>
                <w:sz w:val="21"/>
                <w:szCs w:val="21"/>
                <w:highlight w:val="none"/>
              </w:rPr>
              <w:t>小</w:t>
            </w:r>
            <w:r>
              <w:rPr>
                <w:color w:val="auto"/>
                <w:spacing w:val="2"/>
                <w:sz w:val="21"/>
                <w:szCs w:val="21"/>
                <w:highlight w:val="none"/>
              </w:rPr>
              <w:t xml:space="preserve"> </w:t>
            </w:r>
            <w:r>
              <w:rPr>
                <w:color w:val="auto"/>
                <w:spacing w:val="-18"/>
                <w:sz w:val="21"/>
                <w:szCs w:val="21"/>
                <w:highlight w:val="none"/>
              </w:rPr>
              <w:t>写</w:t>
            </w:r>
            <w:r>
              <w:rPr>
                <w:color w:val="auto"/>
                <w:spacing w:val="3"/>
                <w:sz w:val="21"/>
                <w:szCs w:val="21"/>
                <w:highlight w:val="none"/>
                <w:u w:val="single" w:color="auto"/>
              </w:rPr>
              <w:t xml:space="preserve">                   </w:t>
            </w:r>
            <w:r>
              <w:rPr>
                <w:rFonts w:hint="eastAsia" w:eastAsia="宋体"/>
                <w:color w:val="auto"/>
                <w:spacing w:val="-18"/>
                <w:sz w:val="21"/>
                <w:szCs w:val="21"/>
                <w:highlight w:val="none"/>
                <w:lang w:eastAsia="zh-CN"/>
              </w:rPr>
              <w:t>）</w:t>
            </w:r>
            <w:r>
              <w:rPr>
                <w:color w:val="auto"/>
                <w:spacing w:val="-18"/>
                <w:sz w:val="21"/>
                <w:szCs w:val="21"/>
                <w:highlight w:val="none"/>
              </w:rPr>
              <w:t>。</w:t>
            </w:r>
          </w:p>
          <w:p w14:paraId="2004E3A7">
            <w:pPr>
              <w:spacing w:line="360" w:lineRule="exact"/>
              <w:ind w:firstLine="435"/>
              <w:jc w:val="center"/>
              <w:rPr>
                <w:rFonts w:ascii="Times New Roman" w:hAnsi="Times New Roman" w:cs="Times New Roman"/>
                <w:color w:val="auto"/>
                <w:sz w:val="21"/>
                <w:szCs w:val="21"/>
                <w:highlight w:val="none"/>
                <w:u w:val="single"/>
              </w:rPr>
            </w:pPr>
            <w:r>
              <w:rPr>
                <w:rFonts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造价工程师</w:t>
            </w:r>
            <w:r>
              <w:rPr>
                <w:rFonts w:ascii="Times New Roman" w:hAnsi="Times New Roman" w:cs="Times New Roman"/>
                <w:color w:val="auto"/>
                <w:sz w:val="21"/>
                <w:szCs w:val="21"/>
                <w:highlight w:val="none"/>
                <w:u w:val="single"/>
              </w:rPr>
              <w:t xml:space="preserve">           </w:t>
            </w:r>
          </w:p>
          <w:p w14:paraId="32152350">
            <w:pPr>
              <w:pStyle w:val="347"/>
              <w:spacing w:before="69" w:line="227" w:lineRule="auto"/>
              <w:ind w:left="2792" w:hanging="1387"/>
              <w:rPr>
                <w:color w:val="auto"/>
                <w:sz w:val="21"/>
                <w:szCs w:val="21"/>
                <w:highlight w:val="none"/>
              </w:rPr>
            </w:pPr>
            <w:r>
              <w:rPr>
                <w:rFonts w:hint="eastAsia" w:ascii="宋体" w:hAnsi="宋体" w:eastAsia="宋体" w:cs="Times New Roman"/>
                <w:color w:val="auto"/>
                <w:kern w:val="2"/>
                <w:sz w:val="21"/>
                <w:szCs w:val="21"/>
                <w:highlight w:val="none"/>
                <w:lang w:val="en-US" w:eastAsia="zh-CN" w:bidi="ar-SA"/>
              </w:rPr>
              <w:t xml:space="preserve">     日     期</w:t>
            </w:r>
            <w:r>
              <w:rPr>
                <w:rFonts w:ascii="Times New Roman" w:hAnsi="Times New Roman" w:eastAsia="宋体" w:cs="Times New Roman"/>
                <w:color w:val="auto"/>
                <w:kern w:val="2"/>
                <w:sz w:val="21"/>
                <w:szCs w:val="21"/>
                <w:highlight w:val="none"/>
                <w:u w:val="single"/>
                <w:lang w:val="en-US" w:eastAsia="zh-CN" w:bidi="ar-SA"/>
              </w:rPr>
              <w:t xml:space="preserve">          </w:t>
            </w:r>
          </w:p>
        </w:tc>
      </w:tr>
      <w:tr w14:paraId="52AB1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8" w:hRule="atLeast"/>
          <w:jc w:val="center"/>
        </w:trPr>
        <w:tc>
          <w:tcPr>
            <w:tcW w:w="9229" w:type="dxa"/>
            <w:gridSpan w:val="2"/>
            <w:noWrap w:val="0"/>
            <w:vAlign w:val="top"/>
          </w:tcPr>
          <w:p w14:paraId="6BA07FE3">
            <w:pPr>
              <w:pStyle w:val="347"/>
              <w:spacing w:before="264" w:line="257" w:lineRule="auto"/>
              <w:ind w:left="14" w:right="8058" w:firstLine="99"/>
              <w:rPr>
                <w:rFonts w:ascii="Arial"/>
                <w:color w:val="auto"/>
                <w:sz w:val="21"/>
                <w:szCs w:val="21"/>
                <w:highlight w:val="none"/>
              </w:rPr>
            </w:pPr>
            <w:r>
              <w:rPr>
                <w:color w:val="auto"/>
                <w:spacing w:val="-1"/>
                <w:sz w:val="21"/>
                <w:szCs w:val="21"/>
                <w:highlight w:val="none"/>
              </w:rPr>
              <w:t>审核意见：</w:t>
            </w:r>
            <w:r>
              <w:rPr>
                <w:color w:val="auto"/>
                <w:sz w:val="21"/>
                <w:szCs w:val="21"/>
                <w:highlight w:val="none"/>
              </w:rPr>
              <w:t xml:space="preserve"> </w:t>
            </w:r>
            <w:r>
              <w:rPr>
                <w:rFonts w:hint="eastAsia" w:eastAsia="宋体"/>
                <w:color w:val="auto"/>
                <w:sz w:val="21"/>
                <w:szCs w:val="21"/>
                <w:highlight w:val="none"/>
                <w:lang w:val="en-US" w:eastAsia="zh-CN"/>
              </w:rPr>
              <w:t xml:space="preserve">  </w:t>
            </w:r>
            <w:r>
              <w:rPr>
                <w:color w:val="auto"/>
                <w:spacing w:val="4"/>
                <w:sz w:val="21"/>
                <w:szCs w:val="21"/>
                <w:highlight w:val="none"/>
              </w:rPr>
              <w:t>口</w:t>
            </w:r>
            <w:r>
              <w:rPr>
                <w:rFonts w:hint="eastAsia" w:ascii="Arial" w:hAnsi="Arial" w:eastAsia="Arial" w:cs="Arial"/>
                <w:color w:val="auto"/>
                <w:spacing w:val="4"/>
                <w:sz w:val="21"/>
                <w:szCs w:val="21"/>
                <w:highlight w:val="none"/>
                <w:lang w:eastAsia="zh-CN"/>
              </w:rPr>
              <w:t>不同意</w:t>
            </w:r>
            <w:r>
              <w:rPr>
                <w:color w:val="auto"/>
                <w:sz w:val="21"/>
                <w:szCs w:val="21"/>
                <w:highlight w:val="none"/>
              </w:rPr>
              <w:t xml:space="preserve"> </w:t>
            </w:r>
            <w:r>
              <w:rPr>
                <w:color w:val="auto"/>
                <w:spacing w:val="4"/>
                <w:sz w:val="21"/>
                <w:szCs w:val="21"/>
                <w:highlight w:val="none"/>
              </w:rPr>
              <w:t>口同意</w:t>
            </w:r>
          </w:p>
          <w:p w14:paraId="0BBB0C70">
            <w:pPr>
              <w:pStyle w:val="347"/>
              <w:spacing w:before="68" w:line="219" w:lineRule="auto"/>
              <w:ind w:left="0" w:firstLine="6379" w:firstLineChars="2848"/>
              <w:rPr>
                <w:rFonts w:hint="eastAsia" w:eastAsia="宋体"/>
                <w:color w:val="auto"/>
                <w:sz w:val="21"/>
                <w:szCs w:val="21"/>
                <w:highlight w:val="none"/>
                <w:lang w:eastAsia="zh-CN"/>
              </w:rPr>
            </w:pPr>
            <w:r>
              <w:rPr>
                <w:color w:val="auto"/>
                <w:spacing w:val="7"/>
                <w:sz w:val="21"/>
                <w:szCs w:val="21"/>
                <w:highlight w:val="none"/>
              </w:rPr>
              <w:t>发包人</w:t>
            </w:r>
            <w:r>
              <w:rPr>
                <w:rFonts w:hint="eastAsia" w:eastAsia="宋体"/>
                <w:color w:val="auto"/>
                <w:spacing w:val="7"/>
                <w:sz w:val="21"/>
                <w:szCs w:val="21"/>
                <w:highlight w:val="none"/>
                <w:lang w:eastAsia="zh-CN"/>
              </w:rPr>
              <w:t>（</w:t>
            </w:r>
            <w:r>
              <w:rPr>
                <w:color w:val="auto"/>
                <w:spacing w:val="7"/>
                <w:sz w:val="21"/>
                <w:szCs w:val="21"/>
                <w:highlight w:val="none"/>
              </w:rPr>
              <w:t>章</w:t>
            </w:r>
            <w:r>
              <w:rPr>
                <w:rFonts w:hint="eastAsia" w:eastAsia="宋体"/>
                <w:color w:val="auto"/>
                <w:spacing w:val="7"/>
                <w:sz w:val="21"/>
                <w:szCs w:val="21"/>
                <w:highlight w:val="none"/>
                <w:lang w:eastAsia="zh-CN"/>
              </w:rPr>
              <w:t>）</w:t>
            </w:r>
          </w:p>
          <w:p w14:paraId="61BA0FFE">
            <w:pPr>
              <w:wordWrap w:val="0"/>
              <w:spacing w:line="400" w:lineRule="exact"/>
              <w:ind w:firstLine="420" w:firstLineChars="200"/>
              <w:jc w:val="center"/>
              <w:rPr>
                <w:rFonts w:ascii="Times New Roman" w:hAnsi="Times New Roman" w:cs="Times New Roman"/>
                <w:color w:val="auto"/>
                <w:sz w:val="21"/>
                <w:szCs w:val="21"/>
                <w:highlight w:val="none"/>
                <w:u w:val="single"/>
              </w:rPr>
            </w:pPr>
            <w:r>
              <w:rPr>
                <w:rFonts w:hint="eastAsia" w:ascii="宋体" w:hAnsi="宋体" w:cs="Times New Roman"/>
                <w:color w:val="auto"/>
                <w:sz w:val="21"/>
                <w:szCs w:val="21"/>
                <w:highlight w:val="none"/>
                <w:lang w:val="en-US" w:eastAsia="zh-CN"/>
              </w:rPr>
              <w:t xml:space="preserve">                                                      </w:t>
            </w:r>
            <w:r>
              <w:rPr>
                <w:rFonts w:hint="eastAsia" w:ascii="Arial" w:hAnsi="Arial" w:eastAsia="Arial" w:cs="Arial"/>
                <w:color w:val="auto"/>
                <w:spacing w:val="7"/>
                <w:kern w:val="2"/>
                <w:sz w:val="21"/>
                <w:szCs w:val="21"/>
                <w:highlight w:val="none"/>
                <w:lang w:val="en-US" w:eastAsia="en-US" w:bidi="ar-SA"/>
              </w:rPr>
              <w:t>发包人代表</w:t>
            </w:r>
            <w:r>
              <w:rPr>
                <w:rFonts w:ascii="Times New Roman" w:hAnsi="Times New Roman" w:cs="Times New Roman"/>
                <w:color w:val="auto"/>
                <w:sz w:val="21"/>
                <w:szCs w:val="21"/>
                <w:highlight w:val="none"/>
                <w:u w:val="single"/>
              </w:rPr>
              <w:t xml:space="preserve">          </w:t>
            </w:r>
          </w:p>
          <w:p w14:paraId="143CC919">
            <w:pPr>
              <w:pStyle w:val="347"/>
              <w:spacing w:before="51" w:line="243" w:lineRule="auto"/>
              <w:ind w:left="0" w:firstLine="5700" w:firstLineChars="2500"/>
              <w:rPr>
                <w:color w:val="auto"/>
                <w:sz w:val="21"/>
                <w:szCs w:val="21"/>
                <w:highlight w:val="none"/>
              </w:rPr>
            </w:pPr>
            <w:r>
              <w:rPr>
                <w:color w:val="auto"/>
                <w:spacing w:val="9"/>
                <w:sz w:val="21"/>
                <w:szCs w:val="21"/>
                <w:highlight w:val="none"/>
                <w:u w:val="single" w:color="auto"/>
              </w:rPr>
              <w:t xml:space="preserve">         </w:t>
            </w:r>
            <w:r>
              <w:rPr>
                <w:color w:val="auto"/>
                <w:sz w:val="21"/>
                <w:szCs w:val="21"/>
                <w:highlight w:val="none"/>
              </w:rPr>
              <w:t xml:space="preserve">  </w:t>
            </w:r>
            <w:r>
              <w:rPr>
                <w:color w:val="auto"/>
                <w:spacing w:val="-15"/>
                <w:sz w:val="21"/>
                <w:szCs w:val="21"/>
                <w:highlight w:val="none"/>
                <w:u w:val="single" w:color="auto"/>
              </w:rPr>
              <w:t>日期</w:t>
            </w:r>
            <w:r>
              <w:rPr>
                <w:color w:val="auto"/>
                <w:spacing w:val="-21"/>
                <w:sz w:val="21"/>
                <w:szCs w:val="21"/>
                <w:highlight w:val="none"/>
                <w:u w:val="single" w:color="auto"/>
              </w:rPr>
              <w:t xml:space="preserve"> </w:t>
            </w:r>
            <w:r>
              <w:rPr>
                <w:color w:val="auto"/>
                <w:spacing w:val="-100"/>
                <w:sz w:val="21"/>
                <w:szCs w:val="21"/>
                <w:highlight w:val="none"/>
              </w:rPr>
              <w:t xml:space="preserve"> </w:t>
            </w:r>
            <w:r>
              <w:rPr>
                <w:color w:val="auto"/>
                <w:sz w:val="21"/>
                <w:szCs w:val="21"/>
                <w:highlight w:val="none"/>
                <w:u w:val="single" w:color="auto"/>
              </w:rPr>
              <w:t xml:space="preserve">            </w:t>
            </w:r>
          </w:p>
        </w:tc>
      </w:tr>
    </w:tbl>
    <w:p w14:paraId="53B859FA">
      <w:pPr>
        <w:widowControl w:val="0"/>
        <w:spacing w:before="153" w:line="200" w:lineRule="exact"/>
        <w:ind w:left="424"/>
        <w:jc w:val="left"/>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pacing w:val="-13"/>
          <w:kern w:val="2"/>
          <w:sz w:val="21"/>
          <w:szCs w:val="21"/>
          <w:highlight w:val="none"/>
          <w:lang w:val="en-US" w:eastAsia="zh-CN" w:bidi="ar-SA"/>
        </w:rPr>
        <w:t>注：1</w:t>
      </w:r>
      <w:r>
        <w:rPr>
          <w:rFonts w:hint="eastAsia" w:ascii="Times New Roman" w:hAnsi="Times New Roman" w:eastAsia="宋体" w:cs="Times New Roman"/>
          <w:color w:val="auto"/>
          <w:spacing w:val="70"/>
          <w:kern w:val="2"/>
          <w:sz w:val="21"/>
          <w:szCs w:val="21"/>
          <w:highlight w:val="none"/>
          <w:lang w:val="en-US" w:eastAsia="zh-CN" w:bidi="ar-SA"/>
        </w:rPr>
        <w:t>.</w:t>
      </w:r>
      <w:r>
        <w:rPr>
          <w:rFonts w:ascii="Times New Roman" w:hAnsi="Times New Roman" w:eastAsia="宋体" w:cs="Times New Roman"/>
          <w:color w:val="auto"/>
          <w:spacing w:val="-13"/>
          <w:kern w:val="2"/>
          <w:sz w:val="21"/>
          <w:szCs w:val="21"/>
          <w:highlight w:val="none"/>
          <w:lang w:val="en-US" w:eastAsia="zh-CN" w:bidi="ar-SA"/>
        </w:rPr>
        <w:t>应在选择栏中的</w:t>
      </w:r>
      <w:r>
        <w:rPr>
          <w:rFonts w:hint="eastAsia" w:ascii="Times New Roman" w:hAnsi="Times New Roman" w:eastAsia="宋体" w:cs="Times New Roman"/>
          <w:color w:val="auto"/>
          <w:spacing w:val="-13"/>
          <w:kern w:val="2"/>
          <w:sz w:val="21"/>
          <w:szCs w:val="21"/>
          <w:highlight w:val="none"/>
          <w:lang w:val="en-US" w:eastAsia="zh-CN" w:bidi="ar-SA"/>
        </w:rPr>
        <w:t>“</w:t>
      </w:r>
      <w:r>
        <w:rPr>
          <w:rFonts w:ascii="Times New Roman" w:hAnsi="Times New Roman" w:eastAsia="宋体" w:cs="Times New Roman"/>
          <w:color w:val="auto"/>
          <w:spacing w:val="-13"/>
          <w:kern w:val="2"/>
          <w:sz w:val="21"/>
          <w:szCs w:val="21"/>
          <w:highlight w:val="none"/>
          <w:lang w:val="en-US" w:eastAsia="zh-CN" w:bidi="ar-SA"/>
        </w:rPr>
        <w:t>□</w:t>
      </w:r>
      <w:r>
        <w:rPr>
          <w:rFonts w:hint="eastAsia" w:ascii="Times New Roman" w:hAnsi="Times New Roman" w:eastAsia="宋体" w:cs="Times New Roman"/>
          <w:color w:val="auto"/>
          <w:spacing w:val="-13"/>
          <w:kern w:val="2"/>
          <w:sz w:val="21"/>
          <w:szCs w:val="21"/>
          <w:highlight w:val="none"/>
          <w:lang w:val="en-US" w:eastAsia="zh-CN" w:bidi="ar-SA"/>
        </w:rPr>
        <w:t>”</w:t>
      </w:r>
      <w:r>
        <w:rPr>
          <w:rFonts w:ascii="Times New Roman" w:hAnsi="Times New Roman" w:eastAsia="宋体" w:cs="Times New Roman"/>
          <w:color w:val="auto"/>
          <w:spacing w:val="-13"/>
          <w:kern w:val="2"/>
          <w:sz w:val="21"/>
          <w:szCs w:val="21"/>
          <w:highlight w:val="none"/>
          <w:lang w:val="en-US" w:eastAsia="zh-CN" w:bidi="ar-SA"/>
        </w:rPr>
        <w:t>内作标识</w:t>
      </w:r>
      <w:r>
        <w:rPr>
          <w:rFonts w:hint="eastAsia" w:ascii="Times New Roman" w:hAnsi="Times New Roman" w:eastAsia="宋体" w:cs="Times New Roman"/>
          <w:color w:val="auto"/>
          <w:spacing w:val="-13"/>
          <w:kern w:val="2"/>
          <w:sz w:val="21"/>
          <w:szCs w:val="21"/>
          <w:highlight w:val="none"/>
          <w:lang w:val="en-US" w:eastAsia="zh-CN" w:bidi="ar-SA"/>
        </w:rPr>
        <w:t>“</w:t>
      </w:r>
      <w:r>
        <w:rPr>
          <w:rFonts w:ascii="Times New Roman" w:hAnsi="Times New Roman" w:eastAsia="宋体" w:cs="Times New Roman"/>
          <w:color w:val="auto"/>
          <w:spacing w:val="-70"/>
          <w:kern w:val="2"/>
          <w:sz w:val="21"/>
          <w:szCs w:val="21"/>
          <w:highlight w:val="none"/>
          <w:lang w:val="en-US" w:eastAsia="zh-CN" w:bidi="ar-SA"/>
        </w:rPr>
        <w:t xml:space="preserve"> </w:t>
      </w:r>
      <w:r>
        <w:rPr>
          <w:rFonts w:ascii="Times New Roman" w:hAnsi="Times New Roman" w:eastAsia="宋体" w:cs="Times New Roman"/>
          <w:color w:val="auto"/>
          <w:spacing w:val="-13"/>
          <w:kern w:val="2"/>
          <w:sz w:val="21"/>
          <w:szCs w:val="21"/>
          <w:highlight w:val="none"/>
          <w:lang w:val="en-US" w:eastAsia="zh-CN" w:bidi="ar-SA"/>
        </w:rPr>
        <w:t>√</w:t>
      </w:r>
      <w:r>
        <w:rPr>
          <w:rFonts w:hint="eastAsia" w:ascii="Times New Roman" w:hAnsi="Times New Roman" w:eastAsia="宋体" w:cs="Times New Roman"/>
          <w:color w:val="auto"/>
          <w:spacing w:val="-13"/>
          <w:kern w:val="2"/>
          <w:sz w:val="21"/>
          <w:szCs w:val="21"/>
          <w:highlight w:val="none"/>
          <w:lang w:val="en-US" w:eastAsia="zh-CN" w:bidi="ar-SA"/>
        </w:rPr>
        <w:t>”；</w:t>
      </w:r>
    </w:p>
    <w:p w14:paraId="4925D6B5">
      <w:pPr>
        <w:spacing w:line="200" w:lineRule="exact"/>
        <w:ind w:firstLine="412" w:firstLineChars="200"/>
        <w:jc w:val="both"/>
        <w:outlineLvl w:val="9"/>
        <w:rPr>
          <w:rFonts w:hint="eastAsia" w:ascii="Times New Roman" w:hAnsi="Times New Roman" w:cs="Times New Roman"/>
          <w:color w:val="auto"/>
          <w:spacing w:val="-3"/>
          <w:sz w:val="21"/>
          <w:szCs w:val="21"/>
          <w:highlight w:val="none"/>
          <w:lang w:eastAsia="zh-CN"/>
        </w:rPr>
      </w:pPr>
      <w:r>
        <w:rPr>
          <w:rFonts w:ascii="Times New Roman" w:hAnsi="Times New Roman" w:cs="Times New Roman"/>
          <w:color w:val="auto"/>
          <w:spacing w:val="-2"/>
          <w:sz w:val="21"/>
          <w:szCs w:val="21"/>
          <w:highlight w:val="none"/>
        </w:rPr>
        <w:t>2</w:t>
      </w:r>
      <w:r>
        <w:rPr>
          <w:rFonts w:hint="eastAsia" w:ascii="Times New Roman" w:hAnsi="Times New Roman" w:cs="Times New Roman"/>
          <w:color w:val="auto"/>
          <w:spacing w:val="-2"/>
          <w:sz w:val="21"/>
          <w:szCs w:val="21"/>
          <w:highlight w:val="none"/>
          <w:lang w:val="en-US" w:eastAsia="zh-CN"/>
        </w:rPr>
        <w:t>.</w:t>
      </w:r>
      <w:r>
        <w:rPr>
          <w:rFonts w:ascii="Times New Roman" w:hAnsi="Times New Roman" w:cs="Times New Roman"/>
          <w:color w:val="auto"/>
          <w:spacing w:val="-2"/>
          <w:sz w:val="21"/>
          <w:szCs w:val="21"/>
          <w:highlight w:val="none"/>
        </w:rPr>
        <w:t>本表应一式四份</w:t>
      </w:r>
      <w:r>
        <w:rPr>
          <w:rFonts w:hint="eastAsia" w:ascii="Times New Roman" w:hAnsi="Times New Roman" w:cs="Times New Roman"/>
          <w:color w:val="auto"/>
          <w:spacing w:val="-2"/>
          <w:sz w:val="21"/>
          <w:szCs w:val="21"/>
          <w:highlight w:val="none"/>
          <w:lang w:eastAsia="zh-CN"/>
        </w:rPr>
        <w:t>，</w:t>
      </w:r>
      <w:r>
        <w:rPr>
          <w:rFonts w:ascii="Times New Roman" w:hAnsi="Times New Roman" w:cs="Times New Roman"/>
          <w:color w:val="auto"/>
          <w:spacing w:val="-2"/>
          <w:sz w:val="21"/>
          <w:szCs w:val="21"/>
          <w:highlight w:val="none"/>
        </w:rPr>
        <w:t>由承包人填报</w:t>
      </w:r>
      <w:r>
        <w:rPr>
          <w:rFonts w:hint="eastAsia" w:ascii="Times New Roman" w:hAnsi="Times New Roman" w:cs="Times New Roman"/>
          <w:color w:val="auto"/>
          <w:spacing w:val="-2"/>
          <w:sz w:val="21"/>
          <w:szCs w:val="21"/>
          <w:highlight w:val="none"/>
          <w:lang w:eastAsia="zh-CN"/>
        </w:rPr>
        <w:t>，</w:t>
      </w:r>
      <w:r>
        <w:rPr>
          <w:rFonts w:ascii="Times New Roman" w:hAnsi="Times New Roman" w:cs="Times New Roman"/>
          <w:color w:val="auto"/>
          <w:spacing w:val="-2"/>
          <w:sz w:val="21"/>
          <w:szCs w:val="21"/>
          <w:highlight w:val="none"/>
        </w:rPr>
        <w:t>发包人、监理人、工程</w:t>
      </w:r>
      <w:r>
        <w:rPr>
          <w:rFonts w:ascii="Times New Roman" w:hAnsi="Times New Roman" w:cs="Times New Roman"/>
          <w:color w:val="auto"/>
          <w:spacing w:val="-3"/>
          <w:sz w:val="21"/>
          <w:szCs w:val="21"/>
          <w:highlight w:val="none"/>
        </w:rPr>
        <w:t>造价咨询人、承包人各存一份</w:t>
      </w:r>
      <w:r>
        <w:rPr>
          <w:rFonts w:hint="eastAsia" w:ascii="Times New Roman" w:hAnsi="Times New Roman" w:cs="Times New Roman"/>
          <w:color w:val="auto"/>
          <w:spacing w:val="-3"/>
          <w:sz w:val="21"/>
          <w:szCs w:val="21"/>
          <w:highlight w:val="none"/>
          <w:lang w:eastAsia="zh-CN"/>
        </w:rPr>
        <w:t>。</w:t>
      </w:r>
    </w:p>
    <w:p w14:paraId="13615C98">
      <w:pPr>
        <w:widowControl w:val="0"/>
        <w:spacing w:after="120" w:afterLines="0" w:line="240" w:lineRule="auto"/>
        <w:ind w:firstLine="210" w:firstLineChars="100"/>
        <w:jc w:val="both"/>
        <w:rPr>
          <w:rFonts w:ascii="Times New Roman" w:hAnsi="Times New Roman" w:eastAsia="宋体" w:cs="Times New Roman"/>
          <w:color w:val="auto"/>
          <w:kern w:val="2"/>
          <w:sz w:val="21"/>
          <w:szCs w:val="21"/>
          <w:highlight w:val="none"/>
          <w:lang w:val="en-US" w:eastAsia="zh-CN" w:bidi="ar-SA"/>
        </w:rPr>
      </w:pPr>
    </w:p>
    <w:p w14:paraId="66765AB7">
      <w:pPr>
        <w:keepNext/>
        <w:keepLines/>
        <w:widowControl/>
        <w:spacing w:before="120" w:beforeLines="0" w:after="120" w:afterLines="0" w:line="360" w:lineRule="auto"/>
        <w:jc w:val="both"/>
        <w:outlineLvl w:val="3"/>
        <w:rPr>
          <w:rFonts w:hint="eastAsia" w:ascii="Arial" w:hAnsi="Arial" w:eastAsia="黑体" w:cs="Times New Roman"/>
          <w:b/>
          <w:color w:val="auto"/>
          <w:kern w:val="0"/>
          <w:sz w:val="21"/>
          <w:szCs w:val="21"/>
          <w:highlight w:val="none"/>
          <w:lang w:val="en-US" w:eastAsia="zh-CN" w:bidi="ar-SA"/>
        </w:rPr>
      </w:pPr>
      <w:r>
        <w:rPr>
          <w:rFonts w:hint="eastAsia" w:ascii="仿宋_GB2312" w:hAnsi="Arial" w:eastAsia="仿宋_GB2312" w:cs="仿宋_GB2312"/>
          <w:color w:val="auto"/>
          <w:kern w:val="0"/>
          <w:sz w:val="21"/>
          <w:szCs w:val="21"/>
          <w:highlight w:val="none"/>
          <w:lang w:val="en-US" w:eastAsia="zh-CN" w:bidi="ar-SA"/>
        </w:rPr>
        <w:t>附件9：工程保修与结清结算支付申请（核准）表</w:t>
      </w:r>
    </w:p>
    <w:p w14:paraId="7194B4F5">
      <w:pPr>
        <w:wordWrap/>
        <w:spacing w:before="0" w:after="0"/>
        <w:jc w:val="center"/>
        <w:outlineLvl w:val="9"/>
        <w:rPr>
          <w:rFonts w:ascii="宋体" w:hAnsi="宋体" w:cs="Times New Roman"/>
          <w:b/>
          <w:color w:val="auto"/>
          <w:sz w:val="21"/>
          <w:szCs w:val="21"/>
          <w:highlight w:val="none"/>
          <w:lang w:val="en"/>
        </w:rPr>
      </w:pPr>
      <w:r>
        <w:rPr>
          <w:rFonts w:hint="default" w:ascii="宋体" w:hAnsi="宋体" w:eastAsia="宋体" w:cs="Times New Roman"/>
          <w:b/>
          <w:bCs w:val="0"/>
          <w:color w:val="auto"/>
          <w:kern w:val="2"/>
          <w:sz w:val="21"/>
          <w:szCs w:val="21"/>
          <w:highlight w:val="none"/>
          <w:lang w:val="en"/>
        </w:rPr>
        <w:t>工程保修与结清结算支付申请</w:t>
      </w:r>
      <w:r>
        <w:rPr>
          <w:rFonts w:hint="eastAsia" w:ascii="宋体" w:hAnsi="宋体" w:cs="Times New Roman"/>
          <w:b/>
          <w:bCs w:val="0"/>
          <w:color w:val="auto"/>
          <w:kern w:val="2"/>
          <w:sz w:val="21"/>
          <w:szCs w:val="21"/>
          <w:highlight w:val="none"/>
          <w:lang w:val="en" w:eastAsia="zh-CN"/>
        </w:rPr>
        <w:t>（</w:t>
      </w:r>
      <w:r>
        <w:rPr>
          <w:rFonts w:hint="default" w:ascii="宋体" w:hAnsi="宋体" w:eastAsia="宋体" w:cs="Times New Roman"/>
          <w:b/>
          <w:bCs w:val="0"/>
          <w:color w:val="auto"/>
          <w:kern w:val="2"/>
          <w:sz w:val="21"/>
          <w:szCs w:val="21"/>
          <w:highlight w:val="none"/>
          <w:lang w:val="en"/>
        </w:rPr>
        <w:t>核准</w:t>
      </w:r>
      <w:r>
        <w:rPr>
          <w:rFonts w:hint="eastAsia" w:ascii="宋体" w:hAnsi="宋体" w:cs="Times New Roman"/>
          <w:b/>
          <w:bCs w:val="0"/>
          <w:color w:val="auto"/>
          <w:kern w:val="2"/>
          <w:sz w:val="21"/>
          <w:szCs w:val="21"/>
          <w:highlight w:val="none"/>
          <w:lang w:val="en" w:eastAsia="zh-CN"/>
        </w:rPr>
        <w:t>）</w:t>
      </w:r>
      <w:r>
        <w:rPr>
          <w:rFonts w:hint="default" w:ascii="宋体" w:hAnsi="宋体" w:eastAsia="宋体" w:cs="Times New Roman"/>
          <w:b/>
          <w:bCs w:val="0"/>
          <w:color w:val="auto"/>
          <w:kern w:val="2"/>
          <w:sz w:val="21"/>
          <w:szCs w:val="21"/>
          <w:highlight w:val="none"/>
          <w:lang w:val="en"/>
        </w:rPr>
        <w:t>表</w:t>
      </w:r>
    </w:p>
    <w:p w14:paraId="2AB979F8">
      <w:pPr>
        <w:rPr>
          <w:rFonts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工程</w:t>
      </w:r>
      <w:r>
        <w:rPr>
          <w:rFonts w:hint="eastAsia" w:ascii="宋体" w:hAnsi="宋体" w:cs="Times New Roman"/>
          <w:color w:val="auto"/>
          <w:spacing w:val="-3"/>
          <w:kern w:val="0"/>
          <w:sz w:val="21"/>
          <w:szCs w:val="21"/>
          <w:highlight w:val="none"/>
        </w:rPr>
        <w:t>名</w:t>
      </w:r>
      <w:r>
        <w:rPr>
          <w:rFonts w:hint="eastAsia" w:ascii="宋体" w:hAnsi="宋体" w:cs="Times New Roman"/>
          <w:color w:val="auto"/>
          <w:kern w:val="0"/>
          <w:sz w:val="21"/>
          <w:szCs w:val="21"/>
          <w:highlight w:val="none"/>
        </w:rPr>
        <w:t>称：</w:t>
      </w:r>
      <w:r>
        <w:rPr>
          <w:rFonts w:hint="eastAsia" w:ascii="宋体" w:hAnsi="宋体" w:cs="Times New Roman"/>
          <w:color w:val="auto"/>
          <w:kern w:val="0"/>
          <w:sz w:val="21"/>
          <w:szCs w:val="21"/>
          <w:highlight w:val="none"/>
        </w:rPr>
        <w:tab/>
      </w:r>
      <w:r>
        <w:rPr>
          <w:rFonts w:hint="eastAsia" w:ascii="宋体" w:hAnsi="宋体" w:cs="Times New Roman"/>
          <w:color w:val="auto"/>
          <w:kern w:val="0"/>
          <w:sz w:val="21"/>
          <w:szCs w:val="21"/>
          <w:highlight w:val="none"/>
        </w:rPr>
        <w:tab/>
      </w:r>
      <w:r>
        <w:rPr>
          <w:rFonts w:hint="eastAsia" w:ascii="宋体" w:hAnsi="宋体" w:cs="Times New Roman"/>
          <w:color w:val="auto"/>
          <w:kern w:val="0"/>
          <w:sz w:val="21"/>
          <w:szCs w:val="21"/>
          <w:highlight w:val="none"/>
        </w:rPr>
        <w:tab/>
      </w:r>
      <w:r>
        <w:rPr>
          <w:rFonts w:hint="eastAsia" w:ascii="宋体" w:hAnsi="宋体" w:cs="Times New Roman"/>
          <w:color w:val="auto"/>
          <w:kern w:val="0"/>
          <w:sz w:val="21"/>
          <w:szCs w:val="21"/>
          <w:highlight w:val="none"/>
        </w:rPr>
        <w:tab/>
      </w:r>
      <w:r>
        <w:rPr>
          <w:rFonts w:hint="eastAsia" w:ascii="宋体" w:hAnsi="宋体" w:cs="Times New Roman"/>
          <w:color w:val="auto"/>
          <w:kern w:val="0"/>
          <w:sz w:val="21"/>
          <w:szCs w:val="21"/>
          <w:highlight w:val="none"/>
        </w:rPr>
        <w:tab/>
      </w:r>
      <w:r>
        <w:rPr>
          <w:rFonts w:hint="eastAsia" w:ascii="宋体" w:hAnsi="宋体" w:cs="Times New Roman"/>
          <w:color w:val="auto"/>
          <w:kern w:val="0"/>
          <w:sz w:val="21"/>
          <w:szCs w:val="21"/>
          <w:highlight w:val="none"/>
        </w:rPr>
        <w:tab/>
      </w:r>
      <w:r>
        <w:rPr>
          <w:rFonts w:hint="eastAsia" w:ascii="宋体" w:hAnsi="宋体" w:cs="Times New Roman"/>
          <w:color w:val="auto"/>
          <w:kern w:val="0"/>
          <w:sz w:val="21"/>
          <w:szCs w:val="21"/>
          <w:highlight w:val="none"/>
        </w:rPr>
        <w:tab/>
      </w:r>
      <w:r>
        <w:rPr>
          <w:rFonts w:hint="eastAsia" w:ascii="宋体" w:hAnsi="宋体" w:cs="Times New Roman"/>
          <w:color w:val="auto"/>
          <w:kern w:val="0"/>
          <w:sz w:val="21"/>
          <w:szCs w:val="21"/>
          <w:highlight w:val="none"/>
        </w:rPr>
        <w:tab/>
      </w:r>
      <w:r>
        <w:rPr>
          <w:rFonts w:hint="eastAsia" w:ascii="宋体" w:hAnsi="宋体" w:cs="Times New Roman"/>
          <w:color w:val="auto"/>
          <w:kern w:val="0"/>
          <w:sz w:val="21"/>
          <w:szCs w:val="21"/>
          <w:highlight w:val="none"/>
        </w:rPr>
        <w:t>标</w:t>
      </w:r>
      <w:r>
        <w:rPr>
          <w:rFonts w:hint="eastAsia" w:ascii="宋体" w:hAnsi="宋体" w:cs="Times New Roman"/>
          <w:color w:val="auto"/>
          <w:spacing w:val="-3"/>
          <w:kern w:val="0"/>
          <w:sz w:val="21"/>
          <w:szCs w:val="21"/>
          <w:highlight w:val="none"/>
        </w:rPr>
        <w:t>段</w:t>
      </w:r>
      <w:r>
        <w:rPr>
          <w:rFonts w:hint="eastAsia" w:ascii="宋体" w:hAnsi="宋体" w:cs="Times New Roman"/>
          <w:color w:val="auto"/>
          <w:kern w:val="0"/>
          <w:sz w:val="21"/>
          <w:szCs w:val="21"/>
          <w:highlight w:val="none"/>
        </w:rPr>
        <w:t>：</w:t>
      </w:r>
      <w:r>
        <w:rPr>
          <w:rFonts w:hint="eastAsia" w:ascii="宋体" w:hAnsi="宋体" w:cs="Times New Roman"/>
          <w:color w:val="auto"/>
          <w:kern w:val="0"/>
          <w:sz w:val="21"/>
          <w:szCs w:val="21"/>
          <w:highlight w:val="none"/>
        </w:rPr>
        <w:tab/>
      </w:r>
      <w:r>
        <w:rPr>
          <w:rFonts w:hint="eastAsia" w:ascii="宋体" w:hAnsi="宋体" w:cs="Times New Roman"/>
          <w:color w:val="auto"/>
          <w:kern w:val="0"/>
          <w:sz w:val="21"/>
          <w:szCs w:val="21"/>
          <w:highlight w:val="none"/>
        </w:rPr>
        <w:tab/>
      </w:r>
      <w:r>
        <w:rPr>
          <w:rFonts w:hint="eastAsia" w:ascii="宋体" w:hAnsi="宋体" w:cs="Times New Roman"/>
          <w:color w:val="auto"/>
          <w:kern w:val="0"/>
          <w:sz w:val="21"/>
          <w:szCs w:val="21"/>
          <w:highlight w:val="none"/>
        </w:rPr>
        <w:tab/>
      </w:r>
      <w:r>
        <w:rPr>
          <w:rFonts w:hint="eastAsia" w:ascii="宋体" w:hAnsi="宋体" w:cs="Times New Roman"/>
          <w:color w:val="auto"/>
          <w:kern w:val="0"/>
          <w:sz w:val="21"/>
          <w:szCs w:val="21"/>
          <w:highlight w:val="none"/>
        </w:rPr>
        <w:tab/>
      </w:r>
      <w:r>
        <w:rPr>
          <w:rFonts w:hint="eastAsia" w:ascii="宋体" w:hAnsi="宋体" w:cs="Times New Roman"/>
          <w:color w:val="auto"/>
          <w:kern w:val="0"/>
          <w:sz w:val="21"/>
          <w:szCs w:val="21"/>
          <w:highlight w:val="none"/>
        </w:rPr>
        <w:tab/>
      </w:r>
      <w:r>
        <w:rPr>
          <w:rFonts w:hint="eastAsia" w:ascii="宋体" w:hAnsi="宋体" w:cs="Times New Roman"/>
          <w:color w:val="auto"/>
          <w:kern w:val="0"/>
          <w:sz w:val="21"/>
          <w:szCs w:val="21"/>
          <w:highlight w:val="none"/>
        </w:rPr>
        <w:tab/>
      </w:r>
      <w:r>
        <w:rPr>
          <w:rFonts w:hint="eastAsia" w:ascii="宋体" w:hAnsi="宋体" w:cs="Times New Roman"/>
          <w:color w:val="auto"/>
          <w:kern w:val="0"/>
          <w:sz w:val="21"/>
          <w:szCs w:val="21"/>
          <w:highlight w:val="none"/>
        </w:rPr>
        <w:tab/>
      </w:r>
      <w:r>
        <w:rPr>
          <w:rFonts w:hint="eastAsia" w:ascii="宋体" w:hAnsi="宋体" w:cs="Times New Roman"/>
          <w:color w:val="auto"/>
          <w:kern w:val="0"/>
          <w:sz w:val="21"/>
          <w:szCs w:val="21"/>
          <w:highlight w:val="none"/>
        </w:rPr>
        <w:tab/>
      </w:r>
      <w:r>
        <w:rPr>
          <w:rFonts w:hint="eastAsia" w:ascii="宋体" w:hAnsi="宋体" w:cs="Times New Roman"/>
          <w:color w:val="auto"/>
          <w:spacing w:val="-3"/>
          <w:kern w:val="0"/>
          <w:sz w:val="21"/>
          <w:szCs w:val="21"/>
          <w:highlight w:val="none"/>
        </w:rPr>
        <w:t>编</w:t>
      </w:r>
      <w:r>
        <w:rPr>
          <w:rFonts w:hint="eastAsia" w:ascii="宋体" w:hAnsi="宋体" w:cs="Times New Roman"/>
          <w:color w:val="auto"/>
          <w:kern w:val="0"/>
          <w:sz w:val="21"/>
          <w:szCs w:val="21"/>
          <w:highlight w:val="none"/>
        </w:rPr>
        <w:t>号：</w:t>
      </w:r>
    </w:p>
    <w:p w14:paraId="20C2FF48">
      <w:pPr>
        <w:spacing w:before="9" w:line="40" w:lineRule="exact"/>
        <w:rPr>
          <w:rFonts w:ascii="宋体" w:hAnsi="宋体" w:cs="Times New Roman"/>
          <w:color w:val="auto"/>
          <w:sz w:val="21"/>
          <w:szCs w:val="21"/>
          <w:highlight w:val="none"/>
        </w:rPr>
      </w:pPr>
      <w:r>
        <w:rPr>
          <w:rFonts w:hint="eastAsia" w:ascii="宋体" w:hAnsi="宋体" w:cs="Times New Roman"/>
          <w:color w:val="auto"/>
          <w:sz w:val="21"/>
          <w:szCs w:val="21"/>
          <w:highlight w:val="none"/>
        </w:rPr>
        <w:t xml:space="preserve"> </w:t>
      </w:r>
    </w:p>
    <w:tbl>
      <w:tblPr>
        <w:tblStyle w:val="54"/>
        <w:tblW w:w="9602" w:type="dxa"/>
        <w:jc w:val="center"/>
        <w:tblLayout w:type="fixed"/>
        <w:tblCellMar>
          <w:top w:w="0" w:type="dxa"/>
          <w:left w:w="0" w:type="dxa"/>
          <w:bottom w:w="0" w:type="dxa"/>
          <w:right w:w="0" w:type="dxa"/>
        </w:tblCellMar>
      </w:tblPr>
      <w:tblGrid>
        <w:gridCol w:w="2524"/>
        <w:gridCol w:w="2414"/>
        <w:gridCol w:w="983"/>
        <w:gridCol w:w="3681"/>
      </w:tblGrid>
      <w:tr w14:paraId="22F05869">
        <w:tblPrEx>
          <w:tblCellMar>
            <w:top w:w="0" w:type="dxa"/>
            <w:left w:w="0" w:type="dxa"/>
            <w:bottom w:w="0" w:type="dxa"/>
            <w:right w:w="0" w:type="dxa"/>
          </w:tblCellMar>
        </w:tblPrEx>
        <w:trPr>
          <w:trHeight w:val="401" w:hRule="atLeast"/>
          <w:jc w:val="center"/>
        </w:trPr>
        <w:tc>
          <w:tcPr>
            <w:tcW w:w="9602" w:type="dxa"/>
            <w:gridSpan w:val="4"/>
            <w:tcBorders>
              <w:top w:val="single" w:color="000000" w:sz="4" w:space="0"/>
              <w:left w:val="single" w:color="000000" w:sz="4" w:space="0"/>
              <w:bottom w:val="nil"/>
              <w:right w:val="single" w:color="000000" w:sz="4" w:space="0"/>
            </w:tcBorders>
            <w:noWrap w:val="0"/>
            <w:vAlign w:val="top"/>
          </w:tcPr>
          <w:p w14:paraId="6140004A">
            <w:pPr>
              <w:keepNext w:val="0"/>
              <w:keepLines w:val="0"/>
              <w:suppressLineNumbers w:val="0"/>
              <w:spacing w:before="54" w:beforeAutospacing="0" w:after="0" w:afterAutospacing="0"/>
              <w:ind w:left="0" w:right="0"/>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致：</w:t>
            </w:r>
            <w:r>
              <w:rPr>
                <w:rFonts w:hint="eastAsia" w:ascii="宋体" w:hAnsi="宋体" w:cs="Times New Roman"/>
                <w:color w:val="auto"/>
                <w:kern w:val="0"/>
                <w:sz w:val="21"/>
                <w:szCs w:val="21"/>
                <w:highlight w:val="none"/>
                <w:u w:val="single" w:color="000000"/>
              </w:rPr>
              <w:tab/>
            </w:r>
            <w:r>
              <w:rPr>
                <w:rFonts w:hint="eastAsia" w:ascii="宋体" w:hAnsi="宋体" w:cs="Times New Roman"/>
                <w:color w:val="auto"/>
                <w:kern w:val="0"/>
                <w:sz w:val="21"/>
                <w:szCs w:val="21"/>
                <w:highlight w:val="none"/>
                <w:u w:val="single" w:color="000000"/>
              </w:rPr>
              <w:t xml:space="preserve">     （发包人全称）</w:t>
            </w:r>
          </w:p>
        </w:tc>
      </w:tr>
      <w:tr w14:paraId="4332192B">
        <w:tblPrEx>
          <w:tblCellMar>
            <w:top w:w="0" w:type="dxa"/>
            <w:left w:w="0" w:type="dxa"/>
            <w:bottom w:w="0" w:type="dxa"/>
            <w:right w:w="0" w:type="dxa"/>
          </w:tblCellMar>
        </w:tblPrEx>
        <w:trPr>
          <w:trHeight w:val="631" w:hRule="atLeast"/>
          <w:jc w:val="center"/>
        </w:trPr>
        <w:tc>
          <w:tcPr>
            <w:tcW w:w="9602" w:type="dxa"/>
            <w:gridSpan w:val="4"/>
            <w:tcBorders>
              <w:top w:val="nil"/>
              <w:left w:val="single" w:color="000000" w:sz="4" w:space="0"/>
              <w:bottom w:val="nil"/>
              <w:right w:val="single" w:color="000000" w:sz="4" w:space="0"/>
            </w:tcBorders>
            <w:noWrap w:val="0"/>
            <w:vAlign w:val="top"/>
          </w:tcPr>
          <w:p w14:paraId="2FE44AF3">
            <w:pPr>
              <w:keepNext w:val="0"/>
              <w:keepLines w:val="0"/>
              <w:suppressLineNumbers w:val="0"/>
              <w:spacing w:before="0" w:beforeAutospacing="0" w:after="0" w:afterAutospacing="0" w:line="246" w:lineRule="exact"/>
              <w:ind w:left="0" w:right="0" w:firstLine="428" w:firstLineChars="200"/>
              <w:rPr>
                <w:rFonts w:hint="default" w:ascii="宋体" w:hAnsi="宋体" w:cs="Times New Roman"/>
                <w:color w:val="auto"/>
                <w:kern w:val="0"/>
                <w:sz w:val="21"/>
                <w:szCs w:val="21"/>
                <w:highlight w:val="none"/>
              </w:rPr>
            </w:pPr>
            <w:r>
              <w:rPr>
                <w:rFonts w:hint="eastAsia" w:ascii="宋体" w:hAnsi="宋体" w:cs="Times New Roman"/>
                <w:color w:val="auto"/>
                <w:spacing w:val="2"/>
                <w:kern w:val="0"/>
                <w:sz w:val="21"/>
                <w:szCs w:val="21"/>
                <w:highlight w:val="none"/>
              </w:rPr>
              <w:t>我方</w:t>
            </w:r>
            <w:r>
              <w:rPr>
                <w:rFonts w:hint="eastAsia" w:ascii="宋体" w:hAnsi="宋体" w:cs="Times New Roman"/>
                <w:color w:val="auto"/>
                <w:spacing w:val="-1"/>
                <w:kern w:val="0"/>
                <w:sz w:val="21"/>
                <w:szCs w:val="21"/>
                <w:highlight w:val="none"/>
              </w:rPr>
              <w:t>于</w:t>
            </w:r>
            <w:r>
              <w:rPr>
                <w:rFonts w:hint="eastAsia" w:ascii="宋体" w:hAnsi="宋体" w:cs="Times New Roman"/>
                <w:color w:val="auto"/>
                <w:spacing w:val="-1"/>
                <w:kern w:val="0"/>
                <w:sz w:val="21"/>
                <w:szCs w:val="21"/>
                <w:highlight w:val="none"/>
                <w:u w:val="single" w:color="000000"/>
              </w:rPr>
              <w:tab/>
            </w:r>
            <w:r>
              <w:rPr>
                <w:rFonts w:hint="eastAsia" w:ascii="宋体" w:hAnsi="宋体" w:cs="Times New Roman"/>
                <w:color w:val="auto"/>
                <w:spacing w:val="-1"/>
                <w:kern w:val="0"/>
                <w:sz w:val="21"/>
                <w:szCs w:val="21"/>
                <w:highlight w:val="none"/>
                <w:u w:val="single" w:color="000000"/>
              </w:rPr>
              <w:t xml:space="preserve">      </w:t>
            </w:r>
            <w:r>
              <w:rPr>
                <w:rFonts w:hint="eastAsia" w:ascii="宋体" w:hAnsi="宋体" w:cs="Times New Roman"/>
                <w:color w:val="auto"/>
                <w:kern w:val="0"/>
                <w:sz w:val="21"/>
                <w:szCs w:val="21"/>
                <w:highlight w:val="none"/>
              </w:rPr>
              <w:t>至</w:t>
            </w:r>
            <w:r>
              <w:rPr>
                <w:rFonts w:hint="eastAsia" w:ascii="宋体" w:hAnsi="宋体" w:cs="Times New Roman"/>
                <w:color w:val="auto"/>
                <w:kern w:val="0"/>
                <w:sz w:val="21"/>
                <w:szCs w:val="21"/>
                <w:highlight w:val="none"/>
                <w:u w:val="single" w:color="000000"/>
              </w:rPr>
              <w:tab/>
            </w:r>
            <w:r>
              <w:rPr>
                <w:rFonts w:hint="eastAsia" w:ascii="宋体" w:hAnsi="宋体" w:cs="Times New Roman"/>
                <w:color w:val="auto"/>
                <w:kern w:val="0"/>
                <w:sz w:val="21"/>
                <w:szCs w:val="21"/>
                <w:highlight w:val="none"/>
                <w:u w:val="single" w:color="000000"/>
              </w:rPr>
              <w:t xml:space="preserve">       </w:t>
            </w:r>
            <w:r>
              <w:rPr>
                <w:rFonts w:hint="eastAsia" w:ascii="宋体" w:hAnsi="宋体" w:cs="Times New Roman"/>
                <w:color w:val="auto"/>
                <w:spacing w:val="2"/>
                <w:kern w:val="0"/>
                <w:sz w:val="21"/>
                <w:szCs w:val="21"/>
                <w:highlight w:val="none"/>
              </w:rPr>
              <w:t>期间</w:t>
            </w:r>
            <w:r>
              <w:rPr>
                <w:rFonts w:hint="eastAsia" w:ascii="宋体" w:hAnsi="宋体" w:cs="Times New Roman"/>
                <w:color w:val="auto"/>
                <w:kern w:val="0"/>
                <w:sz w:val="21"/>
                <w:szCs w:val="21"/>
                <w:highlight w:val="none"/>
              </w:rPr>
              <w:t>已</w:t>
            </w:r>
            <w:r>
              <w:rPr>
                <w:rFonts w:hint="eastAsia" w:ascii="宋体" w:hAnsi="宋体" w:cs="Times New Roman"/>
                <w:color w:val="auto"/>
                <w:spacing w:val="2"/>
                <w:kern w:val="0"/>
                <w:sz w:val="21"/>
                <w:szCs w:val="21"/>
                <w:highlight w:val="none"/>
              </w:rPr>
              <w:t>完</w:t>
            </w:r>
            <w:r>
              <w:rPr>
                <w:rFonts w:hint="eastAsia" w:ascii="宋体" w:hAnsi="宋体" w:cs="Times New Roman"/>
                <w:color w:val="auto"/>
                <w:kern w:val="0"/>
                <w:sz w:val="21"/>
                <w:szCs w:val="21"/>
                <w:highlight w:val="none"/>
              </w:rPr>
              <w:t>成了缺陷修复</w:t>
            </w:r>
            <w:r>
              <w:rPr>
                <w:rFonts w:hint="eastAsia" w:ascii="宋体" w:hAnsi="宋体" w:cs="Times New Roman"/>
                <w:color w:val="auto"/>
                <w:spacing w:val="2"/>
                <w:kern w:val="0"/>
                <w:sz w:val="21"/>
                <w:szCs w:val="21"/>
                <w:highlight w:val="none"/>
              </w:rPr>
              <w:t>工作</w:t>
            </w:r>
            <w:r>
              <w:rPr>
                <w:rFonts w:hint="eastAsia" w:ascii="宋体" w:hAnsi="宋体" w:cs="Times New Roman"/>
                <w:color w:val="auto"/>
                <w:kern w:val="0"/>
                <w:sz w:val="21"/>
                <w:szCs w:val="21"/>
                <w:highlight w:val="none"/>
                <w:lang w:eastAsia="zh-CN"/>
              </w:rPr>
              <w:t>，</w:t>
            </w:r>
            <w:r>
              <w:rPr>
                <w:rFonts w:hint="eastAsia" w:ascii="宋体" w:hAnsi="宋体" w:cs="Times New Roman"/>
                <w:color w:val="auto"/>
                <w:spacing w:val="2"/>
                <w:kern w:val="0"/>
                <w:sz w:val="21"/>
                <w:szCs w:val="21"/>
                <w:highlight w:val="none"/>
              </w:rPr>
              <w:t>根</w:t>
            </w:r>
            <w:r>
              <w:rPr>
                <w:rFonts w:hint="eastAsia" w:ascii="宋体" w:hAnsi="宋体" w:cs="Times New Roman"/>
                <w:color w:val="auto"/>
                <w:kern w:val="0"/>
                <w:sz w:val="21"/>
                <w:szCs w:val="21"/>
                <w:highlight w:val="none"/>
              </w:rPr>
              <w:t>据</w:t>
            </w:r>
            <w:r>
              <w:rPr>
                <w:rFonts w:hint="eastAsia" w:ascii="宋体" w:hAnsi="宋体" w:cs="Times New Roman"/>
                <w:color w:val="auto"/>
                <w:spacing w:val="2"/>
                <w:kern w:val="0"/>
                <w:sz w:val="21"/>
                <w:szCs w:val="21"/>
                <w:highlight w:val="none"/>
              </w:rPr>
              <w:t>施</w:t>
            </w:r>
            <w:r>
              <w:rPr>
                <w:rFonts w:hint="eastAsia" w:ascii="宋体" w:hAnsi="宋体" w:cs="Times New Roman"/>
                <w:color w:val="auto"/>
                <w:kern w:val="0"/>
                <w:sz w:val="21"/>
                <w:szCs w:val="21"/>
                <w:highlight w:val="none"/>
              </w:rPr>
              <w:t>工</w:t>
            </w:r>
            <w:r>
              <w:rPr>
                <w:rFonts w:hint="eastAsia" w:ascii="宋体" w:hAnsi="宋体" w:cs="Times New Roman"/>
                <w:color w:val="auto"/>
                <w:spacing w:val="2"/>
                <w:kern w:val="0"/>
                <w:sz w:val="21"/>
                <w:szCs w:val="21"/>
                <w:highlight w:val="none"/>
              </w:rPr>
              <w:t>合</w:t>
            </w:r>
            <w:r>
              <w:rPr>
                <w:rFonts w:hint="eastAsia" w:ascii="宋体" w:hAnsi="宋体" w:cs="Times New Roman"/>
                <w:color w:val="auto"/>
                <w:kern w:val="0"/>
                <w:sz w:val="21"/>
                <w:szCs w:val="21"/>
                <w:highlight w:val="none"/>
              </w:rPr>
              <w:t>同</w:t>
            </w:r>
            <w:r>
              <w:rPr>
                <w:rFonts w:hint="eastAsia" w:ascii="宋体" w:hAnsi="宋体" w:cs="Times New Roman"/>
                <w:color w:val="auto"/>
                <w:spacing w:val="2"/>
                <w:kern w:val="0"/>
                <w:sz w:val="21"/>
                <w:szCs w:val="21"/>
                <w:highlight w:val="none"/>
              </w:rPr>
              <w:t>的约</w:t>
            </w:r>
            <w:r>
              <w:rPr>
                <w:rFonts w:hint="eastAsia" w:ascii="宋体" w:hAnsi="宋体" w:cs="Times New Roman"/>
                <w:color w:val="auto"/>
                <w:kern w:val="0"/>
                <w:sz w:val="21"/>
                <w:szCs w:val="21"/>
                <w:highlight w:val="none"/>
              </w:rPr>
              <w:t>定</w:t>
            </w:r>
            <w:r>
              <w:rPr>
                <w:rFonts w:hint="eastAsia" w:ascii="宋体" w:hAnsi="宋体" w:cs="Times New Roman"/>
                <w:color w:val="auto"/>
                <w:kern w:val="0"/>
                <w:sz w:val="21"/>
                <w:szCs w:val="21"/>
                <w:highlight w:val="none"/>
                <w:lang w:eastAsia="zh-CN"/>
              </w:rPr>
              <w:t>，</w:t>
            </w:r>
            <w:r>
              <w:rPr>
                <w:rFonts w:hint="eastAsia" w:ascii="宋体" w:hAnsi="宋体" w:cs="Times New Roman"/>
                <w:color w:val="auto"/>
                <w:spacing w:val="2"/>
                <w:kern w:val="0"/>
                <w:sz w:val="21"/>
                <w:szCs w:val="21"/>
                <w:highlight w:val="none"/>
              </w:rPr>
              <w:t>现申</w:t>
            </w:r>
            <w:r>
              <w:rPr>
                <w:rFonts w:hint="eastAsia" w:ascii="宋体" w:hAnsi="宋体" w:cs="Times New Roman"/>
                <w:color w:val="auto"/>
                <w:kern w:val="0"/>
                <w:sz w:val="21"/>
                <w:szCs w:val="21"/>
                <w:highlight w:val="none"/>
              </w:rPr>
              <w:t>请</w:t>
            </w:r>
            <w:r>
              <w:rPr>
                <w:rFonts w:hint="eastAsia" w:ascii="宋体" w:hAnsi="宋体" w:cs="Times New Roman"/>
                <w:color w:val="auto"/>
                <w:spacing w:val="2"/>
                <w:kern w:val="0"/>
                <w:sz w:val="21"/>
                <w:szCs w:val="21"/>
                <w:highlight w:val="none"/>
              </w:rPr>
              <w:t>支</w:t>
            </w:r>
            <w:r>
              <w:rPr>
                <w:rFonts w:hint="eastAsia" w:ascii="宋体" w:hAnsi="宋体" w:cs="Times New Roman"/>
                <w:color w:val="auto"/>
                <w:kern w:val="0"/>
                <w:sz w:val="21"/>
                <w:szCs w:val="21"/>
                <w:highlight w:val="none"/>
              </w:rPr>
              <w:t>付工程保修结算</w:t>
            </w:r>
            <w:r>
              <w:rPr>
                <w:rFonts w:hint="eastAsia" w:ascii="宋体" w:hAnsi="宋体" w:cs="Times New Roman"/>
                <w:color w:val="auto"/>
                <w:spacing w:val="2"/>
                <w:kern w:val="0"/>
                <w:sz w:val="21"/>
                <w:szCs w:val="21"/>
                <w:highlight w:val="none"/>
              </w:rPr>
              <w:t>的</w:t>
            </w:r>
            <w:r>
              <w:rPr>
                <w:rFonts w:hint="eastAsia" w:ascii="宋体" w:hAnsi="宋体" w:cs="Times New Roman"/>
                <w:color w:val="auto"/>
                <w:kern w:val="0"/>
                <w:sz w:val="21"/>
                <w:szCs w:val="21"/>
                <w:highlight w:val="none"/>
              </w:rPr>
              <w:t>合同款额为（大写）</w:t>
            </w:r>
            <w:r>
              <w:rPr>
                <w:rFonts w:hint="eastAsia" w:ascii="宋体" w:hAnsi="宋体" w:cs="Times New Roman"/>
                <w:color w:val="auto"/>
                <w:kern w:val="0"/>
                <w:sz w:val="21"/>
                <w:szCs w:val="21"/>
                <w:highlight w:val="none"/>
                <w:u w:val="single" w:color="000000"/>
              </w:rPr>
              <w:tab/>
            </w:r>
            <w:r>
              <w:rPr>
                <w:rFonts w:hint="eastAsia" w:ascii="宋体" w:hAnsi="宋体" w:cs="Times New Roman"/>
                <w:color w:val="auto"/>
                <w:kern w:val="0"/>
                <w:sz w:val="21"/>
                <w:szCs w:val="21"/>
                <w:highlight w:val="none"/>
                <w:u w:val="single" w:color="000000"/>
              </w:rPr>
              <w:t xml:space="preserve">         </w:t>
            </w:r>
            <w:r>
              <w:rPr>
                <w:rFonts w:hint="eastAsia" w:ascii="宋体" w:hAnsi="宋体" w:cs="Times New Roman"/>
                <w:color w:val="auto"/>
                <w:kern w:val="0"/>
                <w:sz w:val="21"/>
                <w:szCs w:val="21"/>
                <w:highlight w:val="none"/>
              </w:rPr>
              <w:t>（小写</w:t>
            </w:r>
            <w:r>
              <w:rPr>
                <w:rFonts w:hint="eastAsia" w:ascii="宋体" w:hAnsi="宋体" w:cs="Times New Roman"/>
                <w:color w:val="auto"/>
                <w:kern w:val="0"/>
                <w:sz w:val="21"/>
                <w:szCs w:val="21"/>
                <w:highlight w:val="none"/>
                <w:u w:val="single"/>
              </w:rPr>
              <w:t xml:space="preserve">           </w:t>
            </w:r>
            <w:r>
              <w:rPr>
                <w:rFonts w:hint="eastAsia" w:ascii="宋体" w:hAnsi="宋体" w:cs="Times New Roman"/>
                <w:color w:val="auto"/>
                <w:kern w:val="0"/>
                <w:sz w:val="21"/>
                <w:szCs w:val="21"/>
                <w:highlight w:val="none"/>
              </w:rPr>
              <w:t>）</w:t>
            </w:r>
            <w:r>
              <w:rPr>
                <w:rFonts w:hint="eastAsia" w:ascii="宋体" w:hAnsi="宋体" w:cs="Times New Roman"/>
                <w:color w:val="auto"/>
                <w:kern w:val="0"/>
                <w:sz w:val="21"/>
                <w:szCs w:val="21"/>
                <w:highlight w:val="none"/>
                <w:lang w:eastAsia="zh-CN"/>
              </w:rPr>
              <w:t>，</w:t>
            </w:r>
            <w:r>
              <w:rPr>
                <w:rFonts w:hint="eastAsia" w:ascii="宋体" w:hAnsi="宋体" w:cs="Times New Roman"/>
                <w:color w:val="auto"/>
                <w:kern w:val="0"/>
                <w:sz w:val="21"/>
                <w:szCs w:val="21"/>
                <w:highlight w:val="none"/>
              </w:rPr>
              <w:t>请予核准。</w:t>
            </w:r>
          </w:p>
        </w:tc>
      </w:tr>
      <w:tr w14:paraId="13E6BC11">
        <w:tblPrEx>
          <w:tblCellMar>
            <w:top w:w="0" w:type="dxa"/>
            <w:left w:w="0" w:type="dxa"/>
            <w:bottom w:w="0" w:type="dxa"/>
            <w:right w:w="0" w:type="dxa"/>
          </w:tblCellMar>
        </w:tblPrEx>
        <w:trPr>
          <w:trHeight w:val="3352" w:hRule="atLeast"/>
          <w:jc w:val="center"/>
        </w:trPr>
        <w:tc>
          <w:tcPr>
            <w:tcW w:w="9602" w:type="dxa"/>
            <w:gridSpan w:val="4"/>
            <w:tcBorders>
              <w:top w:val="nil"/>
              <w:left w:val="single" w:color="000000" w:sz="4" w:space="0"/>
              <w:bottom w:val="nil"/>
              <w:right w:val="single" w:color="000000" w:sz="4" w:space="0"/>
            </w:tcBorders>
            <w:noWrap w:val="0"/>
            <w:vAlign w:val="top"/>
          </w:tcPr>
          <w:p w14:paraId="047EEBC7">
            <w:pPr>
              <w:keepNext w:val="0"/>
              <w:keepLines w:val="0"/>
              <w:suppressLineNumbers w:val="0"/>
              <w:spacing w:before="0" w:beforeAutospacing="0" w:after="0" w:afterAutospacing="0" w:line="200" w:lineRule="exact"/>
              <w:ind w:left="0" w:right="0"/>
              <w:rPr>
                <w:rFonts w:hint="default" w:ascii="宋体" w:hAnsi="宋体" w:cs="Times New Roman"/>
                <w:color w:val="auto"/>
                <w:kern w:val="0"/>
                <w:sz w:val="21"/>
                <w:szCs w:val="21"/>
                <w:highlight w:val="none"/>
              </w:rPr>
            </w:pPr>
          </w:p>
          <w:p w14:paraId="063CA448">
            <w:pPr>
              <w:keepNext w:val="0"/>
              <w:keepLines w:val="0"/>
              <w:suppressLineNumbers w:val="0"/>
              <w:spacing w:before="0" w:beforeAutospacing="0" w:after="120" w:afterAutospacing="0"/>
              <w:ind w:left="0" w:right="0"/>
              <w:rPr>
                <w:rFonts w:hint="default" w:ascii="Times New Roman" w:hAnsi="Times New Roman" w:cs="Times New Roman"/>
                <w:color w:val="auto"/>
                <w:sz w:val="21"/>
                <w:szCs w:val="21"/>
                <w:highlight w:val="none"/>
              </w:rPr>
            </w:pPr>
          </w:p>
          <w:tbl>
            <w:tblPr>
              <w:tblStyle w:val="54"/>
              <w:tblW w:w="863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36"/>
              <w:gridCol w:w="3060"/>
              <w:gridCol w:w="1676"/>
              <w:gridCol w:w="1676"/>
              <w:gridCol w:w="890"/>
            </w:tblGrid>
            <w:tr w14:paraId="2937D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0"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757543BF">
                  <w:pPr>
                    <w:keepNext w:val="0"/>
                    <w:keepLines w:val="0"/>
                    <w:suppressLineNumbers w:val="0"/>
                    <w:spacing w:before="0" w:beforeAutospacing="0" w:after="0" w:afterAutospacing="0" w:line="200" w:lineRule="exact"/>
                    <w:ind w:left="0" w:right="0"/>
                    <w:jc w:val="center"/>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序号</w:t>
                  </w:r>
                </w:p>
              </w:tc>
              <w:tc>
                <w:tcPr>
                  <w:tcW w:w="3060" w:type="dxa"/>
                  <w:tcBorders>
                    <w:top w:val="single" w:color="000000" w:sz="6" w:space="0"/>
                    <w:left w:val="nil"/>
                    <w:bottom w:val="single" w:color="000000" w:sz="6" w:space="0"/>
                    <w:right w:val="single" w:color="000000" w:sz="6" w:space="0"/>
                  </w:tcBorders>
                  <w:noWrap w:val="0"/>
                  <w:vAlign w:val="center"/>
                </w:tcPr>
                <w:p w14:paraId="5A269499">
                  <w:pPr>
                    <w:keepNext w:val="0"/>
                    <w:keepLines w:val="0"/>
                    <w:suppressLineNumbers w:val="0"/>
                    <w:spacing w:before="0" w:beforeAutospacing="0" w:after="0" w:afterAutospacing="0" w:line="200" w:lineRule="exact"/>
                    <w:ind w:left="0" w:right="0"/>
                    <w:jc w:val="center"/>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名称</w:t>
                  </w:r>
                </w:p>
              </w:tc>
              <w:tc>
                <w:tcPr>
                  <w:tcW w:w="1676" w:type="dxa"/>
                  <w:tcBorders>
                    <w:top w:val="single" w:color="000000" w:sz="6" w:space="0"/>
                    <w:left w:val="nil"/>
                    <w:bottom w:val="single" w:color="000000" w:sz="6" w:space="0"/>
                    <w:right w:val="single" w:color="000000" w:sz="6" w:space="0"/>
                  </w:tcBorders>
                  <w:noWrap w:val="0"/>
                  <w:vAlign w:val="center"/>
                </w:tcPr>
                <w:p w14:paraId="634B9BB1">
                  <w:pPr>
                    <w:keepNext w:val="0"/>
                    <w:keepLines w:val="0"/>
                    <w:suppressLineNumbers w:val="0"/>
                    <w:spacing w:before="0" w:beforeAutospacing="0" w:after="0" w:afterAutospacing="0" w:line="200" w:lineRule="exact"/>
                    <w:ind w:left="0" w:right="0"/>
                    <w:jc w:val="center"/>
                    <w:rPr>
                      <w:rFonts w:hint="eastAsia" w:ascii="宋体" w:hAnsi="宋体" w:eastAsia="宋体" w:cs="Times New Roman"/>
                      <w:color w:val="auto"/>
                      <w:kern w:val="0"/>
                      <w:sz w:val="21"/>
                      <w:szCs w:val="21"/>
                      <w:highlight w:val="none"/>
                      <w:lang w:eastAsia="zh-CN"/>
                    </w:rPr>
                  </w:pPr>
                  <w:r>
                    <w:rPr>
                      <w:rFonts w:hint="eastAsia" w:ascii="宋体" w:hAnsi="宋体" w:cs="Times New Roman"/>
                      <w:color w:val="auto"/>
                      <w:kern w:val="0"/>
                      <w:sz w:val="21"/>
                      <w:szCs w:val="21"/>
                      <w:highlight w:val="none"/>
                    </w:rPr>
                    <w:t>申请金额</w:t>
                  </w:r>
                  <w:r>
                    <w:rPr>
                      <w:rFonts w:hint="eastAsia" w:ascii="宋体" w:hAnsi="宋体" w:cs="Times New Roman"/>
                      <w:color w:val="auto"/>
                      <w:kern w:val="0"/>
                      <w:sz w:val="21"/>
                      <w:szCs w:val="21"/>
                      <w:highlight w:val="none"/>
                      <w:lang w:eastAsia="zh-CN"/>
                    </w:rPr>
                    <w:t>（</w:t>
                  </w:r>
                  <w:r>
                    <w:rPr>
                      <w:rFonts w:hint="eastAsia" w:ascii="宋体" w:hAnsi="宋体" w:cs="Times New Roman"/>
                      <w:color w:val="auto"/>
                      <w:kern w:val="0"/>
                      <w:sz w:val="21"/>
                      <w:szCs w:val="21"/>
                      <w:highlight w:val="none"/>
                    </w:rPr>
                    <w:t>元</w:t>
                  </w:r>
                  <w:r>
                    <w:rPr>
                      <w:rFonts w:hint="eastAsia" w:ascii="宋体" w:hAnsi="宋体" w:cs="Times New Roman"/>
                      <w:color w:val="auto"/>
                      <w:kern w:val="0"/>
                      <w:sz w:val="21"/>
                      <w:szCs w:val="21"/>
                      <w:highlight w:val="none"/>
                      <w:lang w:eastAsia="zh-CN"/>
                    </w:rPr>
                    <w:t>）</w:t>
                  </w:r>
                </w:p>
              </w:tc>
              <w:tc>
                <w:tcPr>
                  <w:tcW w:w="1676" w:type="dxa"/>
                  <w:tcBorders>
                    <w:top w:val="single" w:color="000000" w:sz="6" w:space="0"/>
                    <w:left w:val="nil"/>
                    <w:bottom w:val="single" w:color="000000" w:sz="6" w:space="0"/>
                    <w:right w:val="single" w:color="000000" w:sz="6" w:space="0"/>
                  </w:tcBorders>
                  <w:noWrap w:val="0"/>
                  <w:vAlign w:val="center"/>
                </w:tcPr>
                <w:p w14:paraId="08D66F35">
                  <w:pPr>
                    <w:keepNext w:val="0"/>
                    <w:keepLines w:val="0"/>
                    <w:suppressLineNumbers w:val="0"/>
                    <w:spacing w:before="0" w:beforeAutospacing="0" w:after="0" w:afterAutospacing="0" w:line="200" w:lineRule="exact"/>
                    <w:ind w:left="0" w:right="0"/>
                    <w:jc w:val="center"/>
                    <w:rPr>
                      <w:rFonts w:hint="eastAsia" w:ascii="宋体" w:hAnsi="宋体" w:eastAsia="宋体" w:cs="Times New Roman"/>
                      <w:color w:val="auto"/>
                      <w:kern w:val="0"/>
                      <w:sz w:val="21"/>
                      <w:szCs w:val="21"/>
                      <w:highlight w:val="none"/>
                      <w:lang w:eastAsia="zh-CN"/>
                    </w:rPr>
                  </w:pPr>
                  <w:r>
                    <w:rPr>
                      <w:rFonts w:hint="eastAsia" w:ascii="宋体" w:hAnsi="宋体" w:cs="Times New Roman"/>
                      <w:color w:val="auto"/>
                      <w:kern w:val="0"/>
                      <w:sz w:val="21"/>
                      <w:szCs w:val="21"/>
                      <w:highlight w:val="none"/>
                    </w:rPr>
                    <w:t>复核金额</w:t>
                  </w:r>
                  <w:r>
                    <w:rPr>
                      <w:rFonts w:hint="eastAsia" w:ascii="宋体" w:hAnsi="宋体" w:cs="Times New Roman"/>
                      <w:color w:val="auto"/>
                      <w:kern w:val="0"/>
                      <w:sz w:val="21"/>
                      <w:szCs w:val="21"/>
                      <w:highlight w:val="none"/>
                      <w:lang w:eastAsia="zh-CN"/>
                    </w:rPr>
                    <w:t>（</w:t>
                  </w:r>
                  <w:r>
                    <w:rPr>
                      <w:rFonts w:hint="eastAsia" w:ascii="宋体" w:hAnsi="宋体" w:cs="Times New Roman"/>
                      <w:color w:val="auto"/>
                      <w:kern w:val="0"/>
                      <w:sz w:val="21"/>
                      <w:szCs w:val="21"/>
                      <w:highlight w:val="none"/>
                    </w:rPr>
                    <w:t>元</w:t>
                  </w:r>
                  <w:r>
                    <w:rPr>
                      <w:rFonts w:hint="eastAsia" w:ascii="宋体" w:hAnsi="宋体" w:cs="Times New Roman"/>
                      <w:color w:val="auto"/>
                      <w:kern w:val="0"/>
                      <w:sz w:val="21"/>
                      <w:szCs w:val="21"/>
                      <w:highlight w:val="none"/>
                      <w:lang w:eastAsia="zh-CN"/>
                    </w:rPr>
                    <w:t>）</w:t>
                  </w:r>
                </w:p>
              </w:tc>
              <w:tc>
                <w:tcPr>
                  <w:tcW w:w="890" w:type="dxa"/>
                  <w:tcBorders>
                    <w:top w:val="single" w:color="000000" w:sz="6" w:space="0"/>
                    <w:left w:val="nil"/>
                    <w:bottom w:val="single" w:color="000000" w:sz="6" w:space="0"/>
                    <w:right w:val="single" w:color="000000" w:sz="6" w:space="0"/>
                  </w:tcBorders>
                  <w:noWrap w:val="0"/>
                  <w:vAlign w:val="center"/>
                </w:tcPr>
                <w:p w14:paraId="30885260">
                  <w:pPr>
                    <w:keepNext w:val="0"/>
                    <w:keepLines w:val="0"/>
                    <w:suppressLineNumbers w:val="0"/>
                    <w:spacing w:before="0" w:beforeAutospacing="0" w:after="0" w:afterAutospacing="0" w:line="200" w:lineRule="exact"/>
                    <w:ind w:left="0" w:right="0"/>
                    <w:jc w:val="center"/>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备注</w:t>
                  </w:r>
                </w:p>
              </w:tc>
            </w:tr>
            <w:tr w14:paraId="2580B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7"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0BE64338">
                  <w:pPr>
                    <w:keepNext w:val="0"/>
                    <w:keepLines w:val="0"/>
                    <w:suppressLineNumbers w:val="0"/>
                    <w:spacing w:before="0" w:beforeAutospacing="0" w:after="0" w:afterAutospacing="0" w:line="200" w:lineRule="exact"/>
                    <w:ind w:left="0" w:right="0"/>
                    <w:jc w:val="both"/>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1</w:t>
                  </w:r>
                </w:p>
              </w:tc>
              <w:tc>
                <w:tcPr>
                  <w:tcW w:w="3060" w:type="dxa"/>
                  <w:tcBorders>
                    <w:top w:val="single" w:color="000000" w:sz="6" w:space="0"/>
                    <w:left w:val="nil"/>
                    <w:bottom w:val="single" w:color="000000" w:sz="6" w:space="0"/>
                    <w:right w:val="single" w:color="000000" w:sz="6" w:space="0"/>
                  </w:tcBorders>
                  <w:noWrap w:val="0"/>
                  <w:vAlign w:val="center"/>
                </w:tcPr>
                <w:p w14:paraId="4A92676A">
                  <w:pPr>
                    <w:keepNext w:val="0"/>
                    <w:keepLines w:val="0"/>
                    <w:suppressLineNumbers w:val="0"/>
                    <w:spacing w:before="0" w:beforeAutospacing="0" w:after="0" w:afterAutospacing="0" w:line="243" w:lineRule="exact"/>
                    <w:ind w:left="0" w:right="0"/>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已预留的质量保证金</w:t>
                  </w:r>
                </w:p>
              </w:tc>
              <w:tc>
                <w:tcPr>
                  <w:tcW w:w="1676" w:type="dxa"/>
                  <w:tcBorders>
                    <w:top w:val="single" w:color="000000" w:sz="6" w:space="0"/>
                    <w:left w:val="nil"/>
                    <w:bottom w:val="single" w:color="000000" w:sz="6" w:space="0"/>
                    <w:right w:val="single" w:color="000000" w:sz="6" w:space="0"/>
                  </w:tcBorders>
                  <w:noWrap w:val="0"/>
                  <w:vAlign w:val="center"/>
                </w:tcPr>
                <w:p w14:paraId="0C4F9F5A">
                  <w:pPr>
                    <w:keepNext w:val="0"/>
                    <w:keepLines w:val="0"/>
                    <w:suppressLineNumbers w:val="0"/>
                    <w:spacing w:before="0" w:beforeAutospacing="0" w:after="0" w:afterAutospacing="0" w:line="200" w:lineRule="exact"/>
                    <w:ind w:left="0" w:right="0"/>
                    <w:jc w:val="center"/>
                    <w:rPr>
                      <w:rFonts w:hint="default" w:ascii="宋体" w:hAnsi="宋体" w:cs="Times New Roman"/>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5A5177EC">
                  <w:pPr>
                    <w:keepNext w:val="0"/>
                    <w:keepLines w:val="0"/>
                    <w:suppressLineNumbers w:val="0"/>
                    <w:spacing w:before="0" w:beforeAutospacing="0" w:after="0" w:afterAutospacing="0" w:line="200" w:lineRule="exact"/>
                    <w:ind w:left="0" w:right="0"/>
                    <w:jc w:val="center"/>
                    <w:rPr>
                      <w:rFonts w:hint="default" w:ascii="宋体" w:hAnsi="宋体" w:cs="Times New Roman"/>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12D00373">
                  <w:pPr>
                    <w:keepNext w:val="0"/>
                    <w:keepLines w:val="0"/>
                    <w:suppressLineNumbers w:val="0"/>
                    <w:spacing w:before="0" w:beforeAutospacing="0" w:after="0" w:afterAutospacing="0" w:line="200" w:lineRule="exact"/>
                    <w:ind w:left="0" w:right="0"/>
                    <w:jc w:val="center"/>
                    <w:rPr>
                      <w:rFonts w:hint="default" w:ascii="宋体" w:hAnsi="宋体" w:cs="Times New Roman"/>
                      <w:color w:val="auto"/>
                      <w:kern w:val="0"/>
                      <w:sz w:val="21"/>
                      <w:szCs w:val="21"/>
                      <w:highlight w:val="none"/>
                    </w:rPr>
                  </w:pPr>
                </w:p>
              </w:tc>
            </w:tr>
            <w:tr w14:paraId="02A82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8"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0C3DB84C">
                  <w:pPr>
                    <w:keepNext w:val="0"/>
                    <w:keepLines w:val="0"/>
                    <w:suppressLineNumbers w:val="0"/>
                    <w:spacing w:before="0" w:beforeAutospacing="0" w:after="0" w:afterAutospacing="0" w:line="200" w:lineRule="exact"/>
                    <w:ind w:left="0" w:right="0"/>
                    <w:jc w:val="both"/>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2</w:t>
                  </w:r>
                </w:p>
              </w:tc>
              <w:tc>
                <w:tcPr>
                  <w:tcW w:w="3060" w:type="dxa"/>
                  <w:tcBorders>
                    <w:top w:val="single" w:color="000000" w:sz="6" w:space="0"/>
                    <w:left w:val="nil"/>
                    <w:bottom w:val="single" w:color="000000" w:sz="6" w:space="0"/>
                    <w:right w:val="single" w:color="000000" w:sz="6" w:space="0"/>
                  </w:tcBorders>
                  <w:noWrap w:val="0"/>
                  <w:vAlign w:val="center"/>
                </w:tcPr>
                <w:p w14:paraId="7440FEDE">
                  <w:pPr>
                    <w:keepNext w:val="0"/>
                    <w:keepLines w:val="0"/>
                    <w:suppressLineNumbers w:val="0"/>
                    <w:spacing w:before="0" w:beforeAutospacing="0" w:after="0" w:afterAutospacing="0" w:line="245" w:lineRule="exact"/>
                    <w:ind w:left="0" w:right="0"/>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应增加因发包人原因造成缺陷的修复金额</w:t>
                  </w:r>
                </w:p>
              </w:tc>
              <w:tc>
                <w:tcPr>
                  <w:tcW w:w="1676" w:type="dxa"/>
                  <w:tcBorders>
                    <w:top w:val="single" w:color="000000" w:sz="6" w:space="0"/>
                    <w:left w:val="nil"/>
                    <w:bottom w:val="single" w:color="000000" w:sz="6" w:space="0"/>
                    <w:right w:val="single" w:color="000000" w:sz="6" w:space="0"/>
                  </w:tcBorders>
                  <w:noWrap w:val="0"/>
                  <w:vAlign w:val="center"/>
                </w:tcPr>
                <w:p w14:paraId="6DDD1878">
                  <w:pPr>
                    <w:keepNext w:val="0"/>
                    <w:keepLines w:val="0"/>
                    <w:suppressLineNumbers w:val="0"/>
                    <w:spacing w:before="0" w:beforeAutospacing="0" w:after="0" w:afterAutospacing="0" w:line="200" w:lineRule="exact"/>
                    <w:ind w:left="0" w:right="0"/>
                    <w:jc w:val="center"/>
                    <w:rPr>
                      <w:rFonts w:hint="default" w:ascii="宋体" w:hAnsi="宋体" w:cs="Times New Roman"/>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73C7EDA6">
                  <w:pPr>
                    <w:keepNext w:val="0"/>
                    <w:keepLines w:val="0"/>
                    <w:suppressLineNumbers w:val="0"/>
                    <w:spacing w:before="0" w:beforeAutospacing="0" w:after="0" w:afterAutospacing="0" w:line="200" w:lineRule="exact"/>
                    <w:ind w:left="0" w:right="0"/>
                    <w:jc w:val="center"/>
                    <w:rPr>
                      <w:rFonts w:hint="default" w:ascii="宋体" w:hAnsi="宋体" w:cs="Times New Roman"/>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52CBDB67">
                  <w:pPr>
                    <w:keepNext w:val="0"/>
                    <w:keepLines w:val="0"/>
                    <w:suppressLineNumbers w:val="0"/>
                    <w:spacing w:before="0" w:beforeAutospacing="0" w:after="0" w:afterAutospacing="0" w:line="200" w:lineRule="exact"/>
                    <w:ind w:left="0" w:right="0"/>
                    <w:jc w:val="center"/>
                    <w:rPr>
                      <w:rFonts w:hint="default" w:ascii="宋体" w:hAnsi="宋体" w:cs="Times New Roman"/>
                      <w:color w:val="auto"/>
                      <w:kern w:val="0"/>
                      <w:sz w:val="21"/>
                      <w:szCs w:val="21"/>
                      <w:highlight w:val="none"/>
                    </w:rPr>
                  </w:pPr>
                </w:p>
              </w:tc>
            </w:tr>
            <w:tr w14:paraId="355B5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3"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317AF7CE">
                  <w:pPr>
                    <w:keepNext w:val="0"/>
                    <w:keepLines w:val="0"/>
                    <w:suppressLineNumbers w:val="0"/>
                    <w:spacing w:before="0" w:beforeAutospacing="0" w:after="0" w:afterAutospacing="0" w:line="200" w:lineRule="exact"/>
                    <w:ind w:left="0" w:right="0"/>
                    <w:jc w:val="both"/>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3</w:t>
                  </w:r>
                </w:p>
              </w:tc>
              <w:tc>
                <w:tcPr>
                  <w:tcW w:w="3060" w:type="dxa"/>
                  <w:tcBorders>
                    <w:top w:val="single" w:color="000000" w:sz="6" w:space="0"/>
                    <w:left w:val="nil"/>
                    <w:bottom w:val="single" w:color="000000" w:sz="6" w:space="0"/>
                    <w:right w:val="single" w:color="000000" w:sz="6" w:space="0"/>
                  </w:tcBorders>
                  <w:noWrap w:val="0"/>
                  <w:vAlign w:val="center"/>
                </w:tcPr>
                <w:p w14:paraId="73513087">
                  <w:pPr>
                    <w:keepNext w:val="0"/>
                    <w:keepLines w:val="0"/>
                    <w:suppressLineNumbers w:val="0"/>
                    <w:spacing w:before="0" w:beforeAutospacing="0" w:after="0" w:afterAutospacing="0" w:line="243" w:lineRule="exact"/>
                    <w:ind w:left="0" w:right="0"/>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应扣减承包人不修复缺陷、发包人组织修复的金额</w:t>
                  </w:r>
                </w:p>
              </w:tc>
              <w:tc>
                <w:tcPr>
                  <w:tcW w:w="1676" w:type="dxa"/>
                  <w:tcBorders>
                    <w:top w:val="single" w:color="000000" w:sz="6" w:space="0"/>
                    <w:left w:val="nil"/>
                    <w:bottom w:val="single" w:color="000000" w:sz="6" w:space="0"/>
                    <w:right w:val="single" w:color="000000" w:sz="6" w:space="0"/>
                  </w:tcBorders>
                  <w:noWrap w:val="0"/>
                  <w:vAlign w:val="center"/>
                </w:tcPr>
                <w:p w14:paraId="0C26FA7F">
                  <w:pPr>
                    <w:keepNext w:val="0"/>
                    <w:keepLines w:val="0"/>
                    <w:suppressLineNumbers w:val="0"/>
                    <w:spacing w:before="0" w:beforeAutospacing="0" w:after="0" w:afterAutospacing="0" w:line="200" w:lineRule="exact"/>
                    <w:ind w:left="0" w:right="0"/>
                    <w:jc w:val="center"/>
                    <w:rPr>
                      <w:rFonts w:hint="default" w:ascii="宋体" w:hAnsi="宋体" w:cs="Times New Roman"/>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3E4B10BC">
                  <w:pPr>
                    <w:keepNext w:val="0"/>
                    <w:keepLines w:val="0"/>
                    <w:suppressLineNumbers w:val="0"/>
                    <w:spacing w:before="0" w:beforeAutospacing="0" w:after="0" w:afterAutospacing="0" w:line="200" w:lineRule="exact"/>
                    <w:ind w:left="0" w:right="0"/>
                    <w:jc w:val="center"/>
                    <w:rPr>
                      <w:rFonts w:hint="default" w:ascii="宋体" w:hAnsi="宋体" w:cs="Times New Roman"/>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3E0FFCBB">
                  <w:pPr>
                    <w:keepNext w:val="0"/>
                    <w:keepLines w:val="0"/>
                    <w:suppressLineNumbers w:val="0"/>
                    <w:spacing w:before="0" w:beforeAutospacing="0" w:after="0" w:afterAutospacing="0" w:line="200" w:lineRule="exact"/>
                    <w:ind w:left="0" w:right="0"/>
                    <w:jc w:val="center"/>
                    <w:rPr>
                      <w:rFonts w:hint="default" w:ascii="宋体" w:hAnsi="宋体" w:cs="Times New Roman"/>
                      <w:color w:val="auto"/>
                      <w:kern w:val="0"/>
                      <w:sz w:val="21"/>
                      <w:szCs w:val="21"/>
                      <w:highlight w:val="none"/>
                    </w:rPr>
                  </w:pPr>
                </w:p>
              </w:tc>
            </w:tr>
            <w:tr w14:paraId="4A190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211F70EC">
                  <w:pPr>
                    <w:keepNext w:val="0"/>
                    <w:keepLines w:val="0"/>
                    <w:suppressLineNumbers w:val="0"/>
                    <w:spacing w:before="0" w:beforeAutospacing="0" w:after="0" w:afterAutospacing="0" w:line="200" w:lineRule="exact"/>
                    <w:ind w:left="0" w:right="0"/>
                    <w:jc w:val="both"/>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4</w:t>
                  </w:r>
                </w:p>
              </w:tc>
              <w:tc>
                <w:tcPr>
                  <w:tcW w:w="3060" w:type="dxa"/>
                  <w:tcBorders>
                    <w:top w:val="single" w:color="000000" w:sz="6" w:space="0"/>
                    <w:left w:val="nil"/>
                    <w:bottom w:val="single" w:color="000000" w:sz="6" w:space="0"/>
                    <w:right w:val="single" w:color="000000" w:sz="6" w:space="0"/>
                  </w:tcBorders>
                  <w:noWrap w:val="0"/>
                  <w:vAlign w:val="center"/>
                </w:tcPr>
                <w:p w14:paraId="584AEB6B">
                  <w:pPr>
                    <w:keepNext w:val="0"/>
                    <w:keepLines w:val="0"/>
                    <w:suppressLineNumbers w:val="0"/>
                    <w:spacing w:before="0" w:beforeAutospacing="0" w:after="0" w:afterAutospacing="0" w:line="243" w:lineRule="exact"/>
                    <w:ind w:left="0" w:right="0"/>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最终应支付的合同价款</w:t>
                  </w:r>
                </w:p>
              </w:tc>
              <w:tc>
                <w:tcPr>
                  <w:tcW w:w="1676" w:type="dxa"/>
                  <w:tcBorders>
                    <w:top w:val="single" w:color="000000" w:sz="6" w:space="0"/>
                    <w:left w:val="nil"/>
                    <w:bottom w:val="single" w:color="000000" w:sz="6" w:space="0"/>
                    <w:right w:val="single" w:color="000000" w:sz="6" w:space="0"/>
                  </w:tcBorders>
                  <w:noWrap w:val="0"/>
                  <w:vAlign w:val="center"/>
                </w:tcPr>
                <w:p w14:paraId="332AD2DB">
                  <w:pPr>
                    <w:keepNext w:val="0"/>
                    <w:keepLines w:val="0"/>
                    <w:suppressLineNumbers w:val="0"/>
                    <w:spacing w:before="0" w:beforeAutospacing="0" w:after="0" w:afterAutospacing="0" w:line="200" w:lineRule="exact"/>
                    <w:ind w:left="0" w:right="0"/>
                    <w:jc w:val="center"/>
                    <w:rPr>
                      <w:rFonts w:hint="default" w:ascii="宋体" w:hAnsi="宋体" w:cs="Times New Roman"/>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7126658C">
                  <w:pPr>
                    <w:keepNext w:val="0"/>
                    <w:keepLines w:val="0"/>
                    <w:suppressLineNumbers w:val="0"/>
                    <w:spacing w:before="0" w:beforeAutospacing="0" w:after="0" w:afterAutospacing="0" w:line="200" w:lineRule="exact"/>
                    <w:ind w:left="0" w:right="0"/>
                    <w:jc w:val="center"/>
                    <w:rPr>
                      <w:rFonts w:hint="default" w:ascii="宋体" w:hAnsi="宋体" w:cs="Times New Roman"/>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5443A56F">
                  <w:pPr>
                    <w:keepNext w:val="0"/>
                    <w:keepLines w:val="0"/>
                    <w:suppressLineNumbers w:val="0"/>
                    <w:spacing w:before="0" w:beforeAutospacing="0" w:after="0" w:afterAutospacing="0" w:line="200" w:lineRule="exact"/>
                    <w:ind w:left="0" w:right="0"/>
                    <w:jc w:val="center"/>
                    <w:rPr>
                      <w:rFonts w:hint="default" w:ascii="宋体" w:hAnsi="宋体" w:cs="Times New Roman"/>
                      <w:color w:val="auto"/>
                      <w:kern w:val="0"/>
                      <w:sz w:val="21"/>
                      <w:szCs w:val="21"/>
                      <w:highlight w:val="none"/>
                    </w:rPr>
                  </w:pPr>
                </w:p>
              </w:tc>
            </w:tr>
          </w:tbl>
          <w:p w14:paraId="095AD1AF">
            <w:pPr>
              <w:keepNext w:val="0"/>
              <w:keepLines w:val="0"/>
              <w:suppressLineNumbers w:val="0"/>
              <w:spacing w:before="10" w:beforeAutospacing="0" w:after="0" w:afterAutospacing="0" w:line="220" w:lineRule="exact"/>
              <w:ind w:left="0" w:right="0"/>
              <w:rPr>
                <w:rFonts w:hint="default" w:ascii="宋体" w:hAnsi="宋体" w:cs="Times New Roman"/>
                <w:color w:val="auto"/>
                <w:kern w:val="0"/>
                <w:sz w:val="21"/>
                <w:szCs w:val="21"/>
                <w:highlight w:val="none"/>
              </w:rPr>
            </w:pPr>
          </w:p>
          <w:p w14:paraId="7C9F1E4E">
            <w:pPr>
              <w:keepNext w:val="0"/>
              <w:keepLines w:val="0"/>
              <w:suppressLineNumbers w:val="0"/>
              <w:spacing w:before="10" w:beforeAutospacing="0" w:after="0" w:afterAutospacing="0" w:line="220" w:lineRule="exact"/>
              <w:ind w:left="0" w:right="0"/>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附：上述3、4详见附件清单。</w:t>
            </w:r>
          </w:p>
          <w:p w14:paraId="4EDFA4A5">
            <w:pPr>
              <w:keepNext w:val="0"/>
              <w:keepLines w:val="0"/>
              <w:suppressLineNumbers w:val="0"/>
              <w:spacing w:before="0" w:beforeAutospacing="0" w:after="0" w:afterAutospacing="0"/>
              <w:ind w:left="0" w:right="0"/>
              <w:jc w:val="center"/>
              <w:rPr>
                <w:rFonts w:hint="default" w:ascii="宋体" w:hAnsi="宋体" w:cs="Times New Roman"/>
                <w:color w:val="auto"/>
                <w:kern w:val="0"/>
                <w:sz w:val="21"/>
                <w:szCs w:val="21"/>
                <w:highlight w:val="none"/>
              </w:rPr>
            </w:pPr>
          </w:p>
        </w:tc>
      </w:tr>
      <w:tr w14:paraId="70D1F299">
        <w:tblPrEx>
          <w:tblCellMar>
            <w:top w:w="0" w:type="dxa"/>
            <w:left w:w="0" w:type="dxa"/>
            <w:bottom w:w="0" w:type="dxa"/>
            <w:right w:w="0" w:type="dxa"/>
          </w:tblCellMar>
        </w:tblPrEx>
        <w:trPr>
          <w:trHeight w:val="239" w:hRule="atLeast"/>
          <w:jc w:val="center"/>
        </w:trPr>
        <w:tc>
          <w:tcPr>
            <w:tcW w:w="9602" w:type="dxa"/>
            <w:gridSpan w:val="4"/>
            <w:tcBorders>
              <w:top w:val="nil"/>
              <w:left w:val="single" w:color="000000" w:sz="4" w:space="0"/>
              <w:bottom w:val="nil"/>
              <w:right w:val="single" w:color="000000" w:sz="4" w:space="0"/>
            </w:tcBorders>
            <w:noWrap w:val="0"/>
            <w:vAlign w:val="top"/>
          </w:tcPr>
          <w:p w14:paraId="2E4F05C1">
            <w:pPr>
              <w:keepNext w:val="0"/>
              <w:keepLines w:val="0"/>
              <w:suppressLineNumbers w:val="0"/>
              <w:wordWrap w:val="0"/>
              <w:spacing w:before="0" w:beforeAutospacing="0" w:after="0" w:afterAutospacing="0" w:line="246" w:lineRule="exact"/>
              <w:ind w:left="0" w:right="360"/>
              <w:jc w:val="right"/>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承包人</w:t>
            </w:r>
            <w:r>
              <w:rPr>
                <w:rFonts w:hint="eastAsia" w:ascii="宋体" w:hAnsi="宋体" w:cs="Times New Roman"/>
                <w:color w:val="auto"/>
                <w:kern w:val="0"/>
                <w:sz w:val="21"/>
                <w:szCs w:val="21"/>
                <w:highlight w:val="none"/>
                <w:lang w:eastAsia="zh-CN"/>
              </w:rPr>
              <w:t>（</w:t>
            </w:r>
            <w:r>
              <w:rPr>
                <w:rFonts w:hint="eastAsia" w:ascii="宋体" w:hAnsi="宋体" w:cs="Times New Roman"/>
                <w:color w:val="auto"/>
                <w:kern w:val="0"/>
                <w:sz w:val="21"/>
                <w:szCs w:val="21"/>
                <w:highlight w:val="none"/>
              </w:rPr>
              <w:t>章</w:t>
            </w:r>
            <w:r>
              <w:rPr>
                <w:rFonts w:hint="eastAsia" w:ascii="宋体" w:hAnsi="宋体" w:cs="Times New Roman"/>
                <w:color w:val="auto"/>
                <w:kern w:val="0"/>
                <w:sz w:val="21"/>
                <w:szCs w:val="21"/>
                <w:highlight w:val="none"/>
                <w:lang w:eastAsia="zh-CN"/>
              </w:rPr>
              <w:t>）</w:t>
            </w:r>
            <w:r>
              <w:rPr>
                <w:rFonts w:hint="eastAsia" w:ascii="宋体" w:hAnsi="宋体" w:cs="Times New Roman"/>
                <w:color w:val="auto"/>
                <w:kern w:val="0"/>
                <w:sz w:val="21"/>
                <w:szCs w:val="21"/>
                <w:highlight w:val="none"/>
              </w:rPr>
              <w:t xml:space="preserve">           </w:t>
            </w:r>
          </w:p>
        </w:tc>
      </w:tr>
      <w:tr w14:paraId="36D07120">
        <w:tblPrEx>
          <w:tblCellMar>
            <w:top w:w="0" w:type="dxa"/>
            <w:left w:w="0" w:type="dxa"/>
            <w:bottom w:w="0" w:type="dxa"/>
            <w:right w:w="0" w:type="dxa"/>
          </w:tblCellMar>
        </w:tblPrEx>
        <w:trPr>
          <w:trHeight w:val="645" w:hRule="atLeast"/>
          <w:jc w:val="center"/>
        </w:trPr>
        <w:tc>
          <w:tcPr>
            <w:tcW w:w="2524" w:type="dxa"/>
            <w:tcBorders>
              <w:top w:val="nil"/>
              <w:left w:val="single" w:color="auto" w:sz="4" w:space="0"/>
              <w:bottom w:val="nil"/>
              <w:right w:val="nil"/>
            </w:tcBorders>
            <w:noWrap w:val="0"/>
            <w:vAlign w:val="top"/>
          </w:tcPr>
          <w:p w14:paraId="2174112C">
            <w:pPr>
              <w:keepNext w:val="0"/>
              <w:keepLines w:val="0"/>
              <w:suppressLineNumbers w:val="0"/>
              <w:spacing w:before="0" w:beforeAutospacing="0" w:after="0" w:afterAutospacing="0" w:line="246" w:lineRule="exact"/>
              <w:ind w:left="0" w:right="0"/>
              <w:rPr>
                <w:rFonts w:hint="eastAsia" w:ascii="宋体" w:hAnsi="宋体" w:cs="Times New Roman"/>
                <w:color w:val="auto"/>
                <w:kern w:val="0"/>
                <w:sz w:val="21"/>
                <w:szCs w:val="21"/>
                <w:highlight w:val="none"/>
              </w:rPr>
            </w:pPr>
          </w:p>
          <w:p w14:paraId="6A6F2017">
            <w:pPr>
              <w:keepNext w:val="0"/>
              <w:keepLines w:val="0"/>
              <w:suppressLineNumbers w:val="0"/>
              <w:spacing w:before="0" w:beforeAutospacing="0" w:after="0" w:afterAutospacing="0" w:line="246" w:lineRule="exact"/>
              <w:ind w:left="0" w:right="0"/>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编制人员</w:t>
            </w:r>
            <w:r>
              <w:rPr>
                <w:rFonts w:hint="eastAsia" w:ascii="宋体" w:hAnsi="宋体" w:cs="Times New Roman"/>
                <w:color w:val="auto"/>
                <w:kern w:val="0"/>
                <w:sz w:val="21"/>
                <w:szCs w:val="21"/>
                <w:highlight w:val="none"/>
                <w:u w:val="single"/>
              </w:rPr>
              <w:t xml:space="preserve">            </w:t>
            </w:r>
          </w:p>
        </w:tc>
        <w:tc>
          <w:tcPr>
            <w:tcW w:w="3397" w:type="dxa"/>
            <w:gridSpan w:val="2"/>
            <w:tcBorders>
              <w:top w:val="nil"/>
              <w:left w:val="nil"/>
              <w:bottom w:val="nil"/>
              <w:right w:val="nil"/>
            </w:tcBorders>
            <w:noWrap w:val="0"/>
            <w:vAlign w:val="top"/>
          </w:tcPr>
          <w:p w14:paraId="7D5D0917">
            <w:pPr>
              <w:keepNext w:val="0"/>
              <w:keepLines w:val="0"/>
              <w:suppressLineNumbers w:val="0"/>
              <w:spacing w:before="0" w:beforeAutospacing="0" w:after="0" w:afterAutospacing="0" w:line="246" w:lineRule="exact"/>
              <w:ind w:left="0" w:right="0"/>
              <w:rPr>
                <w:rFonts w:hint="eastAsia" w:ascii="宋体" w:hAnsi="宋体" w:cs="Times New Roman"/>
                <w:color w:val="auto"/>
                <w:kern w:val="0"/>
                <w:sz w:val="21"/>
                <w:szCs w:val="21"/>
                <w:highlight w:val="none"/>
              </w:rPr>
            </w:pPr>
          </w:p>
          <w:p w14:paraId="76F43A65">
            <w:pPr>
              <w:keepNext w:val="0"/>
              <w:keepLines w:val="0"/>
              <w:suppressLineNumbers w:val="0"/>
              <w:spacing w:before="0" w:beforeAutospacing="0" w:after="0" w:afterAutospacing="0" w:line="246" w:lineRule="exact"/>
              <w:ind w:left="0" w:right="0"/>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承包人代表</w:t>
            </w:r>
            <w:r>
              <w:rPr>
                <w:rFonts w:hint="eastAsia" w:ascii="宋体" w:hAnsi="宋体" w:cs="Times New Roman"/>
                <w:color w:val="auto"/>
                <w:kern w:val="0"/>
                <w:sz w:val="21"/>
                <w:szCs w:val="21"/>
                <w:highlight w:val="none"/>
                <w:u w:val="single"/>
              </w:rPr>
              <w:t xml:space="preserve">            </w:t>
            </w:r>
          </w:p>
        </w:tc>
        <w:tc>
          <w:tcPr>
            <w:tcW w:w="3681" w:type="dxa"/>
            <w:tcBorders>
              <w:top w:val="nil"/>
              <w:left w:val="nil"/>
              <w:bottom w:val="nil"/>
              <w:right w:val="single" w:color="auto" w:sz="4" w:space="0"/>
            </w:tcBorders>
            <w:noWrap w:val="0"/>
            <w:vAlign w:val="top"/>
          </w:tcPr>
          <w:p w14:paraId="0C6A051D">
            <w:pPr>
              <w:keepNext w:val="0"/>
              <w:keepLines w:val="0"/>
              <w:suppressLineNumbers w:val="0"/>
              <w:spacing w:before="0" w:beforeAutospacing="0" w:after="0" w:afterAutospacing="0" w:line="246" w:lineRule="exact"/>
              <w:ind w:left="0" w:right="0"/>
              <w:rPr>
                <w:rFonts w:hint="eastAsia" w:ascii="宋体" w:hAnsi="宋体" w:cs="Times New Roman"/>
                <w:color w:val="auto"/>
                <w:kern w:val="0"/>
                <w:sz w:val="21"/>
                <w:szCs w:val="21"/>
                <w:highlight w:val="none"/>
              </w:rPr>
            </w:pPr>
          </w:p>
          <w:p w14:paraId="34E4D801">
            <w:pPr>
              <w:keepNext w:val="0"/>
              <w:keepLines w:val="0"/>
              <w:suppressLineNumbers w:val="0"/>
              <w:spacing w:before="0" w:beforeAutospacing="0" w:after="0" w:afterAutospacing="0" w:line="246" w:lineRule="exact"/>
              <w:ind w:left="0" w:right="0"/>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日期</w:t>
            </w:r>
            <w:r>
              <w:rPr>
                <w:rFonts w:hint="eastAsia" w:ascii="宋体" w:hAnsi="宋体" w:cs="Times New Roman"/>
                <w:color w:val="auto"/>
                <w:kern w:val="0"/>
                <w:sz w:val="21"/>
                <w:szCs w:val="21"/>
                <w:highlight w:val="none"/>
                <w:u w:val="single"/>
              </w:rPr>
              <w:t xml:space="preserve">            </w:t>
            </w:r>
          </w:p>
        </w:tc>
      </w:tr>
      <w:tr w14:paraId="451F107C">
        <w:tblPrEx>
          <w:tblCellMar>
            <w:top w:w="0" w:type="dxa"/>
            <w:left w:w="0" w:type="dxa"/>
            <w:bottom w:w="0" w:type="dxa"/>
            <w:right w:w="0" w:type="dxa"/>
          </w:tblCellMar>
        </w:tblPrEx>
        <w:trPr>
          <w:trHeight w:val="479" w:hRule="atLeast"/>
          <w:jc w:val="center"/>
        </w:trPr>
        <w:tc>
          <w:tcPr>
            <w:tcW w:w="4938" w:type="dxa"/>
            <w:gridSpan w:val="2"/>
            <w:tcBorders>
              <w:top w:val="single" w:color="000000" w:sz="4" w:space="0"/>
              <w:left w:val="single" w:color="000000" w:sz="4" w:space="0"/>
              <w:bottom w:val="nil"/>
              <w:right w:val="single" w:color="000000" w:sz="4" w:space="0"/>
            </w:tcBorders>
            <w:noWrap w:val="0"/>
            <w:vAlign w:val="center"/>
          </w:tcPr>
          <w:p w14:paraId="5D5EF4C0">
            <w:pPr>
              <w:keepNext w:val="0"/>
              <w:keepLines w:val="0"/>
              <w:suppressLineNumbers w:val="0"/>
              <w:spacing w:before="0" w:beforeAutospacing="0" w:after="0" w:afterAutospacing="0"/>
              <w:ind w:left="0" w:right="0"/>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复核意见：</w:t>
            </w:r>
          </w:p>
        </w:tc>
        <w:tc>
          <w:tcPr>
            <w:tcW w:w="4664" w:type="dxa"/>
            <w:gridSpan w:val="2"/>
            <w:tcBorders>
              <w:top w:val="single" w:color="000000" w:sz="4" w:space="0"/>
              <w:left w:val="nil"/>
              <w:bottom w:val="nil"/>
              <w:right w:val="single" w:color="000000" w:sz="4" w:space="0"/>
            </w:tcBorders>
            <w:noWrap w:val="0"/>
            <w:vAlign w:val="center"/>
          </w:tcPr>
          <w:p w14:paraId="0960AA77">
            <w:pPr>
              <w:keepNext w:val="0"/>
              <w:keepLines w:val="0"/>
              <w:suppressLineNumbers w:val="0"/>
              <w:spacing w:before="0" w:beforeAutospacing="0" w:after="0" w:afterAutospacing="0"/>
              <w:ind w:left="0" w:right="0"/>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复核意见：</w:t>
            </w:r>
          </w:p>
        </w:tc>
      </w:tr>
      <w:tr w14:paraId="237505B2">
        <w:tblPrEx>
          <w:tblCellMar>
            <w:top w:w="0" w:type="dxa"/>
            <w:left w:w="0" w:type="dxa"/>
            <w:bottom w:w="0" w:type="dxa"/>
            <w:right w:w="0" w:type="dxa"/>
          </w:tblCellMar>
        </w:tblPrEx>
        <w:trPr>
          <w:trHeight w:val="601" w:hRule="atLeast"/>
          <w:jc w:val="center"/>
        </w:trPr>
        <w:tc>
          <w:tcPr>
            <w:tcW w:w="4938" w:type="dxa"/>
            <w:gridSpan w:val="2"/>
            <w:tcBorders>
              <w:top w:val="nil"/>
              <w:left w:val="single" w:color="000000" w:sz="4" w:space="0"/>
              <w:bottom w:val="nil"/>
              <w:right w:val="single" w:color="000000" w:sz="4" w:space="0"/>
            </w:tcBorders>
            <w:noWrap w:val="0"/>
            <w:vAlign w:val="center"/>
          </w:tcPr>
          <w:p w14:paraId="19836700">
            <w:pPr>
              <w:keepNext w:val="0"/>
              <w:keepLines w:val="0"/>
              <w:suppressLineNumbers w:val="0"/>
              <w:spacing w:before="0" w:beforeAutospacing="0" w:after="0" w:afterAutospacing="0" w:line="246" w:lineRule="exact"/>
              <w:ind w:left="0" w:right="0"/>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□与实际施工情况不相符</w:t>
            </w:r>
            <w:r>
              <w:rPr>
                <w:rFonts w:hint="eastAsia" w:ascii="宋体" w:hAnsi="宋体" w:cs="Times New Roman"/>
                <w:color w:val="auto"/>
                <w:kern w:val="0"/>
                <w:sz w:val="21"/>
                <w:szCs w:val="21"/>
                <w:highlight w:val="none"/>
                <w:lang w:eastAsia="zh-CN"/>
              </w:rPr>
              <w:t>，</w:t>
            </w:r>
            <w:r>
              <w:rPr>
                <w:rFonts w:hint="eastAsia" w:ascii="宋体" w:hAnsi="宋体" w:cs="Times New Roman"/>
                <w:color w:val="auto"/>
                <w:kern w:val="0"/>
                <w:sz w:val="21"/>
                <w:szCs w:val="21"/>
                <w:highlight w:val="none"/>
              </w:rPr>
              <w:t>修改意见见附件</w:t>
            </w:r>
          </w:p>
        </w:tc>
        <w:tc>
          <w:tcPr>
            <w:tcW w:w="4664" w:type="dxa"/>
            <w:gridSpan w:val="2"/>
            <w:vMerge w:val="restart"/>
            <w:tcBorders>
              <w:top w:val="nil"/>
              <w:left w:val="nil"/>
              <w:bottom w:val="nil"/>
              <w:right w:val="single" w:color="000000" w:sz="4" w:space="0"/>
            </w:tcBorders>
            <w:noWrap w:val="0"/>
            <w:vAlign w:val="top"/>
          </w:tcPr>
          <w:p w14:paraId="7F7FC3D3">
            <w:pPr>
              <w:keepNext w:val="0"/>
              <w:keepLines w:val="0"/>
              <w:suppressLineNumbers w:val="0"/>
              <w:spacing w:before="0" w:beforeAutospacing="0" w:after="0" w:afterAutospacing="0" w:line="246" w:lineRule="exact"/>
              <w:ind w:left="0" w:right="0" w:firstLine="428" w:firstLineChars="200"/>
              <w:rPr>
                <w:rFonts w:hint="default" w:ascii="宋体" w:hAnsi="宋体" w:cs="Times New Roman"/>
                <w:color w:val="auto"/>
                <w:kern w:val="0"/>
                <w:sz w:val="21"/>
                <w:szCs w:val="21"/>
                <w:highlight w:val="none"/>
              </w:rPr>
            </w:pPr>
            <w:r>
              <w:rPr>
                <w:rFonts w:hint="eastAsia" w:ascii="宋体" w:hAnsi="宋体" w:cs="Times New Roman"/>
                <w:color w:val="auto"/>
                <w:spacing w:val="2"/>
                <w:kern w:val="0"/>
                <w:sz w:val="21"/>
                <w:szCs w:val="21"/>
                <w:highlight w:val="none"/>
              </w:rPr>
              <w:t>你方提出的支付申请经复核</w:t>
            </w:r>
            <w:r>
              <w:rPr>
                <w:rFonts w:hint="eastAsia" w:ascii="宋体" w:hAnsi="宋体" w:cs="Times New Roman"/>
                <w:color w:val="auto"/>
                <w:spacing w:val="2"/>
                <w:kern w:val="0"/>
                <w:sz w:val="21"/>
                <w:szCs w:val="21"/>
                <w:highlight w:val="none"/>
                <w:lang w:eastAsia="zh-CN"/>
              </w:rPr>
              <w:t>，</w:t>
            </w:r>
            <w:r>
              <w:rPr>
                <w:rFonts w:hint="eastAsia" w:ascii="宋体" w:hAnsi="宋体" w:cs="Times New Roman"/>
                <w:color w:val="auto"/>
                <w:spacing w:val="2"/>
                <w:kern w:val="0"/>
                <w:sz w:val="21"/>
                <w:szCs w:val="21"/>
                <w:highlight w:val="none"/>
              </w:rPr>
              <w:t>本期间应支付金额为（大写）</w:t>
            </w:r>
            <w:r>
              <w:rPr>
                <w:rFonts w:hint="eastAsia" w:ascii="宋体" w:hAnsi="宋体" w:cs="Times New Roman"/>
                <w:color w:val="auto"/>
                <w:spacing w:val="2"/>
                <w:kern w:val="0"/>
                <w:sz w:val="21"/>
                <w:szCs w:val="21"/>
                <w:highlight w:val="none"/>
                <w:u w:val="single"/>
              </w:rPr>
              <w:tab/>
            </w:r>
            <w:r>
              <w:rPr>
                <w:rFonts w:hint="eastAsia" w:ascii="宋体" w:hAnsi="宋体" w:cs="Times New Roman"/>
                <w:color w:val="auto"/>
                <w:spacing w:val="2"/>
                <w:kern w:val="0"/>
                <w:sz w:val="21"/>
                <w:szCs w:val="21"/>
                <w:highlight w:val="none"/>
                <w:u w:val="single"/>
              </w:rPr>
              <w:tab/>
            </w:r>
            <w:r>
              <w:rPr>
                <w:rFonts w:hint="eastAsia" w:ascii="宋体" w:hAnsi="宋体" w:cs="Times New Roman"/>
                <w:color w:val="auto"/>
                <w:spacing w:val="2"/>
                <w:kern w:val="0"/>
                <w:sz w:val="21"/>
                <w:szCs w:val="21"/>
                <w:highlight w:val="none"/>
                <w:u w:val="single"/>
              </w:rPr>
              <w:t xml:space="preserve"> </w:t>
            </w:r>
            <w:r>
              <w:rPr>
                <w:rFonts w:hint="eastAsia" w:ascii="宋体" w:hAnsi="宋体" w:cs="Times New Roman"/>
                <w:color w:val="auto"/>
                <w:spacing w:val="2"/>
                <w:kern w:val="0"/>
                <w:sz w:val="21"/>
                <w:szCs w:val="21"/>
                <w:highlight w:val="none"/>
              </w:rPr>
              <w:t>（小写</w:t>
            </w:r>
            <w:r>
              <w:rPr>
                <w:rFonts w:hint="eastAsia" w:ascii="宋体" w:hAnsi="宋体" w:cs="Times New Roman"/>
                <w:color w:val="auto"/>
                <w:spacing w:val="2"/>
                <w:kern w:val="0"/>
                <w:sz w:val="21"/>
                <w:szCs w:val="21"/>
                <w:highlight w:val="none"/>
                <w:u w:val="single"/>
              </w:rPr>
              <w:tab/>
            </w:r>
            <w:r>
              <w:rPr>
                <w:rFonts w:hint="eastAsia" w:ascii="宋体" w:hAnsi="宋体" w:cs="Times New Roman"/>
                <w:color w:val="auto"/>
                <w:spacing w:val="2"/>
                <w:kern w:val="0"/>
                <w:sz w:val="21"/>
                <w:szCs w:val="21"/>
                <w:highlight w:val="none"/>
                <w:u w:val="single"/>
              </w:rPr>
              <w:tab/>
            </w:r>
            <w:r>
              <w:rPr>
                <w:rFonts w:hint="eastAsia" w:ascii="宋体" w:hAnsi="宋体" w:cs="Times New Roman"/>
                <w:color w:val="auto"/>
                <w:spacing w:val="2"/>
                <w:kern w:val="0"/>
                <w:sz w:val="21"/>
                <w:szCs w:val="21"/>
                <w:highlight w:val="none"/>
                <w:u w:val="single"/>
              </w:rPr>
              <w:t xml:space="preserve">      </w:t>
            </w:r>
            <w:r>
              <w:rPr>
                <w:rFonts w:hint="eastAsia" w:ascii="宋体" w:hAnsi="宋体" w:cs="Times New Roman"/>
                <w:color w:val="auto"/>
                <w:spacing w:val="2"/>
                <w:kern w:val="0"/>
                <w:sz w:val="21"/>
                <w:szCs w:val="21"/>
                <w:highlight w:val="none"/>
                <w:u w:val="single"/>
              </w:rPr>
              <w:tab/>
            </w:r>
            <w:r>
              <w:rPr>
                <w:rFonts w:hint="eastAsia" w:ascii="宋体" w:hAnsi="宋体" w:cs="Times New Roman"/>
                <w:color w:val="auto"/>
                <w:spacing w:val="2"/>
                <w:kern w:val="0"/>
                <w:sz w:val="21"/>
                <w:szCs w:val="21"/>
                <w:highlight w:val="none"/>
              </w:rPr>
              <w:t>）。</w:t>
            </w:r>
          </w:p>
        </w:tc>
      </w:tr>
      <w:tr w14:paraId="28AC6858">
        <w:tblPrEx>
          <w:tblCellMar>
            <w:top w:w="0" w:type="dxa"/>
            <w:left w:w="0" w:type="dxa"/>
            <w:bottom w:w="0" w:type="dxa"/>
            <w:right w:w="0" w:type="dxa"/>
          </w:tblCellMar>
        </w:tblPrEx>
        <w:trPr>
          <w:trHeight w:val="623" w:hRule="atLeast"/>
          <w:jc w:val="center"/>
        </w:trPr>
        <w:tc>
          <w:tcPr>
            <w:tcW w:w="4938" w:type="dxa"/>
            <w:gridSpan w:val="2"/>
            <w:tcBorders>
              <w:top w:val="nil"/>
              <w:left w:val="single" w:color="000000" w:sz="4" w:space="0"/>
              <w:bottom w:val="nil"/>
              <w:right w:val="single" w:color="000000" w:sz="4" w:space="0"/>
            </w:tcBorders>
            <w:noWrap w:val="0"/>
            <w:vAlign w:val="center"/>
          </w:tcPr>
          <w:p w14:paraId="10665C8C">
            <w:pPr>
              <w:keepNext w:val="0"/>
              <w:keepLines w:val="0"/>
              <w:suppressLineNumbers w:val="0"/>
              <w:spacing w:before="0" w:beforeAutospacing="0" w:after="0" w:afterAutospacing="0" w:line="246" w:lineRule="exact"/>
              <w:ind w:left="0" w:right="0"/>
              <w:rPr>
                <w:rFonts w:hint="default" w:ascii="宋体" w:hAnsi="宋体" w:cs="Times New Roman"/>
                <w:color w:val="auto"/>
                <w:kern w:val="0"/>
                <w:sz w:val="21"/>
                <w:szCs w:val="21"/>
                <w:highlight w:val="none"/>
              </w:rPr>
            </w:pPr>
            <w:r>
              <w:rPr>
                <w:rFonts w:hint="eastAsia" w:ascii="宋体" w:hAnsi="宋体" w:cs="Times New Roman"/>
                <w:color w:val="auto"/>
                <w:spacing w:val="7"/>
                <w:kern w:val="0"/>
                <w:sz w:val="21"/>
                <w:szCs w:val="21"/>
                <w:highlight w:val="none"/>
              </w:rPr>
              <w:t>□与实际施工</w:t>
            </w:r>
            <w:r>
              <w:rPr>
                <w:rFonts w:hint="eastAsia" w:ascii="宋体" w:hAnsi="宋体" w:cs="Times New Roman"/>
                <w:color w:val="auto"/>
                <w:spacing w:val="4"/>
                <w:kern w:val="0"/>
                <w:sz w:val="21"/>
                <w:szCs w:val="21"/>
                <w:highlight w:val="none"/>
              </w:rPr>
              <w:t>情</w:t>
            </w:r>
            <w:r>
              <w:rPr>
                <w:rFonts w:hint="eastAsia" w:ascii="宋体" w:hAnsi="宋体" w:cs="Times New Roman"/>
                <w:color w:val="auto"/>
                <w:spacing w:val="7"/>
                <w:kern w:val="0"/>
                <w:sz w:val="21"/>
                <w:szCs w:val="21"/>
                <w:highlight w:val="none"/>
              </w:rPr>
              <w:t>况相符</w:t>
            </w:r>
            <w:r>
              <w:rPr>
                <w:rFonts w:hint="eastAsia" w:ascii="宋体" w:hAnsi="宋体" w:cs="Times New Roman"/>
                <w:color w:val="auto"/>
                <w:spacing w:val="7"/>
                <w:kern w:val="0"/>
                <w:sz w:val="21"/>
                <w:szCs w:val="21"/>
                <w:highlight w:val="none"/>
                <w:lang w:eastAsia="zh-CN"/>
              </w:rPr>
              <w:t>，</w:t>
            </w:r>
            <w:r>
              <w:rPr>
                <w:rFonts w:hint="eastAsia" w:ascii="宋体" w:hAnsi="宋体" w:cs="Times New Roman"/>
                <w:color w:val="auto"/>
                <w:spacing w:val="4"/>
                <w:kern w:val="0"/>
                <w:sz w:val="21"/>
                <w:szCs w:val="21"/>
                <w:highlight w:val="none"/>
              </w:rPr>
              <w:t>具体</w:t>
            </w:r>
            <w:r>
              <w:rPr>
                <w:rFonts w:hint="eastAsia" w:ascii="宋体" w:hAnsi="宋体" w:cs="Times New Roman"/>
                <w:color w:val="auto"/>
                <w:spacing w:val="7"/>
                <w:kern w:val="0"/>
                <w:sz w:val="21"/>
                <w:szCs w:val="21"/>
                <w:highlight w:val="none"/>
              </w:rPr>
              <w:t>金额应由造价工</w:t>
            </w:r>
            <w:r>
              <w:rPr>
                <w:rFonts w:hint="eastAsia" w:ascii="宋体" w:hAnsi="宋体" w:cs="Times New Roman"/>
                <w:color w:val="auto"/>
                <w:spacing w:val="4"/>
                <w:kern w:val="0"/>
                <w:sz w:val="21"/>
                <w:szCs w:val="21"/>
                <w:highlight w:val="none"/>
              </w:rPr>
              <w:t>程</w:t>
            </w:r>
            <w:r>
              <w:rPr>
                <w:rFonts w:hint="eastAsia" w:ascii="宋体" w:hAnsi="宋体" w:cs="Times New Roman"/>
                <w:color w:val="auto"/>
                <w:spacing w:val="7"/>
                <w:kern w:val="0"/>
                <w:sz w:val="21"/>
                <w:szCs w:val="21"/>
                <w:highlight w:val="none"/>
              </w:rPr>
              <w:t>师</w:t>
            </w:r>
            <w:r>
              <w:rPr>
                <w:rFonts w:hint="eastAsia" w:ascii="宋体" w:hAnsi="宋体" w:cs="Times New Roman"/>
                <w:color w:val="auto"/>
                <w:kern w:val="0"/>
                <w:sz w:val="21"/>
                <w:szCs w:val="21"/>
                <w:highlight w:val="none"/>
              </w:rPr>
              <w:t>复核</w:t>
            </w:r>
          </w:p>
        </w:tc>
        <w:tc>
          <w:tcPr>
            <w:tcW w:w="4664" w:type="dxa"/>
            <w:gridSpan w:val="2"/>
            <w:vMerge w:val="continue"/>
            <w:tcBorders>
              <w:top w:val="nil"/>
              <w:left w:val="nil"/>
              <w:bottom w:val="nil"/>
              <w:right w:val="single" w:color="000000" w:sz="4" w:space="0"/>
            </w:tcBorders>
            <w:noWrap w:val="0"/>
            <w:vAlign w:val="center"/>
          </w:tcPr>
          <w:p w14:paraId="37B49604">
            <w:pPr>
              <w:keepNext w:val="0"/>
              <w:keepLines w:val="0"/>
              <w:widowControl/>
              <w:suppressLineNumbers w:val="0"/>
              <w:spacing w:before="0" w:beforeAutospacing="0" w:after="0" w:afterAutospacing="0"/>
              <w:ind w:left="0" w:right="0"/>
              <w:jc w:val="left"/>
              <w:rPr>
                <w:rFonts w:hint="default" w:ascii="宋体" w:hAnsi="宋体" w:cs="Times New Roman"/>
                <w:color w:val="auto"/>
                <w:kern w:val="0"/>
                <w:sz w:val="21"/>
                <w:szCs w:val="21"/>
                <w:highlight w:val="none"/>
              </w:rPr>
            </w:pPr>
          </w:p>
        </w:tc>
      </w:tr>
      <w:tr w14:paraId="1B264430">
        <w:tblPrEx>
          <w:tblCellMar>
            <w:top w:w="0" w:type="dxa"/>
            <w:left w:w="0" w:type="dxa"/>
            <w:bottom w:w="0" w:type="dxa"/>
            <w:right w:w="0" w:type="dxa"/>
          </w:tblCellMar>
        </w:tblPrEx>
        <w:trPr>
          <w:trHeight w:val="70" w:hRule="atLeast"/>
          <w:jc w:val="center"/>
        </w:trPr>
        <w:tc>
          <w:tcPr>
            <w:tcW w:w="4938" w:type="dxa"/>
            <w:gridSpan w:val="2"/>
            <w:tcBorders>
              <w:top w:val="nil"/>
              <w:left w:val="single" w:color="000000" w:sz="4" w:space="0"/>
              <w:bottom w:val="nil"/>
              <w:right w:val="single" w:color="000000" w:sz="4" w:space="0"/>
            </w:tcBorders>
            <w:noWrap w:val="0"/>
            <w:vAlign w:val="center"/>
          </w:tcPr>
          <w:p w14:paraId="48769CE5">
            <w:pPr>
              <w:keepNext w:val="0"/>
              <w:keepLines w:val="0"/>
              <w:suppressLineNumbers w:val="0"/>
              <w:spacing w:before="0" w:beforeAutospacing="0" w:after="0" w:afterAutospacing="0" w:line="246" w:lineRule="exact"/>
              <w:ind w:left="0" w:right="0"/>
              <w:rPr>
                <w:rFonts w:hint="default" w:ascii="宋体" w:hAnsi="宋体" w:cs="Times New Roman"/>
                <w:color w:val="auto"/>
                <w:kern w:val="0"/>
                <w:sz w:val="21"/>
                <w:szCs w:val="21"/>
                <w:highlight w:val="none"/>
              </w:rPr>
            </w:pPr>
          </w:p>
        </w:tc>
        <w:tc>
          <w:tcPr>
            <w:tcW w:w="4664" w:type="dxa"/>
            <w:gridSpan w:val="2"/>
            <w:tcBorders>
              <w:top w:val="nil"/>
              <w:left w:val="nil"/>
              <w:bottom w:val="nil"/>
              <w:right w:val="single" w:color="000000" w:sz="4" w:space="0"/>
            </w:tcBorders>
            <w:noWrap w:val="0"/>
            <w:vAlign w:val="center"/>
          </w:tcPr>
          <w:p w14:paraId="425BBC99">
            <w:pPr>
              <w:keepNext w:val="0"/>
              <w:keepLines w:val="0"/>
              <w:suppressLineNumbers w:val="0"/>
              <w:spacing w:before="0" w:beforeAutospacing="0" w:after="0" w:afterAutospacing="0" w:line="246" w:lineRule="exact"/>
              <w:ind w:left="0" w:right="0"/>
              <w:rPr>
                <w:rFonts w:hint="default" w:ascii="宋体" w:hAnsi="宋体" w:cs="Times New Roman"/>
                <w:color w:val="auto"/>
                <w:kern w:val="0"/>
                <w:sz w:val="21"/>
                <w:szCs w:val="21"/>
                <w:highlight w:val="none"/>
              </w:rPr>
            </w:pPr>
          </w:p>
        </w:tc>
      </w:tr>
      <w:tr w14:paraId="71F77353">
        <w:tblPrEx>
          <w:tblCellMar>
            <w:top w:w="0" w:type="dxa"/>
            <w:left w:w="0" w:type="dxa"/>
            <w:bottom w:w="0" w:type="dxa"/>
            <w:right w:w="0" w:type="dxa"/>
          </w:tblCellMar>
        </w:tblPrEx>
        <w:trPr>
          <w:trHeight w:val="899" w:hRule="atLeast"/>
          <w:jc w:val="center"/>
        </w:trPr>
        <w:tc>
          <w:tcPr>
            <w:tcW w:w="4938" w:type="dxa"/>
            <w:gridSpan w:val="2"/>
            <w:tcBorders>
              <w:top w:val="nil"/>
              <w:left w:val="single" w:color="000000" w:sz="4" w:space="0"/>
              <w:bottom w:val="single" w:color="000000" w:sz="4" w:space="0"/>
              <w:right w:val="single" w:color="000000" w:sz="4" w:space="0"/>
            </w:tcBorders>
            <w:noWrap w:val="0"/>
            <w:vAlign w:val="center"/>
          </w:tcPr>
          <w:p w14:paraId="5B776B04">
            <w:pPr>
              <w:keepNext w:val="0"/>
              <w:keepLines w:val="0"/>
              <w:suppressLineNumbers w:val="0"/>
              <w:wordWrap w:val="0"/>
              <w:spacing w:before="0" w:beforeAutospacing="0" w:after="0" w:afterAutospacing="0" w:line="278" w:lineRule="auto"/>
              <w:ind w:left="0" w:right="0"/>
              <w:jc w:val="right"/>
              <w:rPr>
                <w:rFonts w:hint="default" w:ascii="宋体" w:hAnsi="宋体" w:cs="Times New Roman"/>
                <w:color w:val="auto"/>
                <w:kern w:val="0"/>
                <w:sz w:val="21"/>
                <w:szCs w:val="21"/>
                <w:highlight w:val="none"/>
                <w:u w:val="single" w:color="000000"/>
              </w:rPr>
            </w:pPr>
            <w:r>
              <w:rPr>
                <w:rFonts w:hint="eastAsia" w:ascii="宋体" w:hAnsi="宋体" w:cs="Times New Roman"/>
                <w:color w:val="auto"/>
                <w:kern w:val="0"/>
                <w:sz w:val="21"/>
                <w:szCs w:val="21"/>
                <w:highlight w:val="none"/>
              </w:rPr>
              <w:t>监理工程师</w:t>
            </w:r>
            <w:r>
              <w:rPr>
                <w:rFonts w:hint="eastAsia" w:ascii="宋体" w:hAnsi="宋体" w:cs="Times New Roman"/>
                <w:color w:val="auto"/>
                <w:kern w:val="0"/>
                <w:sz w:val="21"/>
                <w:szCs w:val="21"/>
                <w:highlight w:val="none"/>
                <w:u w:val="single"/>
              </w:rPr>
              <w:t xml:space="preserve">         </w:t>
            </w:r>
          </w:p>
          <w:p w14:paraId="6C037CC8">
            <w:pPr>
              <w:keepNext w:val="0"/>
              <w:keepLines w:val="0"/>
              <w:suppressLineNumbers w:val="0"/>
              <w:wordWrap w:val="0"/>
              <w:spacing w:before="0" w:beforeAutospacing="0" w:after="0" w:afterAutospacing="0" w:line="278" w:lineRule="auto"/>
              <w:ind w:left="0" w:right="0"/>
              <w:jc w:val="right"/>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日期</w:t>
            </w:r>
            <w:r>
              <w:rPr>
                <w:rFonts w:hint="eastAsia" w:ascii="宋体" w:hAnsi="宋体" w:cs="Times New Roman"/>
                <w:color w:val="auto"/>
                <w:kern w:val="0"/>
                <w:sz w:val="21"/>
                <w:szCs w:val="21"/>
                <w:highlight w:val="none"/>
                <w:u w:val="single"/>
              </w:rPr>
              <w:t xml:space="preserve">         </w:t>
            </w:r>
          </w:p>
        </w:tc>
        <w:tc>
          <w:tcPr>
            <w:tcW w:w="4664" w:type="dxa"/>
            <w:gridSpan w:val="2"/>
            <w:tcBorders>
              <w:top w:val="nil"/>
              <w:left w:val="nil"/>
              <w:bottom w:val="single" w:color="000000" w:sz="4" w:space="0"/>
              <w:right w:val="single" w:color="000000" w:sz="4" w:space="0"/>
            </w:tcBorders>
            <w:noWrap w:val="0"/>
            <w:vAlign w:val="center"/>
          </w:tcPr>
          <w:p w14:paraId="55820BA7">
            <w:pPr>
              <w:keepNext w:val="0"/>
              <w:keepLines w:val="0"/>
              <w:suppressLineNumbers w:val="0"/>
              <w:wordWrap w:val="0"/>
              <w:spacing w:before="0" w:beforeAutospacing="0" w:after="0" w:afterAutospacing="0" w:line="278" w:lineRule="auto"/>
              <w:ind w:left="0" w:right="0"/>
              <w:jc w:val="right"/>
              <w:rPr>
                <w:rFonts w:hint="default" w:ascii="宋体" w:hAnsi="宋体" w:cs="Times New Roman"/>
                <w:color w:val="auto"/>
                <w:kern w:val="0"/>
                <w:sz w:val="21"/>
                <w:szCs w:val="21"/>
                <w:highlight w:val="none"/>
                <w:u w:val="single" w:color="000000"/>
              </w:rPr>
            </w:pPr>
            <w:r>
              <w:rPr>
                <w:rFonts w:hint="eastAsia" w:ascii="宋体" w:hAnsi="宋体" w:cs="Times New Roman"/>
                <w:color w:val="auto"/>
                <w:kern w:val="0"/>
                <w:sz w:val="21"/>
                <w:szCs w:val="21"/>
                <w:highlight w:val="none"/>
              </w:rPr>
              <w:t>一级注册造价工程师</w:t>
            </w:r>
            <w:r>
              <w:rPr>
                <w:rFonts w:hint="eastAsia" w:ascii="宋体" w:hAnsi="宋体" w:cs="Times New Roman"/>
                <w:color w:val="auto"/>
                <w:kern w:val="0"/>
                <w:sz w:val="21"/>
                <w:szCs w:val="21"/>
                <w:highlight w:val="none"/>
                <w:u w:val="single"/>
              </w:rPr>
              <w:t xml:space="preserve">         </w:t>
            </w:r>
          </w:p>
          <w:p w14:paraId="054CF0DF">
            <w:pPr>
              <w:keepNext w:val="0"/>
              <w:keepLines w:val="0"/>
              <w:suppressLineNumbers w:val="0"/>
              <w:wordWrap w:val="0"/>
              <w:spacing w:before="0" w:beforeAutospacing="0" w:after="0" w:afterAutospacing="0" w:line="278" w:lineRule="auto"/>
              <w:ind w:left="0" w:right="0"/>
              <w:jc w:val="right"/>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日期</w:t>
            </w:r>
            <w:r>
              <w:rPr>
                <w:rFonts w:hint="eastAsia" w:ascii="宋体" w:hAnsi="宋体" w:cs="Times New Roman"/>
                <w:color w:val="auto"/>
                <w:kern w:val="0"/>
                <w:sz w:val="21"/>
                <w:szCs w:val="21"/>
                <w:highlight w:val="none"/>
                <w:u w:val="single"/>
              </w:rPr>
              <w:t xml:space="preserve">         </w:t>
            </w:r>
          </w:p>
        </w:tc>
      </w:tr>
      <w:tr w14:paraId="0FA3FACE">
        <w:tblPrEx>
          <w:tblCellMar>
            <w:top w:w="0" w:type="dxa"/>
            <w:left w:w="0" w:type="dxa"/>
            <w:bottom w:w="0" w:type="dxa"/>
            <w:right w:w="0" w:type="dxa"/>
          </w:tblCellMar>
        </w:tblPrEx>
        <w:trPr>
          <w:trHeight w:val="403" w:hRule="atLeast"/>
          <w:jc w:val="center"/>
        </w:trPr>
        <w:tc>
          <w:tcPr>
            <w:tcW w:w="9602" w:type="dxa"/>
            <w:gridSpan w:val="4"/>
            <w:tcBorders>
              <w:top w:val="single" w:color="000000" w:sz="4" w:space="0"/>
              <w:left w:val="single" w:color="000000" w:sz="4" w:space="0"/>
              <w:bottom w:val="nil"/>
              <w:right w:val="single" w:color="000000" w:sz="4" w:space="0"/>
            </w:tcBorders>
            <w:noWrap w:val="0"/>
            <w:vAlign w:val="center"/>
          </w:tcPr>
          <w:p w14:paraId="374DBBA8">
            <w:pPr>
              <w:keepNext w:val="0"/>
              <w:keepLines w:val="0"/>
              <w:suppressLineNumbers w:val="0"/>
              <w:spacing w:before="56" w:beforeAutospacing="0" w:after="0" w:afterAutospacing="0"/>
              <w:ind w:left="0" w:right="0"/>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审核意见：</w:t>
            </w:r>
          </w:p>
        </w:tc>
      </w:tr>
      <w:tr w14:paraId="094AEFB3">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center"/>
          </w:tcPr>
          <w:p w14:paraId="002FE3B8">
            <w:pPr>
              <w:keepNext w:val="0"/>
              <w:keepLines w:val="0"/>
              <w:suppressLineNumbers w:val="0"/>
              <w:spacing w:before="0" w:beforeAutospacing="0" w:after="0" w:afterAutospacing="0" w:line="246" w:lineRule="exact"/>
              <w:ind w:left="0" w:right="0"/>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□不同意</w:t>
            </w:r>
          </w:p>
        </w:tc>
      </w:tr>
      <w:tr w14:paraId="5A66CC9B">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center"/>
          </w:tcPr>
          <w:p w14:paraId="466DBA70">
            <w:pPr>
              <w:keepNext w:val="0"/>
              <w:keepLines w:val="0"/>
              <w:suppressLineNumbers w:val="0"/>
              <w:spacing w:before="0" w:beforeAutospacing="0" w:after="0" w:afterAutospacing="0" w:line="246" w:lineRule="exact"/>
              <w:ind w:left="0" w:right="0"/>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□同意</w:t>
            </w:r>
          </w:p>
        </w:tc>
      </w:tr>
      <w:tr w14:paraId="04675FCD">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top"/>
          </w:tcPr>
          <w:p w14:paraId="3471C7FB">
            <w:pPr>
              <w:keepNext w:val="0"/>
              <w:keepLines w:val="0"/>
              <w:suppressLineNumbers w:val="0"/>
              <w:wordWrap w:val="0"/>
              <w:spacing w:before="0" w:beforeAutospacing="0" w:after="0" w:afterAutospacing="0" w:line="246" w:lineRule="exact"/>
              <w:ind w:left="0" w:right="360"/>
              <w:jc w:val="right"/>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 xml:space="preserve">发包人（章）     </w:t>
            </w:r>
          </w:p>
        </w:tc>
      </w:tr>
      <w:tr w14:paraId="2AA8A031">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top"/>
          </w:tcPr>
          <w:p w14:paraId="2D7E3298">
            <w:pPr>
              <w:keepNext w:val="0"/>
              <w:keepLines w:val="0"/>
              <w:suppressLineNumbers w:val="0"/>
              <w:spacing w:before="0" w:beforeAutospacing="0" w:after="0" w:afterAutospacing="0" w:line="246" w:lineRule="exact"/>
              <w:ind w:left="0" w:right="0"/>
              <w:jc w:val="right"/>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发包人代表</w:t>
            </w:r>
            <w:r>
              <w:rPr>
                <w:rFonts w:hint="eastAsia" w:ascii="宋体" w:hAnsi="宋体" w:cs="Times New Roman"/>
                <w:color w:val="auto"/>
                <w:kern w:val="0"/>
                <w:sz w:val="21"/>
                <w:szCs w:val="21"/>
                <w:highlight w:val="none"/>
                <w:u w:val="single"/>
              </w:rPr>
              <w:tab/>
            </w:r>
            <w:r>
              <w:rPr>
                <w:rFonts w:hint="eastAsia" w:ascii="宋体" w:hAnsi="宋体" w:cs="Times New Roman"/>
                <w:color w:val="auto"/>
                <w:kern w:val="0"/>
                <w:sz w:val="21"/>
                <w:szCs w:val="21"/>
                <w:highlight w:val="none"/>
                <w:u w:val="single"/>
              </w:rPr>
              <w:t xml:space="preserve">    </w:t>
            </w:r>
            <w:r>
              <w:rPr>
                <w:rFonts w:hint="eastAsia" w:ascii="宋体" w:hAnsi="宋体" w:cs="Times New Roman"/>
                <w:color w:val="auto"/>
                <w:kern w:val="0"/>
                <w:sz w:val="21"/>
                <w:szCs w:val="21"/>
                <w:highlight w:val="none"/>
                <w:u w:val="single" w:color="000000"/>
              </w:rPr>
              <w:tab/>
            </w:r>
          </w:p>
        </w:tc>
      </w:tr>
      <w:tr w14:paraId="2D2EACE9">
        <w:tblPrEx>
          <w:tblCellMar>
            <w:top w:w="0" w:type="dxa"/>
            <w:left w:w="0" w:type="dxa"/>
            <w:bottom w:w="0" w:type="dxa"/>
            <w:right w:w="0" w:type="dxa"/>
          </w:tblCellMar>
        </w:tblPrEx>
        <w:trPr>
          <w:trHeight w:val="489" w:hRule="atLeast"/>
          <w:jc w:val="center"/>
        </w:trPr>
        <w:tc>
          <w:tcPr>
            <w:tcW w:w="9602" w:type="dxa"/>
            <w:gridSpan w:val="4"/>
            <w:tcBorders>
              <w:top w:val="nil"/>
              <w:left w:val="single" w:color="000000" w:sz="4" w:space="0"/>
              <w:bottom w:val="single" w:color="000000" w:sz="4" w:space="0"/>
              <w:right w:val="single" w:color="000000" w:sz="4" w:space="0"/>
            </w:tcBorders>
            <w:noWrap w:val="0"/>
            <w:vAlign w:val="top"/>
          </w:tcPr>
          <w:p w14:paraId="5030ADCA">
            <w:pPr>
              <w:keepNext w:val="0"/>
              <w:keepLines w:val="0"/>
              <w:suppressLineNumbers w:val="0"/>
              <w:wordWrap w:val="0"/>
              <w:spacing w:before="0" w:beforeAutospacing="0" w:after="0" w:afterAutospacing="0" w:line="246" w:lineRule="exact"/>
              <w:ind w:left="0" w:right="0"/>
              <w:jc w:val="right"/>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日期</w:t>
            </w:r>
            <w:r>
              <w:rPr>
                <w:rFonts w:hint="eastAsia" w:ascii="宋体" w:hAnsi="宋体" w:cs="Times New Roman"/>
                <w:color w:val="auto"/>
                <w:kern w:val="0"/>
                <w:sz w:val="21"/>
                <w:szCs w:val="21"/>
                <w:highlight w:val="none"/>
                <w:u w:val="single" w:color="000000"/>
              </w:rPr>
              <w:tab/>
            </w:r>
            <w:r>
              <w:rPr>
                <w:rFonts w:hint="eastAsia" w:ascii="宋体" w:hAnsi="宋体" w:cs="Times New Roman"/>
                <w:color w:val="auto"/>
                <w:kern w:val="0"/>
                <w:sz w:val="21"/>
                <w:szCs w:val="21"/>
                <w:highlight w:val="none"/>
                <w:u w:val="single" w:color="000000"/>
              </w:rPr>
              <w:t xml:space="preserve">      </w:t>
            </w:r>
          </w:p>
        </w:tc>
      </w:tr>
    </w:tbl>
    <w:p w14:paraId="03815FA3">
      <w:pPr>
        <w:spacing w:line="243" w:lineRule="exact"/>
        <w:ind w:firstLine="0" w:firstLineChars="0"/>
        <w:rPr>
          <w:rFonts w:ascii="宋体" w:hAnsi="宋体" w:cs="Times New Roman"/>
          <w:color w:val="auto"/>
          <w:sz w:val="21"/>
          <w:szCs w:val="21"/>
          <w:highlight w:val="none"/>
        </w:rPr>
      </w:pPr>
      <w:r>
        <w:rPr>
          <w:rFonts w:hint="eastAsia" w:ascii="宋体" w:hAnsi="宋体" w:cs="Times New Roman"/>
          <w:color w:val="auto"/>
          <w:sz w:val="21"/>
          <w:szCs w:val="21"/>
          <w:highlight w:val="none"/>
        </w:rPr>
        <w:t>注：</w:t>
      </w:r>
      <w:r>
        <w:rPr>
          <w:rFonts w:hint="eastAsia" w:ascii="宋体" w:hAnsi="宋体" w:cs="Times New Roman"/>
          <w:color w:val="auto"/>
          <w:spacing w:val="1"/>
          <w:sz w:val="21"/>
          <w:szCs w:val="21"/>
          <w:highlight w:val="none"/>
        </w:rPr>
        <w:t>1  应</w:t>
      </w:r>
      <w:r>
        <w:rPr>
          <w:rFonts w:hint="eastAsia" w:ascii="宋体" w:hAnsi="宋体" w:cs="Times New Roman"/>
          <w:color w:val="auto"/>
          <w:sz w:val="21"/>
          <w:szCs w:val="21"/>
          <w:highlight w:val="none"/>
        </w:rPr>
        <w:t>在选择栏中的</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内作标识</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w:t>
      </w:r>
      <w:r>
        <w:rPr>
          <w:rFonts w:hint="eastAsia" w:ascii="宋体" w:hAnsi="宋体" w:cs="Times New Roman"/>
          <w:color w:val="auto"/>
          <w:spacing w:val="-92"/>
          <w:sz w:val="21"/>
          <w:szCs w:val="21"/>
          <w:highlight w:val="none"/>
          <w:lang w:eastAsia="zh-CN"/>
        </w:rPr>
        <w:t>”</w:t>
      </w:r>
      <w:r>
        <w:rPr>
          <w:rFonts w:hint="eastAsia" w:ascii="宋体" w:hAnsi="宋体" w:cs="Times New Roman"/>
          <w:color w:val="auto"/>
          <w:sz w:val="21"/>
          <w:szCs w:val="21"/>
          <w:highlight w:val="none"/>
        </w:rPr>
        <w:t>。如监理人已退场</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监理工程师栏可空缺；</w:t>
      </w:r>
    </w:p>
    <w:p w14:paraId="32EE6157">
      <w:pPr>
        <w:spacing w:before="46"/>
        <w:ind w:firstLine="424" w:firstLineChars="200"/>
        <w:jc w:val="left"/>
        <w:rPr>
          <w:rFonts w:hint="eastAsia" w:ascii="宋体" w:hAnsi="宋体" w:cs="Times New Roman"/>
          <w:color w:val="auto"/>
          <w:sz w:val="21"/>
          <w:szCs w:val="21"/>
          <w:highlight w:val="none"/>
        </w:rPr>
      </w:pPr>
      <w:r>
        <w:rPr>
          <w:rFonts w:hint="eastAsia" w:ascii="宋体" w:hAnsi="宋体" w:cs="Times New Roman"/>
          <w:color w:val="auto"/>
          <w:spacing w:val="1"/>
          <w:sz w:val="21"/>
          <w:szCs w:val="21"/>
          <w:highlight w:val="none"/>
        </w:rPr>
        <w:t xml:space="preserve">2  </w:t>
      </w:r>
      <w:r>
        <w:rPr>
          <w:rFonts w:hint="eastAsia" w:ascii="宋体" w:hAnsi="宋体" w:cs="Times New Roman"/>
          <w:color w:val="auto"/>
          <w:sz w:val="21"/>
          <w:szCs w:val="21"/>
          <w:highlight w:val="none"/>
        </w:rPr>
        <w:t>本表一式四份</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应由承包人填报</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发包人、监理人、工程造价咨询人、承包人各存一份；</w:t>
      </w:r>
    </w:p>
    <w:p w14:paraId="52A92F44">
      <w:pPr>
        <w:spacing w:before="46" w:beforeLines="0"/>
        <w:ind w:left="0" w:firstLine="424" w:firstLineChars="200"/>
        <w:rPr>
          <w:rFonts w:ascii="宋体" w:hAnsi="Times New Roman" w:cs="Times New Roman"/>
          <w:color w:val="auto"/>
          <w:sz w:val="21"/>
          <w:szCs w:val="21"/>
          <w:highlight w:val="none"/>
        </w:rPr>
      </w:pPr>
      <w:r>
        <w:rPr>
          <w:rFonts w:hint="eastAsia" w:ascii="宋体" w:hAnsi="宋体" w:cs="Times New Roman"/>
          <w:color w:val="auto"/>
          <w:spacing w:val="1"/>
          <w:sz w:val="21"/>
          <w:szCs w:val="21"/>
          <w:highlight w:val="none"/>
        </w:rPr>
        <w:t xml:space="preserve">3  </w:t>
      </w:r>
      <w:r>
        <w:rPr>
          <w:rFonts w:hint="eastAsia" w:ascii="宋体" w:hAnsi="宋体" w:cs="Times New Roman"/>
          <w:color w:val="auto"/>
          <w:sz w:val="21"/>
          <w:szCs w:val="21"/>
          <w:highlight w:val="none"/>
        </w:rPr>
        <w:t>编制人员、一级注册造价工程师应签字和盖章</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承包人代表、监理工程师、发包人代表应签字或盖章。</w:t>
      </w:r>
    </w:p>
    <w:p w14:paraId="410B82DC">
      <w:pPr>
        <w:spacing w:before="46" w:beforeLines="0"/>
        <w:ind w:left="0" w:firstLine="210" w:firstLineChars="100"/>
        <w:rPr>
          <w:rFonts w:ascii="宋体" w:hAnsi="Times New Roman" w:cs="Times New Roman"/>
          <w:color w:val="auto"/>
          <w:sz w:val="21"/>
          <w:szCs w:val="21"/>
          <w:highlight w:val="none"/>
        </w:rPr>
      </w:pPr>
    </w:p>
    <w:p w14:paraId="2AAE2F69">
      <w:pPr>
        <w:spacing w:before="46" w:beforeLines="0"/>
        <w:ind w:left="0" w:firstLine="210" w:firstLineChars="100"/>
        <w:rPr>
          <w:rFonts w:ascii="宋体" w:hAnsi="Times New Roman" w:cs="Times New Roman"/>
          <w:color w:val="auto"/>
          <w:sz w:val="21"/>
          <w:szCs w:val="21"/>
          <w:highlight w:val="none"/>
        </w:rPr>
      </w:pPr>
    </w:p>
    <w:p w14:paraId="493B4836">
      <w:pPr>
        <w:keepNext/>
        <w:keepLines/>
        <w:widowControl/>
        <w:spacing w:before="120" w:beforeLines="0" w:after="120" w:afterLines="0" w:line="360" w:lineRule="auto"/>
        <w:jc w:val="both"/>
        <w:outlineLvl w:val="3"/>
        <w:rPr>
          <w:rFonts w:hint="eastAsia" w:ascii="仿宋_GB2312" w:hAnsi="Arial" w:eastAsia="仿宋_GB2312" w:cs="仿宋_GB2312"/>
          <w:color w:val="auto"/>
          <w:kern w:val="0"/>
          <w:sz w:val="21"/>
          <w:szCs w:val="21"/>
          <w:highlight w:val="none"/>
          <w:lang w:val="en-US" w:eastAsia="zh-CN" w:bidi="ar-SA"/>
        </w:rPr>
      </w:pPr>
      <w:r>
        <w:rPr>
          <w:rFonts w:hint="eastAsia" w:ascii="仿宋_GB2312" w:hAnsi="Arial" w:eastAsia="仿宋_GB2312" w:cs="仿宋_GB2312"/>
          <w:color w:val="auto"/>
          <w:kern w:val="0"/>
          <w:sz w:val="21"/>
          <w:szCs w:val="21"/>
          <w:highlight w:val="none"/>
          <w:lang w:val="en-US" w:eastAsia="zh-CN" w:bidi="ar-SA"/>
        </w:rPr>
        <w:t>附件10：进度款支付分解表</w:t>
      </w:r>
    </w:p>
    <w:p w14:paraId="57D6A21F">
      <w:pPr>
        <w:ind w:firstLine="0" w:firstLineChars="0"/>
        <w:jc w:val="center"/>
        <w:outlineLvl w:val="9"/>
        <w:rPr>
          <w:rFonts w:ascii="宋体" w:hAnsi="宋体" w:cs="Times New Roman"/>
          <w:b/>
          <w:color w:val="auto"/>
          <w:kern w:val="2"/>
          <w:sz w:val="21"/>
          <w:szCs w:val="21"/>
          <w:highlight w:val="none"/>
          <w:lang w:val="en"/>
        </w:rPr>
      </w:pPr>
      <w:r>
        <w:rPr>
          <w:rFonts w:hint="default" w:ascii="宋体" w:hAnsi="宋体" w:cs="Times New Roman"/>
          <w:b/>
          <w:color w:val="auto"/>
          <w:sz w:val="21"/>
          <w:szCs w:val="21"/>
          <w:highlight w:val="none"/>
          <w:lang w:val="en"/>
        </w:rPr>
        <w:t>进度款支付分解表</w:t>
      </w:r>
      <w:r>
        <w:rPr>
          <w:rFonts w:hint="default" w:ascii="宋体" w:hAnsi="宋体" w:cs="Times New Roman"/>
          <w:b/>
          <w:color w:val="auto"/>
          <w:sz w:val="21"/>
          <w:szCs w:val="21"/>
          <w:highlight w:val="none"/>
          <w:lang w:val="en" w:eastAsia="zh-CN"/>
        </w:rPr>
        <w:t>（适用于</w:t>
      </w:r>
      <w:r>
        <w:rPr>
          <w:rFonts w:hint="default" w:ascii="宋体" w:hAnsi="宋体" w:cs="Times New Roman"/>
          <w:b/>
          <w:color w:val="auto"/>
          <w:sz w:val="21"/>
          <w:szCs w:val="21"/>
          <w:highlight w:val="none"/>
          <w:lang w:val="en"/>
        </w:rPr>
        <w:t>总价合同</w:t>
      </w:r>
      <w:r>
        <w:rPr>
          <w:rFonts w:hint="default" w:ascii="宋体" w:hAnsi="宋体" w:cs="Times New Roman"/>
          <w:b/>
          <w:color w:val="auto"/>
          <w:sz w:val="21"/>
          <w:szCs w:val="21"/>
          <w:highlight w:val="none"/>
          <w:lang w:val="en" w:eastAsia="zh-CN"/>
        </w:rPr>
        <w:t>）</w:t>
      </w:r>
    </w:p>
    <w:p w14:paraId="5969C04D">
      <w:pPr>
        <w:spacing w:line="360" w:lineRule="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工程名称：</w:t>
      </w:r>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3119"/>
        <w:gridCol w:w="675"/>
        <w:gridCol w:w="2268"/>
        <w:gridCol w:w="1276"/>
      </w:tblGrid>
      <w:tr w14:paraId="0A084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2D4A4E1B">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进度款期次</w:t>
            </w:r>
          </w:p>
        </w:tc>
        <w:tc>
          <w:tcPr>
            <w:tcW w:w="3794" w:type="dxa"/>
            <w:gridSpan w:val="2"/>
            <w:noWrap w:val="0"/>
            <w:vAlign w:val="top"/>
          </w:tcPr>
          <w:p w14:paraId="701F5AE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形象进度</w:t>
            </w:r>
          </w:p>
        </w:tc>
        <w:tc>
          <w:tcPr>
            <w:tcW w:w="2268" w:type="dxa"/>
            <w:noWrap w:val="0"/>
            <w:vAlign w:val="top"/>
          </w:tcPr>
          <w:p w14:paraId="478018D7">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进度款付款金额（元）</w:t>
            </w:r>
          </w:p>
        </w:tc>
        <w:tc>
          <w:tcPr>
            <w:tcW w:w="1276" w:type="dxa"/>
            <w:noWrap w:val="0"/>
            <w:vAlign w:val="top"/>
          </w:tcPr>
          <w:p w14:paraId="01697002">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备注</w:t>
            </w:r>
          </w:p>
        </w:tc>
      </w:tr>
      <w:tr w14:paraId="6CDD6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726E95F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第一期</w:t>
            </w:r>
          </w:p>
        </w:tc>
        <w:tc>
          <w:tcPr>
            <w:tcW w:w="3794" w:type="dxa"/>
            <w:gridSpan w:val="2"/>
            <w:noWrap w:val="0"/>
            <w:vAlign w:val="top"/>
          </w:tcPr>
          <w:p w14:paraId="6FAE61E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p>
        </w:tc>
        <w:tc>
          <w:tcPr>
            <w:tcW w:w="2268" w:type="dxa"/>
            <w:noWrap w:val="0"/>
            <w:vAlign w:val="top"/>
          </w:tcPr>
          <w:p w14:paraId="6B1220B7">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p>
        </w:tc>
        <w:tc>
          <w:tcPr>
            <w:tcW w:w="1276" w:type="dxa"/>
            <w:noWrap w:val="0"/>
            <w:vAlign w:val="top"/>
          </w:tcPr>
          <w:p w14:paraId="3FC7D2A1">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p>
        </w:tc>
      </w:tr>
      <w:tr w14:paraId="63AB3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30CF1864">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第二期</w:t>
            </w:r>
          </w:p>
        </w:tc>
        <w:tc>
          <w:tcPr>
            <w:tcW w:w="3794" w:type="dxa"/>
            <w:gridSpan w:val="2"/>
            <w:noWrap w:val="0"/>
            <w:vAlign w:val="top"/>
          </w:tcPr>
          <w:p w14:paraId="7AB1EAC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p>
        </w:tc>
        <w:tc>
          <w:tcPr>
            <w:tcW w:w="2268" w:type="dxa"/>
            <w:noWrap w:val="0"/>
            <w:vAlign w:val="top"/>
          </w:tcPr>
          <w:p w14:paraId="306E61D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p>
        </w:tc>
        <w:tc>
          <w:tcPr>
            <w:tcW w:w="1276" w:type="dxa"/>
            <w:noWrap w:val="0"/>
            <w:vAlign w:val="top"/>
          </w:tcPr>
          <w:p w14:paraId="4FECC3E4">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p>
        </w:tc>
      </w:tr>
      <w:tr w14:paraId="34E83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3072DED4">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第三期</w:t>
            </w:r>
          </w:p>
        </w:tc>
        <w:tc>
          <w:tcPr>
            <w:tcW w:w="3794" w:type="dxa"/>
            <w:gridSpan w:val="2"/>
            <w:noWrap w:val="0"/>
            <w:vAlign w:val="top"/>
          </w:tcPr>
          <w:p w14:paraId="139C6B80">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p>
        </w:tc>
        <w:tc>
          <w:tcPr>
            <w:tcW w:w="2268" w:type="dxa"/>
            <w:noWrap w:val="0"/>
            <w:vAlign w:val="top"/>
          </w:tcPr>
          <w:p w14:paraId="6FA68502">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p>
        </w:tc>
        <w:tc>
          <w:tcPr>
            <w:tcW w:w="1276" w:type="dxa"/>
            <w:noWrap w:val="0"/>
            <w:vAlign w:val="top"/>
          </w:tcPr>
          <w:p w14:paraId="31778AD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p>
        </w:tc>
      </w:tr>
      <w:tr w14:paraId="3FB9B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3F08458B">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w:t>
            </w:r>
          </w:p>
        </w:tc>
        <w:tc>
          <w:tcPr>
            <w:tcW w:w="3794" w:type="dxa"/>
            <w:gridSpan w:val="2"/>
            <w:noWrap w:val="0"/>
            <w:vAlign w:val="top"/>
          </w:tcPr>
          <w:p w14:paraId="38112FB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p>
        </w:tc>
        <w:tc>
          <w:tcPr>
            <w:tcW w:w="2268" w:type="dxa"/>
            <w:noWrap w:val="0"/>
            <w:vAlign w:val="top"/>
          </w:tcPr>
          <w:p w14:paraId="241C92CB">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p>
        </w:tc>
        <w:tc>
          <w:tcPr>
            <w:tcW w:w="1276" w:type="dxa"/>
            <w:noWrap w:val="0"/>
            <w:vAlign w:val="top"/>
          </w:tcPr>
          <w:p w14:paraId="1F64AAE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p>
        </w:tc>
      </w:tr>
      <w:tr w14:paraId="532F0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4536" w:type="dxa"/>
            <w:gridSpan w:val="2"/>
            <w:noWrap w:val="0"/>
            <w:vAlign w:val="top"/>
          </w:tcPr>
          <w:p w14:paraId="6FEDAB3C">
            <w:pPr>
              <w:keepNext w:val="0"/>
              <w:keepLines w:val="0"/>
              <w:suppressLineNumbers w:val="0"/>
              <w:spacing w:before="0" w:beforeAutospacing="0" w:after="0" w:afterAutospacing="0" w:line="360" w:lineRule="exact"/>
              <w:ind w:left="0" w:right="0" w:firstLine="435"/>
              <w:jc w:val="right"/>
              <w:rPr>
                <w:rFonts w:hint="eastAsia" w:ascii="Calibri" w:hAnsi="Calibri" w:eastAsia="宋体" w:cs="Times New Roman"/>
                <w:color w:val="auto"/>
                <w:sz w:val="21"/>
                <w:szCs w:val="21"/>
                <w:highlight w:val="none"/>
              </w:rPr>
            </w:pPr>
          </w:p>
          <w:p w14:paraId="217F0CD4">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 w:val="21"/>
                <w:szCs w:val="21"/>
                <w:highlight w:val="none"/>
              </w:rPr>
            </w:pPr>
          </w:p>
          <w:p w14:paraId="5D86877A">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 w:val="21"/>
                <w:szCs w:val="21"/>
                <w:highlight w:val="none"/>
              </w:rPr>
            </w:pPr>
            <w:r>
              <w:rPr>
                <w:rFonts w:hint="eastAsia" w:ascii="Calibri" w:hAnsi="Calibri" w:eastAsia="宋体" w:cs="Times New Roman"/>
                <w:color w:val="auto"/>
                <w:sz w:val="21"/>
                <w:szCs w:val="21"/>
                <w:highlight w:val="none"/>
              </w:rPr>
              <w:t>发包人代表签字：</w:t>
            </w:r>
          </w:p>
          <w:p w14:paraId="2E75F407">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 w:val="21"/>
                <w:szCs w:val="21"/>
                <w:highlight w:val="none"/>
              </w:rPr>
            </w:pPr>
          </w:p>
          <w:p w14:paraId="52312E67">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 w:val="21"/>
                <w:szCs w:val="21"/>
                <w:highlight w:val="none"/>
              </w:rPr>
            </w:pPr>
            <w:r>
              <w:rPr>
                <w:rFonts w:hint="eastAsia" w:ascii="Calibri" w:hAnsi="Calibri" w:eastAsia="宋体" w:cs="Times New Roman"/>
                <w:color w:val="auto"/>
                <w:sz w:val="21"/>
                <w:szCs w:val="21"/>
                <w:highlight w:val="none"/>
              </w:rPr>
              <w:t>发包人（盖公章）</w:t>
            </w:r>
          </w:p>
          <w:p w14:paraId="4A1B26D2">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 w:val="21"/>
                <w:szCs w:val="21"/>
                <w:highlight w:val="none"/>
              </w:rPr>
            </w:pPr>
          </w:p>
          <w:p w14:paraId="65060C71">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 w:val="21"/>
                <w:szCs w:val="21"/>
                <w:highlight w:val="none"/>
                <w:u w:val="single"/>
              </w:rPr>
            </w:pPr>
            <w:r>
              <w:rPr>
                <w:rFonts w:hint="default" w:ascii="Calibri" w:hAnsi="Calibri" w:eastAsia="宋体" w:cs="Times New Roman"/>
                <w:color w:val="auto"/>
                <w:sz w:val="21"/>
                <w:szCs w:val="21"/>
                <w:highlight w:val="none"/>
              </w:rPr>
              <w:t xml:space="preserve">    </w:t>
            </w:r>
            <w:r>
              <w:rPr>
                <w:rFonts w:hint="eastAsia" w:ascii="Calibri" w:hAnsi="Calibri" w:eastAsia="宋体" w:cs="Times New Roman"/>
                <w:color w:val="auto"/>
                <w:sz w:val="21"/>
                <w:szCs w:val="21"/>
                <w:highlight w:val="none"/>
              </w:rPr>
              <w:t xml:space="preserve">    日      期        </w:t>
            </w:r>
            <w:r>
              <w:rPr>
                <w:rFonts w:hint="eastAsia" w:ascii="Calibri" w:hAnsi="Calibri" w:eastAsia="宋体" w:cs="Times New Roman"/>
                <w:color w:val="auto"/>
                <w:sz w:val="21"/>
                <w:szCs w:val="21"/>
                <w:highlight w:val="none"/>
                <w:u w:val="single"/>
              </w:rPr>
              <w:t xml:space="preserve">   </w:t>
            </w:r>
          </w:p>
        </w:tc>
        <w:tc>
          <w:tcPr>
            <w:tcW w:w="4219" w:type="dxa"/>
            <w:gridSpan w:val="3"/>
            <w:noWrap w:val="0"/>
            <w:vAlign w:val="top"/>
          </w:tcPr>
          <w:p w14:paraId="7816B915">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 w:val="21"/>
                <w:szCs w:val="21"/>
                <w:highlight w:val="none"/>
              </w:rPr>
            </w:pPr>
          </w:p>
          <w:p w14:paraId="3B5A933A">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 w:val="21"/>
                <w:szCs w:val="21"/>
                <w:highlight w:val="none"/>
                <w:u w:val="single"/>
              </w:rPr>
            </w:pPr>
          </w:p>
          <w:p w14:paraId="703EB760">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 w:val="21"/>
                <w:szCs w:val="21"/>
                <w:highlight w:val="none"/>
              </w:rPr>
            </w:pPr>
            <w:r>
              <w:rPr>
                <w:rFonts w:hint="eastAsia" w:ascii="Calibri" w:hAnsi="Calibri" w:eastAsia="宋体" w:cs="Times New Roman"/>
                <w:color w:val="auto"/>
                <w:sz w:val="21"/>
                <w:szCs w:val="21"/>
                <w:highlight w:val="none"/>
              </w:rPr>
              <w:t>承包人代表签字：</w:t>
            </w:r>
          </w:p>
          <w:p w14:paraId="11BD20A9">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 w:val="21"/>
                <w:szCs w:val="21"/>
                <w:highlight w:val="none"/>
              </w:rPr>
            </w:pPr>
          </w:p>
          <w:p w14:paraId="679F572E">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 w:val="21"/>
                <w:szCs w:val="21"/>
                <w:highlight w:val="none"/>
              </w:rPr>
            </w:pPr>
            <w:r>
              <w:rPr>
                <w:rFonts w:hint="eastAsia" w:ascii="Calibri" w:hAnsi="Calibri" w:eastAsia="宋体" w:cs="Times New Roman"/>
                <w:color w:val="auto"/>
                <w:sz w:val="21"/>
                <w:szCs w:val="21"/>
                <w:highlight w:val="none"/>
              </w:rPr>
              <w:t>承包人（盖公章）</w:t>
            </w:r>
          </w:p>
          <w:p w14:paraId="1FAC89A1">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 w:val="21"/>
                <w:szCs w:val="21"/>
                <w:highlight w:val="none"/>
              </w:rPr>
            </w:pPr>
          </w:p>
          <w:p w14:paraId="32024D50">
            <w:pPr>
              <w:keepNext w:val="0"/>
              <w:keepLines w:val="0"/>
              <w:suppressLineNumbers w:val="0"/>
              <w:spacing w:before="0" w:beforeAutospacing="0" w:after="0" w:afterAutospacing="0" w:line="360" w:lineRule="exact"/>
              <w:ind w:left="0" w:right="0" w:firstLine="435"/>
              <w:jc w:val="center"/>
              <w:rPr>
                <w:rFonts w:hint="eastAsia" w:ascii="Calibri" w:hAnsi="Calibri" w:eastAsia="宋体" w:cs="Times New Roman"/>
                <w:color w:val="auto"/>
                <w:sz w:val="21"/>
                <w:szCs w:val="21"/>
                <w:highlight w:val="none"/>
                <w:u w:val="single"/>
              </w:rPr>
            </w:pPr>
            <w:r>
              <w:rPr>
                <w:rFonts w:hint="default" w:ascii="Calibri" w:hAnsi="Calibri" w:eastAsia="宋体" w:cs="Times New Roman"/>
                <w:color w:val="auto"/>
                <w:sz w:val="21"/>
                <w:szCs w:val="21"/>
                <w:highlight w:val="none"/>
              </w:rPr>
              <w:t xml:space="preserve">    </w:t>
            </w:r>
            <w:r>
              <w:rPr>
                <w:rFonts w:hint="eastAsia" w:ascii="Calibri" w:hAnsi="Calibri" w:eastAsia="宋体" w:cs="Times New Roman"/>
                <w:color w:val="auto"/>
                <w:sz w:val="21"/>
                <w:szCs w:val="21"/>
                <w:highlight w:val="none"/>
              </w:rPr>
              <w:t xml:space="preserve">    日      期</w:t>
            </w:r>
            <w:r>
              <w:rPr>
                <w:rFonts w:hint="eastAsia" w:ascii="Calibri" w:hAnsi="Calibri" w:eastAsia="宋体" w:cs="Times New Roman"/>
                <w:color w:val="auto"/>
                <w:sz w:val="21"/>
                <w:szCs w:val="21"/>
                <w:highlight w:val="none"/>
                <w:u w:val="single"/>
              </w:rPr>
              <w:t xml:space="preserve">        </w:t>
            </w:r>
          </w:p>
        </w:tc>
      </w:tr>
    </w:tbl>
    <w:p w14:paraId="1C2CBD55">
      <w:pPr>
        <w:spacing w:line="360" w:lineRule="auto"/>
        <w:rPr>
          <w:rFonts w:ascii="宋体" w:hAnsi="Times New Roman" w:cs="Times New Roman"/>
          <w:color w:val="auto"/>
          <w:sz w:val="21"/>
          <w:szCs w:val="21"/>
          <w:highlight w:val="none"/>
        </w:rPr>
      </w:pPr>
    </w:p>
    <w:p w14:paraId="0D46592B">
      <w:pPr>
        <w:spacing w:line="360" w:lineRule="auto"/>
        <w:rPr>
          <w:rFonts w:ascii="宋体" w:hAnsi="Times New Roman" w:cs="Times New Roman"/>
          <w:color w:val="auto"/>
          <w:sz w:val="21"/>
          <w:szCs w:val="21"/>
          <w:highlight w:val="none"/>
        </w:rPr>
      </w:pPr>
    </w:p>
    <w:p w14:paraId="077F4D40">
      <w:pPr>
        <w:spacing w:line="360" w:lineRule="auto"/>
        <w:rPr>
          <w:rFonts w:ascii="宋体" w:hAnsi="Times New Roman" w:cs="Times New Roman"/>
          <w:color w:val="auto"/>
          <w:sz w:val="21"/>
          <w:szCs w:val="21"/>
          <w:highlight w:val="none"/>
        </w:rPr>
      </w:pPr>
    </w:p>
    <w:p w14:paraId="14C62673">
      <w:pPr>
        <w:spacing w:line="360" w:lineRule="auto"/>
        <w:rPr>
          <w:rFonts w:ascii="宋体" w:hAnsi="Times New Roman" w:cs="Times New Roman"/>
          <w:color w:val="auto"/>
          <w:sz w:val="21"/>
          <w:szCs w:val="21"/>
          <w:highlight w:val="none"/>
        </w:rPr>
      </w:pPr>
    </w:p>
    <w:p w14:paraId="1F493DA6">
      <w:pPr>
        <w:spacing w:line="360" w:lineRule="auto"/>
        <w:rPr>
          <w:rFonts w:ascii="宋体" w:hAnsi="Times New Roman" w:cs="Times New Roman"/>
          <w:color w:val="auto"/>
          <w:sz w:val="21"/>
          <w:szCs w:val="21"/>
          <w:highlight w:val="none"/>
        </w:rPr>
      </w:pPr>
    </w:p>
    <w:p w14:paraId="2FE9C130">
      <w:pPr>
        <w:spacing w:line="360" w:lineRule="auto"/>
        <w:rPr>
          <w:rFonts w:ascii="宋体" w:hAnsi="Times New Roman" w:cs="Times New Roman"/>
          <w:color w:val="auto"/>
          <w:sz w:val="21"/>
          <w:szCs w:val="21"/>
          <w:highlight w:val="none"/>
        </w:rPr>
      </w:pPr>
    </w:p>
    <w:p w14:paraId="0BFBCD70">
      <w:pPr>
        <w:widowControl w:val="0"/>
        <w:spacing w:after="120" w:afterLines="0" w:line="240" w:lineRule="auto"/>
        <w:ind w:firstLine="210" w:firstLineChars="100"/>
        <w:jc w:val="both"/>
        <w:rPr>
          <w:rFonts w:ascii="宋体" w:hAnsi="Times New Roman" w:eastAsia="宋体" w:cs="Times New Roman"/>
          <w:color w:val="auto"/>
          <w:kern w:val="2"/>
          <w:sz w:val="21"/>
          <w:szCs w:val="21"/>
          <w:highlight w:val="none"/>
          <w:lang w:val="en-US" w:eastAsia="zh-CN" w:bidi="ar-SA"/>
        </w:rPr>
      </w:pPr>
    </w:p>
    <w:p w14:paraId="650149BD">
      <w:pPr>
        <w:widowControl w:val="0"/>
        <w:spacing w:after="120" w:afterLines="0" w:line="240" w:lineRule="auto"/>
        <w:ind w:firstLine="210" w:firstLineChars="100"/>
        <w:jc w:val="both"/>
        <w:rPr>
          <w:rFonts w:ascii="宋体" w:hAnsi="Times New Roman" w:eastAsia="宋体" w:cs="Times New Roman"/>
          <w:color w:val="auto"/>
          <w:kern w:val="2"/>
          <w:sz w:val="21"/>
          <w:szCs w:val="21"/>
          <w:highlight w:val="none"/>
          <w:lang w:val="en-US" w:eastAsia="zh-CN" w:bidi="ar-SA"/>
        </w:rPr>
      </w:pPr>
    </w:p>
    <w:p w14:paraId="2C5A7D92">
      <w:pPr>
        <w:widowControl w:val="0"/>
        <w:spacing w:after="120" w:afterLines="0" w:line="240" w:lineRule="auto"/>
        <w:ind w:firstLine="210" w:firstLineChars="100"/>
        <w:jc w:val="both"/>
        <w:rPr>
          <w:rFonts w:ascii="宋体" w:hAnsi="Times New Roman" w:eastAsia="宋体" w:cs="Times New Roman"/>
          <w:color w:val="auto"/>
          <w:kern w:val="2"/>
          <w:sz w:val="21"/>
          <w:szCs w:val="21"/>
          <w:highlight w:val="none"/>
          <w:lang w:val="en-US" w:eastAsia="zh-CN" w:bidi="ar-SA"/>
        </w:rPr>
      </w:pPr>
    </w:p>
    <w:p w14:paraId="7B38F8EC">
      <w:pPr>
        <w:widowControl w:val="0"/>
        <w:spacing w:after="120" w:afterLines="0" w:line="240" w:lineRule="auto"/>
        <w:ind w:firstLine="210" w:firstLineChars="100"/>
        <w:jc w:val="both"/>
        <w:rPr>
          <w:rFonts w:ascii="宋体" w:hAnsi="Times New Roman" w:eastAsia="宋体" w:cs="Times New Roman"/>
          <w:color w:val="auto"/>
          <w:kern w:val="2"/>
          <w:sz w:val="21"/>
          <w:szCs w:val="21"/>
          <w:highlight w:val="none"/>
          <w:lang w:val="en-US" w:eastAsia="zh-CN" w:bidi="ar-SA"/>
        </w:rPr>
      </w:pPr>
    </w:p>
    <w:p w14:paraId="27B64CFC">
      <w:pPr>
        <w:widowControl w:val="0"/>
        <w:spacing w:after="120" w:afterLines="0" w:line="240" w:lineRule="auto"/>
        <w:ind w:firstLine="210" w:firstLineChars="100"/>
        <w:jc w:val="both"/>
        <w:rPr>
          <w:rFonts w:ascii="宋体" w:hAnsi="Times New Roman" w:eastAsia="宋体" w:cs="Times New Roman"/>
          <w:color w:val="auto"/>
          <w:kern w:val="2"/>
          <w:sz w:val="21"/>
          <w:szCs w:val="21"/>
          <w:highlight w:val="none"/>
          <w:lang w:val="en-US" w:eastAsia="zh-CN" w:bidi="ar-SA"/>
        </w:rPr>
      </w:pPr>
    </w:p>
    <w:p w14:paraId="54F2119F">
      <w:pPr>
        <w:widowControl w:val="0"/>
        <w:spacing w:after="120" w:afterLines="0" w:line="240" w:lineRule="auto"/>
        <w:ind w:firstLine="210" w:firstLineChars="100"/>
        <w:jc w:val="both"/>
        <w:rPr>
          <w:rFonts w:ascii="宋体" w:hAnsi="Times New Roman" w:eastAsia="宋体" w:cs="Times New Roman"/>
          <w:color w:val="auto"/>
          <w:kern w:val="2"/>
          <w:sz w:val="21"/>
          <w:szCs w:val="21"/>
          <w:highlight w:val="none"/>
          <w:lang w:val="en-US" w:eastAsia="zh-CN" w:bidi="ar-SA"/>
        </w:rPr>
      </w:pPr>
    </w:p>
    <w:p w14:paraId="0D47B678">
      <w:pPr>
        <w:widowControl w:val="0"/>
        <w:spacing w:after="120" w:afterLines="0" w:line="240" w:lineRule="auto"/>
        <w:ind w:firstLine="210" w:firstLineChars="100"/>
        <w:jc w:val="both"/>
        <w:rPr>
          <w:rFonts w:ascii="宋体" w:hAnsi="Times New Roman" w:eastAsia="宋体" w:cs="Times New Roman"/>
          <w:color w:val="auto"/>
          <w:kern w:val="2"/>
          <w:sz w:val="21"/>
          <w:szCs w:val="21"/>
          <w:highlight w:val="none"/>
          <w:lang w:val="en-US" w:eastAsia="zh-CN" w:bidi="ar-SA"/>
        </w:rPr>
      </w:pPr>
    </w:p>
    <w:p w14:paraId="5F62F3ED">
      <w:pPr>
        <w:widowControl w:val="0"/>
        <w:spacing w:after="120" w:afterLines="0" w:line="240" w:lineRule="auto"/>
        <w:ind w:firstLine="210" w:firstLineChars="100"/>
        <w:jc w:val="both"/>
        <w:rPr>
          <w:rFonts w:ascii="宋体" w:hAnsi="Times New Roman" w:eastAsia="宋体" w:cs="Times New Roman"/>
          <w:color w:val="auto"/>
          <w:kern w:val="2"/>
          <w:sz w:val="21"/>
          <w:szCs w:val="21"/>
          <w:highlight w:val="none"/>
          <w:lang w:val="en-US" w:eastAsia="zh-CN" w:bidi="ar-SA"/>
        </w:rPr>
      </w:pPr>
    </w:p>
    <w:p w14:paraId="15400CF4">
      <w:pPr>
        <w:widowControl w:val="0"/>
        <w:spacing w:after="120" w:afterLines="0" w:line="240" w:lineRule="auto"/>
        <w:ind w:firstLine="210" w:firstLineChars="100"/>
        <w:jc w:val="both"/>
        <w:rPr>
          <w:rFonts w:ascii="宋体" w:hAnsi="Times New Roman" w:eastAsia="宋体" w:cs="Times New Roman"/>
          <w:color w:val="auto"/>
          <w:kern w:val="2"/>
          <w:sz w:val="21"/>
          <w:szCs w:val="21"/>
          <w:highlight w:val="none"/>
          <w:lang w:val="en-US" w:eastAsia="zh-CN" w:bidi="ar-SA"/>
        </w:rPr>
      </w:pPr>
    </w:p>
    <w:p w14:paraId="7DD1F037">
      <w:pPr>
        <w:widowControl w:val="0"/>
        <w:spacing w:after="120" w:afterLines="0" w:line="240" w:lineRule="auto"/>
        <w:ind w:firstLine="210" w:firstLineChars="100"/>
        <w:jc w:val="both"/>
        <w:rPr>
          <w:rFonts w:ascii="宋体" w:hAnsi="Times New Roman" w:eastAsia="宋体" w:cs="Times New Roman"/>
          <w:color w:val="auto"/>
          <w:kern w:val="2"/>
          <w:sz w:val="21"/>
          <w:szCs w:val="21"/>
          <w:highlight w:val="none"/>
          <w:lang w:val="en-US" w:eastAsia="zh-CN" w:bidi="ar-SA"/>
        </w:rPr>
      </w:pPr>
    </w:p>
    <w:p w14:paraId="51927062">
      <w:pPr>
        <w:widowControl w:val="0"/>
        <w:spacing w:after="120" w:afterLines="0" w:line="240" w:lineRule="auto"/>
        <w:ind w:firstLine="210" w:firstLineChars="100"/>
        <w:jc w:val="both"/>
        <w:rPr>
          <w:rFonts w:ascii="宋体" w:hAnsi="Times New Roman" w:eastAsia="宋体" w:cs="Times New Roman"/>
          <w:color w:val="auto"/>
          <w:kern w:val="2"/>
          <w:sz w:val="21"/>
          <w:szCs w:val="21"/>
          <w:highlight w:val="none"/>
          <w:lang w:val="en-US" w:eastAsia="zh-CN" w:bidi="ar-SA"/>
        </w:rPr>
      </w:pPr>
    </w:p>
    <w:p w14:paraId="58EC33DB">
      <w:pPr>
        <w:keepNext/>
        <w:keepLines/>
        <w:widowControl/>
        <w:spacing w:before="120" w:beforeLines="0" w:after="120" w:afterLines="0" w:line="360" w:lineRule="auto"/>
        <w:jc w:val="both"/>
        <w:outlineLvl w:val="3"/>
        <w:rPr>
          <w:rFonts w:hint="eastAsia" w:ascii="仿宋_GB2312" w:hAnsi="Arial" w:eastAsia="仿宋_GB2312" w:cs="仿宋_GB2312"/>
          <w:color w:val="auto"/>
          <w:kern w:val="0"/>
          <w:sz w:val="21"/>
          <w:szCs w:val="21"/>
          <w:highlight w:val="none"/>
          <w:lang w:val="en-US" w:eastAsia="zh-CN" w:bidi="ar-SA"/>
        </w:rPr>
      </w:pPr>
      <w:bookmarkStart w:id="1066" w:name="_Toc1316360315"/>
      <w:bookmarkStart w:id="1067" w:name="_Toc1842771986"/>
      <w:bookmarkStart w:id="1068" w:name="_Toc1130643390"/>
      <w:bookmarkStart w:id="1069" w:name="_Toc475060052"/>
      <w:bookmarkStart w:id="1070" w:name="_Toc564658636"/>
      <w:bookmarkStart w:id="1071" w:name="_Toc1731322991"/>
      <w:bookmarkStart w:id="1072" w:name="_Toc1827315382"/>
      <w:bookmarkStart w:id="1073" w:name="_Toc441683618"/>
      <w:bookmarkStart w:id="1074" w:name="_Toc1993706012"/>
      <w:bookmarkStart w:id="1075" w:name="_Toc173801266"/>
      <w:bookmarkStart w:id="1076" w:name="_Toc5300"/>
      <w:bookmarkStart w:id="1077" w:name="_Toc12824"/>
      <w:bookmarkStart w:id="1078" w:name="_Toc633689172"/>
      <w:bookmarkStart w:id="1079" w:name="_Toc1300612461"/>
      <w:bookmarkStart w:id="1080" w:name="_Toc1909664075"/>
      <w:r>
        <w:rPr>
          <w:rFonts w:hint="eastAsia" w:ascii="仿宋_GB2312" w:hAnsi="Arial" w:eastAsia="仿宋_GB2312" w:cs="仿宋_GB2312"/>
          <w:color w:val="auto"/>
          <w:kern w:val="0"/>
          <w:sz w:val="21"/>
          <w:szCs w:val="21"/>
          <w:highlight w:val="none"/>
          <w:lang w:val="en" w:eastAsia="zh-CN" w:bidi="ar-SA"/>
        </w:rPr>
        <w:t>附件</w:t>
      </w:r>
      <w:r>
        <w:rPr>
          <w:rFonts w:hint="eastAsia" w:ascii="仿宋_GB2312" w:hAnsi="Arial" w:eastAsia="仿宋_GB2312" w:cs="仿宋_GB2312"/>
          <w:color w:val="auto"/>
          <w:kern w:val="0"/>
          <w:sz w:val="21"/>
          <w:szCs w:val="21"/>
          <w:highlight w:val="none"/>
          <w:lang w:val="en-US" w:eastAsia="zh-CN" w:bidi="ar-SA"/>
        </w:rPr>
        <w:t>11：措施项目费用分拆表</w:t>
      </w:r>
    </w:p>
    <w:p w14:paraId="230AE67C">
      <w:pPr>
        <w:wordWrap/>
        <w:jc w:val="center"/>
        <w:outlineLvl w:val="9"/>
        <w:rPr>
          <w:rFonts w:ascii="宋体" w:hAnsi="宋体" w:eastAsia="宋体" w:cs="Times New Roman"/>
          <w:b/>
          <w:color w:val="auto"/>
          <w:sz w:val="21"/>
          <w:szCs w:val="21"/>
          <w:highlight w:val="none"/>
          <w:lang w:val="en"/>
        </w:rPr>
      </w:pPr>
      <w:r>
        <w:rPr>
          <w:rFonts w:hint="default" w:ascii="宋体" w:hAnsi="宋体" w:eastAsia="宋体" w:cs="Times New Roman"/>
          <w:b/>
          <w:color w:val="auto"/>
          <w:sz w:val="21"/>
          <w:szCs w:val="21"/>
          <w:highlight w:val="none"/>
          <w:lang w:val="en"/>
        </w:rPr>
        <w:t xml:space="preserve"> 措施项目费用分拆表</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14:paraId="78666EC7">
      <w:pPr>
        <w:widowControl w:val="0"/>
        <w:spacing w:after="120" w:afterLines="0" w:line="240" w:lineRule="auto"/>
        <w:ind w:firstLine="210" w:firstLineChars="100"/>
        <w:jc w:val="both"/>
        <w:rPr>
          <w:rFonts w:ascii="宋体" w:hAnsi="宋体" w:eastAsia="宋体" w:cs="Times New Roman"/>
          <w:b/>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工程</w:t>
      </w:r>
      <w:r>
        <w:rPr>
          <w:rFonts w:hint="eastAsia" w:ascii="宋体" w:hAnsi="宋体" w:eastAsia="宋体" w:cs="Times New Roman"/>
          <w:color w:val="auto"/>
          <w:spacing w:val="-3"/>
          <w:kern w:val="2"/>
          <w:sz w:val="21"/>
          <w:szCs w:val="21"/>
          <w:highlight w:val="none"/>
          <w:lang w:val="en-US" w:eastAsia="zh-CN" w:bidi="ar-SA"/>
        </w:rPr>
        <w:t>名</w:t>
      </w:r>
      <w:r>
        <w:rPr>
          <w:rFonts w:hint="eastAsia" w:ascii="宋体" w:hAnsi="宋体" w:eastAsia="宋体" w:cs="Times New Roman"/>
          <w:color w:val="auto"/>
          <w:kern w:val="2"/>
          <w:sz w:val="21"/>
          <w:szCs w:val="21"/>
          <w:highlight w:val="none"/>
          <w:lang w:val="en-US" w:eastAsia="zh-CN" w:bidi="ar-SA"/>
        </w:rPr>
        <w:t>称：</w:t>
      </w:r>
      <w:r>
        <w:rPr>
          <w:rFonts w:hint="eastAsia" w:ascii="宋体" w:hAnsi="宋体" w:eastAsia="宋体" w:cs="Times New Roman"/>
          <w:color w:val="auto"/>
          <w:kern w:val="2"/>
          <w:sz w:val="21"/>
          <w:szCs w:val="21"/>
          <w:highlight w:val="none"/>
          <w:lang w:val="en-US" w:eastAsia="zh-CN" w:bidi="ar-SA"/>
        </w:rPr>
        <w:tab/>
      </w:r>
      <w:r>
        <w:rPr>
          <w:rFonts w:hint="eastAsia" w:ascii="宋体" w:hAnsi="宋体" w:eastAsia="宋体" w:cs="Times New Roman"/>
          <w:color w:val="auto"/>
          <w:kern w:val="2"/>
          <w:sz w:val="21"/>
          <w:szCs w:val="21"/>
          <w:highlight w:val="none"/>
          <w:lang w:val="en-US" w:eastAsia="zh-CN" w:bidi="ar-SA"/>
        </w:rPr>
        <w:tab/>
      </w:r>
      <w:r>
        <w:rPr>
          <w:rFonts w:hint="eastAsia" w:ascii="宋体" w:hAnsi="宋体" w:eastAsia="宋体" w:cs="Times New Roman"/>
          <w:color w:val="auto"/>
          <w:kern w:val="2"/>
          <w:sz w:val="21"/>
          <w:szCs w:val="21"/>
          <w:highlight w:val="none"/>
          <w:lang w:val="en-US" w:eastAsia="zh-CN" w:bidi="ar-SA"/>
        </w:rPr>
        <w:tab/>
      </w:r>
      <w:r>
        <w:rPr>
          <w:rFonts w:hint="eastAsia" w:ascii="宋体" w:hAnsi="宋体" w:eastAsia="宋体" w:cs="Times New Roman"/>
          <w:color w:val="auto"/>
          <w:kern w:val="2"/>
          <w:sz w:val="21"/>
          <w:szCs w:val="21"/>
          <w:highlight w:val="none"/>
          <w:lang w:val="en-US" w:eastAsia="zh-CN" w:bidi="ar-SA"/>
        </w:rPr>
        <w:tab/>
      </w:r>
      <w:r>
        <w:rPr>
          <w:rFonts w:hint="eastAsia" w:ascii="宋体" w:hAnsi="宋体" w:eastAsia="宋体" w:cs="Times New Roman"/>
          <w:color w:val="auto"/>
          <w:kern w:val="2"/>
          <w:sz w:val="21"/>
          <w:szCs w:val="21"/>
          <w:highlight w:val="none"/>
          <w:lang w:val="en-US" w:eastAsia="zh-CN" w:bidi="ar-SA"/>
        </w:rPr>
        <w:tab/>
      </w:r>
      <w:r>
        <w:rPr>
          <w:rFonts w:hint="eastAsia" w:ascii="宋体" w:hAnsi="宋体" w:eastAsia="宋体" w:cs="Times New Roman"/>
          <w:color w:val="auto"/>
          <w:kern w:val="2"/>
          <w:sz w:val="21"/>
          <w:szCs w:val="21"/>
          <w:highlight w:val="none"/>
          <w:lang w:val="en-US" w:eastAsia="zh-CN" w:bidi="ar-SA"/>
        </w:rPr>
        <w:tab/>
      </w:r>
      <w:r>
        <w:rPr>
          <w:rFonts w:hint="eastAsia" w:ascii="宋体" w:hAnsi="宋体" w:eastAsia="宋体" w:cs="Times New Roman"/>
          <w:color w:val="auto"/>
          <w:kern w:val="2"/>
          <w:sz w:val="21"/>
          <w:szCs w:val="21"/>
          <w:highlight w:val="none"/>
          <w:lang w:val="en-US" w:eastAsia="zh-CN" w:bidi="ar-SA"/>
        </w:rPr>
        <w:tab/>
      </w:r>
      <w:r>
        <w:rPr>
          <w:rFonts w:hint="eastAsia" w:ascii="宋体" w:hAnsi="宋体" w:eastAsia="宋体" w:cs="Times New Roman"/>
          <w:color w:val="auto"/>
          <w:kern w:val="2"/>
          <w:sz w:val="21"/>
          <w:szCs w:val="21"/>
          <w:highlight w:val="none"/>
          <w:lang w:val="en-US" w:eastAsia="zh-CN" w:bidi="ar-SA"/>
        </w:rPr>
        <w:tab/>
      </w:r>
      <w:r>
        <w:rPr>
          <w:rFonts w:hint="eastAsia" w:ascii="宋体" w:hAnsi="宋体" w:eastAsia="宋体" w:cs="Times New Roman"/>
          <w:color w:val="auto"/>
          <w:kern w:val="2"/>
          <w:sz w:val="21"/>
          <w:szCs w:val="21"/>
          <w:highlight w:val="none"/>
          <w:lang w:val="en-US" w:eastAsia="zh-CN" w:bidi="ar-SA"/>
        </w:rPr>
        <w:tab/>
      </w:r>
      <w:r>
        <w:rPr>
          <w:rFonts w:hint="eastAsia" w:ascii="宋体" w:hAnsi="宋体" w:eastAsia="宋体" w:cs="Times New Roman"/>
          <w:color w:val="auto"/>
          <w:kern w:val="2"/>
          <w:sz w:val="21"/>
          <w:szCs w:val="21"/>
          <w:highlight w:val="none"/>
          <w:lang w:val="en-US" w:eastAsia="zh-CN" w:bidi="ar-SA"/>
        </w:rPr>
        <w:tab/>
      </w:r>
      <w:r>
        <w:rPr>
          <w:rFonts w:hint="eastAsia" w:ascii="宋体" w:hAnsi="宋体" w:eastAsia="宋体" w:cs="Times New Roman"/>
          <w:color w:val="auto"/>
          <w:kern w:val="2"/>
          <w:sz w:val="21"/>
          <w:szCs w:val="21"/>
          <w:highlight w:val="none"/>
          <w:lang w:val="en-US" w:eastAsia="zh-CN" w:bidi="ar-SA"/>
        </w:rPr>
        <w:tab/>
      </w:r>
      <w:r>
        <w:rPr>
          <w:rFonts w:hint="eastAsia" w:ascii="宋体" w:hAnsi="宋体" w:eastAsia="宋体" w:cs="Times New Roman"/>
          <w:color w:val="auto"/>
          <w:kern w:val="2"/>
          <w:sz w:val="21"/>
          <w:szCs w:val="21"/>
          <w:highlight w:val="none"/>
          <w:lang w:val="en-US" w:eastAsia="zh-CN" w:bidi="ar-SA"/>
        </w:rPr>
        <w:tab/>
      </w:r>
      <w:r>
        <w:rPr>
          <w:rFonts w:hint="eastAsia" w:ascii="宋体" w:hAnsi="宋体" w:eastAsia="宋体" w:cs="Times New Roman"/>
          <w:color w:val="auto"/>
          <w:kern w:val="2"/>
          <w:sz w:val="21"/>
          <w:szCs w:val="21"/>
          <w:highlight w:val="none"/>
          <w:lang w:val="en-US" w:eastAsia="zh-CN" w:bidi="ar-SA"/>
        </w:rPr>
        <w:tab/>
      </w:r>
      <w:r>
        <w:rPr>
          <w:rFonts w:hint="eastAsia" w:ascii="宋体" w:hAnsi="宋体" w:eastAsia="宋体" w:cs="Times New Roman"/>
          <w:color w:val="auto"/>
          <w:kern w:val="2"/>
          <w:sz w:val="21"/>
          <w:szCs w:val="21"/>
          <w:highlight w:val="none"/>
          <w:lang w:val="en-US" w:eastAsia="zh-CN" w:bidi="ar-SA"/>
        </w:rPr>
        <w:t xml:space="preserve">  第   </w:t>
      </w:r>
      <w:r>
        <w:rPr>
          <w:rFonts w:hint="eastAsia" w:ascii="宋体" w:hAnsi="宋体" w:eastAsia="宋体" w:cs="Times New Roman"/>
          <w:color w:val="auto"/>
          <w:spacing w:val="-3"/>
          <w:kern w:val="2"/>
          <w:sz w:val="21"/>
          <w:szCs w:val="21"/>
          <w:highlight w:val="none"/>
          <w:lang w:val="en-US" w:eastAsia="zh-CN" w:bidi="ar-SA"/>
        </w:rPr>
        <w:t xml:space="preserve">页 </w:t>
      </w:r>
      <w:r>
        <w:rPr>
          <w:rFonts w:hint="eastAsia" w:ascii="宋体" w:hAnsi="宋体" w:eastAsia="宋体" w:cs="Times New Roman"/>
          <w:color w:val="auto"/>
          <w:kern w:val="2"/>
          <w:sz w:val="21"/>
          <w:szCs w:val="21"/>
          <w:highlight w:val="none"/>
          <w:lang w:val="en-US" w:eastAsia="zh-CN" w:bidi="ar-SA"/>
        </w:rPr>
        <w:t>共   页</w:t>
      </w:r>
    </w:p>
    <w:tbl>
      <w:tblPr>
        <w:tblStyle w:val="54"/>
        <w:tblW w:w="5035"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95"/>
        <w:gridCol w:w="706"/>
        <w:gridCol w:w="1146"/>
        <w:gridCol w:w="756"/>
        <w:gridCol w:w="905"/>
        <w:gridCol w:w="1093"/>
        <w:gridCol w:w="692"/>
        <w:gridCol w:w="855"/>
        <w:gridCol w:w="934"/>
        <w:gridCol w:w="1139"/>
      </w:tblGrid>
      <w:tr w14:paraId="43820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trPr>
        <w:tc>
          <w:tcPr>
            <w:tcW w:w="564" w:type="dxa"/>
            <w:vMerge w:val="restart"/>
            <w:tcBorders>
              <w:top w:val="single" w:color="auto" w:sz="4" w:space="0"/>
              <w:left w:val="single" w:color="auto" w:sz="4" w:space="0"/>
              <w:bottom w:val="single" w:color="auto" w:sz="4" w:space="0"/>
              <w:right w:val="single" w:color="auto" w:sz="4" w:space="0"/>
            </w:tcBorders>
            <w:noWrap w:val="0"/>
            <w:vAlign w:val="center"/>
          </w:tcPr>
          <w:p w14:paraId="278CDF77">
            <w:pPr>
              <w:keepNext w:val="0"/>
              <w:keepLines w:val="0"/>
              <w:suppressLineNumbers w:val="0"/>
              <w:snapToGrid w:val="0"/>
              <w:spacing w:before="0" w:beforeAutospacing="0" w:after="0" w:afterAutospacing="0"/>
              <w:ind w:left="0" w:right="0"/>
              <w:jc w:val="center"/>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序号</w:t>
            </w:r>
          </w:p>
        </w:tc>
        <w:tc>
          <w:tcPr>
            <w:tcW w:w="829" w:type="dxa"/>
            <w:vMerge w:val="restart"/>
            <w:tcBorders>
              <w:top w:val="single" w:color="auto" w:sz="4" w:space="0"/>
              <w:left w:val="nil"/>
              <w:bottom w:val="single" w:color="auto" w:sz="4" w:space="0"/>
              <w:right w:val="single" w:color="auto" w:sz="4" w:space="0"/>
            </w:tcBorders>
            <w:noWrap w:val="0"/>
            <w:vAlign w:val="center"/>
          </w:tcPr>
          <w:p w14:paraId="3AB9A965">
            <w:pPr>
              <w:keepNext w:val="0"/>
              <w:keepLines w:val="0"/>
              <w:widowControl/>
              <w:suppressLineNumbers w:val="0"/>
              <w:snapToGrid w:val="0"/>
              <w:spacing w:before="0" w:beforeAutospacing="0" w:after="0" w:afterAutospacing="0"/>
              <w:ind w:left="0" w:right="0"/>
              <w:jc w:val="center"/>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项目</w:t>
            </w:r>
          </w:p>
          <w:p w14:paraId="72A13786">
            <w:pPr>
              <w:keepNext w:val="0"/>
              <w:keepLines w:val="0"/>
              <w:suppressLineNumbers w:val="0"/>
              <w:snapToGrid w:val="0"/>
              <w:spacing w:before="0" w:beforeAutospacing="0" w:after="0" w:afterAutospacing="0"/>
              <w:ind w:left="0" w:right="0"/>
              <w:jc w:val="center"/>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编码</w:t>
            </w:r>
          </w:p>
        </w:tc>
        <w:tc>
          <w:tcPr>
            <w:tcW w:w="1380" w:type="dxa"/>
            <w:vMerge w:val="restart"/>
            <w:tcBorders>
              <w:top w:val="single" w:color="auto" w:sz="4" w:space="0"/>
              <w:left w:val="nil"/>
              <w:bottom w:val="single" w:color="auto" w:sz="4" w:space="0"/>
              <w:right w:val="single" w:color="auto" w:sz="4" w:space="0"/>
            </w:tcBorders>
            <w:noWrap w:val="0"/>
            <w:vAlign w:val="center"/>
          </w:tcPr>
          <w:p w14:paraId="42CF1A1E">
            <w:pPr>
              <w:keepNext w:val="0"/>
              <w:keepLines w:val="0"/>
              <w:suppressLineNumbers w:val="0"/>
              <w:snapToGrid w:val="0"/>
              <w:spacing w:before="0" w:beforeAutospacing="0" w:after="0" w:afterAutospacing="0"/>
              <w:ind w:left="0" w:right="0"/>
              <w:jc w:val="center"/>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措施项目名称</w:t>
            </w:r>
          </w:p>
        </w:tc>
        <w:tc>
          <w:tcPr>
            <w:tcW w:w="785" w:type="dxa"/>
            <w:vMerge w:val="restart"/>
            <w:tcBorders>
              <w:top w:val="single" w:color="auto" w:sz="4" w:space="0"/>
              <w:left w:val="nil"/>
              <w:bottom w:val="single" w:color="auto" w:sz="4" w:space="0"/>
              <w:right w:val="single" w:color="auto" w:sz="4" w:space="0"/>
            </w:tcBorders>
            <w:noWrap w:val="0"/>
            <w:vAlign w:val="center"/>
          </w:tcPr>
          <w:p w14:paraId="5FFF78AE">
            <w:pPr>
              <w:keepNext w:val="0"/>
              <w:keepLines w:val="0"/>
              <w:widowControl/>
              <w:suppressLineNumbers w:val="0"/>
              <w:snapToGrid w:val="0"/>
              <w:spacing w:before="0" w:beforeAutospacing="0" w:after="0" w:afterAutospacing="0"/>
              <w:ind w:left="0" w:right="0"/>
              <w:jc w:val="center"/>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价格</w:t>
            </w:r>
          </w:p>
          <w:p w14:paraId="6F516203">
            <w:pPr>
              <w:keepNext w:val="0"/>
              <w:keepLines w:val="0"/>
              <w:suppressLineNumbers w:val="0"/>
              <w:snapToGrid w:val="0"/>
              <w:spacing w:before="0" w:beforeAutospacing="0" w:after="0" w:afterAutospacing="0"/>
              <w:ind w:left="0" w:right="0"/>
              <w:jc w:val="center"/>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（元）</w:t>
            </w:r>
          </w:p>
        </w:tc>
        <w:tc>
          <w:tcPr>
            <w:tcW w:w="2206" w:type="dxa"/>
            <w:gridSpan w:val="2"/>
            <w:tcBorders>
              <w:top w:val="single" w:color="auto" w:sz="4" w:space="0"/>
              <w:left w:val="nil"/>
              <w:bottom w:val="single" w:color="auto" w:sz="4" w:space="0"/>
              <w:right w:val="single" w:color="auto" w:sz="4" w:space="0"/>
            </w:tcBorders>
            <w:noWrap w:val="0"/>
            <w:vAlign w:val="center"/>
          </w:tcPr>
          <w:p w14:paraId="1EF752E5">
            <w:pPr>
              <w:keepNext w:val="0"/>
              <w:keepLines w:val="0"/>
              <w:suppressLineNumbers w:val="0"/>
              <w:snapToGrid w:val="0"/>
              <w:spacing w:before="0" w:beforeAutospacing="0" w:after="0" w:afterAutospacing="0"/>
              <w:ind w:left="0" w:right="0"/>
              <w:jc w:val="center"/>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1.初始设立费用</w:t>
            </w:r>
          </w:p>
        </w:tc>
        <w:tc>
          <w:tcPr>
            <w:tcW w:w="1641" w:type="dxa"/>
            <w:gridSpan w:val="2"/>
            <w:tcBorders>
              <w:top w:val="single" w:color="auto" w:sz="4" w:space="0"/>
              <w:left w:val="nil"/>
              <w:bottom w:val="single" w:color="auto" w:sz="4" w:space="0"/>
              <w:right w:val="single" w:color="auto" w:sz="4" w:space="0"/>
            </w:tcBorders>
            <w:noWrap w:val="0"/>
            <w:vAlign w:val="center"/>
          </w:tcPr>
          <w:p w14:paraId="523A0630">
            <w:pPr>
              <w:keepNext w:val="0"/>
              <w:keepLines w:val="0"/>
              <w:suppressLineNumbers w:val="0"/>
              <w:snapToGrid w:val="0"/>
              <w:spacing w:before="0" w:beforeAutospacing="0" w:after="0" w:afterAutospacing="0"/>
              <w:ind w:left="0" w:right="0"/>
              <w:jc w:val="center"/>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2.中期运行费用</w:t>
            </w:r>
          </w:p>
        </w:tc>
        <w:tc>
          <w:tcPr>
            <w:tcW w:w="2300" w:type="dxa"/>
            <w:gridSpan w:val="2"/>
            <w:tcBorders>
              <w:top w:val="single" w:color="auto" w:sz="4" w:space="0"/>
              <w:left w:val="nil"/>
              <w:bottom w:val="single" w:color="auto" w:sz="4" w:space="0"/>
              <w:right w:val="single" w:color="auto" w:sz="4" w:space="0"/>
            </w:tcBorders>
            <w:noWrap w:val="0"/>
            <w:vAlign w:val="center"/>
          </w:tcPr>
          <w:p w14:paraId="2CB1B5C3">
            <w:pPr>
              <w:keepNext w:val="0"/>
              <w:keepLines w:val="0"/>
              <w:suppressLineNumbers w:val="0"/>
              <w:snapToGrid w:val="0"/>
              <w:spacing w:before="0" w:beforeAutospacing="0" w:after="0" w:afterAutospacing="0"/>
              <w:ind w:left="0" w:right="0"/>
              <w:jc w:val="center"/>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3.后期拆除费用</w:t>
            </w:r>
          </w:p>
        </w:tc>
      </w:tr>
      <w:tr w14:paraId="1574E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 w:hRule="atLeast"/>
        </w:trPr>
        <w:tc>
          <w:tcPr>
            <w:tcW w:w="564" w:type="dxa"/>
            <w:vMerge w:val="continue"/>
            <w:tcBorders>
              <w:top w:val="single" w:color="auto" w:sz="4" w:space="0"/>
              <w:left w:val="single" w:color="auto" w:sz="4" w:space="0"/>
              <w:bottom w:val="single" w:color="auto" w:sz="4" w:space="0"/>
              <w:right w:val="single" w:color="auto" w:sz="4" w:space="0"/>
            </w:tcBorders>
            <w:noWrap w:val="0"/>
            <w:vAlign w:val="center"/>
          </w:tcPr>
          <w:p w14:paraId="4FE33CC0">
            <w:pPr>
              <w:keepNext w:val="0"/>
              <w:keepLines w:val="0"/>
              <w:widowControl/>
              <w:suppressLineNumbers w:val="0"/>
              <w:spacing w:before="0" w:beforeAutospacing="0" w:after="0" w:afterAutospacing="0"/>
              <w:ind w:left="0" w:right="0"/>
              <w:jc w:val="left"/>
              <w:rPr>
                <w:rFonts w:hint="default" w:ascii="宋体" w:hAnsi="宋体" w:cs="Times New Roman"/>
                <w:color w:val="auto"/>
                <w:kern w:val="0"/>
                <w:sz w:val="21"/>
                <w:szCs w:val="21"/>
                <w:highlight w:val="none"/>
              </w:rPr>
            </w:pPr>
          </w:p>
        </w:tc>
        <w:tc>
          <w:tcPr>
            <w:tcW w:w="829" w:type="dxa"/>
            <w:vMerge w:val="continue"/>
            <w:tcBorders>
              <w:top w:val="single" w:color="auto" w:sz="4" w:space="0"/>
              <w:left w:val="nil"/>
              <w:bottom w:val="single" w:color="auto" w:sz="4" w:space="0"/>
              <w:right w:val="single" w:color="auto" w:sz="4" w:space="0"/>
            </w:tcBorders>
            <w:noWrap w:val="0"/>
            <w:vAlign w:val="center"/>
          </w:tcPr>
          <w:p w14:paraId="688BE64F">
            <w:pPr>
              <w:keepNext w:val="0"/>
              <w:keepLines w:val="0"/>
              <w:widowControl/>
              <w:suppressLineNumbers w:val="0"/>
              <w:spacing w:before="0" w:beforeAutospacing="0" w:after="0" w:afterAutospacing="0"/>
              <w:ind w:left="0" w:right="0"/>
              <w:jc w:val="left"/>
              <w:rPr>
                <w:rFonts w:hint="default" w:ascii="宋体" w:hAnsi="宋体" w:cs="Times New Roman"/>
                <w:color w:val="auto"/>
                <w:kern w:val="0"/>
                <w:sz w:val="21"/>
                <w:szCs w:val="21"/>
                <w:highlight w:val="none"/>
              </w:rPr>
            </w:pPr>
          </w:p>
        </w:tc>
        <w:tc>
          <w:tcPr>
            <w:tcW w:w="1380" w:type="dxa"/>
            <w:vMerge w:val="continue"/>
            <w:tcBorders>
              <w:top w:val="single" w:color="auto" w:sz="4" w:space="0"/>
              <w:left w:val="nil"/>
              <w:bottom w:val="single" w:color="auto" w:sz="4" w:space="0"/>
              <w:right w:val="single" w:color="auto" w:sz="4" w:space="0"/>
            </w:tcBorders>
            <w:noWrap w:val="0"/>
            <w:vAlign w:val="center"/>
          </w:tcPr>
          <w:p w14:paraId="4767F786">
            <w:pPr>
              <w:keepNext w:val="0"/>
              <w:keepLines w:val="0"/>
              <w:widowControl/>
              <w:suppressLineNumbers w:val="0"/>
              <w:spacing w:before="0" w:beforeAutospacing="0" w:after="0" w:afterAutospacing="0"/>
              <w:ind w:left="0" w:right="0"/>
              <w:jc w:val="left"/>
              <w:rPr>
                <w:rFonts w:hint="default" w:ascii="宋体" w:hAnsi="宋体" w:cs="Times New Roman"/>
                <w:color w:val="auto"/>
                <w:kern w:val="0"/>
                <w:sz w:val="21"/>
                <w:szCs w:val="21"/>
                <w:highlight w:val="none"/>
              </w:rPr>
            </w:pPr>
          </w:p>
        </w:tc>
        <w:tc>
          <w:tcPr>
            <w:tcW w:w="785" w:type="dxa"/>
            <w:vMerge w:val="continue"/>
            <w:tcBorders>
              <w:top w:val="single" w:color="auto" w:sz="4" w:space="0"/>
              <w:left w:val="nil"/>
              <w:bottom w:val="single" w:color="auto" w:sz="4" w:space="0"/>
              <w:right w:val="single" w:color="auto" w:sz="4" w:space="0"/>
            </w:tcBorders>
            <w:noWrap w:val="0"/>
            <w:vAlign w:val="center"/>
          </w:tcPr>
          <w:p w14:paraId="2545723A">
            <w:pPr>
              <w:keepNext w:val="0"/>
              <w:keepLines w:val="0"/>
              <w:widowControl/>
              <w:suppressLineNumbers w:val="0"/>
              <w:spacing w:before="0" w:beforeAutospacing="0" w:after="0" w:afterAutospacing="0"/>
              <w:ind w:left="0" w:right="0"/>
              <w:jc w:val="left"/>
              <w:rPr>
                <w:rFonts w:hint="default" w:ascii="宋体" w:hAnsi="宋体" w:cs="Times New Roman"/>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center"/>
          </w:tcPr>
          <w:p w14:paraId="68886324">
            <w:pPr>
              <w:keepNext w:val="0"/>
              <w:keepLines w:val="0"/>
              <w:suppressLineNumbers w:val="0"/>
              <w:snapToGrid w:val="0"/>
              <w:spacing w:before="0" w:beforeAutospacing="0" w:after="0" w:afterAutospacing="0"/>
              <w:ind w:left="0" w:right="0"/>
              <w:jc w:val="center"/>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占比</w:t>
            </w:r>
          </w:p>
          <w:p w14:paraId="18C4421B">
            <w:pPr>
              <w:keepNext w:val="0"/>
              <w:keepLines w:val="0"/>
              <w:suppressLineNumbers w:val="0"/>
              <w:snapToGrid w:val="0"/>
              <w:spacing w:before="0" w:beforeAutospacing="0" w:after="0" w:afterAutospacing="0"/>
              <w:ind w:left="0" w:right="0"/>
              <w:jc w:val="center"/>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w:t>
            </w:r>
          </w:p>
        </w:tc>
        <w:tc>
          <w:tcPr>
            <w:tcW w:w="1208" w:type="dxa"/>
            <w:tcBorders>
              <w:top w:val="single" w:color="auto" w:sz="4" w:space="0"/>
              <w:left w:val="nil"/>
              <w:bottom w:val="single" w:color="auto" w:sz="4" w:space="0"/>
              <w:right w:val="single" w:color="auto" w:sz="4" w:space="0"/>
            </w:tcBorders>
            <w:noWrap w:val="0"/>
            <w:vAlign w:val="center"/>
          </w:tcPr>
          <w:p w14:paraId="3ADB1351">
            <w:pPr>
              <w:keepNext w:val="0"/>
              <w:keepLines w:val="0"/>
              <w:suppressLineNumbers w:val="0"/>
              <w:snapToGrid w:val="0"/>
              <w:spacing w:before="0" w:beforeAutospacing="0" w:after="0" w:afterAutospacing="0"/>
              <w:ind w:left="0" w:right="0"/>
              <w:jc w:val="center"/>
              <w:rPr>
                <w:rFonts w:hint="default" w:ascii="宋体" w:hAnsi="宋体" w:cs="Calibri"/>
                <w:color w:val="auto"/>
                <w:kern w:val="0"/>
                <w:sz w:val="21"/>
                <w:szCs w:val="21"/>
                <w:highlight w:val="none"/>
              </w:rPr>
            </w:pPr>
            <w:r>
              <w:rPr>
                <w:rFonts w:hint="eastAsia" w:ascii="宋体" w:hAnsi="宋体" w:cs="Calibri"/>
                <w:color w:val="auto"/>
                <w:kern w:val="0"/>
                <w:sz w:val="21"/>
                <w:szCs w:val="21"/>
                <w:highlight w:val="none"/>
              </w:rPr>
              <w:t>金额</w:t>
            </w:r>
          </w:p>
          <w:p w14:paraId="3EAF08FE">
            <w:pPr>
              <w:keepNext w:val="0"/>
              <w:keepLines w:val="0"/>
              <w:suppressLineNumbers w:val="0"/>
              <w:snapToGrid w:val="0"/>
              <w:spacing w:before="0" w:beforeAutospacing="0" w:after="0" w:afterAutospacing="0"/>
              <w:ind w:left="0" w:right="0"/>
              <w:jc w:val="center"/>
              <w:rPr>
                <w:rFonts w:hint="eastAsia" w:ascii="宋体" w:hAnsi="宋体" w:eastAsia="宋体" w:cs="Times New Roman"/>
                <w:color w:val="auto"/>
                <w:kern w:val="0"/>
                <w:sz w:val="21"/>
                <w:szCs w:val="21"/>
                <w:highlight w:val="none"/>
                <w:lang w:eastAsia="zh-CN"/>
              </w:rPr>
            </w:pPr>
            <w:r>
              <w:rPr>
                <w:rFonts w:hint="eastAsia" w:ascii="宋体" w:hAnsi="宋体" w:cs="Calibri"/>
                <w:color w:val="auto"/>
                <w:kern w:val="0"/>
                <w:sz w:val="21"/>
                <w:szCs w:val="21"/>
                <w:highlight w:val="none"/>
                <w:lang w:eastAsia="zh-CN"/>
              </w:rPr>
              <w:t>（</w:t>
            </w:r>
            <w:r>
              <w:rPr>
                <w:rFonts w:hint="eastAsia" w:ascii="宋体" w:hAnsi="宋体" w:cs="Calibri"/>
                <w:color w:val="auto"/>
                <w:kern w:val="0"/>
                <w:sz w:val="21"/>
                <w:szCs w:val="21"/>
                <w:highlight w:val="none"/>
              </w:rPr>
              <w:t>元</w:t>
            </w:r>
            <w:r>
              <w:rPr>
                <w:rFonts w:hint="eastAsia" w:ascii="宋体" w:hAnsi="宋体" w:cs="Calibri"/>
                <w:color w:val="auto"/>
                <w:kern w:val="0"/>
                <w:sz w:val="21"/>
                <w:szCs w:val="21"/>
                <w:highlight w:val="none"/>
                <w:lang w:eastAsia="zh-CN"/>
              </w:rPr>
              <w:t>）</w:t>
            </w:r>
          </w:p>
        </w:tc>
        <w:tc>
          <w:tcPr>
            <w:tcW w:w="732" w:type="dxa"/>
            <w:tcBorders>
              <w:top w:val="single" w:color="auto" w:sz="4" w:space="0"/>
              <w:left w:val="nil"/>
              <w:bottom w:val="single" w:color="auto" w:sz="4" w:space="0"/>
              <w:right w:val="single" w:color="auto" w:sz="4" w:space="0"/>
            </w:tcBorders>
            <w:noWrap w:val="0"/>
            <w:vAlign w:val="center"/>
          </w:tcPr>
          <w:p w14:paraId="3424C705">
            <w:pPr>
              <w:keepNext w:val="0"/>
              <w:keepLines w:val="0"/>
              <w:suppressLineNumbers w:val="0"/>
              <w:snapToGrid w:val="0"/>
              <w:spacing w:before="0" w:beforeAutospacing="0" w:after="0" w:afterAutospacing="0"/>
              <w:ind w:left="0" w:right="0"/>
              <w:jc w:val="center"/>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占比</w:t>
            </w:r>
          </w:p>
          <w:p w14:paraId="70F379B2">
            <w:pPr>
              <w:keepNext w:val="0"/>
              <w:keepLines w:val="0"/>
              <w:suppressLineNumbers w:val="0"/>
              <w:snapToGrid w:val="0"/>
              <w:spacing w:before="0" w:beforeAutospacing="0" w:after="0" w:afterAutospacing="0"/>
              <w:ind w:left="0" w:right="0"/>
              <w:jc w:val="center"/>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w:t>
            </w:r>
          </w:p>
        </w:tc>
        <w:tc>
          <w:tcPr>
            <w:tcW w:w="909" w:type="dxa"/>
            <w:tcBorders>
              <w:top w:val="single" w:color="auto" w:sz="4" w:space="0"/>
              <w:left w:val="nil"/>
              <w:bottom w:val="single" w:color="auto" w:sz="4" w:space="0"/>
              <w:right w:val="single" w:color="auto" w:sz="4" w:space="0"/>
            </w:tcBorders>
            <w:noWrap w:val="0"/>
            <w:vAlign w:val="center"/>
          </w:tcPr>
          <w:p w14:paraId="05D3CDA3">
            <w:pPr>
              <w:keepNext w:val="0"/>
              <w:keepLines w:val="0"/>
              <w:suppressLineNumbers w:val="0"/>
              <w:snapToGrid w:val="0"/>
              <w:spacing w:before="0" w:beforeAutospacing="0" w:after="0" w:afterAutospacing="0"/>
              <w:ind w:left="0" w:right="0"/>
              <w:jc w:val="center"/>
              <w:rPr>
                <w:rFonts w:hint="default" w:ascii="宋体" w:hAnsi="宋体" w:cs="Calibri"/>
                <w:color w:val="auto"/>
                <w:kern w:val="0"/>
                <w:sz w:val="21"/>
                <w:szCs w:val="21"/>
                <w:highlight w:val="none"/>
              </w:rPr>
            </w:pPr>
            <w:r>
              <w:rPr>
                <w:rFonts w:hint="eastAsia" w:ascii="宋体" w:hAnsi="宋体" w:cs="Calibri"/>
                <w:color w:val="auto"/>
                <w:kern w:val="0"/>
                <w:sz w:val="21"/>
                <w:szCs w:val="21"/>
                <w:highlight w:val="none"/>
              </w:rPr>
              <w:t>金额</w:t>
            </w:r>
          </w:p>
          <w:p w14:paraId="2C0E1765">
            <w:pPr>
              <w:keepNext w:val="0"/>
              <w:keepLines w:val="0"/>
              <w:suppressLineNumbers w:val="0"/>
              <w:snapToGrid w:val="0"/>
              <w:spacing w:before="0" w:beforeAutospacing="0" w:after="0" w:afterAutospacing="0"/>
              <w:ind w:left="0" w:right="0"/>
              <w:jc w:val="center"/>
              <w:rPr>
                <w:rFonts w:hint="eastAsia" w:ascii="宋体" w:hAnsi="宋体" w:eastAsia="宋体" w:cs="Times New Roman"/>
                <w:color w:val="auto"/>
                <w:kern w:val="0"/>
                <w:sz w:val="21"/>
                <w:szCs w:val="21"/>
                <w:highlight w:val="none"/>
                <w:lang w:eastAsia="zh-CN"/>
              </w:rPr>
            </w:pPr>
            <w:r>
              <w:rPr>
                <w:rFonts w:hint="eastAsia" w:ascii="宋体" w:hAnsi="宋体" w:cs="Calibri"/>
                <w:color w:val="auto"/>
                <w:kern w:val="0"/>
                <w:sz w:val="21"/>
                <w:szCs w:val="21"/>
                <w:highlight w:val="none"/>
                <w:lang w:eastAsia="zh-CN"/>
              </w:rPr>
              <w:t>（</w:t>
            </w:r>
            <w:r>
              <w:rPr>
                <w:rFonts w:hint="eastAsia" w:ascii="宋体" w:hAnsi="宋体" w:cs="Calibri"/>
                <w:color w:val="auto"/>
                <w:kern w:val="0"/>
                <w:sz w:val="21"/>
                <w:szCs w:val="21"/>
                <w:highlight w:val="none"/>
              </w:rPr>
              <w:t>元</w:t>
            </w:r>
            <w:r>
              <w:rPr>
                <w:rFonts w:hint="eastAsia" w:ascii="宋体" w:hAnsi="宋体" w:cs="Calibri"/>
                <w:color w:val="auto"/>
                <w:kern w:val="0"/>
                <w:sz w:val="21"/>
                <w:szCs w:val="21"/>
                <w:highlight w:val="none"/>
                <w:lang w:eastAsia="zh-CN"/>
              </w:rPr>
              <w:t>）</w:t>
            </w:r>
          </w:p>
        </w:tc>
        <w:tc>
          <w:tcPr>
            <w:tcW w:w="1035" w:type="dxa"/>
            <w:tcBorders>
              <w:top w:val="single" w:color="auto" w:sz="4" w:space="0"/>
              <w:left w:val="nil"/>
              <w:bottom w:val="single" w:color="auto" w:sz="4" w:space="0"/>
              <w:right w:val="single" w:color="auto" w:sz="4" w:space="0"/>
            </w:tcBorders>
            <w:noWrap w:val="0"/>
            <w:vAlign w:val="center"/>
          </w:tcPr>
          <w:p w14:paraId="06300DB9">
            <w:pPr>
              <w:keepNext w:val="0"/>
              <w:keepLines w:val="0"/>
              <w:suppressLineNumbers w:val="0"/>
              <w:snapToGrid w:val="0"/>
              <w:spacing w:before="0" w:beforeAutospacing="0" w:after="0" w:afterAutospacing="0"/>
              <w:ind w:left="0" w:right="0"/>
              <w:jc w:val="center"/>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占比</w:t>
            </w:r>
          </w:p>
          <w:p w14:paraId="22EEAE7C">
            <w:pPr>
              <w:keepNext w:val="0"/>
              <w:keepLines w:val="0"/>
              <w:suppressLineNumbers w:val="0"/>
              <w:snapToGrid w:val="0"/>
              <w:spacing w:before="0" w:beforeAutospacing="0" w:after="0" w:afterAutospacing="0"/>
              <w:ind w:left="0" w:right="0"/>
              <w:jc w:val="center"/>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w:t>
            </w:r>
          </w:p>
        </w:tc>
        <w:tc>
          <w:tcPr>
            <w:tcW w:w="1265" w:type="dxa"/>
            <w:tcBorders>
              <w:top w:val="single" w:color="auto" w:sz="4" w:space="0"/>
              <w:left w:val="nil"/>
              <w:bottom w:val="single" w:color="auto" w:sz="4" w:space="0"/>
              <w:right w:val="single" w:color="auto" w:sz="4" w:space="0"/>
            </w:tcBorders>
            <w:noWrap w:val="0"/>
            <w:vAlign w:val="center"/>
          </w:tcPr>
          <w:p w14:paraId="3A65D3DB">
            <w:pPr>
              <w:keepNext w:val="0"/>
              <w:keepLines w:val="0"/>
              <w:suppressLineNumbers w:val="0"/>
              <w:snapToGrid w:val="0"/>
              <w:spacing w:before="0" w:beforeAutospacing="0" w:after="0" w:afterAutospacing="0"/>
              <w:ind w:left="0" w:right="0"/>
              <w:jc w:val="center"/>
              <w:rPr>
                <w:rFonts w:hint="default" w:ascii="宋体" w:hAnsi="宋体" w:cs="Calibri"/>
                <w:color w:val="auto"/>
                <w:kern w:val="0"/>
                <w:sz w:val="21"/>
                <w:szCs w:val="21"/>
                <w:highlight w:val="none"/>
              </w:rPr>
            </w:pPr>
            <w:r>
              <w:rPr>
                <w:rFonts w:hint="eastAsia" w:ascii="宋体" w:hAnsi="宋体" w:cs="Calibri"/>
                <w:color w:val="auto"/>
                <w:kern w:val="0"/>
                <w:sz w:val="21"/>
                <w:szCs w:val="21"/>
                <w:highlight w:val="none"/>
              </w:rPr>
              <w:t>金额</w:t>
            </w:r>
          </w:p>
          <w:p w14:paraId="71322C40">
            <w:pPr>
              <w:keepNext w:val="0"/>
              <w:keepLines w:val="0"/>
              <w:suppressLineNumbers w:val="0"/>
              <w:snapToGrid w:val="0"/>
              <w:spacing w:before="0" w:beforeAutospacing="0" w:after="0" w:afterAutospacing="0"/>
              <w:ind w:left="0" w:right="0"/>
              <w:jc w:val="center"/>
              <w:rPr>
                <w:rFonts w:hint="eastAsia" w:ascii="宋体" w:hAnsi="宋体" w:eastAsia="宋体" w:cs="Times New Roman"/>
                <w:color w:val="auto"/>
                <w:kern w:val="0"/>
                <w:sz w:val="21"/>
                <w:szCs w:val="21"/>
                <w:highlight w:val="none"/>
                <w:lang w:eastAsia="zh-CN"/>
              </w:rPr>
            </w:pPr>
            <w:r>
              <w:rPr>
                <w:rFonts w:hint="eastAsia" w:ascii="宋体" w:hAnsi="宋体" w:cs="Calibri"/>
                <w:color w:val="auto"/>
                <w:kern w:val="0"/>
                <w:sz w:val="21"/>
                <w:szCs w:val="21"/>
                <w:highlight w:val="none"/>
                <w:lang w:eastAsia="zh-CN"/>
              </w:rPr>
              <w:t>（</w:t>
            </w:r>
            <w:r>
              <w:rPr>
                <w:rFonts w:hint="eastAsia" w:ascii="宋体" w:hAnsi="宋体" w:cs="Calibri"/>
                <w:color w:val="auto"/>
                <w:kern w:val="0"/>
                <w:sz w:val="21"/>
                <w:szCs w:val="21"/>
                <w:highlight w:val="none"/>
              </w:rPr>
              <w:t>元</w:t>
            </w:r>
            <w:r>
              <w:rPr>
                <w:rFonts w:hint="eastAsia" w:ascii="宋体" w:hAnsi="宋体" w:cs="Calibri"/>
                <w:color w:val="auto"/>
                <w:kern w:val="0"/>
                <w:sz w:val="21"/>
                <w:szCs w:val="21"/>
                <w:highlight w:val="none"/>
                <w:lang w:eastAsia="zh-CN"/>
              </w:rPr>
              <w:t>）</w:t>
            </w:r>
          </w:p>
        </w:tc>
      </w:tr>
      <w:tr w14:paraId="59DF4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393AF08D">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829" w:type="dxa"/>
            <w:tcBorders>
              <w:top w:val="single" w:color="auto" w:sz="4" w:space="0"/>
              <w:left w:val="nil"/>
              <w:bottom w:val="single" w:color="auto" w:sz="4" w:space="0"/>
              <w:right w:val="single" w:color="auto" w:sz="4" w:space="0"/>
            </w:tcBorders>
            <w:noWrap w:val="0"/>
            <w:vAlign w:val="top"/>
          </w:tcPr>
          <w:p w14:paraId="3C5F526D">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380" w:type="dxa"/>
            <w:tcBorders>
              <w:top w:val="single" w:color="auto" w:sz="4" w:space="0"/>
              <w:left w:val="nil"/>
              <w:bottom w:val="single" w:color="auto" w:sz="4" w:space="0"/>
              <w:right w:val="single" w:color="auto" w:sz="4" w:space="0"/>
            </w:tcBorders>
            <w:noWrap w:val="0"/>
            <w:vAlign w:val="top"/>
          </w:tcPr>
          <w:p w14:paraId="3C86036B">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85" w:type="dxa"/>
            <w:tcBorders>
              <w:top w:val="single" w:color="auto" w:sz="4" w:space="0"/>
              <w:left w:val="nil"/>
              <w:bottom w:val="single" w:color="auto" w:sz="4" w:space="0"/>
              <w:right w:val="single" w:color="auto" w:sz="4" w:space="0"/>
            </w:tcBorders>
            <w:noWrap w:val="0"/>
            <w:vAlign w:val="top"/>
          </w:tcPr>
          <w:p w14:paraId="3113DFE6">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top"/>
          </w:tcPr>
          <w:p w14:paraId="3DDB2953">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08" w:type="dxa"/>
            <w:tcBorders>
              <w:top w:val="single" w:color="auto" w:sz="4" w:space="0"/>
              <w:left w:val="nil"/>
              <w:bottom w:val="single" w:color="auto" w:sz="4" w:space="0"/>
              <w:right w:val="single" w:color="auto" w:sz="4" w:space="0"/>
            </w:tcBorders>
            <w:noWrap w:val="0"/>
            <w:vAlign w:val="top"/>
          </w:tcPr>
          <w:p w14:paraId="78DEFDFE">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32" w:type="dxa"/>
            <w:tcBorders>
              <w:top w:val="single" w:color="auto" w:sz="4" w:space="0"/>
              <w:left w:val="nil"/>
              <w:bottom w:val="single" w:color="auto" w:sz="4" w:space="0"/>
              <w:right w:val="single" w:color="auto" w:sz="4" w:space="0"/>
            </w:tcBorders>
            <w:noWrap w:val="0"/>
            <w:vAlign w:val="top"/>
          </w:tcPr>
          <w:p w14:paraId="7C58C96B">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09" w:type="dxa"/>
            <w:tcBorders>
              <w:top w:val="single" w:color="auto" w:sz="4" w:space="0"/>
              <w:left w:val="nil"/>
              <w:bottom w:val="single" w:color="auto" w:sz="4" w:space="0"/>
              <w:right w:val="single" w:color="auto" w:sz="4" w:space="0"/>
            </w:tcBorders>
            <w:noWrap w:val="0"/>
            <w:vAlign w:val="top"/>
          </w:tcPr>
          <w:p w14:paraId="7BDDFF55">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035" w:type="dxa"/>
            <w:tcBorders>
              <w:top w:val="single" w:color="auto" w:sz="4" w:space="0"/>
              <w:left w:val="nil"/>
              <w:bottom w:val="single" w:color="auto" w:sz="4" w:space="0"/>
              <w:right w:val="single" w:color="auto" w:sz="4" w:space="0"/>
            </w:tcBorders>
            <w:noWrap w:val="0"/>
            <w:vAlign w:val="top"/>
          </w:tcPr>
          <w:p w14:paraId="1153ACFF">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65" w:type="dxa"/>
            <w:tcBorders>
              <w:top w:val="single" w:color="auto" w:sz="4" w:space="0"/>
              <w:left w:val="nil"/>
              <w:bottom w:val="single" w:color="auto" w:sz="4" w:space="0"/>
              <w:right w:val="single" w:color="auto" w:sz="4" w:space="0"/>
            </w:tcBorders>
            <w:noWrap w:val="0"/>
            <w:vAlign w:val="top"/>
          </w:tcPr>
          <w:p w14:paraId="6C408F44">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r>
      <w:tr w14:paraId="3EC68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293AA44F">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829" w:type="dxa"/>
            <w:tcBorders>
              <w:top w:val="single" w:color="auto" w:sz="4" w:space="0"/>
              <w:left w:val="nil"/>
              <w:bottom w:val="single" w:color="auto" w:sz="4" w:space="0"/>
              <w:right w:val="single" w:color="auto" w:sz="4" w:space="0"/>
            </w:tcBorders>
            <w:noWrap w:val="0"/>
            <w:vAlign w:val="top"/>
          </w:tcPr>
          <w:p w14:paraId="7ADB636C">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380" w:type="dxa"/>
            <w:tcBorders>
              <w:top w:val="single" w:color="auto" w:sz="4" w:space="0"/>
              <w:left w:val="nil"/>
              <w:bottom w:val="single" w:color="auto" w:sz="4" w:space="0"/>
              <w:right w:val="single" w:color="auto" w:sz="4" w:space="0"/>
            </w:tcBorders>
            <w:noWrap w:val="0"/>
            <w:vAlign w:val="top"/>
          </w:tcPr>
          <w:p w14:paraId="0C41DCD2">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85" w:type="dxa"/>
            <w:tcBorders>
              <w:top w:val="single" w:color="auto" w:sz="4" w:space="0"/>
              <w:left w:val="nil"/>
              <w:bottom w:val="single" w:color="auto" w:sz="4" w:space="0"/>
              <w:right w:val="single" w:color="auto" w:sz="4" w:space="0"/>
            </w:tcBorders>
            <w:noWrap w:val="0"/>
            <w:vAlign w:val="top"/>
          </w:tcPr>
          <w:p w14:paraId="5A9F2158">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top"/>
          </w:tcPr>
          <w:p w14:paraId="05309D7B">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08" w:type="dxa"/>
            <w:tcBorders>
              <w:top w:val="single" w:color="auto" w:sz="4" w:space="0"/>
              <w:left w:val="nil"/>
              <w:bottom w:val="single" w:color="auto" w:sz="4" w:space="0"/>
              <w:right w:val="single" w:color="auto" w:sz="4" w:space="0"/>
            </w:tcBorders>
            <w:noWrap w:val="0"/>
            <w:vAlign w:val="top"/>
          </w:tcPr>
          <w:p w14:paraId="6F76CD49">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32" w:type="dxa"/>
            <w:tcBorders>
              <w:top w:val="single" w:color="auto" w:sz="4" w:space="0"/>
              <w:left w:val="nil"/>
              <w:bottom w:val="single" w:color="auto" w:sz="4" w:space="0"/>
              <w:right w:val="single" w:color="auto" w:sz="4" w:space="0"/>
            </w:tcBorders>
            <w:noWrap w:val="0"/>
            <w:vAlign w:val="top"/>
          </w:tcPr>
          <w:p w14:paraId="64916BC5">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09" w:type="dxa"/>
            <w:tcBorders>
              <w:top w:val="single" w:color="auto" w:sz="4" w:space="0"/>
              <w:left w:val="nil"/>
              <w:bottom w:val="single" w:color="auto" w:sz="4" w:space="0"/>
              <w:right w:val="single" w:color="auto" w:sz="4" w:space="0"/>
            </w:tcBorders>
            <w:noWrap w:val="0"/>
            <w:vAlign w:val="top"/>
          </w:tcPr>
          <w:p w14:paraId="2A65DC8E">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035" w:type="dxa"/>
            <w:tcBorders>
              <w:top w:val="single" w:color="auto" w:sz="4" w:space="0"/>
              <w:left w:val="nil"/>
              <w:bottom w:val="single" w:color="auto" w:sz="4" w:space="0"/>
              <w:right w:val="single" w:color="auto" w:sz="4" w:space="0"/>
            </w:tcBorders>
            <w:noWrap w:val="0"/>
            <w:vAlign w:val="top"/>
          </w:tcPr>
          <w:p w14:paraId="62130C39">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65" w:type="dxa"/>
            <w:tcBorders>
              <w:top w:val="single" w:color="auto" w:sz="4" w:space="0"/>
              <w:left w:val="nil"/>
              <w:bottom w:val="single" w:color="auto" w:sz="4" w:space="0"/>
              <w:right w:val="single" w:color="auto" w:sz="4" w:space="0"/>
            </w:tcBorders>
            <w:noWrap w:val="0"/>
            <w:vAlign w:val="top"/>
          </w:tcPr>
          <w:p w14:paraId="2ABCBAEB">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r>
      <w:tr w14:paraId="4D244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13459A45">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829" w:type="dxa"/>
            <w:tcBorders>
              <w:top w:val="single" w:color="auto" w:sz="4" w:space="0"/>
              <w:left w:val="nil"/>
              <w:bottom w:val="single" w:color="auto" w:sz="4" w:space="0"/>
              <w:right w:val="single" w:color="auto" w:sz="4" w:space="0"/>
            </w:tcBorders>
            <w:noWrap w:val="0"/>
            <w:vAlign w:val="top"/>
          </w:tcPr>
          <w:p w14:paraId="3073EF7C">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380" w:type="dxa"/>
            <w:tcBorders>
              <w:top w:val="single" w:color="auto" w:sz="4" w:space="0"/>
              <w:left w:val="nil"/>
              <w:bottom w:val="single" w:color="auto" w:sz="4" w:space="0"/>
              <w:right w:val="single" w:color="auto" w:sz="4" w:space="0"/>
            </w:tcBorders>
            <w:noWrap w:val="0"/>
            <w:vAlign w:val="top"/>
          </w:tcPr>
          <w:p w14:paraId="74534C24">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85" w:type="dxa"/>
            <w:tcBorders>
              <w:top w:val="single" w:color="auto" w:sz="4" w:space="0"/>
              <w:left w:val="nil"/>
              <w:bottom w:val="single" w:color="auto" w:sz="4" w:space="0"/>
              <w:right w:val="single" w:color="auto" w:sz="4" w:space="0"/>
            </w:tcBorders>
            <w:noWrap w:val="0"/>
            <w:vAlign w:val="top"/>
          </w:tcPr>
          <w:p w14:paraId="2A15A8AB">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top"/>
          </w:tcPr>
          <w:p w14:paraId="47D760EC">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08" w:type="dxa"/>
            <w:tcBorders>
              <w:top w:val="single" w:color="auto" w:sz="4" w:space="0"/>
              <w:left w:val="nil"/>
              <w:bottom w:val="single" w:color="auto" w:sz="4" w:space="0"/>
              <w:right w:val="single" w:color="auto" w:sz="4" w:space="0"/>
            </w:tcBorders>
            <w:noWrap w:val="0"/>
            <w:vAlign w:val="top"/>
          </w:tcPr>
          <w:p w14:paraId="2F62F523">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32" w:type="dxa"/>
            <w:tcBorders>
              <w:top w:val="single" w:color="auto" w:sz="4" w:space="0"/>
              <w:left w:val="nil"/>
              <w:bottom w:val="single" w:color="auto" w:sz="4" w:space="0"/>
              <w:right w:val="single" w:color="auto" w:sz="4" w:space="0"/>
            </w:tcBorders>
            <w:noWrap w:val="0"/>
            <w:vAlign w:val="top"/>
          </w:tcPr>
          <w:p w14:paraId="4198D44E">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09" w:type="dxa"/>
            <w:tcBorders>
              <w:top w:val="single" w:color="auto" w:sz="4" w:space="0"/>
              <w:left w:val="nil"/>
              <w:bottom w:val="single" w:color="auto" w:sz="4" w:space="0"/>
              <w:right w:val="single" w:color="auto" w:sz="4" w:space="0"/>
            </w:tcBorders>
            <w:noWrap w:val="0"/>
            <w:vAlign w:val="top"/>
          </w:tcPr>
          <w:p w14:paraId="3651501E">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035" w:type="dxa"/>
            <w:tcBorders>
              <w:top w:val="single" w:color="auto" w:sz="4" w:space="0"/>
              <w:left w:val="nil"/>
              <w:bottom w:val="single" w:color="auto" w:sz="4" w:space="0"/>
              <w:right w:val="single" w:color="auto" w:sz="4" w:space="0"/>
            </w:tcBorders>
            <w:noWrap w:val="0"/>
            <w:vAlign w:val="top"/>
          </w:tcPr>
          <w:p w14:paraId="011D539B">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65" w:type="dxa"/>
            <w:tcBorders>
              <w:top w:val="single" w:color="auto" w:sz="4" w:space="0"/>
              <w:left w:val="nil"/>
              <w:bottom w:val="single" w:color="auto" w:sz="4" w:space="0"/>
              <w:right w:val="single" w:color="auto" w:sz="4" w:space="0"/>
            </w:tcBorders>
            <w:noWrap w:val="0"/>
            <w:vAlign w:val="top"/>
          </w:tcPr>
          <w:p w14:paraId="503BBEE9">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r>
      <w:tr w14:paraId="25335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7B3D68D0">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829" w:type="dxa"/>
            <w:tcBorders>
              <w:top w:val="single" w:color="auto" w:sz="4" w:space="0"/>
              <w:left w:val="nil"/>
              <w:bottom w:val="single" w:color="auto" w:sz="4" w:space="0"/>
              <w:right w:val="single" w:color="auto" w:sz="4" w:space="0"/>
            </w:tcBorders>
            <w:noWrap w:val="0"/>
            <w:vAlign w:val="top"/>
          </w:tcPr>
          <w:p w14:paraId="4307CCB9">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380" w:type="dxa"/>
            <w:tcBorders>
              <w:top w:val="single" w:color="auto" w:sz="4" w:space="0"/>
              <w:left w:val="nil"/>
              <w:bottom w:val="single" w:color="auto" w:sz="4" w:space="0"/>
              <w:right w:val="single" w:color="auto" w:sz="4" w:space="0"/>
            </w:tcBorders>
            <w:noWrap w:val="0"/>
            <w:vAlign w:val="top"/>
          </w:tcPr>
          <w:p w14:paraId="4E7ABE1B">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85" w:type="dxa"/>
            <w:tcBorders>
              <w:top w:val="single" w:color="auto" w:sz="4" w:space="0"/>
              <w:left w:val="nil"/>
              <w:bottom w:val="single" w:color="auto" w:sz="4" w:space="0"/>
              <w:right w:val="single" w:color="auto" w:sz="4" w:space="0"/>
            </w:tcBorders>
            <w:noWrap w:val="0"/>
            <w:vAlign w:val="top"/>
          </w:tcPr>
          <w:p w14:paraId="147A5AD6">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top"/>
          </w:tcPr>
          <w:p w14:paraId="71B83813">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08" w:type="dxa"/>
            <w:tcBorders>
              <w:top w:val="single" w:color="auto" w:sz="4" w:space="0"/>
              <w:left w:val="nil"/>
              <w:bottom w:val="single" w:color="auto" w:sz="4" w:space="0"/>
              <w:right w:val="single" w:color="auto" w:sz="4" w:space="0"/>
            </w:tcBorders>
            <w:noWrap w:val="0"/>
            <w:vAlign w:val="top"/>
          </w:tcPr>
          <w:p w14:paraId="594D47E2">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32" w:type="dxa"/>
            <w:tcBorders>
              <w:top w:val="single" w:color="auto" w:sz="4" w:space="0"/>
              <w:left w:val="nil"/>
              <w:bottom w:val="single" w:color="auto" w:sz="4" w:space="0"/>
              <w:right w:val="single" w:color="auto" w:sz="4" w:space="0"/>
            </w:tcBorders>
            <w:noWrap w:val="0"/>
            <w:vAlign w:val="top"/>
          </w:tcPr>
          <w:p w14:paraId="6AC336E4">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09" w:type="dxa"/>
            <w:tcBorders>
              <w:top w:val="single" w:color="auto" w:sz="4" w:space="0"/>
              <w:left w:val="nil"/>
              <w:bottom w:val="single" w:color="auto" w:sz="4" w:space="0"/>
              <w:right w:val="single" w:color="auto" w:sz="4" w:space="0"/>
            </w:tcBorders>
            <w:noWrap w:val="0"/>
            <w:vAlign w:val="top"/>
          </w:tcPr>
          <w:p w14:paraId="2960C2FD">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035" w:type="dxa"/>
            <w:tcBorders>
              <w:top w:val="single" w:color="auto" w:sz="4" w:space="0"/>
              <w:left w:val="nil"/>
              <w:bottom w:val="single" w:color="auto" w:sz="4" w:space="0"/>
              <w:right w:val="single" w:color="auto" w:sz="4" w:space="0"/>
            </w:tcBorders>
            <w:noWrap w:val="0"/>
            <w:vAlign w:val="top"/>
          </w:tcPr>
          <w:p w14:paraId="728ED8D6">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65" w:type="dxa"/>
            <w:tcBorders>
              <w:top w:val="single" w:color="auto" w:sz="4" w:space="0"/>
              <w:left w:val="nil"/>
              <w:bottom w:val="single" w:color="auto" w:sz="4" w:space="0"/>
              <w:right w:val="single" w:color="auto" w:sz="4" w:space="0"/>
            </w:tcBorders>
            <w:noWrap w:val="0"/>
            <w:vAlign w:val="top"/>
          </w:tcPr>
          <w:p w14:paraId="25C50E66">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r>
      <w:tr w14:paraId="0CEB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1CE92B35">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829" w:type="dxa"/>
            <w:tcBorders>
              <w:top w:val="single" w:color="auto" w:sz="4" w:space="0"/>
              <w:left w:val="nil"/>
              <w:bottom w:val="single" w:color="auto" w:sz="4" w:space="0"/>
              <w:right w:val="single" w:color="auto" w:sz="4" w:space="0"/>
            </w:tcBorders>
            <w:noWrap w:val="0"/>
            <w:vAlign w:val="top"/>
          </w:tcPr>
          <w:p w14:paraId="37F86F9A">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380" w:type="dxa"/>
            <w:tcBorders>
              <w:top w:val="single" w:color="auto" w:sz="4" w:space="0"/>
              <w:left w:val="nil"/>
              <w:bottom w:val="single" w:color="auto" w:sz="4" w:space="0"/>
              <w:right w:val="single" w:color="auto" w:sz="4" w:space="0"/>
            </w:tcBorders>
            <w:noWrap w:val="0"/>
            <w:vAlign w:val="top"/>
          </w:tcPr>
          <w:p w14:paraId="65F63DBE">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85" w:type="dxa"/>
            <w:tcBorders>
              <w:top w:val="single" w:color="auto" w:sz="4" w:space="0"/>
              <w:left w:val="nil"/>
              <w:bottom w:val="single" w:color="auto" w:sz="4" w:space="0"/>
              <w:right w:val="single" w:color="auto" w:sz="4" w:space="0"/>
            </w:tcBorders>
            <w:noWrap w:val="0"/>
            <w:vAlign w:val="top"/>
          </w:tcPr>
          <w:p w14:paraId="30F08041">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top"/>
          </w:tcPr>
          <w:p w14:paraId="23C5BE3F">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08" w:type="dxa"/>
            <w:tcBorders>
              <w:top w:val="single" w:color="auto" w:sz="4" w:space="0"/>
              <w:left w:val="nil"/>
              <w:bottom w:val="single" w:color="auto" w:sz="4" w:space="0"/>
              <w:right w:val="single" w:color="auto" w:sz="4" w:space="0"/>
            </w:tcBorders>
            <w:noWrap w:val="0"/>
            <w:vAlign w:val="top"/>
          </w:tcPr>
          <w:p w14:paraId="34E2112E">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32" w:type="dxa"/>
            <w:tcBorders>
              <w:top w:val="single" w:color="auto" w:sz="4" w:space="0"/>
              <w:left w:val="nil"/>
              <w:bottom w:val="single" w:color="auto" w:sz="4" w:space="0"/>
              <w:right w:val="single" w:color="auto" w:sz="4" w:space="0"/>
            </w:tcBorders>
            <w:noWrap w:val="0"/>
            <w:vAlign w:val="top"/>
          </w:tcPr>
          <w:p w14:paraId="7E84F968">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09" w:type="dxa"/>
            <w:tcBorders>
              <w:top w:val="single" w:color="auto" w:sz="4" w:space="0"/>
              <w:left w:val="nil"/>
              <w:bottom w:val="single" w:color="auto" w:sz="4" w:space="0"/>
              <w:right w:val="single" w:color="auto" w:sz="4" w:space="0"/>
            </w:tcBorders>
            <w:noWrap w:val="0"/>
            <w:vAlign w:val="top"/>
          </w:tcPr>
          <w:p w14:paraId="2DC665A3">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035" w:type="dxa"/>
            <w:tcBorders>
              <w:top w:val="single" w:color="auto" w:sz="4" w:space="0"/>
              <w:left w:val="nil"/>
              <w:bottom w:val="single" w:color="auto" w:sz="4" w:space="0"/>
              <w:right w:val="single" w:color="auto" w:sz="4" w:space="0"/>
            </w:tcBorders>
            <w:noWrap w:val="0"/>
            <w:vAlign w:val="top"/>
          </w:tcPr>
          <w:p w14:paraId="55A3A475">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65" w:type="dxa"/>
            <w:tcBorders>
              <w:top w:val="single" w:color="auto" w:sz="4" w:space="0"/>
              <w:left w:val="nil"/>
              <w:bottom w:val="single" w:color="auto" w:sz="4" w:space="0"/>
              <w:right w:val="single" w:color="auto" w:sz="4" w:space="0"/>
            </w:tcBorders>
            <w:noWrap w:val="0"/>
            <w:vAlign w:val="top"/>
          </w:tcPr>
          <w:p w14:paraId="7FED2ADD">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r>
      <w:tr w14:paraId="62951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7E4CA7D4">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829" w:type="dxa"/>
            <w:tcBorders>
              <w:top w:val="single" w:color="auto" w:sz="4" w:space="0"/>
              <w:left w:val="nil"/>
              <w:bottom w:val="single" w:color="auto" w:sz="4" w:space="0"/>
              <w:right w:val="single" w:color="auto" w:sz="4" w:space="0"/>
            </w:tcBorders>
            <w:noWrap w:val="0"/>
            <w:vAlign w:val="top"/>
          </w:tcPr>
          <w:p w14:paraId="12C2F28B">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380" w:type="dxa"/>
            <w:tcBorders>
              <w:top w:val="single" w:color="auto" w:sz="4" w:space="0"/>
              <w:left w:val="nil"/>
              <w:bottom w:val="single" w:color="auto" w:sz="4" w:space="0"/>
              <w:right w:val="single" w:color="auto" w:sz="4" w:space="0"/>
            </w:tcBorders>
            <w:noWrap w:val="0"/>
            <w:vAlign w:val="top"/>
          </w:tcPr>
          <w:p w14:paraId="5ED5C3BE">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85" w:type="dxa"/>
            <w:tcBorders>
              <w:top w:val="single" w:color="auto" w:sz="4" w:space="0"/>
              <w:left w:val="nil"/>
              <w:bottom w:val="single" w:color="auto" w:sz="4" w:space="0"/>
              <w:right w:val="single" w:color="auto" w:sz="4" w:space="0"/>
            </w:tcBorders>
            <w:noWrap w:val="0"/>
            <w:vAlign w:val="top"/>
          </w:tcPr>
          <w:p w14:paraId="4B7B3F58">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top"/>
          </w:tcPr>
          <w:p w14:paraId="676FEE11">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08" w:type="dxa"/>
            <w:tcBorders>
              <w:top w:val="single" w:color="auto" w:sz="4" w:space="0"/>
              <w:left w:val="nil"/>
              <w:bottom w:val="single" w:color="auto" w:sz="4" w:space="0"/>
              <w:right w:val="single" w:color="auto" w:sz="4" w:space="0"/>
            </w:tcBorders>
            <w:noWrap w:val="0"/>
            <w:vAlign w:val="top"/>
          </w:tcPr>
          <w:p w14:paraId="1C546D2A">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32" w:type="dxa"/>
            <w:tcBorders>
              <w:top w:val="single" w:color="auto" w:sz="4" w:space="0"/>
              <w:left w:val="nil"/>
              <w:bottom w:val="single" w:color="auto" w:sz="4" w:space="0"/>
              <w:right w:val="single" w:color="auto" w:sz="4" w:space="0"/>
            </w:tcBorders>
            <w:noWrap w:val="0"/>
            <w:vAlign w:val="top"/>
          </w:tcPr>
          <w:p w14:paraId="7E45EFDF">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09" w:type="dxa"/>
            <w:tcBorders>
              <w:top w:val="single" w:color="auto" w:sz="4" w:space="0"/>
              <w:left w:val="nil"/>
              <w:bottom w:val="single" w:color="auto" w:sz="4" w:space="0"/>
              <w:right w:val="single" w:color="auto" w:sz="4" w:space="0"/>
            </w:tcBorders>
            <w:noWrap w:val="0"/>
            <w:vAlign w:val="top"/>
          </w:tcPr>
          <w:p w14:paraId="0D97253C">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035" w:type="dxa"/>
            <w:tcBorders>
              <w:top w:val="single" w:color="auto" w:sz="4" w:space="0"/>
              <w:left w:val="nil"/>
              <w:bottom w:val="single" w:color="auto" w:sz="4" w:space="0"/>
              <w:right w:val="single" w:color="auto" w:sz="4" w:space="0"/>
            </w:tcBorders>
            <w:noWrap w:val="0"/>
            <w:vAlign w:val="top"/>
          </w:tcPr>
          <w:p w14:paraId="15361A13">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65" w:type="dxa"/>
            <w:tcBorders>
              <w:top w:val="single" w:color="auto" w:sz="4" w:space="0"/>
              <w:left w:val="nil"/>
              <w:bottom w:val="single" w:color="auto" w:sz="4" w:space="0"/>
              <w:right w:val="single" w:color="auto" w:sz="4" w:space="0"/>
            </w:tcBorders>
            <w:noWrap w:val="0"/>
            <w:vAlign w:val="top"/>
          </w:tcPr>
          <w:p w14:paraId="613335E5">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r>
      <w:tr w14:paraId="5BDE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6A992699">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829" w:type="dxa"/>
            <w:tcBorders>
              <w:top w:val="single" w:color="auto" w:sz="4" w:space="0"/>
              <w:left w:val="nil"/>
              <w:bottom w:val="single" w:color="auto" w:sz="4" w:space="0"/>
              <w:right w:val="single" w:color="auto" w:sz="4" w:space="0"/>
            </w:tcBorders>
            <w:noWrap w:val="0"/>
            <w:vAlign w:val="top"/>
          </w:tcPr>
          <w:p w14:paraId="3D7488AE">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380" w:type="dxa"/>
            <w:tcBorders>
              <w:top w:val="single" w:color="auto" w:sz="4" w:space="0"/>
              <w:left w:val="nil"/>
              <w:bottom w:val="single" w:color="auto" w:sz="4" w:space="0"/>
              <w:right w:val="single" w:color="auto" w:sz="4" w:space="0"/>
            </w:tcBorders>
            <w:noWrap w:val="0"/>
            <w:vAlign w:val="top"/>
          </w:tcPr>
          <w:p w14:paraId="29B118F3">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85" w:type="dxa"/>
            <w:tcBorders>
              <w:top w:val="single" w:color="auto" w:sz="4" w:space="0"/>
              <w:left w:val="nil"/>
              <w:bottom w:val="single" w:color="auto" w:sz="4" w:space="0"/>
              <w:right w:val="single" w:color="auto" w:sz="4" w:space="0"/>
            </w:tcBorders>
            <w:noWrap w:val="0"/>
            <w:vAlign w:val="top"/>
          </w:tcPr>
          <w:p w14:paraId="7253300A">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top"/>
          </w:tcPr>
          <w:p w14:paraId="45D77DAE">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08" w:type="dxa"/>
            <w:tcBorders>
              <w:top w:val="single" w:color="auto" w:sz="4" w:space="0"/>
              <w:left w:val="nil"/>
              <w:bottom w:val="single" w:color="auto" w:sz="4" w:space="0"/>
              <w:right w:val="single" w:color="auto" w:sz="4" w:space="0"/>
            </w:tcBorders>
            <w:noWrap w:val="0"/>
            <w:vAlign w:val="top"/>
          </w:tcPr>
          <w:p w14:paraId="30E35F15">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32" w:type="dxa"/>
            <w:tcBorders>
              <w:top w:val="single" w:color="auto" w:sz="4" w:space="0"/>
              <w:left w:val="nil"/>
              <w:bottom w:val="single" w:color="auto" w:sz="4" w:space="0"/>
              <w:right w:val="single" w:color="auto" w:sz="4" w:space="0"/>
            </w:tcBorders>
            <w:noWrap w:val="0"/>
            <w:vAlign w:val="top"/>
          </w:tcPr>
          <w:p w14:paraId="3851EAE7">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09" w:type="dxa"/>
            <w:tcBorders>
              <w:top w:val="single" w:color="auto" w:sz="4" w:space="0"/>
              <w:left w:val="nil"/>
              <w:bottom w:val="single" w:color="auto" w:sz="4" w:space="0"/>
              <w:right w:val="single" w:color="auto" w:sz="4" w:space="0"/>
            </w:tcBorders>
            <w:noWrap w:val="0"/>
            <w:vAlign w:val="top"/>
          </w:tcPr>
          <w:p w14:paraId="79DDDE95">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035" w:type="dxa"/>
            <w:tcBorders>
              <w:top w:val="single" w:color="auto" w:sz="4" w:space="0"/>
              <w:left w:val="nil"/>
              <w:bottom w:val="single" w:color="auto" w:sz="4" w:space="0"/>
              <w:right w:val="single" w:color="auto" w:sz="4" w:space="0"/>
            </w:tcBorders>
            <w:noWrap w:val="0"/>
            <w:vAlign w:val="top"/>
          </w:tcPr>
          <w:p w14:paraId="5869F756">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65" w:type="dxa"/>
            <w:tcBorders>
              <w:top w:val="single" w:color="auto" w:sz="4" w:space="0"/>
              <w:left w:val="nil"/>
              <w:bottom w:val="single" w:color="auto" w:sz="4" w:space="0"/>
              <w:right w:val="single" w:color="auto" w:sz="4" w:space="0"/>
            </w:tcBorders>
            <w:noWrap w:val="0"/>
            <w:vAlign w:val="top"/>
          </w:tcPr>
          <w:p w14:paraId="4E0B330B">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r>
      <w:tr w14:paraId="6D092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3C90A909">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829" w:type="dxa"/>
            <w:tcBorders>
              <w:top w:val="single" w:color="auto" w:sz="4" w:space="0"/>
              <w:left w:val="nil"/>
              <w:bottom w:val="single" w:color="auto" w:sz="4" w:space="0"/>
              <w:right w:val="single" w:color="auto" w:sz="4" w:space="0"/>
            </w:tcBorders>
            <w:noWrap w:val="0"/>
            <w:vAlign w:val="top"/>
          </w:tcPr>
          <w:p w14:paraId="3A3FAF26">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380" w:type="dxa"/>
            <w:tcBorders>
              <w:top w:val="single" w:color="auto" w:sz="4" w:space="0"/>
              <w:left w:val="nil"/>
              <w:bottom w:val="single" w:color="auto" w:sz="4" w:space="0"/>
              <w:right w:val="single" w:color="auto" w:sz="4" w:space="0"/>
            </w:tcBorders>
            <w:noWrap w:val="0"/>
            <w:vAlign w:val="top"/>
          </w:tcPr>
          <w:p w14:paraId="28573040">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85" w:type="dxa"/>
            <w:tcBorders>
              <w:top w:val="single" w:color="auto" w:sz="4" w:space="0"/>
              <w:left w:val="nil"/>
              <w:bottom w:val="single" w:color="auto" w:sz="4" w:space="0"/>
              <w:right w:val="single" w:color="auto" w:sz="4" w:space="0"/>
            </w:tcBorders>
            <w:noWrap w:val="0"/>
            <w:vAlign w:val="top"/>
          </w:tcPr>
          <w:p w14:paraId="5A4C7DE8">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top"/>
          </w:tcPr>
          <w:p w14:paraId="74CEA5B3">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08" w:type="dxa"/>
            <w:tcBorders>
              <w:top w:val="single" w:color="auto" w:sz="4" w:space="0"/>
              <w:left w:val="nil"/>
              <w:bottom w:val="single" w:color="auto" w:sz="4" w:space="0"/>
              <w:right w:val="single" w:color="auto" w:sz="4" w:space="0"/>
            </w:tcBorders>
            <w:noWrap w:val="0"/>
            <w:vAlign w:val="top"/>
          </w:tcPr>
          <w:p w14:paraId="28B2CF07">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32" w:type="dxa"/>
            <w:tcBorders>
              <w:top w:val="single" w:color="auto" w:sz="4" w:space="0"/>
              <w:left w:val="nil"/>
              <w:bottom w:val="single" w:color="auto" w:sz="4" w:space="0"/>
              <w:right w:val="single" w:color="auto" w:sz="4" w:space="0"/>
            </w:tcBorders>
            <w:noWrap w:val="0"/>
            <w:vAlign w:val="top"/>
          </w:tcPr>
          <w:p w14:paraId="3FDA1501">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09" w:type="dxa"/>
            <w:tcBorders>
              <w:top w:val="single" w:color="auto" w:sz="4" w:space="0"/>
              <w:left w:val="nil"/>
              <w:bottom w:val="single" w:color="auto" w:sz="4" w:space="0"/>
              <w:right w:val="single" w:color="auto" w:sz="4" w:space="0"/>
            </w:tcBorders>
            <w:noWrap w:val="0"/>
            <w:vAlign w:val="top"/>
          </w:tcPr>
          <w:p w14:paraId="792FEC5D">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035" w:type="dxa"/>
            <w:tcBorders>
              <w:top w:val="single" w:color="auto" w:sz="4" w:space="0"/>
              <w:left w:val="nil"/>
              <w:bottom w:val="single" w:color="auto" w:sz="4" w:space="0"/>
              <w:right w:val="single" w:color="auto" w:sz="4" w:space="0"/>
            </w:tcBorders>
            <w:noWrap w:val="0"/>
            <w:vAlign w:val="top"/>
          </w:tcPr>
          <w:p w14:paraId="37DD1E0E">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65" w:type="dxa"/>
            <w:tcBorders>
              <w:top w:val="single" w:color="auto" w:sz="4" w:space="0"/>
              <w:left w:val="nil"/>
              <w:bottom w:val="single" w:color="auto" w:sz="4" w:space="0"/>
              <w:right w:val="single" w:color="auto" w:sz="4" w:space="0"/>
            </w:tcBorders>
            <w:noWrap w:val="0"/>
            <w:vAlign w:val="top"/>
          </w:tcPr>
          <w:p w14:paraId="0F875979">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r>
      <w:tr w14:paraId="30253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075E707E">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829" w:type="dxa"/>
            <w:tcBorders>
              <w:top w:val="single" w:color="auto" w:sz="4" w:space="0"/>
              <w:left w:val="nil"/>
              <w:bottom w:val="single" w:color="auto" w:sz="4" w:space="0"/>
              <w:right w:val="single" w:color="auto" w:sz="4" w:space="0"/>
            </w:tcBorders>
            <w:noWrap w:val="0"/>
            <w:vAlign w:val="top"/>
          </w:tcPr>
          <w:p w14:paraId="391035D2">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380" w:type="dxa"/>
            <w:tcBorders>
              <w:top w:val="single" w:color="auto" w:sz="4" w:space="0"/>
              <w:left w:val="nil"/>
              <w:bottom w:val="single" w:color="auto" w:sz="4" w:space="0"/>
              <w:right w:val="single" w:color="auto" w:sz="4" w:space="0"/>
            </w:tcBorders>
            <w:noWrap w:val="0"/>
            <w:vAlign w:val="top"/>
          </w:tcPr>
          <w:p w14:paraId="2DDBB4E5">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85" w:type="dxa"/>
            <w:tcBorders>
              <w:top w:val="single" w:color="auto" w:sz="4" w:space="0"/>
              <w:left w:val="nil"/>
              <w:bottom w:val="single" w:color="auto" w:sz="4" w:space="0"/>
              <w:right w:val="single" w:color="auto" w:sz="4" w:space="0"/>
            </w:tcBorders>
            <w:noWrap w:val="0"/>
            <w:vAlign w:val="top"/>
          </w:tcPr>
          <w:p w14:paraId="28070A0C">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top"/>
          </w:tcPr>
          <w:p w14:paraId="14A0474A">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08" w:type="dxa"/>
            <w:tcBorders>
              <w:top w:val="single" w:color="auto" w:sz="4" w:space="0"/>
              <w:left w:val="nil"/>
              <w:bottom w:val="single" w:color="auto" w:sz="4" w:space="0"/>
              <w:right w:val="single" w:color="auto" w:sz="4" w:space="0"/>
            </w:tcBorders>
            <w:noWrap w:val="0"/>
            <w:vAlign w:val="top"/>
          </w:tcPr>
          <w:p w14:paraId="02CE140D">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32" w:type="dxa"/>
            <w:tcBorders>
              <w:top w:val="single" w:color="auto" w:sz="4" w:space="0"/>
              <w:left w:val="nil"/>
              <w:bottom w:val="single" w:color="auto" w:sz="4" w:space="0"/>
              <w:right w:val="single" w:color="auto" w:sz="4" w:space="0"/>
            </w:tcBorders>
            <w:noWrap w:val="0"/>
            <w:vAlign w:val="top"/>
          </w:tcPr>
          <w:p w14:paraId="61182682">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09" w:type="dxa"/>
            <w:tcBorders>
              <w:top w:val="single" w:color="auto" w:sz="4" w:space="0"/>
              <w:left w:val="nil"/>
              <w:bottom w:val="single" w:color="auto" w:sz="4" w:space="0"/>
              <w:right w:val="single" w:color="auto" w:sz="4" w:space="0"/>
            </w:tcBorders>
            <w:noWrap w:val="0"/>
            <w:vAlign w:val="top"/>
          </w:tcPr>
          <w:p w14:paraId="6BCE3AE4">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035" w:type="dxa"/>
            <w:tcBorders>
              <w:top w:val="single" w:color="auto" w:sz="4" w:space="0"/>
              <w:left w:val="nil"/>
              <w:bottom w:val="single" w:color="auto" w:sz="4" w:space="0"/>
              <w:right w:val="single" w:color="auto" w:sz="4" w:space="0"/>
            </w:tcBorders>
            <w:noWrap w:val="0"/>
            <w:vAlign w:val="top"/>
          </w:tcPr>
          <w:p w14:paraId="30863806">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65" w:type="dxa"/>
            <w:tcBorders>
              <w:top w:val="single" w:color="auto" w:sz="4" w:space="0"/>
              <w:left w:val="nil"/>
              <w:bottom w:val="single" w:color="auto" w:sz="4" w:space="0"/>
              <w:right w:val="single" w:color="auto" w:sz="4" w:space="0"/>
            </w:tcBorders>
            <w:noWrap w:val="0"/>
            <w:vAlign w:val="top"/>
          </w:tcPr>
          <w:p w14:paraId="28F3C9F8">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r>
      <w:tr w14:paraId="24BF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6CDE5A04">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829" w:type="dxa"/>
            <w:tcBorders>
              <w:top w:val="single" w:color="auto" w:sz="4" w:space="0"/>
              <w:left w:val="nil"/>
              <w:bottom w:val="single" w:color="auto" w:sz="4" w:space="0"/>
              <w:right w:val="single" w:color="auto" w:sz="4" w:space="0"/>
            </w:tcBorders>
            <w:noWrap w:val="0"/>
            <w:vAlign w:val="top"/>
          </w:tcPr>
          <w:p w14:paraId="55ACB5E6">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380" w:type="dxa"/>
            <w:tcBorders>
              <w:top w:val="single" w:color="auto" w:sz="4" w:space="0"/>
              <w:left w:val="nil"/>
              <w:bottom w:val="single" w:color="auto" w:sz="4" w:space="0"/>
              <w:right w:val="single" w:color="auto" w:sz="4" w:space="0"/>
            </w:tcBorders>
            <w:noWrap w:val="0"/>
            <w:vAlign w:val="top"/>
          </w:tcPr>
          <w:p w14:paraId="6C9EBD05">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85" w:type="dxa"/>
            <w:tcBorders>
              <w:top w:val="single" w:color="auto" w:sz="4" w:space="0"/>
              <w:left w:val="nil"/>
              <w:bottom w:val="single" w:color="auto" w:sz="4" w:space="0"/>
              <w:right w:val="single" w:color="auto" w:sz="4" w:space="0"/>
            </w:tcBorders>
            <w:noWrap w:val="0"/>
            <w:vAlign w:val="top"/>
          </w:tcPr>
          <w:p w14:paraId="70060B07">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top"/>
          </w:tcPr>
          <w:p w14:paraId="7EC9AD9F">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08" w:type="dxa"/>
            <w:tcBorders>
              <w:top w:val="single" w:color="auto" w:sz="4" w:space="0"/>
              <w:left w:val="nil"/>
              <w:bottom w:val="single" w:color="auto" w:sz="4" w:space="0"/>
              <w:right w:val="single" w:color="auto" w:sz="4" w:space="0"/>
            </w:tcBorders>
            <w:noWrap w:val="0"/>
            <w:vAlign w:val="top"/>
          </w:tcPr>
          <w:p w14:paraId="70EAA7FA">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32" w:type="dxa"/>
            <w:tcBorders>
              <w:top w:val="single" w:color="auto" w:sz="4" w:space="0"/>
              <w:left w:val="nil"/>
              <w:bottom w:val="single" w:color="auto" w:sz="4" w:space="0"/>
              <w:right w:val="single" w:color="auto" w:sz="4" w:space="0"/>
            </w:tcBorders>
            <w:noWrap w:val="0"/>
            <w:vAlign w:val="top"/>
          </w:tcPr>
          <w:p w14:paraId="19A79F3A">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09" w:type="dxa"/>
            <w:tcBorders>
              <w:top w:val="single" w:color="auto" w:sz="4" w:space="0"/>
              <w:left w:val="nil"/>
              <w:bottom w:val="single" w:color="auto" w:sz="4" w:space="0"/>
              <w:right w:val="single" w:color="auto" w:sz="4" w:space="0"/>
            </w:tcBorders>
            <w:noWrap w:val="0"/>
            <w:vAlign w:val="top"/>
          </w:tcPr>
          <w:p w14:paraId="545CB322">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035" w:type="dxa"/>
            <w:tcBorders>
              <w:top w:val="single" w:color="auto" w:sz="4" w:space="0"/>
              <w:left w:val="nil"/>
              <w:bottom w:val="single" w:color="auto" w:sz="4" w:space="0"/>
              <w:right w:val="single" w:color="auto" w:sz="4" w:space="0"/>
            </w:tcBorders>
            <w:noWrap w:val="0"/>
            <w:vAlign w:val="top"/>
          </w:tcPr>
          <w:p w14:paraId="79E71D9A">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65" w:type="dxa"/>
            <w:tcBorders>
              <w:top w:val="single" w:color="auto" w:sz="4" w:space="0"/>
              <w:left w:val="nil"/>
              <w:bottom w:val="single" w:color="auto" w:sz="4" w:space="0"/>
              <w:right w:val="single" w:color="auto" w:sz="4" w:space="0"/>
            </w:tcBorders>
            <w:noWrap w:val="0"/>
            <w:vAlign w:val="top"/>
          </w:tcPr>
          <w:p w14:paraId="5A27CBF2">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r>
      <w:tr w14:paraId="349B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21132371">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829" w:type="dxa"/>
            <w:tcBorders>
              <w:top w:val="single" w:color="auto" w:sz="4" w:space="0"/>
              <w:left w:val="nil"/>
              <w:bottom w:val="single" w:color="auto" w:sz="4" w:space="0"/>
              <w:right w:val="single" w:color="auto" w:sz="4" w:space="0"/>
            </w:tcBorders>
            <w:noWrap w:val="0"/>
            <w:vAlign w:val="top"/>
          </w:tcPr>
          <w:p w14:paraId="6A82AC06">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380" w:type="dxa"/>
            <w:tcBorders>
              <w:top w:val="single" w:color="auto" w:sz="4" w:space="0"/>
              <w:left w:val="nil"/>
              <w:bottom w:val="single" w:color="auto" w:sz="4" w:space="0"/>
              <w:right w:val="single" w:color="auto" w:sz="4" w:space="0"/>
            </w:tcBorders>
            <w:noWrap w:val="0"/>
            <w:vAlign w:val="top"/>
          </w:tcPr>
          <w:p w14:paraId="6D6C4044">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85" w:type="dxa"/>
            <w:tcBorders>
              <w:top w:val="single" w:color="auto" w:sz="4" w:space="0"/>
              <w:left w:val="nil"/>
              <w:bottom w:val="single" w:color="auto" w:sz="4" w:space="0"/>
              <w:right w:val="single" w:color="auto" w:sz="4" w:space="0"/>
            </w:tcBorders>
            <w:noWrap w:val="0"/>
            <w:vAlign w:val="top"/>
          </w:tcPr>
          <w:p w14:paraId="50BDCB4F">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top"/>
          </w:tcPr>
          <w:p w14:paraId="7A733406">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08" w:type="dxa"/>
            <w:tcBorders>
              <w:top w:val="single" w:color="auto" w:sz="4" w:space="0"/>
              <w:left w:val="nil"/>
              <w:bottom w:val="single" w:color="auto" w:sz="4" w:space="0"/>
              <w:right w:val="single" w:color="auto" w:sz="4" w:space="0"/>
            </w:tcBorders>
            <w:noWrap w:val="0"/>
            <w:vAlign w:val="top"/>
          </w:tcPr>
          <w:p w14:paraId="74177ED6">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32" w:type="dxa"/>
            <w:tcBorders>
              <w:top w:val="single" w:color="auto" w:sz="4" w:space="0"/>
              <w:left w:val="nil"/>
              <w:bottom w:val="single" w:color="auto" w:sz="4" w:space="0"/>
              <w:right w:val="single" w:color="auto" w:sz="4" w:space="0"/>
            </w:tcBorders>
            <w:noWrap w:val="0"/>
            <w:vAlign w:val="top"/>
          </w:tcPr>
          <w:p w14:paraId="57A3D205">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09" w:type="dxa"/>
            <w:tcBorders>
              <w:top w:val="single" w:color="auto" w:sz="4" w:space="0"/>
              <w:left w:val="nil"/>
              <w:bottom w:val="single" w:color="auto" w:sz="4" w:space="0"/>
              <w:right w:val="single" w:color="auto" w:sz="4" w:space="0"/>
            </w:tcBorders>
            <w:noWrap w:val="0"/>
            <w:vAlign w:val="top"/>
          </w:tcPr>
          <w:p w14:paraId="606F58C8">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035" w:type="dxa"/>
            <w:tcBorders>
              <w:top w:val="single" w:color="auto" w:sz="4" w:space="0"/>
              <w:left w:val="nil"/>
              <w:bottom w:val="single" w:color="auto" w:sz="4" w:space="0"/>
              <w:right w:val="single" w:color="auto" w:sz="4" w:space="0"/>
            </w:tcBorders>
            <w:noWrap w:val="0"/>
            <w:vAlign w:val="top"/>
          </w:tcPr>
          <w:p w14:paraId="323B924E">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65" w:type="dxa"/>
            <w:tcBorders>
              <w:top w:val="single" w:color="auto" w:sz="4" w:space="0"/>
              <w:left w:val="nil"/>
              <w:bottom w:val="single" w:color="auto" w:sz="4" w:space="0"/>
              <w:right w:val="single" w:color="auto" w:sz="4" w:space="0"/>
            </w:tcBorders>
            <w:noWrap w:val="0"/>
            <w:vAlign w:val="top"/>
          </w:tcPr>
          <w:p w14:paraId="12EADB43">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r>
      <w:tr w14:paraId="74F0D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40952116">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829" w:type="dxa"/>
            <w:tcBorders>
              <w:top w:val="single" w:color="auto" w:sz="4" w:space="0"/>
              <w:left w:val="nil"/>
              <w:bottom w:val="single" w:color="auto" w:sz="4" w:space="0"/>
              <w:right w:val="single" w:color="auto" w:sz="4" w:space="0"/>
            </w:tcBorders>
            <w:noWrap w:val="0"/>
            <w:vAlign w:val="top"/>
          </w:tcPr>
          <w:p w14:paraId="48CF89A7">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380" w:type="dxa"/>
            <w:tcBorders>
              <w:top w:val="single" w:color="auto" w:sz="4" w:space="0"/>
              <w:left w:val="nil"/>
              <w:bottom w:val="single" w:color="auto" w:sz="4" w:space="0"/>
              <w:right w:val="single" w:color="auto" w:sz="4" w:space="0"/>
            </w:tcBorders>
            <w:noWrap w:val="0"/>
            <w:vAlign w:val="top"/>
          </w:tcPr>
          <w:p w14:paraId="609E3D9B">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85" w:type="dxa"/>
            <w:tcBorders>
              <w:top w:val="single" w:color="auto" w:sz="4" w:space="0"/>
              <w:left w:val="nil"/>
              <w:bottom w:val="single" w:color="auto" w:sz="4" w:space="0"/>
              <w:right w:val="single" w:color="auto" w:sz="4" w:space="0"/>
            </w:tcBorders>
            <w:noWrap w:val="0"/>
            <w:vAlign w:val="top"/>
          </w:tcPr>
          <w:p w14:paraId="0BAF4661">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top"/>
          </w:tcPr>
          <w:p w14:paraId="4E47739F">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08" w:type="dxa"/>
            <w:tcBorders>
              <w:top w:val="single" w:color="auto" w:sz="4" w:space="0"/>
              <w:left w:val="nil"/>
              <w:bottom w:val="single" w:color="auto" w:sz="4" w:space="0"/>
              <w:right w:val="single" w:color="auto" w:sz="4" w:space="0"/>
            </w:tcBorders>
            <w:noWrap w:val="0"/>
            <w:vAlign w:val="top"/>
          </w:tcPr>
          <w:p w14:paraId="32651C4D">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32" w:type="dxa"/>
            <w:tcBorders>
              <w:top w:val="single" w:color="auto" w:sz="4" w:space="0"/>
              <w:left w:val="nil"/>
              <w:bottom w:val="single" w:color="auto" w:sz="4" w:space="0"/>
              <w:right w:val="single" w:color="auto" w:sz="4" w:space="0"/>
            </w:tcBorders>
            <w:noWrap w:val="0"/>
            <w:vAlign w:val="top"/>
          </w:tcPr>
          <w:p w14:paraId="19E1F52A">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09" w:type="dxa"/>
            <w:tcBorders>
              <w:top w:val="single" w:color="auto" w:sz="4" w:space="0"/>
              <w:left w:val="nil"/>
              <w:bottom w:val="single" w:color="auto" w:sz="4" w:space="0"/>
              <w:right w:val="single" w:color="auto" w:sz="4" w:space="0"/>
            </w:tcBorders>
            <w:noWrap w:val="0"/>
            <w:vAlign w:val="top"/>
          </w:tcPr>
          <w:p w14:paraId="603CCB67">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035" w:type="dxa"/>
            <w:tcBorders>
              <w:top w:val="single" w:color="auto" w:sz="4" w:space="0"/>
              <w:left w:val="nil"/>
              <w:bottom w:val="single" w:color="auto" w:sz="4" w:space="0"/>
              <w:right w:val="single" w:color="auto" w:sz="4" w:space="0"/>
            </w:tcBorders>
            <w:noWrap w:val="0"/>
            <w:vAlign w:val="top"/>
          </w:tcPr>
          <w:p w14:paraId="153C518E">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65" w:type="dxa"/>
            <w:tcBorders>
              <w:top w:val="single" w:color="auto" w:sz="4" w:space="0"/>
              <w:left w:val="nil"/>
              <w:bottom w:val="single" w:color="auto" w:sz="4" w:space="0"/>
              <w:right w:val="single" w:color="auto" w:sz="4" w:space="0"/>
            </w:tcBorders>
            <w:noWrap w:val="0"/>
            <w:vAlign w:val="top"/>
          </w:tcPr>
          <w:p w14:paraId="4C2184CF">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r>
      <w:tr w14:paraId="0259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53246B34">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829" w:type="dxa"/>
            <w:tcBorders>
              <w:top w:val="single" w:color="auto" w:sz="4" w:space="0"/>
              <w:left w:val="nil"/>
              <w:bottom w:val="single" w:color="auto" w:sz="4" w:space="0"/>
              <w:right w:val="single" w:color="auto" w:sz="4" w:space="0"/>
            </w:tcBorders>
            <w:noWrap w:val="0"/>
            <w:vAlign w:val="top"/>
          </w:tcPr>
          <w:p w14:paraId="798F2DAA">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380" w:type="dxa"/>
            <w:tcBorders>
              <w:top w:val="single" w:color="auto" w:sz="4" w:space="0"/>
              <w:left w:val="nil"/>
              <w:bottom w:val="single" w:color="auto" w:sz="4" w:space="0"/>
              <w:right w:val="single" w:color="auto" w:sz="4" w:space="0"/>
            </w:tcBorders>
            <w:noWrap w:val="0"/>
            <w:vAlign w:val="top"/>
          </w:tcPr>
          <w:p w14:paraId="775539E7">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85" w:type="dxa"/>
            <w:tcBorders>
              <w:top w:val="single" w:color="auto" w:sz="4" w:space="0"/>
              <w:left w:val="nil"/>
              <w:bottom w:val="single" w:color="auto" w:sz="4" w:space="0"/>
              <w:right w:val="single" w:color="auto" w:sz="4" w:space="0"/>
            </w:tcBorders>
            <w:noWrap w:val="0"/>
            <w:vAlign w:val="top"/>
          </w:tcPr>
          <w:p w14:paraId="7DFE4BDC">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top"/>
          </w:tcPr>
          <w:p w14:paraId="413565A4">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08" w:type="dxa"/>
            <w:tcBorders>
              <w:top w:val="single" w:color="auto" w:sz="4" w:space="0"/>
              <w:left w:val="nil"/>
              <w:bottom w:val="single" w:color="auto" w:sz="4" w:space="0"/>
              <w:right w:val="single" w:color="auto" w:sz="4" w:space="0"/>
            </w:tcBorders>
            <w:noWrap w:val="0"/>
            <w:vAlign w:val="top"/>
          </w:tcPr>
          <w:p w14:paraId="5F01F1C5">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32" w:type="dxa"/>
            <w:tcBorders>
              <w:top w:val="single" w:color="auto" w:sz="4" w:space="0"/>
              <w:left w:val="nil"/>
              <w:bottom w:val="single" w:color="auto" w:sz="4" w:space="0"/>
              <w:right w:val="single" w:color="auto" w:sz="4" w:space="0"/>
            </w:tcBorders>
            <w:noWrap w:val="0"/>
            <w:vAlign w:val="top"/>
          </w:tcPr>
          <w:p w14:paraId="48C81A7D">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09" w:type="dxa"/>
            <w:tcBorders>
              <w:top w:val="single" w:color="auto" w:sz="4" w:space="0"/>
              <w:left w:val="nil"/>
              <w:bottom w:val="single" w:color="auto" w:sz="4" w:space="0"/>
              <w:right w:val="single" w:color="auto" w:sz="4" w:space="0"/>
            </w:tcBorders>
            <w:noWrap w:val="0"/>
            <w:vAlign w:val="top"/>
          </w:tcPr>
          <w:p w14:paraId="0C3232B3">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035" w:type="dxa"/>
            <w:tcBorders>
              <w:top w:val="single" w:color="auto" w:sz="4" w:space="0"/>
              <w:left w:val="nil"/>
              <w:bottom w:val="single" w:color="auto" w:sz="4" w:space="0"/>
              <w:right w:val="single" w:color="auto" w:sz="4" w:space="0"/>
            </w:tcBorders>
            <w:noWrap w:val="0"/>
            <w:vAlign w:val="top"/>
          </w:tcPr>
          <w:p w14:paraId="149B13FD">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65" w:type="dxa"/>
            <w:tcBorders>
              <w:top w:val="single" w:color="auto" w:sz="4" w:space="0"/>
              <w:left w:val="nil"/>
              <w:bottom w:val="single" w:color="auto" w:sz="4" w:space="0"/>
              <w:right w:val="single" w:color="auto" w:sz="4" w:space="0"/>
            </w:tcBorders>
            <w:noWrap w:val="0"/>
            <w:vAlign w:val="top"/>
          </w:tcPr>
          <w:p w14:paraId="5D0B2139">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r>
      <w:tr w14:paraId="50C88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5007A970">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829" w:type="dxa"/>
            <w:tcBorders>
              <w:top w:val="single" w:color="auto" w:sz="4" w:space="0"/>
              <w:left w:val="nil"/>
              <w:bottom w:val="single" w:color="auto" w:sz="4" w:space="0"/>
              <w:right w:val="single" w:color="auto" w:sz="4" w:space="0"/>
            </w:tcBorders>
            <w:noWrap w:val="0"/>
            <w:vAlign w:val="top"/>
          </w:tcPr>
          <w:p w14:paraId="55B53375">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380" w:type="dxa"/>
            <w:tcBorders>
              <w:top w:val="single" w:color="auto" w:sz="4" w:space="0"/>
              <w:left w:val="nil"/>
              <w:bottom w:val="single" w:color="auto" w:sz="4" w:space="0"/>
              <w:right w:val="single" w:color="auto" w:sz="4" w:space="0"/>
            </w:tcBorders>
            <w:noWrap w:val="0"/>
            <w:vAlign w:val="top"/>
          </w:tcPr>
          <w:p w14:paraId="197E5BE1">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85" w:type="dxa"/>
            <w:tcBorders>
              <w:top w:val="single" w:color="auto" w:sz="4" w:space="0"/>
              <w:left w:val="nil"/>
              <w:bottom w:val="single" w:color="auto" w:sz="4" w:space="0"/>
              <w:right w:val="single" w:color="auto" w:sz="4" w:space="0"/>
            </w:tcBorders>
            <w:noWrap w:val="0"/>
            <w:vAlign w:val="top"/>
          </w:tcPr>
          <w:p w14:paraId="5B93876A">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top"/>
          </w:tcPr>
          <w:p w14:paraId="4E076CE4">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08" w:type="dxa"/>
            <w:tcBorders>
              <w:top w:val="single" w:color="auto" w:sz="4" w:space="0"/>
              <w:left w:val="nil"/>
              <w:bottom w:val="single" w:color="auto" w:sz="4" w:space="0"/>
              <w:right w:val="single" w:color="auto" w:sz="4" w:space="0"/>
            </w:tcBorders>
            <w:noWrap w:val="0"/>
            <w:vAlign w:val="top"/>
          </w:tcPr>
          <w:p w14:paraId="787A2C78">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32" w:type="dxa"/>
            <w:tcBorders>
              <w:top w:val="single" w:color="auto" w:sz="4" w:space="0"/>
              <w:left w:val="nil"/>
              <w:bottom w:val="single" w:color="auto" w:sz="4" w:space="0"/>
              <w:right w:val="single" w:color="auto" w:sz="4" w:space="0"/>
            </w:tcBorders>
            <w:noWrap w:val="0"/>
            <w:vAlign w:val="top"/>
          </w:tcPr>
          <w:p w14:paraId="5D269FD7">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09" w:type="dxa"/>
            <w:tcBorders>
              <w:top w:val="single" w:color="auto" w:sz="4" w:space="0"/>
              <w:left w:val="nil"/>
              <w:bottom w:val="single" w:color="auto" w:sz="4" w:space="0"/>
              <w:right w:val="single" w:color="auto" w:sz="4" w:space="0"/>
            </w:tcBorders>
            <w:noWrap w:val="0"/>
            <w:vAlign w:val="top"/>
          </w:tcPr>
          <w:p w14:paraId="405CFE4C">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035" w:type="dxa"/>
            <w:tcBorders>
              <w:top w:val="single" w:color="auto" w:sz="4" w:space="0"/>
              <w:left w:val="nil"/>
              <w:bottom w:val="single" w:color="auto" w:sz="4" w:space="0"/>
              <w:right w:val="single" w:color="auto" w:sz="4" w:space="0"/>
            </w:tcBorders>
            <w:noWrap w:val="0"/>
            <w:vAlign w:val="top"/>
          </w:tcPr>
          <w:p w14:paraId="69156757">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65" w:type="dxa"/>
            <w:tcBorders>
              <w:top w:val="single" w:color="auto" w:sz="4" w:space="0"/>
              <w:left w:val="nil"/>
              <w:bottom w:val="single" w:color="auto" w:sz="4" w:space="0"/>
              <w:right w:val="single" w:color="auto" w:sz="4" w:space="0"/>
            </w:tcBorders>
            <w:noWrap w:val="0"/>
            <w:vAlign w:val="top"/>
          </w:tcPr>
          <w:p w14:paraId="0A0C793B">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r>
      <w:tr w14:paraId="53453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5A885338">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829" w:type="dxa"/>
            <w:tcBorders>
              <w:top w:val="single" w:color="auto" w:sz="4" w:space="0"/>
              <w:left w:val="nil"/>
              <w:bottom w:val="single" w:color="auto" w:sz="4" w:space="0"/>
              <w:right w:val="single" w:color="auto" w:sz="4" w:space="0"/>
            </w:tcBorders>
            <w:noWrap w:val="0"/>
            <w:vAlign w:val="top"/>
          </w:tcPr>
          <w:p w14:paraId="6FC43CCB">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380" w:type="dxa"/>
            <w:tcBorders>
              <w:top w:val="single" w:color="auto" w:sz="4" w:space="0"/>
              <w:left w:val="nil"/>
              <w:bottom w:val="single" w:color="auto" w:sz="4" w:space="0"/>
              <w:right w:val="single" w:color="auto" w:sz="4" w:space="0"/>
            </w:tcBorders>
            <w:noWrap w:val="0"/>
            <w:vAlign w:val="top"/>
          </w:tcPr>
          <w:p w14:paraId="7E9DA02D">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85" w:type="dxa"/>
            <w:tcBorders>
              <w:top w:val="single" w:color="auto" w:sz="4" w:space="0"/>
              <w:left w:val="nil"/>
              <w:bottom w:val="single" w:color="auto" w:sz="4" w:space="0"/>
              <w:right w:val="single" w:color="auto" w:sz="4" w:space="0"/>
            </w:tcBorders>
            <w:noWrap w:val="0"/>
            <w:vAlign w:val="top"/>
          </w:tcPr>
          <w:p w14:paraId="3329CDA5">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top"/>
          </w:tcPr>
          <w:p w14:paraId="11B8C4BE">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08" w:type="dxa"/>
            <w:tcBorders>
              <w:top w:val="single" w:color="auto" w:sz="4" w:space="0"/>
              <w:left w:val="nil"/>
              <w:bottom w:val="single" w:color="auto" w:sz="4" w:space="0"/>
              <w:right w:val="single" w:color="auto" w:sz="4" w:space="0"/>
            </w:tcBorders>
            <w:noWrap w:val="0"/>
            <w:vAlign w:val="top"/>
          </w:tcPr>
          <w:p w14:paraId="0D380781">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32" w:type="dxa"/>
            <w:tcBorders>
              <w:top w:val="single" w:color="auto" w:sz="4" w:space="0"/>
              <w:left w:val="nil"/>
              <w:bottom w:val="single" w:color="auto" w:sz="4" w:space="0"/>
              <w:right w:val="single" w:color="auto" w:sz="4" w:space="0"/>
            </w:tcBorders>
            <w:noWrap w:val="0"/>
            <w:vAlign w:val="top"/>
          </w:tcPr>
          <w:p w14:paraId="61053778">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09" w:type="dxa"/>
            <w:tcBorders>
              <w:top w:val="single" w:color="auto" w:sz="4" w:space="0"/>
              <w:left w:val="nil"/>
              <w:bottom w:val="single" w:color="auto" w:sz="4" w:space="0"/>
              <w:right w:val="single" w:color="auto" w:sz="4" w:space="0"/>
            </w:tcBorders>
            <w:noWrap w:val="0"/>
            <w:vAlign w:val="top"/>
          </w:tcPr>
          <w:p w14:paraId="1CA4B818">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035" w:type="dxa"/>
            <w:tcBorders>
              <w:top w:val="single" w:color="auto" w:sz="4" w:space="0"/>
              <w:left w:val="nil"/>
              <w:bottom w:val="single" w:color="auto" w:sz="4" w:space="0"/>
              <w:right w:val="single" w:color="auto" w:sz="4" w:space="0"/>
            </w:tcBorders>
            <w:noWrap w:val="0"/>
            <w:vAlign w:val="top"/>
          </w:tcPr>
          <w:p w14:paraId="67376B17">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65" w:type="dxa"/>
            <w:tcBorders>
              <w:top w:val="single" w:color="auto" w:sz="4" w:space="0"/>
              <w:left w:val="nil"/>
              <w:bottom w:val="single" w:color="auto" w:sz="4" w:space="0"/>
              <w:right w:val="single" w:color="auto" w:sz="4" w:space="0"/>
            </w:tcBorders>
            <w:noWrap w:val="0"/>
            <w:vAlign w:val="top"/>
          </w:tcPr>
          <w:p w14:paraId="6BD8FC2C">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r>
      <w:tr w14:paraId="01434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133186DA">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829" w:type="dxa"/>
            <w:tcBorders>
              <w:top w:val="single" w:color="auto" w:sz="4" w:space="0"/>
              <w:left w:val="nil"/>
              <w:bottom w:val="single" w:color="auto" w:sz="4" w:space="0"/>
              <w:right w:val="single" w:color="auto" w:sz="4" w:space="0"/>
            </w:tcBorders>
            <w:noWrap w:val="0"/>
            <w:vAlign w:val="top"/>
          </w:tcPr>
          <w:p w14:paraId="58A2F19C">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380" w:type="dxa"/>
            <w:tcBorders>
              <w:top w:val="single" w:color="auto" w:sz="4" w:space="0"/>
              <w:left w:val="nil"/>
              <w:bottom w:val="single" w:color="auto" w:sz="4" w:space="0"/>
              <w:right w:val="single" w:color="auto" w:sz="4" w:space="0"/>
            </w:tcBorders>
            <w:noWrap w:val="0"/>
            <w:vAlign w:val="top"/>
          </w:tcPr>
          <w:p w14:paraId="0B36C726">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85" w:type="dxa"/>
            <w:tcBorders>
              <w:top w:val="single" w:color="auto" w:sz="4" w:space="0"/>
              <w:left w:val="nil"/>
              <w:bottom w:val="single" w:color="auto" w:sz="4" w:space="0"/>
              <w:right w:val="single" w:color="auto" w:sz="4" w:space="0"/>
            </w:tcBorders>
            <w:noWrap w:val="0"/>
            <w:vAlign w:val="top"/>
          </w:tcPr>
          <w:p w14:paraId="2981E1C1">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top"/>
          </w:tcPr>
          <w:p w14:paraId="224B6ED7">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08" w:type="dxa"/>
            <w:tcBorders>
              <w:top w:val="single" w:color="auto" w:sz="4" w:space="0"/>
              <w:left w:val="nil"/>
              <w:bottom w:val="single" w:color="auto" w:sz="4" w:space="0"/>
              <w:right w:val="single" w:color="auto" w:sz="4" w:space="0"/>
            </w:tcBorders>
            <w:noWrap w:val="0"/>
            <w:vAlign w:val="top"/>
          </w:tcPr>
          <w:p w14:paraId="2BFB7432">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32" w:type="dxa"/>
            <w:tcBorders>
              <w:top w:val="single" w:color="auto" w:sz="4" w:space="0"/>
              <w:left w:val="nil"/>
              <w:bottom w:val="single" w:color="auto" w:sz="4" w:space="0"/>
              <w:right w:val="single" w:color="auto" w:sz="4" w:space="0"/>
            </w:tcBorders>
            <w:noWrap w:val="0"/>
            <w:vAlign w:val="top"/>
          </w:tcPr>
          <w:p w14:paraId="545AFD63">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09" w:type="dxa"/>
            <w:tcBorders>
              <w:top w:val="single" w:color="auto" w:sz="4" w:space="0"/>
              <w:left w:val="nil"/>
              <w:bottom w:val="single" w:color="auto" w:sz="4" w:space="0"/>
              <w:right w:val="single" w:color="auto" w:sz="4" w:space="0"/>
            </w:tcBorders>
            <w:noWrap w:val="0"/>
            <w:vAlign w:val="top"/>
          </w:tcPr>
          <w:p w14:paraId="08306277">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035" w:type="dxa"/>
            <w:tcBorders>
              <w:top w:val="single" w:color="auto" w:sz="4" w:space="0"/>
              <w:left w:val="nil"/>
              <w:bottom w:val="single" w:color="auto" w:sz="4" w:space="0"/>
              <w:right w:val="single" w:color="auto" w:sz="4" w:space="0"/>
            </w:tcBorders>
            <w:noWrap w:val="0"/>
            <w:vAlign w:val="top"/>
          </w:tcPr>
          <w:p w14:paraId="3FEDA0CC">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65" w:type="dxa"/>
            <w:tcBorders>
              <w:top w:val="single" w:color="auto" w:sz="4" w:space="0"/>
              <w:left w:val="nil"/>
              <w:bottom w:val="single" w:color="auto" w:sz="4" w:space="0"/>
              <w:right w:val="single" w:color="auto" w:sz="4" w:space="0"/>
            </w:tcBorders>
            <w:noWrap w:val="0"/>
            <w:vAlign w:val="top"/>
          </w:tcPr>
          <w:p w14:paraId="22F4E41C">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r>
      <w:tr w14:paraId="19C88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0CA25E8B">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829" w:type="dxa"/>
            <w:tcBorders>
              <w:top w:val="single" w:color="auto" w:sz="4" w:space="0"/>
              <w:left w:val="nil"/>
              <w:bottom w:val="single" w:color="auto" w:sz="4" w:space="0"/>
              <w:right w:val="single" w:color="auto" w:sz="4" w:space="0"/>
            </w:tcBorders>
            <w:noWrap w:val="0"/>
            <w:vAlign w:val="top"/>
          </w:tcPr>
          <w:p w14:paraId="666C3EDB">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380" w:type="dxa"/>
            <w:tcBorders>
              <w:top w:val="single" w:color="auto" w:sz="4" w:space="0"/>
              <w:left w:val="nil"/>
              <w:bottom w:val="single" w:color="auto" w:sz="4" w:space="0"/>
              <w:right w:val="single" w:color="auto" w:sz="4" w:space="0"/>
            </w:tcBorders>
            <w:noWrap w:val="0"/>
            <w:vAlign w:val="top"/>
          </w:tcPr>
          <w:p w14:paraId="48F77CB0">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85" w:type="dxa"/>
            <w:tcBorders>
              <w:top w:val="single" w:color="auto" w:sz="4" w:space="0"/>
              <w:left w:val="nil"/>
              <w:bottom w:val="single" w:color="auto" w:sz="4" w:space="0"/>
              <w:right w:val="single" w:color="auto" w:sz="4" w:space="0"/>
            </w:tcBorders>
            <w:noWrap w:val="0"/>
            <w:vAlign w:val="top"/>
          </w:tcPr>
          <w:p w14:paraId="7F70402E">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top"/>
          </w:tcPr>
          <w:p w14:paraId="265A6950">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08" w:type="dxa"/>
            <w:tcBorders>
              <w:top w:val="single" w:color="auto" w:sz="4" w:space="0"/>
              <w:left w:val="nil"/>
              <w:bottom w:val="single" w:color="auto" w:sz="4" w:space="0"/>
              <w:right w:val="single" w:color="auto" w:sz="4" w:space="0"/>
            </w:tcBorders>
            <w:noWrap w:val="0"/>
            <w:vAlign w:val="top"/>
          </w:tcPr>
          <w:p w14:paraId="41A9F0E0">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32" w:type="dxa"/>
            <w:tcBorders>
              <w:top w:val="single" w:color="auto" w:sz="4" w:space="0"/>
              <w:left w:val="nil"/>
              <w:bottom w:val="single" w:color="auto" w:sz="4" w:space="0"/>
              <w:right w:val="single" w:color="auto" w:sz="4" w:space="0"/>
            </w:tcBorders>
            <w:noWrap w:val="0"/>
            <w:vAlign w:val="top"/>
          </w:tcPr>
          <w:p w14:paraId="377DA59F">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09" w:type="dxa"/>
            <w:tcBorders>
              <w:top w:val="single" w:color="auto" w:sz="4" w:space="0"/>
              <w:left w:val="nil"/>
              <w:bottom w:val="single" w:color="auto" w:sz="4" w:space="0"/>
              <w:right w:val="single" w:color="auto" w:sz="4" w:space="0"/>
            </w:tcBorders>
            <w:noWrap w:val="0"/>
            <w:vAlign w:val="top"/>
          </w:tcPr>
          <w:p w14:paraId="31AA2E37">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035" w:type="dxa"/>
            <w:tcBorders>
              <w:top w:val="single" w:color="auto" w:sz="4" w:space="0"/>
              <w:left w:val="nil"/>
              <w:bottom w:val="single" w:color="auto" w:sz="4" w:space="0"/>
              <w:right w:val="single" w:color="auto" w:sz="4" w:space="0"/>
            </w:tcBorders>
            <w:noWrap w:val="0"/>
            <w:vAlign w:val="top"/>
          </w:tcPr>
          <w:p w14:paraId="24B89BBD">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65" w:type="dxa"/>
            <w:tcBorders>
              <w:top w:val="single" w:color="auto" w:sz="4" w:space="0"/>
              <w:left w:val="nil"/>
              <w:bottom w:val="single" w:color="auto" w:sz="4" w:space="0"/>
              <w:right w:val="single" w:color="auto" w:sz="4" w:space="0"/>
            </w:tcBorders>
            <w:noWrap w:val="0"/>
            <w:vAlign w:val="top"/>
          </w:tcPr>
          <w:p w14:paraId="09E0132E">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r>
      <w:tr w14:paraId="5C371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2308FAD9">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829" w:type="dxa"/>
            <w:tcBorders>
              <w:top w:val="single" w:color="auto" w:sz="4" w:space="0"/>
              <w:left w:val="nil"/>
              <w:bottom w:val="single" w:color="auto" w:sz="4" w:space="0"/>
              <w:right w:val="single" w:color="auto" w:sz="4" w:space="0"/>
            </w:tcBorders>
            <w:noWrap w:val="0"/>
            <w:vAlign w:val="top"/>
          </w:tcPr>
          <w:p w14:paraId="6BB9DA13">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380" w:type="dxa"/>
            <w:tcBorders>
              <w:top w:val="single" w:color="auto" w:sz="4" w:space="0"/>
              <w:left w:val="nil"/>
              <w:bottom w:val="single" w:color="auto" w:sz="4" w:space="0"/>
              <w:right w:val="single" w:color="auto" w:sz="4" w:space="0"/>
            </w:tcBorders>
            <w:noWrap w:val="0"/>
            <w:vAlign w:val="top"/>
          </w:tcPr>
          <w:p w14:paraId="0F1DFCEB">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85" w:type="dxa"/>
            <w:tcBorders>
              <w:top w:val="single" w:color="auto" w:sz="4" w:space="0"/>
              <w:left w:val="nil"/>
              <w:bottom w:val="single" w:color="auto" w:sz="4" w:space="0"/>
              <w:right w:val="single" w:color="auto" w:sz="4" w:space="0"/>
            </w:tcBorders>
            <w:noWrap w:val="0"/>
            <w:vAlign w:val="top"/>
          </w:tcPr>
          <w:p w14:paraId="2F85601F">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top"/>
          </w:tcPr>
          <w:p w14:paraId="265028F2">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08" w:type="dxa"/>
            <w:tcBorders>
              <w:top w:val="single" w:color="auto" w:sz="4" w:space="0"/>
              <w:left w:val="nil"/>
              <w:bottom w:val="single" w:color="auto" w:sz="4" w:space="0"/>
              <w:right w:val="single" w:color="auto" w:sz="4" w:space="0"/>
            </w:tcBorders>
            <w:noWrap w:val="0"/>
            <w:vAlign w:val="top"/>
          </w:tcPr>
          <w:p w14:paraId="7DDB013F">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732" w:type="dxa"/>
            <w:tcBorders>
              <w:top w:val="single" w:color="auto" w:sz="4" w:space="0"/>
              <w:left w:val="nil"/>
              <w:bottom w:val="single" w:color="auto" w:sz="4" w:space="0"/>
              <w:right w:val="single" w:color="auto" w:sz="4" w:space="0"/>
            </w:tcBorders>
            <w:noWrap w:val="0"/>
            <w:vAlign w:val="top"/>
          </w:tcPr>
          <w:p w14:paraId="23152BCE">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09" w:type="dxa"/>
            <w:tcBorders>
              <w:top w:val="single" w:color="auto" w:sz="4" w:space="0"/>
              <w:left w:val="nil"/>
              <w:bottom w:val="single" w:color="auto" w:sz="4" w:space="0"/>
              <w:right w:val="single" w:color="auto" w:sz="4" w:space="0"/>
            </w:tcBorders>
            <w:noWrap w:val="0"/>
            <w:vAlign w:val="top"/>
          </w:tcPr>
          <w:p w14:paraId="656B5EBF">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035" w:type="dxa"/>
            <w:tcBorders>
              <w:top w:val="single" w:color="auto" w:sz="4" w:space="0"/>
              <w:left w:val="nil"/>
              <w:bottom w:val="single" w:color="auto" w:sz="4" w:space="0"/>
              <w:right w:val="single" w:color="auto" w:sz="4" w:space="0"/>
            </w:tcBorders>
            <w:noWrap w:val="0"/>
            <w:vAlign w:val="top"/>
          </w:tcPr>
          <w:p w14:paraId="293A483A">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1265" w:type="dxa"/>
            <w:tcBorders>
              <w:top w:val="single" w:color="auto" w:sz="4" w:space="0"/>
              <w:left w:val="nil"/>
              <w:bottom w:val="single" w:color="auto" w:sz="4" w:space="0"/>
              <w:right w:val="single" w:color="auto" w:sz="4" w:space="0"/>
            </w:tcBorders>
            <w:noWrap w:val="0"/>
            <w:vAlign w:val="top"/>
          </w:tcPr>
          <w:p w14:paraId="5BFC2D86">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r>
      <w:tr w14:paraId="37A37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111BD2E5">
            <w:pPr>
              <w:keepNext w:val="0"/>
              <w:keepLines w:val="0"/>
              <w:suppressLineNumbers w:val="0"/>
              <w:spacing w:before="0" w:beforeAutospacing="0" w:after="120" w:afterAutospacing="0"/>
              <w:ind w:left="0" w:right="0"/>
              <w:jc w:val="center"/>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w:t>
            </w:r>
          </w:p>
        </w:tc>
        <w:tc>
          <w:tcPr>
            <w:tcW w:w="829" w:type="dxa"/>
            <w:tcBorders>
              <w:top w:val="single" w:color="auto" w:sz="4" w:space="0"/>
              <w:left w:val="nil"/>
              <w:bottom w:val="single" w:color="auto" w:sz="4" w:space="0"/>
              <w:right w:val="single" w:color="auto" w:sz="4" w:space="0"/>
            </w:tcBorders>
            <w:noWrap w:val="0"/>
            <w:vAlign w:val="top"/>
          </w:tcPr>
          <w:p w14:paraId="0E31887E">
            <w:pPr>
              <w:keepNext w:val="0"/>
              <w:keepLines w:val="0"/>
              <w:suppressLineNumbers w:val="0"/>
              <w:spacing w:before="0" w:beforeAutospacing="0" w:after="120" w:afterAutospacing="0"/>
              <w:ind w:left="0" w:right="0"/>
              <w:jc w:val="center"/>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w:t>
            </w:r>
          </w:p>
        </w:tc>
        <w:tc>
          <w:tcPr>
            <w:tcW w:w="1380" w:type="dxa"/>
            <w:tcBorders>
              <w:top w:val="single" w:color="auto" w:sz="4" w:space="0"/>
              <w:left w:val="nil"/>
              <w:bottom w:val="single" w:color="auto" w:sz="4" w:space="0"/>
              <w:right w:val="single" w:color="auto" w:sz="4" w:space="0"/>
            </w:tcBorders>
            <w:noWrap w:val="0"/>
            <w:vAlign w:val="center"/>
          </w:tcPr>
          <w:p w14:paraId="52C73681">
            <w:pPr>
              <w:keepNext w:val="0"/>
              <w:keepLines w:val="0"/>
              <w:suppressLineNumbers w:val="0"/>
              <w:spacing w:before="0" w:beforeAutospacing="0" w:after="120" w:afterAutospacing="0"/>
              <w:ind w:left="0" w:right="0"/>
              <w:jc w:val="center"/>
              <w:rPr>
                <w:rFonts w:hint="default"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合计</w:t>
            </w:r>
          </w:p>
        </w:tc>
        <w:tc>
          <w:tcPr>
            <w:tcW w:w="785" w:type="dxa"/>
            <w:tcBorders>
              <w:top w:val="single" w:color="auto" w:sz="4" w:space="0"/>
              <w:left w:val="nil"/>
              <w:bottom w:val="single" w:color="auto" w:sz="4" w:space="0"/>
              <w:right w:val="single" w:color="auto" w:sz="4" w:space="0"/>
            </w:tcBorders>
            <w:noWrap w:val="0"/>
            <w:vAlign w:val="top"/>
          </w:tcPr>
          <w:p w14:paraId="764FE5B5">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center"/>
          </w:tcPr>
          <w:p w14:paraId="2CBE2AA7">
            <w:pPr>
              <w:keepNext w:val="0"/>
              <w:keepLines w:val="0"/>
              <w:suppressLineNumbers w:val="0"/>
              <w:spacing w:before="0" w:beforeAutospacing="0" w:after="120" w:afterAutospacing="0"/>
              <w:ind w:left="0" w:leftChars="0" w:right="0" w:rightChars="0"/>
              <w:jc w:val="center"/>
              <w:rPr>
                <w:rFonts w:hint="default" w:ascii="宋体" w:hAnsi="宋体" w:eastAsia="宋体" w:cs="Times New Roman"/>
                <w:color w:val="auto"/>
                <w:kern w:val="0"/>
                <w:sz w:val="21"/>
                <w:szCs w:val="21"/>
                <w:highlight w:val="none"/>
                <w:lang w:val="en-US" w:eastAsia="zh-CN" w:bidi="ar-SA"/>
              </w:rPr>
            </w:pPr>
            <w:r>
              <w:rPr>
                <w:rFonts w:hint="eastAsia" w:ascii="宋体" w:hAnsi="宋体" w:cs="Times New Roman"/>
                <w:color w:val="auto"/>
                <w:kern w:val="0"/>
                <w:sz w:val="21"/>
                <w:szCs w:val="21"/>
                <w:highlight w:val="none"/>
              </w:rPr>
              <w:t>—</w:t>
            </w:r>
          </w:p>
        </w:tc>
        <w:tc>
          <w:tcPr>
            <w:tcW w:w="1208" w:type="dxa"/>
            <w:tcBorders>
              <w:top w:val="single" w:color="auto" w:sz="4" w:space="0"/>
              <w:left w:val="nil"/>
              <w:bottom w:val="single" w:color="auto" w:sz="4" w:space="0"/>
              <w:right w:val="single" w:color="auto" w:sz="4" w:space="0"/>
            </w:tcBorders>
            <w:noWrap w:val="0"/>
            <w:vAlign w:val="center"/>
          </w:tcPr>
          <w:p w14:paraId="519C623E">
            <w:pPr>
              <w:keepNext w:val="0"/>
              <w:keepLines w:val="0"/>
              <w:suppressLineNumbers w:val="0"/>
              <w:spacing w:before="0" w:beforeAutospacing="0" w:after="120" w:afterAutospacing="0"/>
              <w:ind w:left="0" w:leftChars="0" w:right="0" w:rightChars="0"/>
              <w:jc w:val="center"/>
              <w:rPr>
                <w:rFonts w:hint="default" w:ascii="宋体" w:hAnsi="宋体" w:eastAsia="宋体" w:cs="Times New Roman"/>
                <w:color w:val="auto"/>
                <w:kern w:val="0"/>
                <w:sz w:val="21"/>
                <w:szCs w:val="21"/>
                <w:highlight w:val="none"/>
                <w:lang w:val="en-US" w:eastAsia="zh-CN" w:bidi="ar-SA"/>
              </w:rPr>
            </w:pPr>
          </w:p>
        </w:tc>
        <w:tc>
          <w:tcPr>
            <w:tcW w:w="732" w:type="dxa"/>
            <w:tcBorders>
              <w:top w:val="single" w:color="auto" w:sz="4" w:space="0"/>
              <w:left w:val="nil"/>
              <w:bottom w:val="single" w:color="auto" w:sz="4" w:space="0"/>
              <w:right w:val="single" w:color="auto" w:sz="4" w:space="0"/>
            </w:tcBorders>
            <w:noWrap w:val="0"/>
            <w:vAlign w:val="center"/>
          </w:tcPr>
          <w:p w14:paraId="34519F9D">
            <w:pPr>
              <w:keepNext w:val="0"/>
              <w:keepLines w:val="0"/>
              <w:suppressLineNumbers w:val="0"/>
              <w:spacing w:before="0" w:beforeAutospacing="0" w:after="120" w:afterAutospacing="0"/>
              <w:ind w:left="0" w:leftChars="0" w:right="0" w:rightChars="0"/>
              <w:jc w:val="center"/>
              <w:rPr>
                <w:rFonts w:hint="default" w:ascii="宋体" w:hAnsi="宋体" w:eastAsia="宋体" w:cs="Times New Roman"/>
                <w:color w:val="auto"/>
                <w:kern w:val="0"/>
                <w:sz w:val="21"/>
                <w:szCs w:val="21"/>
                <w:highlight w:val="none"/>
                <w:lang w:val="en-US" w:eastAsia="zh-CN" w:bidi="ar-SA"/>
              </w:rPr>
            </w:pPr>
            <w:r>
              <w:rPr>
                <w:rFonts w:hint="eastAsia" w:ascii="宋体" w:hAnsi="宋体" w:cs="Times New Roman"/>
                <w:color w:val="auto"/>
                <w:kern w:val="0"/>
                <w:sz w:val="21"/>
                <w:szCs w:val="21"/>
                <w:highlight w:val="none"/>
              </w:rPr>
              <w:t>—</w:t>
            </w:r>
          </w:p>
        </w:tc>
        <w:tc>
          <w:tcPr>
            <w:tcW w:w="909" w:type="dxa"/>
            <w:tcBorders>
              <w:top w:val="single" w:color="auto" w:sz="4" w:space="0"/>
              <w:left w:val="nil"/>
              <w:bottom w:val="single" w:color="auto" w:sz="4" w:space="0"/>
              <w:right w:val="single" w:color="auto" w:sz="4" w:space="0"/>
            </w:tcBorders>
            <w:noWrap w:val="0"/>
            <w:vAlign w:val="center"/>
          </w:tcPr>
          <w:p w14:paraId="7C5A281B">
            <w:pPr>
              <w:keepNext w:val="0"/>
              <w:keepLines w:val="0"/>
              <w:suppressLineNumbers w:val="0"/>
              <w:spacing w:before="0" w:beforeAutospacing="0" w:after="120" w:afterAutospacing="0"/>
              <w:ind w:left="0" w:leftChars="0" w:right="0" w:rightChars="0"/>
              <w:jc w:val="center"/>
              <w:rPr>
                <w:rFonts w:hint="default" w:ascii="宋体" w:hAnsi="宋体" w:eastAsia="宋体" w:cs="Times New Roman"/>
                <w:color w:val="auto"/>
                <w:kern w:val="0"/>
                <w:sz w:val="21"/>
                <w:szCs w:val="21"/>
                <w:highlight w:val="none"/>
                <w:lang w:val="en-US" w:eastAsia="zh-CN" w:bidi="ar-SA"/>
              </w:rPr>
            </w:pPr>
          </w:p>
        </w:tc>
        <w:tc>
          <w:tcPr>
            <w:tcW w:w="1035" w:type="dxa"/>
            <w:tcBorders>
              <w:top w:val="single" w:color="auto" w:sz="4" w:space="0"/>
              <w:left w:val="nil"/>
              <w:bottom w:val="single" w:color="auto" w:sz="4" w:space="0"/>
              <w:right w:val="single" w:color="auto" w:sz="4" w:space="0"/>
            </w:tcBorders>
            <w:noWrap w:val="0"/>
            <w:vAlign w:val="center"/>
          </w:tcPr>
          <w:p w14:paraId="6BA18487">
            <w:pPr>
              <w:keepNext w:val="0"/>
              <w:keepLines w:val="0"/>
              <w:suppressLineNumbers w:val="0"/>
              <w:spacing w:before="0" w:beforeAutospacing="0" w:after="120" w:afterAutospacing="0"/>
              <w:ind w:left="0" w:leftChars="0" w:right="0" w:rightChars="0"/>
              <w:jc w:val="center"/>
              <w:rPr>
                <w:rFonts w:hint="default" w:ascii="宋体" w:hAnsi="宋体" w:eastAsia="宋体" w:cs="Times New Roman"/>
                <w:color w:val="auto"/>
                <w:kern w:val="0"/>
                <w:sz w:val="21"/>
                <w:szCs w:val="21"/>
                <w:highlight w:val="none"/>
                <w:lang w:val="en-US" w:eastAsia="zh-CN" w:bidi="ar-SA"/>
              </w:rPr>
            </w:pPr>
            <w:r>
              <w:rPr>
                <w:rFonts w:hint="eastAsia" w:ascii="宋体" w:hAnsi="宋体" w:cs="Times New Roman"/>
                <w:color w:val="auto"/>
                <w:kern w:val="0"/>
                <w:sz w:val="21"/>
                <w:szCs w:val="21"/>
                <w:highlight w:val="none"/>
              </w:rPr>
              <w:t>—</w:t>
            </w:r>
          </w:p>
        </w:tc>
        <w:tc>
          <w:tcPr>
            <w:tcW w:w="1265" w:type="dxa"/>
            <w:tcBorders>
              <w:top w:val="single" w:color="auto" w:sz="4" w:space="0"/>
              <w:left w:val="nil"/>
              <w:bottom w:val="single" w:color="auto" w:sz="4" w:space="0"/>
              <w:right w:val="single" w:color="auto" w:sz="4" w:space="0"/>
            </w:tcBorders>
            <w:noWrap w:val="0"/>
            <w:vAlign w:val="top"/>
          </w:tcPr>
          <w:p w14:paraId="36F5D19C">
            <w:pPr>
              <w:keepNext w:val="0"/>
              <w:keepLines w:val="0"/>
              <w:suppressLineNumbers w:val="0"/>
              <w:spacing w:before="0" w:beforeAutospacing="0" w:after="120" w:afterAutospacing="0"/>
              <w:ind w:left="0" w:right="0"/>
              <w:rPr>
                <w:rFonts w:hint="default" w:ascii="宋体" w:hAnsi="宋体" w:cs="Times New Roman"/>
                <w:color w:val="auto"/>
                <w:kern w:val="0"/>
                <w:sz w:val="21"/>
                <w:szCs w:val="21"/>
                <w:highlight w:val="none"/>
              </w:rPr>
            </w:pPr>
          </w:p>
        </w:tc>
      </w:tr>
    </w:tbl>
    <w:p w14:paraId="79DA844C">
      <w:pPr>
        <w:rPr>
          <w:rFonts w:hint="eastAsia"/>
          <w:color w:val="auto"/>
          <w:sz w:val="21"/>
          <w:szCs w:val="21"/>
          <w:highlight w:val="none"/>
        </w:rPr>
        <w:sectPr>
          <w:pgSz w:w="11907" w:h="16840"/>
          <w:pgMar w:top="1440" w:right="1440" w:bottom="1440" w:left="1797" w:header="851" w:footer="851" w:gutter="0"/>
          <w:cols w:space="720" w:num="1"/>
          <w:docGrid w:linePitch="312" w:charSpace="0"/>
        </w:sectPr>
      </w:pPr>
    </w:p>
    <w:p w14:paraId="23532AE9">
      <w:pPr>
        <w:keepNext/>
        <w:keepLines/>
        <w:widowControl/>
        <w:spacing w:before="120" w:beforeLines="0" w:after="120" w:afterLines="0" w:line="360" w:lineRule="auto"/>
        <w:jc w:val="both"/>
        <w:outlineLvl w:val="3"/>
        <w:rPr>
          <w:rFonts w:hint="default" w:ascii="仿宋_GB2312" w:hAnsi="Arial" w:eastAsia="仿宋_GB2312" w:cs="仿宋_GB2312"/>
          <w:color w:val="auto"/>
          <w:kern w:val="0"/>
          <w:sz w:val="21"/>
          <w:szCs w:val="21"/>
          <w:highlight w:val="none"/>
          <w:lang w:val="en-US" w:eastAsia="zh-CN" w:bidi="ar-SA"/>
        </w:rPr>
      </w:pPr>
      <w:r>
        <w:rPr>
          <w:rFonts w:hint="eastAsia" w:ascii="仿宋_GB2312" w:hAnsi="Arial" w:eastAsia="仿宋_GB2312" w:cs="仿宋_GB2312"/>
          <w:color w:val="auto"/>
          <w:kern w:val="0"/>
          <w:sz w:val="21"/>
          <w:szCs w:val="21"/>
          <w:highlight w:val="none"/>
          <w:lang w:val="en-US" w:eastAsia="zh-CN" w:bidi="ar-SA"/>
        </w:rPr>
        <w:t>附件12：零星签证费用确认单</w:t>
      </w:r>
    </w:p>
    <w:p w14:paraId="4ECEAA44">
      <w:pPr>
        <w:jc w:val="center"/>
        <w:outlineLvl w:val="9"/>
        <w:rPr>
          <w:rFonts w:ascii="宋体" w:hAnsi="宋体" w:eastAsia="宋体" w:cs="Times New Roman"/>
          <w:b/>
          <w:color w:val="auto"/>
          <w:sz w:val="21"/>
          <w:szCs w:val="21"/>
          <w:highlight w:val="none"/>
          <w:lang w:val="en"/>
        </w:rPr>
      </w:pPr>
      <w:r>
        <w:rPr>
          <w:rFonts w:hint="default" w:ascii="宋体" w:hAnsi="宋体" w:eastAsia="宋体" w:cs="Times New Roman"/>
          <w:b/>
          <w:color w:val="auto"/>
          <w:sz w:val="21"/>
          <w:szCs w:val="21"/>
          <w:highlight w:val="none"/>
          <w:lang w:val="en" w:eastAsia="zh-CN"/>
        </w:rPr>
        <w:t>零星签证费用确认单</w:t>
      </w:r>
    </w:p>
    <w:p w14:paraId="358C9CAF">
      <w:pPr>
        <w:spacing w:line="360" w:lineRule="auto"/>
        <w:ind w:firstLine="420" w:firstLineChars="200"/>
        <w:rPr>
          <w:rFonts w:hint="eastAsia" w:ascii="宋体" w:hAnsi="宋体" w:cs="Times New Roman"/>
          <w:color w:val="auto"/>
          <w:sz w:val="21"/>
          <w:szCs w:val="21"/>
          <w:highlight w:val="none"/>
        </w:rPr>
      </w:pPr>
    </w:p>
    <w:p w14:paraId="3C6D78C4">
      <w:pPr>
        <w:spacing w:line="360" w:lineRule="auto"/>
        <w:ind w:firstLine="420" w:firstLineChars="200"/>
        <w:rPr>
          <w:rFonts w:ascii="Times New Roman" w:hAnsi="Times New Roman" w:cs="Times New Roman"/>
          <w:color w:val="auto"/>
          <w:sz w:val="21"/>
          <w:szCs w:val="21"/>
          <w:highlight w:val="none"/>
        </w:rPr>
      </w:pPr>
      <w:r>
        <w:rPr>
          <w:rFonts w:hint="eastAsia" w:ascii="宋体" w:hAnsi="宋体" w:cs="Times New Roman"/>
          <w:color w:val="auto"/>
          <w:sz w:val="21"/>
          <w:szCs w:val="21"/>
          <w:highlight w:val="none"/>
        </w:rPr>
        <w:t xml:space="preserve">工程名称：                                             </w:t>
      </w:r>
      <w:r>
        <w:rPr>
          <w:rFonts w:hint="eastAsia" w:ascii="宋体" w:hAnsi="宋体" w:cs="Times New Roman"/>
          <w:color w:val="auto"/>
          <w:sz w:val="21"/>
          <w:szCs w:val="21"/>
          <w:highlight w:val="none"/>
          <w:lang w:val="en-US" w:eastAsia="zh-CN"/>
        </w:rPr>
        <w:t xml:space="preserve">  </w:t>
      </w:r>
      <w:r>
        <w:rPr>
          <w:rFonts w:hint="eastAsia" w:ascii="宋体" w:hAnsi="宋体" w:cs="Times New Roman"/>
          <w:color w:val="auto"/>
          <w:sz w:val="21"/>
          <w:szCs w:val="21"/>
          <w:highlight w:val="none"/>
        </w:rPr>
        <w:t>编号：</w:t>
      </w:r>
    </w:p>
    <w:tbl>
      <w:tblPr>
        <w:tblStyle w:val="54"/>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0"/>
        <w:gridCol w:w="4552"/>
      </w:tblGrid>
      <w:tr w14:paraId="2AFD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9"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56DAA13D">
            <w:pPr>
              <w:keepNext w:val="0"/>
              <w:keepLines w:val="0"/>
              <w:suppressLineNumbers w:val="0"/>
              <w:spacing w:before="0" w:beforeAutospacing="0" w:after="0" w:afterAutospacing="0" w:line="400" w:lineRule="exact"/>
              <w:ind w:left="0" w:right="0"/>
              <w:rPr>
                <w:rFonts w:hint="default" w:ascii="Times New Roman" w:hAnsi="Times New Roman" w:cs="Times New Roman"/>
                <w:color w:val="auto"/>
                <w:sz w:val="21"/>
                <w:szCs w:val="21"/>
                <w:highlight w:val="none"/>
                <w:u w:val="single"/>
              </w:rPr>
            </w:pP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致：</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u w:val="single"/>
              </w:rPr>
              <w:t xml:space="preserve">（发包人全称） </w:t>
            </w:r>
          </w:p>
          <w:p w14:paraId="3B0ABD19">
            <w:pPr>
              <w:keepNext w:val="0"/>
              <w:keepLines w:val="0"/>
              <w:suppressLineNumbers w:val="0"/>
              <w:spacing w:before="0" w:beforeAutospacing="0" w:after="0" w:afterAutospacing="0" w:line="340" w:lineRule="exact"/>
              <w:ind w:left="1333" w:leftChars="285" w:right="0" w:hanging="735" w:hangingChars="35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lang w:val="en-US" w:eastAsia="zh-CN"/>
              </w:rPr>
              <w:t xml:space="preserve">   年   月   日</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由于</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原因</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我方</w:t>
            </w:r>
            <w:r>
              <w:rPr>
                <w:rFonts w:hint="eastAsia" w:ascii="宋体" w:hAnsi="宋体" w:cs="Times New Roman"/>
                <w:color w:val="auto"/>
                <w:sz w:val="21"/>
                <w:szCs w:val="21"/>
                <w:highlight w:val="none"/>
                <w:lang w:eastAsia="zh-CN"/>
              </w:rPr>
              <w:t>发生零星签证不含税</w:t>
            </w:r>
            <w:r>
              <w:rPr>
                <w:rFonts w:hint="eastAsia" w:ascii="宋体" w:hAnsi="宋体" w:cs="Times New Roman"/>
                <w:color w:val="auto"/>
                <w:sz w:val="21"/>
                <w:szCs w:val="21"/>
                <w:highlight w:val="none"/>
              </w:rPr>
              <w:t>金额（大写）</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元</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（小写）</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元</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请予核准。</w:t>
            </w:r>
          </w:p>
          <w:p w14:paraId="72B9287A">
            <w:pPr>
              <w:keepNext w:val="0"/>
              <w:keepLines w:val="0"/>
              <w:suppressLineNumbers w:val="0"/>
              <w:spacing w:before="0" w:beforeAutospacing="0" w:after="0" w:afterAutospacing="0" w:line="340" w:lineRule="exact"/>
              <w:ind w:left="0" w:right="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附：</w:t>
            </w:r>
            <w:r>
              <w:rPr>
                <w:rFonts w:hint="eastAsia" w:ascii="Times New Roman" w:hAnsi="Times New Roman" w:cs="Times New Roman"/>
                <w:color w:val="auto"/>
                <w:sz w:val="21"/>
                <w:szCs w:val="21"/>
                <w:highlight w:val="none"/>
              </w:rPr>
              <w:t>1.</w:t>
            </w:r>
            <w:r>
              <w:rPr>
                <w:rFonts w:hint="eastAsia" w:ascii="宋体" w:hAnsi="宋体" w:cs="Times New Roman"/>
                <w:color w:val="auto"/>
                <w:sz w:val="21"/>
                <w:szCs w:val="21"/>
                <w:highlight w:val="none"/>
                <w:lang w:eastAsia="zh-CN"/>
              </w:rPr>
              <w:t>零星签证</w:t>
            </w:r>
            <w:r>
              <w:rPr>
                <w:rFonts w:hint="eastAsia" w:ascii="宋体" w:hAnsi="宋体" w:cs="Times New Roman"/>
                <w:color w:val="auto"/>
                <w:sz w:val="21"/>
                <w:szCs w:val="21"/>
                <w:highlight w:val="none"/>
              </w:rPr>
              <w:t>的详细</w:t>
            </w:r>
            <w:r>
              <w:rPr>
                <w:rFonts w:hint="eastAsia" w:ascii="宋体" w:hAnsi="宋体" w:cs="Times New Roman"/>
                <w:color w:val="auto"/>
                <w:sz w:val="21"/>
                <w:szCs w:val="21"/>
                <w:highlight w:val="none"/>
                <w:lang w:eastAsia="zh-CN"/>
              </w:rPr>
              <w:t>计算清单</w:t>
            </w:r>
            <w:r>
              <w:rPr>
                <w:rFonts w:hint="eastAsia" w:ascii="宋体" w:hAnsi="宋体" w:cs="Times New Roman"/>
                <w:color w:val="auto"/>
                <w:sz w:val="21"/>
                <w:szCs w:val="21"/>
                <w:highlight w:val="none"/>
              </w:rPr>
              <w:t>：</w:t>
            </w:r>
          </w:p>
          <w:p w14:paraId="3DAC868D">
            <w:pPr>
              <w:keepNext w:val="0"/>
              <w:keepLines w:val="0"/>
              <w:suppressLineNumbers w:val="0"/>
              <w:spacing w:before="0" w:beforeAutospacing="0" w:after="0" w:afterAutospacing="0" w:line="340" w:lineRule="exact"/>
              <w:ind w:left="0" w:right="0" w:firstLine="435"/>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2</w:t>
            </w:r>
            <w:r>
              <w:rPr>
                <w:rFonts w:hint="eastAsia" w:ascii="Times New Roman" w:hAnsi="Times New Roman" w:cs="Times New Roman"/>
                <w:color w:val="auto"/>
                <w:sz w:val="21"/>
                <w:szCs w:val="21"/>
                <w:highlight w:val="none"/>
              </w:rPr>
              <w:t>.</w:t>
            </w:r>
            <w:r>
              <w:rPr>
                <w:rFonts w:hint="eastAsia" w:ascii="宋体" w:hAnsi="宋体" w:cs="Times New Roman"/>
                <w:color w:val="auto"/>
                <w:sz w:val="21"/>
                <w:szCs w:val="21"/>
                <w:highlight w:val="none"/>
              </w:rPr>
              <w:t>证明材料：</w:t>
            </w:r>
          </w:p>
          <w:p w14:paraId="63C13CF2">
            <w:pPr>
              <w:keepNext w:val="0"/>
              <w:keepLines w:val="0"/>
              <w:suppressLineNumbers w:val="0"/>
              <w:spacing w:before="0" w:beforeAutospacing="0" w:after="0" w:afterAutospacing="0" w:line="340" w:lineRule="exact"/>
              <w:ind w:left="0" w:right="0" w:firstLine="435"/>
              <w:rPr>
                <w:rFonts w:hint="default" w:ascii="Times New Roman" w:hAnsi="Times New Roman" w:cs="Times New Roman"/>
                <w:color w:val="auto"/>
                <w:sz w:val="21"/>
                <w:szCs w:val="21"/>
                <w:highlight w:val="none"/>
              </w:rPr>
            </w:pPr>
          </w:p>
          <w:p w14:paraId="066D8A14">
            <w:pPr>
              <w:keepNext w:val="0"/>
              <w:keepLines w:val="0"/>
              <w:suppressLineNumbers w:val="0"/>
              <w:spacing w:before="0" w:beforeAutospacing="0" w:after="0" w:afterAutospacing="0" w:line="340" w:lineRule="exact"/>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承包人（章）</w:t>
            </w:r>
            <w:r>
              <w:rPr>
                <w:rFonts w:hint="default" w:ascii="Times New Roman" w:hAnsi="Times New Roman" w:cs="Times New Roman"/>
                <w:color w:val="auto"/>
                <w:sz w:val="21"/>
                <w:szCs w:val="21"/>
                <w:highlight w:val="none"/>
              </w:rPr>
              <w:t xml:space="preserve">            </w:t>
            </w:r>
          </w:p>
          <w:p w14:paraId="14D49E43">
            <w:pPr>
              <w:keepNext w:val="0"/>
              <w:keepLines w:val="0"/>
              <w:suppressLineNumbers w:val="0"/>
              <w:spacing w:before="0" w:beforeAutospacing="0" w:after="0" w:afterAutospacing="0" w:line="340" w:lineRule="exact"/>
              <w:ind w:left="0" w:right="0"/>
              <w:rPr>
                <w:rFonts w:hint="default" w:ascii="Times New Roman" w:hAnsi="Times New Roman" w:cs="Times New Roman"/>
                <w:color w:val="auto"/>
                <w:sz w:val="21"/>
                <w:szCs w:val="21"/>
                <w:highlight w:val="none"/>
                <w:u w:val="single"/>
              </w:rPr>
            </w:pP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造价人员</w:t>
            </w:r>
            <w:r>
              <w:rPr>
                <w:rFonts w:hint="eastAsia" w:ascii="Times New Roman" w:hAnsi="Times New Roman" w:cs="Times New Roman"/>
                <w:color w:val="auto"/>
                <w:sz w:val="21"/>
                <w:szCs w:val="21"/>
                <w:highlight w:val="none"/>
              </w:rPr>
              <w:t xml:space="preserve">____________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承包人代表</w:t>
            </w:r>
            <w:r>
              <w:rPr>
                <w:rFonts w:hint="default" w:ascii="Times New Roman" w:hAnsi="Times New Roman" w:cs="Times New Roman"/>
                <w:color w:val="auto"/>
                <w:sz w:val="21"/>
                <w:szCs w:val="21"/>
                <w:highlight w:val="none"/>
                <w:u w:val="single"/>
              </w:rPr>
              <w:t xml:space="preserve">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 xml:space="preserve">日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期</w:t>
            </w:r>
            <w:r>
              <w:rPr>
                <w:rFonts w:hint="default" w:ascii="Times New Roman" w:hAnsi="Times New Roman" w:cs="Times New Roman"/>
                <w:color w:val="auto"/>
                <w:sz w:val="21"/>
                <w:szCs w:val="21"/>
                <w:highlight w:val="none"/>
                <w:u w:val="single"/>
              </w:rPr>
              <w:t xml:space="preserve">              </w:t>
            </w:r>
          </w:p>
          <w:p w14:paraId="08EE4882">
            <w:pPr>
              <w:keepNext w:val="0"/>
              <w:keepLines w:val="0"/>
              <w:suppressLineNumbers w:val="0"/>
              <w:spacing w:before="0" w:beforeAutospacing="0" w:after="0" w:afterAutospacing="0" w:line="340" w:lineRule="exact"/>
              <w:ind w:left="0" w:right="0"/>
              <w:rPr>
                <w:rFonts w:hint="default" w:ascii="Times New Roman" w:hAnsi="Times New Roman" w:cs="Times New Roman"/>
                <w:color w:val="auto"/>
                <w:sz w:val="21"/>
                <w:szCs w:val="21"/>
                <w:highlight w:val="none"/>
                <w:u w:val="single"/>
              </w:rPr>
            </w:pPr>
          </w:p>
        </w:tc>
      </w:tr>
      <w:tr w14:paraId="2EB5B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6" w:hRule="atLeast"/>
          <w:jc w:val="center"/>
        </w:trPr>
        <w:tc>
          <w:tcPr>
            <w:tcW w:w="4520" w:type="dxa"/>
            <w:tcBorders>
              <w:top w:val="single" w:color="auto" w:sz="4" w:space="0"/>
              <w:left w:val="single" w:color="auto" w:sz="4" w:space="0"/>
              <w:bottom w:val="single" w:color="auto" w:sz="4" w:space="0"/>
              <w:right w:val="single" w:color="auto" w:sz="4" w:space="0"/>
            </w:tcBorders>
            <w:noWrap w:val="0"/>
            <w:vAlign w:val="top"/>
          </w:tcPr>
          <w:p w14:paraId="0AB5ADC9">
            <w:pPr>
              <w:keepNext w:val="0"/>
              <w:keepLines w:val="0"/>
              <w:suppressLineNumbers w:val="0"/>
              <w:spacing w:before="0" w:beforeAutospacing="0" w:after="0" w:afterAutospacing="0" w:line="360" w:lineRule="exact"/>
              <w:ind w:left="0" w:right="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复核意见：</w:t>
            </w:r>
          </w:p>
          <w:p w14:paraId="7B5EF728">
            <w:pPr>
              <w:keepNext w:val="0"/>
              <w:keepLines w:val="0"/>
              <w:suppressLineNumbers w:val="0"/>
              <w:spacing w:before="0" w:beforeAutospacing="0" w:after="0" w:afterAutospacing="0" w:line="360" w:lineRule="exact"/>
              <w:ind w:left="0" w:right="0" w:firstLine="435"/>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根据施工合同条款第</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条的约定</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你方提出的</w:t>
            </w:r>
            <w:r>
              <w:rPr>
                <w:rFonts w:hint="eastAsia" w:ascii="宋体" w:hAnsi="宋体" w:cs="Times New Roman"/>
                <w:color w:val="auto"/>
                <w:sz w:val="21"/>
                <w:szCs w:val="21"/>
                <w:highlight w:val="none"/>
                <w:lang w:eastAsia="zh-CN"/>
              </w:rPr>
              <w:t>零星签证</w:t>
            </w:r>
            <w:r>
              <w:rPr>
                <w:rFonts w:hint="eastAsia" w:ascii="宋体" w:hAnsi="宋体" w:cs="Times New Roman"/>
                <w:color w:val="auto"/>
                <w:sz w:val="21"/>
                <w:szCs w:val="21"/>
                <w:highlight w:val="none"/>
              </w:rPr>
              <w:t>申请经复核：</w:t>
            </w:r>
          </w:p>
          <w:p w14:paraId="7BA25CFF">
            <w:pPr>
              <w:keepNext w:val="0"/>
              <w:keepLines w:val="0"/>
              <w:suppressLineNumbers w:val="0"/>
              <w:spacing w:before="0" w:beforeAutospacing="0" w:after="0" w:afterAutospacing="0" w:line="360" w:lineRule="exact"/>
              <w:ind w:left="0" w:right="0" w:firstLine="435"/>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□不同意此项</w:t>
            </w:r>
            <w:r>
              <w:rPr>
                <w:rFonts w:hint="eastAsia" w:ascii="宋体" w:hAnsi="宋体" w:cs="Times New Roman"/>
                <w:color w:val="auto"/>
                <w:sz w:val="21"/>
                <w:szCs w:val="21"/>
                <w:highlight w:val="none"/>
                <w:lang w:eastAsia="zh-CN"/>
              </w:rPr>
              <w:t>签证，</w:t>
            </w:r>
            <w:r>
              <w:rPr>
                <w:rFonts w:hint="eastAsia" w:ascii="宋体" w:hAnsi="宋体" w:cs="Times New Roman"/>
                <w:color w:val="auto"/>
                <w:sz w:val="21"/>
                <w:szCs w:val="21"/>
                <w:highlight w:val="none"/>
              </w:rPr>
              <w:t>具体意见见附件。</w:t>
            </w:r>
          </w:p>
          <w:p w14:paraId="3DE580D4">
            <w:pPr>
              <w:keepNext w:val="0"/>
              <w:keepLines w:val="0"/>
              <w:suppressLineNumbers w:val="0"/>
              <w:spacing w:before="0" w:beforeAutospacing="0" w:after="0" w:afterAutospacing="0" w:line="360" w:lineRule="exact"/>
              <w:ind w:left="0" w:right="0" w:firstLine="435"/>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□同意此项</w:t>
            </w:r>
            <w:r>
              <w:rPr>
                <w:rFonts w:hint="eastAsia" w:ascii="宋体" w:hAnsi="宋体" w:cs="Times New Roman"/>
                <w:color w:val="auto"/>
                <w:sz w:val="21"/>
                <w:szCs w:val="21"/>
                <w:highlight w:val="none"/>
                <w:lang w:eastAsia="zh-CN"/>
              </w:rPr>
              <w:t>签证，签证</w:t>
            </w:r>
            <w:r>
              <w:rPr>
                <w:rFonts w:hint="eastAsia" w:ascii="宋体" w:hAnsi="宋体" w:cs="Times New Roman"/>
                <w:color w:val="auto"/>
                <w:sz w:val="21"/>
                <w:szCs w:val="21"/>
                <w:highlight w:val="none"/>
              </w:rPr>
              <w:t>金额的计算</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由造价工程师复核。</w:t>
            </w:r>
          </w:p>
          <w:p w14:paraId="2BCF28EF">
            <w:pPr>
              <w:keepNext w:val="0"/>
              <w:keepLines w:val="0"/>
              <w:suppressLineNumbers w:val="0"/>
              <w:spacing w:before="0" w:beforeAutospacing="0" w:after="0" w:afterAutospacing="0" w:line="360" w:lineRule="exact"/>
              <w:ind w:left="0" w:right="0" w:firstLine="435"/>
              <w:rPr>
                <w:rFonts w:hint="default" w:ascii="Times New Roman" w:hAnsi="Times New Roman" w:cs="Times New Roman"/>
                <w:color w:val="auto"/>
                <w:sz w:val="21"/>
                <w:szCs w:val="21"/>
                <w:highlight w:val="none"/>
              </w:rPr>
            </w:pPr>
          </w:p>
          <w:p w14:paraId="10830309">
            <w:pPr>
              <w:keepNext w:val="0"/>
              <w:keepLines w:val="0"/>
              <w:suppressLineNumbers w:val="0"/>
              <w:spacing w:before="0" w:beforeAutospacing="0" w:after="0" w:afterAutospacing="0" w:line="360" w:lineRule="exact"/>
              <w:ind w:left="0" w:right="0" w:firstLine="435"/>
              <w:rPr>
                <w:rFonts w:hint="default" w:ascii="Times New Roman" w:hAnsi="Times New Roman" w:cs="Times New Roman"/>
                <w:color w:val="auto"/>
                <w:sz w:val="21"/>
                <w:szCs w:val="21"/>
                <w:highlight w:val="none"/>
              </w:rPr>
            </w:pPr>
          </w:p>
          <w:p w14:paraId="75C72E5C">
            <w:pPr>
              <w:keepNext w:val="0"/>
              <w:keepLines w:val="0"/>
              <w:suppressLineNumbers w:val="0"/>
              <w:wordWrap w:val="0"/>
              <w:spacing w:before="0" w:beforeAutospacing="0" w:after="0" w:afterAutospacing="0" w:line="360" w:lineRule="exact"/>
              <w:ind w:left="0" w:right="0"/>
              <w:jc w:val="right"/>
              <w:rPr>
                <w:rFonts w:hint="default" w:ascii="Times New Roman" w:hAnsi="Times New Roman" w:cs="Times New Roman"/>
                <w:color w:val="auto"/>
                <w:sz w:val="21"/>
                <w:szCs w:val="21"/>
                <w:highlight w:val="none"/>
                <w:u w:val="single"/>
              </w:rPr>
            </w:pPr>
            <w:r>
              <w:rPr>
                <w:rFonts w:hint="eastAsia" w:ascii="宋体" w:hAnsi="宋体" w:cs="Times New Roman"/>
                <w:color w:val="auto"/>
                <w:sz w:val="21"/>
                <w:szCs w:val="21"/>
                <w:highlight w:val="none"/>
              </w:rPr>
              <w:t>监理工程师</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color w:val="auto"/>
                <w:sz w:val="21"/>
                <w:szCs w:val="21"/>
                <w:highlight w:val="none"/>
                <w:u w:val="single"/>
              </w:rPr>
              <w:t xml:space="preserve">           </w:t>
            </w:r>
          </w:p>
          <w:p w14:paraId="39D40562">
            <w:pPr>
              <w:keepNext w:val="0"/>
              <w:keepLines w:val="0"/>
              <w:suppressLineNumbers w:val="0"/>
              <w:wordWrap w:val="0"/>
              <w:spacing w:before="0" w:beforeAutospacing="0" w:after="0" w:afterAutospacing="0" w:line="360" w:lineRule="exact"/>
              <w:ind w:left="0" w:right="0"/>
              <w:jc w:val="right"/>
              <w:rPr>
                <w:rFonts w:hint="default" w:ascii="Times New Roman" w:hAnsi="Times New Roman" w:cs="Times New Roman"/>
                <w:color w:val="auto"/>
                <w:sz w:val="21"/>
                <w:szCs w:val="21"/>
                <w:highlight w:val="none"/>
                <w:u w:val="single"/>
              </w:rPr>
            </w:pPr>
            <w:r>
              <w:rPr>
                <w:rFonts w:hint="eastAsia" w:ascii="宋体" w:hAnsi="宋体" w:cs="Times New Roman"/>
                <w:color w:val="auto"/>
                <w:sz w:val="21"/>
                <w:szCs w:val="21"/>
                <w:highlight w:val="none"/>
              </w:rPr>
              <w:t xml:space="preserve">日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期</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color w:val="auto"/>
                <w:sz w:val="21"/>
                <w:szCs w:val="21"/>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346FE0FD">
            <w:pPr>
              <w:keepNext w:val="0"/>
              <w:keepLines w:val="0"/>
              <w:suppressLineNumbers w:val="0"/>
              <w:spacing w:before="0" w:beforeAutospacing="0" w:after="0" w:afterAutospacing="0" w:line="360" w:lineRule="exact"/>
              <w:ind w:left="0" w:right="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复核意见：</w:t>
            </w:r>
          </w:p>
          <w:p w14:paraId="39F169CC">
            <w:pPr>
              <w:keepNext w:val="0"/>
              <w:keepLines w:val="0"/>
              <w:suppressLineNumbers w:val="0"/>
              <w:spacing w:before="0" w:beforeAutospacing="0" w:after="0" w:afterAutospacing="0" w:line="360" w:lineRule="exact"/>
              <w:ind w:left="0" w:right="0" w:firstLine="435"/>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根据施工合同条款第</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条的约定</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你方提出的</w:t>
            </w:r>
            <w:r>
              <w:rPr>
                <w:rFonts w:hint="eastAsia" w:ascii="宋体" w:hAnsi="宋体" w:cs="Times New Roman"/>
                <w:color w:val="auto"/>
                <w:sz w:val="21"/>
                <w:szCs w:val="21"/>
                <w:highlight w:val="none"/>
                <w:lang w:eastAsia="zh-CN"/>
              </w:rPr>
              <w:t>零星签证</w:t>
            </w:r>
            <w:r>
              <w:rPr>
                <w:rFonts w:hint="eastAsia" w:ascii="宋体" w:hAnsi="宋体" w:cs="Times New Roman"/>
                <w:color w:val="auto"/>
                <w:sz w:val="21"/>
                <w:szCs w:val="21"/>
                <w:highlight w:val="none"/>
              </w:rPr>
              <w:t>申请经复核</w:t>
            </w:r>
            <w:r>
              <w:rPr>
                <w:rFonts w:hint="eastAsia" w:ascii="宋体" w:hAnsi="宋体" w:cs="Times New Roman"/>
                <w:color w:val="auto"/>
                <w:sz w:val="21"/>
                <w:szCs w:val="21"/>
                <w:highlight w:val="none"/>
                <w:lang w:eastAsia="zh-CN"/>
              </w:rPr>
              <w:t>，签证不含税</w:t>
            </w:r>
            <w:r>
              <w:rPr>
                <w:rFonts w:hint="eastAsia" w:ascii="宋体" w:hAnsi="宋体" w:cs="Times New Roman"/>
                <w:color w:val="auto"/>
                <w:sz w:val="21"/>
                <w:szCs w:val="21"/>
                <w:highlight w:val="none"/>
              </w:rPr>
              <w:t>金额为</w:t>
            </w:r>
          </w:p>
          <w:p w14:paraId="15190C63">
            <w:pPr>
              <w:keepNext w:val="0"/>
              <w:keepLines w:val="0"/>
              <w:suppressLineNumbers w:val="0"/>
              <w:spacing w:before="0" w:beforeAutospacing="0" w:after="0" w:afterAutospacing="0" w:line="360" w:lineRule="exact"/>
              <w:ind w:left="0" w:right="0"/>
              <w:rPr>
                <w:rFonts w:hint="default" w:ascii="Times New Roman" w:hAnsi="Times New Roman" w:cs="Times New Roman"/>
                <w:color w:val="auto"/>
                <w:sz w:val="21"/>
                <w:szCs w:val="21"/>
                <w:highlight w:val="none"/>
                <w:u w:val="single"/>
              </w:rPr>
            </w:pPr>
            <w:r>
              <w:rPr>
                <w:rFonts w:hint="eastAsia" w:ascii="宋体" w:hAnsi="宋体" w:cs="Times New Roman"/>
                <w:color w:val="auto"/>
                <w:sz w:val="21"/>
                <w:szCs w:val="21"/>
                <w:highlight w:val="none"/>
              </w:rPr>
              <w:t>（大写）</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元</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（小写）</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元。</w:t>
            </w:r>
          </w:p>
          <w:p w14:paraId="7283D813">
            <w:pPr>
              <w:keepNext w:val="0"/>
              <w:keepLines w:val="0"/>
              <w:suppressLineNumbers w:val="0"/>
              <w:spacing w:before="0" w:beforeAutospacing="0" w:after="0" w:afterAutospacing="0" w:line="360" w:lineRule="exact"/>
              <w:ind w:left="0" w:right="0" w:firstLine="435"/>
              <w:jc w:val="right"/>
              <w:rPr>
                <w:rFonts w:hint="default" w:ascii="Times New Roman" w:hAnsi="Times New Roman" w:cs="Times New Roman"/>
                <w:color w:val="auto"/>
                <w:sz w:val="21"/>
                <w:szCs w:val="21"/>
                <w:highlight w:val="none"/>
              </w:rPr>
            </w:pPr>
          </w:p>
          <w:p w14:paraId="37DEE246">
            <w:pPr>
              <w:keepNext w:val="0"/>
              <w:keepLines w:val="0"/>
              <w:suppressLineNumbers w:val="0"/>
              <w:spacing w:before="0" w:beforeAutospacing="0" w:after="0" w:afterAutospacing="0" w:line="360" w:lineRule="exact"/>
              <w:ind w:left="0" w:right="0" w:firstLine="435"/>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                                 </w:t>
            </w:r>
          </w:p>
          <w:p w14:paraId="55612F85">
            <w:pPr>
              <w:keepNext w:val="0"/>
              <w:keepLines w:val="0"/>
              <w:suppressLineNumbers w:val="0"/>
              <w:spacing w:before="0" w:beforeAutospacing="0" w:after="0" w:afterAutospacing="0" w:line="360" w:lineRule="exact"/>
              <w:ind w:left="0" w:right="0" w:firstLine="435"/>
              <w:jc w:val="center"/>
              <w:rPr>
                <w:rFonts w:hint="default" w:ascii="Times New Roman" w:hAnsi="Times New Roman" w:cs="Times New Roman"/>
                <w:color w:val="auto"/>
                <w:sz w:val="21"/>
                <w:szCs w:val="21"/>
                <w:highlight w:val="none"/>
              </w:rPr>
            </w:pPr>
          </w:p>
          <w:p w14:paraId="139EB857">
            <w:pPr>
              <w:keepNext w:val="0"/>
              <w:keepLines w:val="0"/>
              <w:suppressLineNumbers w:val="0"/>
              <w:spacing w:before="0" w:beforeAutospacing="0" w:after="0" w:afterAutospacing="0" w:line="360" w:lineRule="exact"/>
              <w:ind w:left="0" w:right="0" w:firstLine="435"/>
              <w:jc w:val="center"/>
              <w:rPr>
                <w:rFonts w:hint="default" w:ascii="Times New Roman" w:hAnsi="Times New Roman" w:cs="Times New Roman"/>
                <w:color w:val="auto"/>
                <w:sz w:val="21"/>
                <w:szCs w:val="21"/>
                <w:highlight w:val="none"/>
              </w:rPr>
            </w:pPr>
          </w:p>
          <w:p w14:paraId="673D65EA">
            <w:pPr>
              <w:keepNext w:val="0"/>
              <w:keepLines w:val="0"/>
              <w:suppressLineNumbers w:val="0"/>
              <w:spacing w:before="0" w:beforeAutospacing="0" w:after="0" w:afterAutospacing="0" w:line="360" w:lineRule="exact"/>
              <w:ind w:left="0" w:right="0" w:firstLine="435"/>
              <w:jc w:val="center"/>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造价工程师</w:t>
            </w:r>
            <w:r>
              <w:rPr>
                <w:rFonts w:hint="default" w:ascii="Times New Roman" w:hAnsi="Times New Roman" w:cs="Times New Roman"/>
                <w:color w:val="auto"/>
                <w:sz w:val="21"/>
                <w:szCs w:val="21"/>
                <w:highlight w:val="none"/>
                <w:u w:val="single"/>
              </w:rPr>
              <w:t xml:space="preserve">           </w:t>
            </w:r>
            <w:r>
              <w:rPr>
                <w:rFonts w:hint="default" w:ascii="Times New Roman" w:hAnsi="Times New Roman" w:cs="Times New Roman"/>
                <w:color w:val="auto"/>
                <w:sz w:val="21"/>
                <w:szCs w:val="21"/>
                <w:highlight w:val="none"/>
              </w:rPr>
              <w:t xml:space="preserve">                               </w:t>
            </w:r>
          </w:p>
          <w:p w14:paraId="23868D1A">
            <w:pPr>
              <w:keepNext w:val="0"/>
              <w:keepLines w:val="0"/>
              <w:suppressLineNumbers w:val="0"/>
              <w:spacing w:before="0" w:beforeAutospacing="0" w:after="0" w:afterAutospacing="0" w:line="360" w:lineRule="exact"/>
              <w:ind w:left="0" w:right="0" w:firstLine="435"/>
              <w:jc w:val="center"/>
              <w:rPr>
                <w:rFonts w:hint="default" w:ascii="Times New Roman" w:hAnsi="Times New Roman" w:cs="Times New Roman"/>
                <w:color w:val="auto"/>
                <w:sz w:val="21"/>
                <w:szCs w:val="21"/>
                <w:highlight w:val="none"/>
                <w:u w:val="single"/>
              </w:rPr>
            </w:pPr>
            <w:r>
              <w:rPr>
                <w:rFonts w:hint="eastAsia" w:ascii="宋体" w:hAnsi="宋体" w:cs="Times New Roman"/>
                <w:color w:val="auto"/>
                <w:sz w:val="21"/>
                <w:szCs w:val="21"/>
                <w:highlight w:val="none"/>
              </w:rPr>
              <w:t xml:space="preserve">日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期</w:t>
            </w:r>
            <w:r>
              <w:rPr>
                <w:rFonts w:hint="default" w:ascii="Times New Roman" w:hAnsi="Times New Roman" w:cs="Times New Roman"/>
                <w:color w:val="auto"/>
                <w:sz w:val="21"/>
                <w:szCs w:val="21"/>
                <w:highlight w:val="none"/>
                <w:u w:val="single"/>
              </w:rPr>
              <w:t xml:space="preserve">            </w:t>
            </w:r>
          </w:p>
        </w:tc>
      </w:tr>
      <w:tr w14:paraId="4B01A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1"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4244ED9E">
            <w:pPr>
              <w:keepNext w:val="0"/>
              <w:keepLines w:val="0"/>
              <w:suppressLineNumbers w:val="0"/>
              <w:spacing w:before="0" w:beforeAutospacing="0" w:after="0" w:afterAutospacing="0" w:line="360" w:lineRule="exact"/>
              <w:ind w:left="0" w:right="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审核意见：</w:t>
            </w:r>
          </w:p>
          <w:p w14:paraId="64B9093F">
            <w:pPr>
              <w:keepNext w:val="0"/>
              <w:keepLines w:val="0"/>
              <w:suppressLineNumbers w:val="0"/>
              <w:spacing w:before="0" w:beforeAutospacing="0" w:after="0" w:afterAutospacing="0" w:line="340" w:lineRule="exact"/>
              <w:ind w:left="0" w:right="0" w:firstLine="435"/>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□不同意此项</w:t>
            </w:r>
            <w:r>
              <w:rPr>
                <w:rFonts w:hint="eastAsia" w:ascii="宋体" w:hAnsi="宋体" w:cs="Times New Roman"/>
                <w:color w:val="auto"/>
                <w:sz w:val="21"/>
                <w:szCs w:val="21"/>
                <w:highlight w:val="none"/>
                <w:lang w:eastAsia="zh-CN"/>
              </w:rPr>
              <w:t>签证</w:t>
            </w:r>
            <w:r>
              <w:rPr>
                <w:rFonts w:hint="eastAsia" w:ascii="宋体" w:hAnsi="宋体" w:cs="Times New Roman"/>
                <w:color w:val="auto"/>
                <w:sz w:val="21"/>
                <w:szCs w:val="21"/>
                <w:highlight w:val="none"/>
              </w:rPr>
              <w:t>。</w:t>
            </w:r>
          </w:p>
          <w:p w14:paraId="75AD2332">
            <w:pPr>
              <w:keepNext w:val="0"/>
              <w:keepLines w:val="0"/>
              <w:suppressLineNumbers w:val="0"/>
              <w:spacing w:before="0" w:beforeAutospacing="0" w:after="0" w:afterAutospacing="0" w:line="340" w:lineRule="exact"/>
              <w:ind w:left="0" w:right="0" w:firstLine="420" w:firstLineChars="20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□同意此项</w:t>
            </w:r>
            <w:r>
              <w:rPr>
                <w:rFonts w:hint="eastAsia" w:ascii="宋体" w:hAnsi="宋体" w:cs="Times New Roman"/>
                <w:color w:val="auto"/>
                <w:sz w:val="21"/>
                <w:szCs w:val="21"/>
                <w:highlight w:val="none"/>
                <w:lang w:eastAsia="zh-CN"/>
              </w:rPr>
              <w:t>签证，</w:t>
            </w:r>
            <w:r>
              <w:rPr>
                <w:rFonts w:hint="eastAsia" w:ascii="宋体" w:hAnsi="宋体" w:cs="Times New Roman"/>
                <w:color w:val="auto"/>
                <w:sz w:val="21"/>
                <w:szCs w:val="21"/>
                <w:highlight w:val="none"/>
              </w:rPr>
              <w:t>与本期进度款同期支付。</w:t>
            </w:r>
          </w:p>
          <w:p w14:paraId="4F182B14">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highlight w:val="none"/>
              </w:rPr>
            </w:pPr>
          </w:p>
          <w:p w14:paraId="5573DB87">
            <w:pPr>
              <w:keepNext w:val="0"/>
              <w:keepLines w:val="0"/>
              <w:suppressLineNumbers w:val="0"/>
              <w:spacing w:before="0" w:beforeAutospacing="0" w:after="0" w:afterAutospacing="0" w:line="340" w:lineRule="exact"/>
              <w:ind w:left="0" w:right="0" w:firstLine="0" w:firstLineChars="0"/>
              <w:jc w:val="both"/>
              <w:rPr>
                <w:rFonts w:hint="default" w:ascii="Times New Roman" w:hAnsi="Times New Roman" w:cs="Times New Roman"/>
                <w:color w:val="auto"/>
                <w:sz w:val="21"/>
                <w:szCs w:val="21"/>
                <w:highlight w:val="none"/>
              </w:rPr>
            </w:pPr>
          </w:p>
          <w:p w14:paraId="3D18AACD">
            <w:pPr>
              <w:keepNext w:val="0"/>
              <w:keepLines w:val="0"/>
              <w:suppressLineNumbers w:val="0"/>
              <w:spacing w:before="0" w:beforeAutospacing="0" w:after="0" w:afterAutospacing="0" w:line="340" w:lineRule="exact"/>
              <w:ind w:left="0" w:right="0" w:firstLine="420" w:firstLineChars="200"/>
              <w:jc w:val="center"/>
              <w:rPr>
                <w:rFonts w:hint="default" w:ascii="Times New Roman" w:hAnsi="Times New Roman" w:cs="Times New Roman"/>
                <w:color w:val="auto"/>
                <w:sz w:val="21"/>
                <w:szCs w:val="21"/>
                <w:highlight w:val="none"/>
              </w:rPr>
            </w:pPr>
          </w:p>
          <w:p w14:paraId="21FE6AD2">
            <w:pPr>
              <w:keepNext w:val="0"/>
              <w:keepLines w:val="0"/>
              <w:suppressLineNumbers w:val="0"/>
              <w:spacing w:before="0" w:beforeAutospacing="0" w:after="0" w:afterLines="50" w:afterAutospacing="0" w:line="340" w:lineRule="exact"/>
              <w:ind w:left="0" w:right="0" w:firstLine="420" w:firstLineChars="200"/>
              <w:jc w:val="center"/>
              <w:rPr>
                <w:rFonts w:hint="default" w:ascii="Times New Roman" w:hAnsi="Times New Roman" w:cs="Times New Roman"/>
                <w:color w:val="auto"/>
                <w:sz w:val="21"/>
                <w:szCs w:val="21"/>
                <w:highlight w:val="none"/>
                <w:u w:val="single"/>
              </w:rPr>
            </w:pPr>
            <w:r>
              <w:rPr>
                <w:rFonts w:hint="eastAsia" w:ascii="宋体" w:hAnsi="宋体" w:cs="Times New Roman"/>
                <w:color w:val="auto"/>
                <w:sz w:val="21"/>
                <w:szCs w:val="21"/>
                <w:highlight w:val="none"/>
              </w:rPr>
              <w:t xml:space="preserve">发包人（章）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发包人代表</w:t>
            </w:r>
            <w:r>
              <w:rPr>
                <w:rFonts w:hint="default" w:ascii="Times New Roman" w:hAnsi="Times New Roman" w:cs="Times New Roman"/>
                <w:color w:val="auto"/>
                <w:sz w:val="21"/>
                <w:szCs w:val="21"/>
                <w:highlight w:val="none"/>
                <w:u w:val="single"/>
              </w:rPr>
              <w:t xml:space="preserve">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 xml:space="preserve">日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期</w:t>
            </w:r>
            <w:r>
              <w:rPr>
                <w:rFonts w:hint="default" w:ascii="Times New Roman" w:hAnsi="Times New Roman" w:cs="Times New Roman"/>
                <w:color w:val="auto"/>
                <w:sz w:val="21"/>
                <w:szCs w:val="21"/>
                <w:highlight w:val="none"/>
                <w:u w:val="single"/>
              </w:rPr>
              <w:t xml:space="preserve">             </w:t>
            </w:r>
          </w:p>
        </w:tc>
      </w:tr>
    </w:tbl>
    <w:p w14:paraId="76D1A595">
      <w:pPr>
        <w:ind w:firstLine="420" w:firstLineChars="200"/>
        <w:rPr>
          <w:rFonts w:ascii="Times New Roman" w:hAnsi="Times New Roman" w:cs="Times New Roman"/>
          <w:color w:val="auto"/>
          <w:sz w:val="21"/>
          <w:szCs w:val="21"/>
          <w:highlight w:val="none"/>
        </w:rPr>
      </w:pPr>
      <w:r>
        <w:rPr>
          <w:rFonts w:hint="eastAsia" w:ascii="宋体" w:hAnsi="宋体" w:cs="Times New Roman"/>
          <w:color w:val="auto"/>
          <w:sz w:val="21"/>
          <w:szCs w:val="21"/>
          <w:highlight w:val="none"/>
        </w:rPr>
        <w:t>注：</w:t>
      </w:r>
      <w:r>
        <w:rPr>
          <w:rFonts w:hint="eastAsia" w:ascii="Times New Roman" w:hAnsi="Times New Roman" w:cs="Times New Roman"/>
          <w:color w:val="auto"/>
          <w:sz w:val="21"/>
          <w:szCs w:val="21"/>
          <w:highlight w:val="none"/>
        </w:rPr>
        <w:t xml:space="preserve">1. </w:t>
      </w:r>
      <w:r>
        <w:rPr>
          <w:rFonts w:hint="eastAsia" w:ascii="宋体" w:hAnsi="宋体" w:cs="Times New Roman"/>
          <w:color w:val="auto"/>
          <w:sz w:val="21"/>
          <w:szCs w:val="21"/>
          <w:highlight w:val="none"/>
        </w:rPr>
        <w:t>在选择栏中的</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内作标识</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 xml:space="preserve">。 </w:t>
      </w:r>
    </w:p>
    <w:p w14:paraId="475BE2FD">
      <w:pPr>
        <w:numPr>
          <w:ilvl w:val="0"/>
          <w:numId w:val="3"/>
        </w:numPr>
        <w:ind w:left="720"/>
        <w:rPr>
          <w:rFonts w:hint="eastAsia" w:ascii="宋体" w:hAnsi="宋体" w:cs="Times New Roman"/>
          <w:color w:val="auto"/>
          <w:sz w:val="21"/>
          <w:szCs w:val="21"/>
          <w:highlight w:val="none"/>
        </w:rPr>
      </w:pPr>
      <w:r>
        <w:rPr>
          <w:rFonts w:hint="eastAsia" w:ascii="宋体" w:hAnsi="宋体" w:cs="Times New Roman"/>
          <w:color w:val="auto"/>
          <w:sz w:val="21"/>
          <w:szCs w:val="21"/>
          <w:highlight w:val="none"/>
        </w:rPr>
        <w:t>本表一式四份</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由承包人填报</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发包人、监理人、造价咨询人、承包人各存一份。</w:t>
      </w:r>
    </w:p>
    <w:p w14:paraId="33EFBD19">
      <w:pPr>
        <w:widowControl w:val="0"/>
        <w:spacing w:after="120" w:afterLines="0" w:line="240" w:lineRule="auto"/>
        <w:ind w:leftChars="0" w:firstLine="0" w:firstLineChars="0"/>
        <w:jc w:val="both"/>
        <w:rPr>
          <w:rFonts w:hint="eastAsia" w:ascii="Times New Roman" w:hAnsi="Times New Roman" w:eastAsia="宋体" w:cs="Times New Roman"/>
          <w:color w:val="auto"/>
          <w:kern w:val="2"/>
          <w:sz w:val="21"/>
          <w:szCs w:val="21"/>
          <w:highlight w:val="none"/>
          <w:lang w:val="en-US" w:eastAsia="zh-CN" w:bidi="ar-SA"/>
        </w:rPr>
      </w:pPr>
    </w:p>
    <w:p w14:paraId="416500CA">
      <w:pPr>
        <w:wordWrap/>
        <w:jc w:val="left"/>
        <w:outlineLvl w:val="9"/>
        <w:rPr>
          <w:rFonts w:hint="eastAsia" w:ascii="Times New Roman" w:hAnsi="Times New Roman" w:cs="Times New Roman"/>
          <w:color w:val="auto"/>
          <w:sz w:val="21"/>
          <w:szCs w:val="21"/>
          <w:highlight w:val="none"/>
          <w:lang w:val="en" w:eastAsia="zh-CN"/>
        </w:rPr>
      </w:pPr>
    </w:p>
    <w:p w14:paraId="2A52DF9F">
      <w:pPr>
        <w:keepNext/>
        <w:keepLines/>
        <w:widowControl/>
        <w:spacing w:before="120" w:beforeLines="0" w:after="120" w:afterLines="0" w:line="360" w:lineRule="auto"/>
        <w:jc w:val="both"/>
        <w:outlineLvl w:val="3"/>
        <w:rPr>
          <w:rFonts w:hint="eastAsia" w:ascii="仿宋_GB2312" w:hAnsi="Times New Roman" w:eastAsia="仿宋_GB2312" w:cs="仿宋_GB2312"/>
          <w:b w:val="0"/>
          <w:color w:val="auto"/>
          <w:kern w:val="0"/>
          <w:sz w:val="21"/>
          <w:szCs w:val="21"/>
          <w:highlight w:val="none"/>
          <w:lang w:val="en-US" w:eastAsia="zh-CN" w:bidi="ar-SA"/>
        </w:rPr>
      </w:pPr>
      <w:r>
        <w:rPr>
          <w:rFonts w:hint="eastAsia" w:ascii="仿宋_GB2312" w:hAnsi="Times New Roman" w:eastAsia="仿宋_GB2312" w:cs="仿宋_GB2312"/>
          <w:b w:val="0"/>
          <w:color w:val="auto"/>
          <w:kern w:val="0"/>
          <w:sz w:val="21"/>
          <w:szCs w:val="21"/>
          <w:highlight w:val="none"/>
          <w:lang w:val="en-US" w:eastAsia="zh-CN" w:bidi="ar-SA"/>
        </w:rPr>
        <w:t>附件13：索赔费用申请（核准）表</w:t>
      </w:r>
    </w:p>
    <w:p w14:paraId="2B1FC438">
      <w:pPr>
        <w:jc w:val="center"/>
        <w:outlineLvl w:val="9"/>
        <w:rPr>
          <w:rFonts w:ascii="Times New Roman" w:hAnsi="Times New Roman" w:cs="Times New Roman"/>
          <w:b/>
          <w:color w:val="auto"/>
          <w:sz w:val="21"/>
          <w:szCs w:val="21"/>
          <w:highlight w:val="none"/>
        </w:rPr>
      </w:pPr>
      <w:r>
        <w:rPr>
          <w:rFonts w:hint="eastAsia" w:ascii="宋体" w:hAnsi="宋体" w:cs="Times New Roman"/>
          <w:b/>
          <w:color w:val="auto"/>
          <w:sz w:val="21"/>
          <w:szCs w:val="21"/>
          <w:highlight w:val="none"/>
        </w:rPr>
        <w:t>索赔费用申请（核准）表</w:t>
      </w:r>
    </w:p>
    <w:p w14:paraId="390BB57F">
      <w:pPr>
        <w:spacing w:line="360" w:lineRule="auto"/>
        <w:ind w:firstLine="420" w:firstLineChars="200"/>
        <w:rPr>
          <w:rFonts w:hint="eastAsia" w:ascii="宋体" w:hAnsi="宋体" w:cs="Times New Roman"/>
          <w:color w:val="auto"/>
          <w:sz w:val="21"/>
          <w:szCs w:val="21"/>
          <w:highlight w:val="none"/>
        </w:rPr>
      </w:pPr>
    </w:p>
    <w:p w14:paraId="6979BBF6">
      <w:pPr>
        <w:spacing w:line="360" w:lineRule="auto"/>
        <w:ind w:firstLine="420" w:firstLineChars="200"/>
        <w:rPr>
          <w:rFonts w:ascii="Times New Roman" w:hAnsi="Times New Roman" w:cs="Times New Roman"/>
          <w:color w:val="auto"/>
          <w:sz w:val="21"/>
          <w:szCs w:val="21"/>
          <w:highlight w:val="none"/>
        </w:rPr>
      </w:pPr>
      <w:r>
        <w:rPr>
          <w:rFonts w:hint="eastAsia" w:ascii="宋体" w:hAnsi="宋体" w:cs="Times New Roman"/>
          <w:color w:val="auto"/>
          <w:sz w:val="21"/>
          <w:szCs w:val="21"/>
          <w:highlight w:val="none"/>
        </w:rPr>
        <w:t xml:space="preserve">工程名称：                                    </w:t>
      </w:r>
      <w:r>
        <w:rPr>
          <w:rFonts w:hint="eastAsia" w:ascii="宋体" w:hAnsi="宋体" w:cs="Times New Roman"/>
          <w:color w:val="auto"/>
          <w:sz w:val="21"/>
          <w:szCs w:val="21"/>
          <w:highlight w:val="none"/>
          <w:lang w:val="en-US" w:eastAsia="zh-CN"/>
        </w:rPr>
        <w:t xml:space="preserve">      </w:t>
      </w:r>
      <w:r>
        <w:rPr>
          <w:rFonts w:hint="eastAsia" w:ascii="宋体" w:hAnsi="宋体" w:cs="Times New Roman"/>
          <w:color w:val="auto"/>
          <w:sz w:val="21"/>
          <w:szCs w:val="21"/>
          <w:highlight w:val="none"/>
        </w:rPr>
        <w:t xml:space="preserve">         编号：</w:t>
      </w:r>
    </w:p>
    <w:tbl>
      <w:tblPr>
        <w:tblStyle w:val="54"/>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0"/>
        <w:gridCol w:w="4552"/>
      </w:tblGrid>
      <w:tr w14:paraId="3A7F0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9"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6DB4AA1A">
            <w:pPr>
              <w:keepNext w:val="0"/>
              <w:keepLines w:val="0"/>
              <w:suppressLineNumbers w:val="0"/>
              <w:spacing w:before="0" w:beforeAutospacing="0" w:after="0" w:afterAutospacing="0" w:line="400" w:lineRule="exact"/>
              <w:ind w:left="0" w:right="0"/>
              <w:rPr>
                <w:rFonts w:hint="default" w:ascii="Times New Roman" w:hAnsi="Times New Roman" w:cs="Times New Roman"/>
                <w:color w:val="auto"/>
                <w:sz w:val="21"/>
                <w:szCs w:val="21"/>
                <w:highlight w:val="none"/>
                <w:u w:val="single"/>
              </w:rPr>
            </w:pP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致：</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u w:val="single"/>
              </w:rPr>
              <w:t xml:space="preserve">（发包人全称） </w:t>
            </w:r>
          </w:p>
          <w:p w14:paraId="44FE731D">
            <w:pPr>
              <w:keepNext w:val="0"/>
              <w:keepLines w:val="0"/>
              <w:suppressLineNumbers w:val="0"/>
              <w:spacing w:before="0" w:beforeAutospacing="0" w:after="0" w:afterAutospacing="0" w:line="340" w:lineRule="exact"/>
              <w:ind w:left="0" w:right="0" w:firstLine="525" w:firstLineChars="25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根据施工合同条款第</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条的约定</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由于</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原因</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我方要求索赔</w:t>
            </w:r>
            <w:r>
              <w:rPr>
                <w:rFonts w:hint="eastAsia" w:ascii="宋体" w:hAnsi="宋体" w:cs="Times New Roman"/>
                <w:color w:val="auto"/>
                <w:sz w:val="21"/>
                <w:szCs w:val="21"/>
                <w:highlight w:val="none"/>
                <w:lang w:eastAsia="zh-CN"/>
              </w:rPr>
              <w:t>不含税</w:t>
            </w:r>
            <w:r>
              <w:rPr>
                <w:rFonts w:hint="eastAsia" w:ascii="宋体" w:hAnsi="宋体" w:cs="Times New Roman"/>
                <w:color w:val="auto"/>
                <w:sz w:val="21"/>
                <w:szCs w:val="21"/>
                <w:highlight w:val="none"/>
              </w:rPr>
              <w:t>金额（大写）</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元</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（小写）</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元</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请予核准。</w:t>
            </w:r>
          </w:p>
          <w:p w14:paraId="75B3FCCA">
            <w:pPr>
              <w:keepNext w:val="0"/>
              <w:keepLines w:val="0"/>
              <w:suppressLineNumbers w:val="0"/>
              <w:spacing w:before="0" w:beforeAutospacing="0" w:after="0" w:afterAutospacing="0" w:line="340" w:lineRule="exact"/>
              <w:ind w:left="0" w:right="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附：</w:t>
            </w:r>
            <w:r>
              <w:rPr>
                <w:rFonts w:hint="eastAsia" w:ascii="Times New Roman" w:hAnsi="Times New Roman" w:cs="Times New Roman"/>
                <w:color w:val="auto"/>
                <w:sz w:val="21"/>
                <w:szCs w:val="21"/>
                <w:highlight w:val="none"/>
              </w:rPr>
              <w:t>1.</w:t>
            </w:r>
            <w:r>
              <w:rPr>
                <w:rFonts w:hint="eastAsia" w:ascii="宋体" w:hAnsi="宋体" w:cs="Times New Roman"/>
                <w:color w:val="auto"/>
                <w:sz w:val="21"/>
                <w:szCs w:val="21"/>
                <w:highlight w:val="none"/>
              </w:rPr>
              <w:t>索赔费用的详细理由和依据：</w:t>
            </w:r>
          </w:p>
          <w:p w14:paraId="62105DB4">
            <w:pPr>
              <w:keepNext w:val="0"/>
              <w:keepLines w:val="0"/>
              <w:suppressLineNumbers w:val="0"/>
              <w:spacing w:before="0" w:beforeAutospacing="0" w:after="0" w:afterAutospacing="0" w:line="340" w:lineRule="exact"/>
              <w:ind w:left="0" w:right="0" w:firstLine="435"/>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2.</w:t>
            </w:r>
            <w:r>
              <w:rPr>
                <w:rFonts w:hint="eastAsia" w:ascii="宋体" w:hAnsi="宋体" w:cs="Times New Roman"/>
                <w:color w:val="auto"/>
                <w:sz w:val="21"/>
                <w:szCs w:val="21"/>
                <w:highlight w:val="none"/>
              </w:rPr>
              <w:t>索赔金额的计算：</w:t>
            </w:r>
          </w:p>
          <w:p w14:paraId="45930ADE">
            <w:pPr>
              <w:keepNext w:val="0"/>
              <w:keepLines w:val="0"/>
              <w:suppressLineNumbers w:val="0"/>
              <w:spacing w:before="0" w:beforeAutospacing="0" w:after="0" w:afterAutospacing="0" w:line="340" w:lineRule="exact"/>
              <w:ind w:left="0" w:right="0" w:firstLine="435"/>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3.</w:t>
            </w:r>
            <w:r>
              <w:rPr>
                <w:rFonts w:hint="eastAsia" w:ascii="宋体" w:hAnsi="宋体" w:cs="Times New Roman"/>
                <w:color w:val="auto"/>
                <w:sz w:val="21"/>
                <w:szCs w:val="21"/>
                <w:highlight w:val="none"/>
              </w:rPr>
              <w:t>证明材料：</w:t>
            </w:r>
          </w:p>
          <w:p w14:paraId="3F106CEE">
            <w:pPr>
              <w:keepNext w:val="0"/>
              <w:keepLines w:val="0"/>
              <w:suppressLineNumbers w:val="0"/>
              <w:spacing w:before="0" w:beforeAutospacing="0" w:after="0" w:afterAutospacing="0" w:line="340" w:lineRule="exact"/>
              <w:ind w:left="0" w:right="0" w:firstLine="435"/>
              <w:rPr>
                <w:rFonts w:hint="default" w:ascii="Times New Roman" w:hAnsi="Times New Roman" w:cs="Times New Roman"/>
                <w:color w:val="auto"/>
                <w:sz w:val="21"/>
                <w:szCs w:val="21"/>
                <w:highlight w:val="none"/>
              </w:rPr>
            </w:pPr>
          </w:p>
          <w:p w14:paraId="73FC9CA2">
            <w:pPr>
              <w:keepNext w:val="0"/>
              <w:keepLines w:val="0"/>
              <w:suppressLineNumbers w:val="0"/>
              <w:spacing w:before="0" w:beforeAutospacing="0" w:after="0" w:afterAutospacing="0" w:line="340" w:lineRule="exact"/>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承包人（章）</w:t>
            </w:r>
            <w:r>
              <w:rPr>
                <w:rFonts w:hint="default" w:ascii="Times New Roman" w:hAnsi="Times New Roman" w:cs="Times New Roman"/>
                <w:color w:val="auto"/>
                <w:sz w:val="21"/>
                <w:szCs w:val="21"/>
                <w:highlight w:val="none"/>
              </w:rPr>
              <w:t xml:space="preserve">            </w:t>
            </w:r>
          </w:p>
          <w:p w14:paraId="2F920199">
            <w:pPr>
              <w:keepNext w:val="0"/>
              <w:keepLines w:val="0"/>
              <w:suppressLineNumbers w:val="0"/>
              <w:spacing w:before="0" w:beforeAutospacing="0" w:after="0" w:afterAutospacing="0" w:line="340" w:lineRule="exact"/>
              <w:ind w:left="0" w:right="0"/>
              <w:rPr>
                <w:rFonts w:hint="default" w:ascii="Times New Roman" w:hAnsi="Times New Roman" w:cs="Times New Roman"/>
                <w:color w:val="auto"/>
                <w:sz w:val="21"/>
                <w:szCs w:val="21"/>
                <w:highlight w:val="none"/>
                <w:u w:val="single"/>
              </w:rPr>
            </w:pP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造价人员</w:t>
            </w:r>
            <w:r>
              <w:rPr>
                <w:rFonts w:hint="eastAsia" w:ascii="Times New Roman" w:hAnsi="Times New Roman" w:cs="Times New Roman"/>
                <w:color w:val="auto"/>
                <w:sz w:val="21"/>
                <w:szCs w:val="21"/>
                <w:highlight w:val="none"/>
              </w:rPr>
              <w:t xml:space="preserve">____________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承包人代表</w:t>
            </w:r>
            <w:r>
              <w:rPr>
                <w:rFonts w:hint="default" w:ascii="Times New Roman" w:hAnsi="Times New Roman" w:cs="Times New Roman"/>
                <w:color w:val="auto"/>
                <w:sz w:val="21"/>
                <w:szCs w:val="21"/>
                <w:highlight w:val="none"/>
                <w:u w:val="single"/>
              </w:rPr>
              <w:t xml:space="preserve">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 xml:space="preserve">日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期</w:t>
            </w:r>
            <w:r>
              <w:rPr>
                <w:rFonts w:hint="default" w:ascii="Times New Roman" w:hAnsi="Times New Roman" w:cs="Times New Roman"/>
                <w:color w:val="auto"/>
                <w:sz w:val="21"/>
                <w:szCs w:val="21"/>
                <w:highlight w:val="none"/>
                <w:u w:val="single"/>
              </w:rPr>
              <w:t xml:space="preserve">              </w:t>
            </w:r>
          </w:p>
          <w:p w14:paraId="6139F10A">
            <w:pPr>
              <w:keepNext w:val="0"/>
              <w:keepLines w:val="0"/>
              <w:suppressLineNumbers w:val="0"/>
              <w:spacing w:before="0" w:beforeAutospacing="0" w:after="0" w:afterAutospacing="0" w:line="340" w:lineRule="exact"/>
              <w:ind w:left="0" w:right="0"/>
              <w:rPr>
                <w:rFonts w:hint="default" w:ascii="Times New Roman" w:hAnsi="Times New Roman" w:cs="Times New Roman"/>
                <w:color w:val="auto"/>
                <w:sz w:val="21"/>
                <w:szCs w:val="21"/>
                <w:highlight w:val="none"/>
                <w:u w:val="single"/>
              </w:rPr>
            </w:pPr>
          </w:p>
        </w:tc>
      </w:tr>
      <w:tr w14:paraId="5B08C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6" w:hRule="atLeast"/>
          <w:jc w:val="center"/>
        </w:trPr>
        <w:tc>
          <w:tcPr>
            <w:tcW w:w="4520" w:type="dxa"/>
            <w:tcBorders>
              <w:top w:val="single" w:color="auto" w:sz="4" w:space="0"/>
              <w:left w:val="single" w:color="auto" w:sz="4" w:space="0"/>
              <w:bottom w:val="single" w:color="auto" w:sz="4" w:space="0"/>
              <w:right w:val="single" w:color="auto" w:sz="4" w:space="0"/>
            </w:tcBorders>
            <w:noWrap w:val="0"/>
            <w:vAlign w:val="top"/>
          </w:tcPr>
          <w:p w14:paraId="35335B14">
            <w:pPr>
              <w:keepNext w:val="0"/>
              <w:keepLines w:val="0"/>
              <w:suppressLineNumbers w:val="0"/>
              <w:spacing w:before="0" w:beforeAutospacing="0" w:after="0" w:afterAutospacing="0" w:line="360" w:lineRule="exact"/>
              <w:ind w:left="0" w:right="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复核意见：</w:t>
            </w:r>
          </w:p>
          <w:p w14:paraId="2A52FB92">
            <w:pPr>
              <w:keepNext w:val="0"/>
              <w:keepLines w:val="0"/>
              <w:suppressLineNumbers w:val="0"/>
              <w:spacing w:before="0" w:beforeAutospacing="0" w:after="0" w:afterAutospacing="0" w:line="360" w:lineRule="exact"/>
              <w:ind w:left="0" w:right="0" w:firstLine="435"/>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根据施工合同条款第</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条的约定</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你方提出的索赔费用申请经复核：</w:t>
            </w:r>
          </w:p>
          <w:p w14:paraId="5F3E081E">
            <w:pPr>
              <w:keepNext w:val="0"/>
              <w:keepLines w:val="0"/>
              <w:suppressLineNumbers w:val="0"/>
              <w:spacing w:before="0" w:beforeAutospacing="0" w:after="0" w:afterAutospacing="0" w:line="360" w:lineRule="exact"/>
              <w:ind w:left="0" w:right="0" w:firstLine="435"/>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□不同意此项索赔</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具体意见见附件。</w:t>
            </w:r>
          </w:p>
          <w:p w14:paraId="5686C005">
            <w:pPr>
              <w:keepNext w:val="0"/>
              <w:keepLines w:val="0"/>
              <w:suppressLineNumbers w:val="0"/>
              <w:spacing w:before="0" w:beforeAutospacing="0" w:after="0" w:afterAutospacing="0" w:line="360" w:lineRule="exact"/>
              <w:ind w:left="0" w:right="0" w:firstLine="435"/>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□同意此项索赔</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索赔金额的计算</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由造价工程师复核。</w:t>
            </w:r>
          </w:p>
          <w:p w14:paraId="4A02A0ED">
            <w:pPr>
              <w:keepNext w:val="0"/>
              <w:keepLines w:val="0"/>
              <w:suppressLineNumbers w:val="0"/>
              <w:spacing w:before="0" w:beforeAutospacing="0" w:after="0" w:afterAutospacing="0" w:line="360" w:lineRule="exact"/>
              <w:ind w:left="0" w:right="0" w:firstLine="435"/>
              <w:rPr>
                <w:rFonts w:hint="default" w:ascii="Times New Roman" w:hAnsi="Times New Roman" w:cs="Times New Roman"/>
                <w:color w:val="auto"/>
                <w:sz w:val="21"/>
                <w:szCs w:val="21"/>
                <w:highlight w:val="none"/>
              </w:rPr>
            </w:pPr>
          </w:p>
          <w:p w14:paraId="61D097D2">
            <w:pPr>
              <w:keepNext w:val="0"/>
              <w:keepLines w:val="0"/>
              <w:suppressLineNumbers w:val="0"/>
              <w:spacing w:before="0" w:beforeAutospacing="0" w:after="0" w:afterAutospacing="0" w:line="360" w:lineRule="exact"/>
              <w:ind w:left="0" w:right="0" w:firstLine="435"/>
              <w:rPr>
                <w:rFonts w:hint="default" w:ascii="Times New Roman" w:hAnsi="Times New Roman" w:cs="Times New Roman"/>
                <w:color w:val="auto"/>
                <w:sz w:val="21"/>
                <w:szCs w:val="21"/>
                <w:highlight w:val="none"/>
              </w:rPr>
            </w:pPr>
          </w:p>
          <w:p w14:paraId="185A0D2D">
            <w:pPr>
              <w:keepNext w:val="0"/>
              <w:keepLines w:val="0"/>
              <w:suppressLineNumbers w:val="0"/>
              <w:wordWrap w:val="0"/>
              <w:spacing w:before="0" w:beforeAutospacing="0" w:after="0" w:afterAutospacing="0" w:line="360" w:lineRule="exact"/>
              <w:ind w:left="0" w:right="0"/>
              <w:jc w:val="right"/>
              <w:rPr>
                <w:rFonts w:hint="default" w:ascii="Times New Roman" w:hAnsi="Times New Roman" w:cs="Times New Roman"/>
                <w:color w:val="auto"/>
                <w:sz w:val="21"/>
                <w:szCs w:val="21"/>
                <w:highlight w:val="none"/>
                <w:u w:val="single"/>
              </w:rPr>
            </w:pPr>
            <w:r>
              <w:rPr>
                <w:rFonts w:hint="eastAsia" w:ascii="宋体" w:hAnsi="宋体" w:cs="Times New Roman"/>
                <w:color w:val="auto"/>
                <w:sz w:val="21"/>
                <w:szCs w:val="21"/>
                <w:highlight w:val="none"/>
              </w:rPr>
              <w:t>监理工程师</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color w:val="auto"/>
                <w:sz w:val="21"/>
                <w:szCs w:val="21"/>
                <w:highlight w:val="none"/>
                <w:u w:val="single"/>
              </w:rPr>
              <w:t xml:space="preserve">           </w:t>
            </w:r>
          </w:p>
          <w:p w14:paraId="7FC60578">
            <w:pPr>
              <w:keepNext w:val="0"/>
              <w:keepLines w:val="0"/>
              <w:suppressLineNumbers w:val="0"/>
              <w:wordWrap w:val="0"/>
              <w:spacing w:before="0" w:beforeAutospacing="0" w:after="0" w:afterAutospacing="0" w:line="360" w:lineRule="exact"/>
              <w:ind w:left="0" w:right="0"/>
              <w:jc w:val="right"/>
              <w:rPr>
                <w:rFonts w:hint="default" w:ascii="Times New Roman" w:hAnsi="Times New Roman" w:cs="Times New Roman"/>
                <w:color w:val="auto"/>
                <w:sz w:val="21"/>
                <w:szCs w:val="21"/>
                <w:highlight w:val="none"/>
                <w:u w:val="single"/>
              </w:rPr>
            </w:pPr>
            <w:r>
              <w:rPr>
                <w:rFonts w:hint="eastAsia" w:ascii="宋体" w:hAnsi="宋体" w:cs="Times New Roman"/>
                <w:color w:val="auto"/>
                <w:sz w:val="21"/>
                <w:szCs w:val="21"/>
                <w:highlight w:val="none"/>
              </w:rPr>
              <w:t xml:space="preserve">日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期</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color w:val="auto"/>
                <w:sz w:val="21"/>
                <w:szCs w:val="21"/>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1C584351">
            <w:pPr>
              <w:keepNext w:val="0"/>
              <w:keepLines w:val="0"/>
              <w:suppressLineNumbers w:val="0"/>
              <w:spacing w:before="0" w:beforeAutospacing="0" w:after="0" w:afterAutospacing="0" w:line="360" w:lineRule="exact"/>
              <w:ind w:left="0" w:right="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复核意见：</w:t>
            </w:r>
          </w:p>
          <w:p w14:paraId="1EB6F911">
            <w:pPr>
              <w:keepNext w:val="0"/>
              <w:keepLines w:val="0"/>
              <w:suppressLineNumbers w:val="0"/>
              <w:spacing w:before="0" w:beforeAutospacing="0" w:after="0" w:afterAutospacing="0" w:line="360" w:lineRule="exact"/>
              <w:ind w:left="0" w:right="0" w:firstLine="435"/>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根据施工合同条款第</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条的约定</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你方提出的索赔费用申请经复核</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索赔</w:t>
            </w:r>
            <w:r>
              <w:rPr>
                <w:rFonts w:hint="eastAsia" w:ascii="宋体" w:hAnsi="宋体" w:cs="Times New Roman"/>
                <w:color w:val="auto"/>
                <w:sz w:val="21"/>
                <w:szCs w:val="21"/>
                <w:highlight w:val="none"/>
                <w:lang w:eastAsia="zh-CN"/>
              </w:rPr>
              <w:t>不含税</w:t>
            </w:r>
            <w:r>
              <w:rPr>
                <w:rFonts w:hint="eastAsia" w:ascii="宋体" w:hAnsi="宋体" w:cs="Times New Roman"/>
                <w:color w:val="auto"/>
                <w:sz w:val="21"/>
                <w:szCs w:val="21"/>
                <w:highlight w:val="none"/>
              </w:rPr>
              <w:t>金额为</w:t>
            </w:r>
          </w:p>
          <w:p w14:paraId="59CB439D">
            <w:pPr>
              <w:keepNext w:val="0"/>
              <w:keepLines w:val="0"/>
              <w:suppressLineNumbers w:val="0"/>
              <w:spacing w:before="0" w:beforeAutospacing="0" w:after="0" w:afterAutospacing="0" w:line="360" w:lineRule="exact"/>
              <w:ind w:left="0" w:right="0"/>
              <w:rPr>
                <w:rFonts w:hint="default" w:ascii="Times New Roman" w:hAnsi="Times New Roman" w:cs="Times New Roman"/>
                <w:color w:val="auto"/>
                <w:sz w:val="21"/>
                <w:szCs w:val="21"/>
                <w:highlight w:val="none"/>
                <w:u w:val="single"/>
              </w:rPr>
            </w:pPr>
            <w:r>
              <w:rPr>
                <w:rFonts w:hint="eastAsia" w:ascii="宋体" w:hAnsi="宋体" w:cs="Times New Roman"/>
                <w:color w:val="auto"/>
                <w:sz w:val="21"/>
                <w:szCs w:val="21"/>
                <w:highlight w:val="none"/>
              </w:rPr>
              <w:t>（大写）</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元</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（小写）</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元。</w:t>
            </w:r>
          </w:p>
          <w:p w14:paraId="0E570E61">
            <w:pPr>
              <w:keepNext w:val="0"/>
              <w:keepLines w:val="0"/>
              <w:suppressLineNumbers w:val="0"/>
              <w:spacing w:before="0" w:beforeAutospacing="0" w:after="0" w:afterAutospacing="0" w:line="360" w:lineRule="exact"/>
              <w:ind w:left="0" w:right="0" w:firstLine="435"/>
              <w:jc w:val="right"/>
              <w:rPr>
                <w:rFonts w:hint="default" w:ascii="Times New Roman" w:hAnsi="Times New Roman" w:cs="Times New Roman"/>
                <w:color w:val="auto"/>
                <w:sz w:val="21"/>
                <w:szCs w:val="21"/>
                <w:highlight w:val="none"/>
              </w:rPr>
            </w:pPr>
          </w:p>
          <w:p w14:paraId="1AC50C2D">
            <w:pPr>
              <w:keepNext w:val="0"/>
              <w:keepLines w:val="0"/>
              <w:suppressLineNumbers w:val="0"/>
              <w:spacing w:before="0" w:beforeAutospacing="0" w:after="0" w:afterAutospacing="0" w:line="360" w:lineRule="exact"/>
              <w:ind w:left="0" w:right="0" w:firstLine="435"/>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                                 </w:t>
            </w:r>
          </w:p>
          <w:p w14:paraId="1D18C5F8">
            <w:pPr>
              <w:keepNext w:val="0"/>
              <w:keepLines w:val="0"/>
              <w:suppressLineNumbers w:val="0"/>
              <w:spacing w:before="0" w:beforeAutospacing="0" w:after="0" w:afterAutospacing="0" w:line="360" w:lineRule="exact"/>
              <w:ind w:left="0" w:right="0" w:firstLine="435"/>
              <w:jc w:val="center"/>
              <w:rPr>
                <w:rFonts w:hint="default" w:ascii="Times New Roman" w:hAnsi="Times New Roman" w:cs="Times New Roman"/>
                <w:color w:val="auto"/>
                <w:sz w:val="21"/>
                <w:szCs w:val="21"/>
                <w:highlight w:val="none"/>
              </w:rPr>
            </w:pPr>
          </w:p>
          <w:p w14:paraId="54AD8B20">
            <w:pPr>
              <w:keepNext w:val="0"/>
              <w:keepLines w:val="0"/>
              <w:suppressLineNumbers w:val="0"/>
              <w:spacing w:before="0" w:beforeAutospacing="0" w:after="0" w:afterAutospacing="0" w:line="360" w:lineRule="exact"/>
              <w:ind w:left="0" w:right="0" w:firstLine="435"/>
              <w:jc w:val="center"/>
              <w:rPr>
                <w:rFonts w:hint="default" w:ascii="Times New Roman" w:hAnsi="Times New Roman" w:cs="Times New Roman"/>
                <w:color w:val="auto"/>
                <w:sz w:val="21"/>
                <w:szCs w:val="21"/>
                <w:highlight w:val="none"/>
              </w:rPr>
            </w:pPr>
          </w:p>
          <w:p w14:paraId="54EFFDAB">
            <w:pPr>
              <w:keepNext w:val="0"/>
              <w:keepLines w:val="0"/>
              <w:suppressLineNumbers w:val="0"/>
              <w:spacing w:before="0" w:beforeAutospacing="0" w:after="0" w:afterAutospacing="0" w:line="360" w:lineRule="exact"/>
              <w:ind w:left="0" w:right="0" w:firstLine="435"/>
              <w:jc w:val="center"/>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造价工程师</w:t>
            </w:r>
            <w:r>
              <w:rPr>
                <w:rFonts w:hint="default" w:ascii="Times New Roman" w:hAnsi="Times New Roman" w:cs="Times New Roman"/>
                <w:color w:val="auto"/>
                <w:sz w:val="21"/>
                <w:szCs w:val="21"/>
                <w:highlight w:val="none"/>
                <w:u w:val="single"/>
              </w:rPr>
              <w:t xml:space="preserve">           </w:t>
            </w:r>
            <w:r>
              <w:rPr>
                <w:rFonts w:hint="default" w:ascii="Times New Roman" w:hAnsi="Times New Roman" w:cs="Times New Roman"/>
                <w:color w:val="auto"/>
                <w:sz w:val="21"/>
                <w:szCs w:val="21"/>
                <w:highlight w:val="none"/>
              </w:rPr>
              <w:t xml:space="preserve">                               </w:t>
            </w:r>
          </w:p>
          <w:p w14:paraId="3141FFD4">
            <w:pPr>
              <w:keepNext w:val="0"/>
              <w:keepLines w:val="0"/>
              <w:suppressLineNumbers w:val="0"/>
              <w:spacing w:before="0" w:beforeAutospacing="0" w:after="0" w:afterAutospacing="0" w:line="360" w:lineRule="exact"/>
              <w:ind w:left="0" w:right="0" w:firstLine="435"/>
              <w:jc w:val="center"/>
              <w:rPr>
                <w:rFonts w:hint="default" w:ascii="Times New Roman" w:hAnsi="Times New Roman" w:cs="Times New Roman"/>
                <w:color w:val="auto"/>
                <w:sz w:val="21"/>
                <w:szCs w:val="21"/>
                <w:highlight w:val="none"/>
                <w:u w:val="single"/>
              </w:rPr>
            </w:pPr>
            <w:r>
              <w:rPr>
                <w:rFonts w:hint="eastAsia" w:ascii="宋体" w:hAnsi="宋体" w:cs="Times New Roman"/>
                <w:color w:val="auto"/>
                <w:sz w:val="21"/>
                <w:szCs w:val="21"/>
                <w:highlight w:val="none"/>
              </w:rPr>
              <w:t xml:space="preserve">日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期</w:t>
            </w:r>
            <w:r>
              <w:rPr>
                <w:rFonts w:hint="default" w:ascii="Times New Roman" w:hAnsi="Times New Roman" w:cs="Times New Roman"/>
                <w:color w:val="auto"/>
                <w:sz w:val="21"/>
                <w:szCs w:val="21"/>
                <w:highlight w:val="none"/>
                <w:u w:val="single"/>
              </w:rPr>
              <w:t xml:space="preserve">            </w:t>
            </w:r>
          </w:p>
        </w:tc>
      </w:tr>
      <w:tr w14:paraId="69FBF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1"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0CE76333">
            <w:pPr>
              <w:keepNext w:val="0"/>
              <w:keepLines w:val="0"/>
              <w:suppressLineNumbers w:val="0"/>
              <w:spacing w:before="0" w:beforeAutospacing="0" w:after="0" w:afterAutospacing="0" w:line="360" w:lineRule="exact"/>
              <w:ind w:left="0" w:right="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审核意见：</w:t>
            </w:r>
          </w:p>
          <w:p w14:paraId="191ACD2D">
            <w:pPr>
              <w:keepNext w:val="0"/>
              <w:keepLines w:val="0"/>
              <w:suppressLineNumbers w:val="0"/>
              <w:spacing w:before="0" w:beforeAutospacing="0" w:after="0" w:afterAutospacing="0" w:line="340" w:lineRule="exact"/>
              <w:ind w:left="0" w:right="0" w:firstLine="435"/>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□不同意此项索赔。</w:t>
            </w:r>
          </w:p>
          <w:p w14:paraId="2B3FE950">
            <w:pPr>
              <w:keepNext w:val="0"/>
              <w:keepLines w:val="0"/>
              <w:suppressLineNumbers w:val="0"/>
              <w:spacing w:before="0" w:beforeAutospacing="0" w:after="0" w:afterAutospacing="0" w:line="340" w:lineRule="exact"/>
              <w:ind w:left="0" w:right="0" w:firstLine="420" w:firstLineChars="20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□同意此项索赔</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与本期进度款同期支付。</w:t>
            </w:r>
          </w:p>
          <w:p w14:paraId="0303A164">
            <w:pPr>
              <w:keepNext w:val="0"/>
              <w:keepLines w:val="0"/>
              <w:suppressLineNumbers w:val="0"/>
              <w:spacing w:before="0" w:beforeAutospacing="0" w:after="0" w:afterAutospacing="0" w:line="340" w:lineRule="exact"/>
              <w:ind w:left="0" w:right="0" w:firstLine="0" w:firstLineChars="0"/>
              <w:jc w:val="both"/>
              <w:rPr>
                <w:rFonts w:hint="default" w:ascii="Times New Roman" w:hAnsi="Times New Roman" w:cs="Times New Roman"/>
                <w:color w:val="auto"/>
                <w:sz w:val="21"/>
                <w:szCs w:val="21"/>
                <w:highlight w:val="none"/>
              </w:rPr>
            </w:pPr>
          </w:p>
          <w:p w14:paraId="6BE7F94D">
            <w:pPr>
              <w:keepNext w:val="0"/>
              <w:keepLines w:val="0"/>
              <w:suppressLineNumbers w:val="0"/>
              <w:spacing w:before="0" w:beforeAutospacing="0" w:after="0" w:afterAutospacing="0" w:line="340" w:lineRule="exact"/>
              <w:ind w:left="0" w:right="0" w:firstLine="420" w:firstLineChars="200"/>
              <w:jc w:val="center"/>
              <w:rPr>
                <w:rFonts w:hint="default" w:ascii="Times New Roman" w:hAnsi="Times New Roman" w:cs="Times New Roman"/>
                <w:color w:val="auto"/>
                <w:sz w:val="21"/>
                <w:szCs w:val="21"/>
                <w:highlight w:val="none"/>
              </w:rPr>
            </w:pPr>
          </w:p>
          <w:p w14:paraId="39AA301E">
            <w:pPr>
              <w:keepNext w:val="0"/>
              <w:keepLines w:val="0"/>
              <w:suppressLineNumbers w:val="0"/>
              <w:spacing w:before="0" w:beforeAutospacing="0" w:after="0" w:afterLines="50" w:afterAutospacing="0" w:line="340" w:lineRule="exact"/>
              <w:ind w:left="0" w:right="0" w:firstLine="420" w:firstLineChars="200"/>
              <w:jc w:val="center"/>
              <w:rPr>
                <w:rFonts w:hint="default" w:ascii="Times New Roman" w:hAnsi="Times New Roman" w:cs="Times New Roman"/>
                <w:color w:val="auto"/>
                <w:sz w:val="21"/>
                <w:szCs w:val="21"/>
                <w:highlight w:val="none"/>
                <w:u w:val="single"/>
              </w:rPr>
            </w:pPr>
            <w:r>
              <w:rPr>
                <w:rFonts w:hint="eastAsia" w:ascii="宋体" w:hAnsi="宋体" w:cs="Times New Roman"/>
                <w:color w:val="auto"/>
                <w:sz w:val="21"/>
                <w:szCs w:val="21"/>
                <w:highlight w:val="none"/>
              </w:rPr>
              <w:t xml:space="preserve">发包人（章） </w:t>
            </w:r>
            <w:r>
              <w:rPr>
                <w:rFonts w:hint="default"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lang w:val="en-US" w:eastAsia="zh-CN"/>
              </w:rPr>
              <w:t xml:space="preserve"> </w:t>
            </w:r>
            <w:r>
              <w:rPr>
                <w:rFonts w:hint="eastAsia" w:ascii="宋体" w:hAnsi="宋体" w:cs="Times New Roman"/>
                <w:color w:val="auto"/>
                <w:sz w:val="21"/>
                <w:szCs w:val="21"/>
                <w:highlight w:val="none"/>
              </w:rPr>
              <w:t>发包人代表</w:t>
            </w:r>
            <w:r>
              <w:rPr>
                <w:rFonts w:hint="default" w:ascii="Times New Roman" w:hAnsi="Times New Roman" w:cs="Times New Roman"/>
                <w:color w:val="auto"/>
                <w:sz w:val="21"/>
                <w:szCs w:val="21"/>
                <w:highlight w:val="none"/>
                <w:u w:val="single"/>
              </w:rPr>
              <w:t xml:space="preserve">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 xml:space="preserve">日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期</w:t>
            </w:r>
            <w:r>
              <w:rPr>
                <w:rFonts w:hint="default" w:ascii="Times New Roman" w:hAnsi="Times New Roman" w:cs="Times New Roman"/>
                <w:color w:val="auto"/>
                <w:sz w:val="21"/>
                <w:szCs w:val="21"/>
                <w:highlight w:val="none"/>
                <w:u w:val="single"/>
              </w:rPr>
              <w:t xml:space="preserve">             </w:t>
            </w:r>
          </w:p>
        </w:tc>
      </w:tr>
    </w:tbl>
    <w:p w14:paraId="147D1EC3">
      <w:pPr>
        <w:ind w:firstLine="420" w:firstLineChars="200"/>
        <w:rPr>
          <w:rFonts w:ascii="Times New Roman" w:hAnsi="Times New Roman" w:cs="Times New Roman"/>
          <w:color w:val="auto"/>
          <w:sz w:val="21"/>
          <w:szCs w:val="21"/>
          <w:highlight w:val="none"/>
        </w:rPr>
      </w:pPr>
      <w:r>
        <w:rPr>
          <w:rFonts w:hint="eastAsia" w:ascii="宋体" w:hAnsi="宋体" w:cs="Times New Roman"/>
          <w:color w:val="auto"/>
          <w:sz w:val="21"/>
          <w:szCs w:val="21"/>
          <w:highlight w:val="none"/>
        </w:rPr>
        <w:t>注：</w:t>
      </w:r>
      <w:r>
        <w:rPr>
          <w:rFonts w:hint="eastAsia" w:ascii="Times New Roman" w:hAnsi="Times New Roman" w:cs="Times New Roman"/>
          <w:color w:val="auto"/>
          <w:sz w:val="21"/>
          <w:szCs w:val="21"/>
          <w:highlight w:val="none"/>
        </w:rPr>
        <w:t>1</w:t>
      </w:r>
      <w:r>
        <w:rPr>
          <w:rFonts w:hint="eastAsia" w:ascii="Times New Roman" w:hAnsi="Times New Roman" w:cs="Times New Roman"/>
          <w:color w:val="auto"/>
          <w:sz w:val="21"/>
          <w:szCs w:val="21"/>
          <w:highlight w:val="none"/>
          <w:lang w:val="en-US" w:eastAsia="zh-CN"/>
        </w:rPr>
        <w:t>.</w:t>
      </w:r>
      <w:r>
        <w:rPr>
          <w:rFonts w:hint="eastAsia" w:ascii="宋体" w:hAnsi="宋体" w:cs="Times New Roman"/>
          <w:color w:val="auto"/>
          <w:sz w:val="21"/>
          <w:szCs w:val="21"/>
          <w:highlight w:val="none"/>
        </w:rPr>
        <w:t xml:space="preserve">在选择栏中的“□”内作标识“√”。 </w:t>
      </w:r>
    </w:p>
    <w:p w14:paraId="587853EF">
      <w:pPr>
        <w:numPr>
          <w:ilvl w:val="0"/>
          <w:numId w:val="0"/>
        </w:numPr>
        <w:ind w:left="720"/>
        <w:rPr>
          <w:rFonts w:hint="eastAsia" w:ascii="宋体" w:hAnsi="宋体" w:cs="Times New Roman"/>
          <w:color w:val="auto"/>
          <w:sz w:val="21"/>
          <w:szCs w:val="21"/>
          <w:highlight w:val="none"/>
        </w:rPr>
      </w:pPr>
      <w:r>
        <w:rPr>
          <w:rFonts w:hint="eastAsia" w:ascii="宋体" w:hAnsi="宋体" w:cs="Times New Roman"/>
          <w:color w:val="auto"/>
          <w:sz w:val="21"/>
          <w:szCs w:val="21"/>
          <w:highlight w:val="none"/>
          <w:lang w:val="en-US" w:eastAsia="zh-CN"/>
        </w:rPr>
        <w:t>2.</w:t>
      </w:r>
      <w:r>
        <w:rPr>
          <w:rFonts w:hint="eastAsia" w:ascii="宋体" w:hAnsi="宋体" w:cs="Times New Roman"/>
          <w:color w:val="auto"/>
          <w:sz w:val="21"/>
          <w:szCs w:val="21"/>
          <w:highlight w:val="none"/>
        </w:rPr>
        <w:t>本表一式四份</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由承包人填报</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发包人、监理人、造价咨询人、承包人各存一份。</w:t>
      </w:r>
    </w:p>
    <w:p w14:paraId="00111BDC">
      <w:pPr>
        <w:ind w:leftChars="0" w:firstLine="0" w:firstLineChars="0"/>
        <w:rPr>
          <w:rFonts w:hint="eastAsia"/>
          <w:color w:val="auto"/>
          <w:sz w:val="21"/>
          <w:szCs w:val="21"/>
          <w:highlight w:val="none"/>
        </w:rPr>
        <w:sectPr>
          <w:pgSz w:w="11907" w:h="16840"/>
          <w:pgMar w:top="1440" w:right="1440" w:bottom="1440" w:left="1797" w:header="851" w:footer="851" w:gutter="0"/>
          <w:cols w:space="720" w:num="1"/>
          <w:docGrid w:linePitch="312" w:charSpace="0"/>
        </w:sectPr>
      </w:pPr>
    </w:p>
    <w:p w14:paraId="0FCBD0A6">
      <w:pPr>
        <w:keepNext/>
        <w:keepLines/>
        <w:widowControl/>
        <w:spacing w:before="120" w:beforeLines="0" w:after="120" w:afterLines="0" w:line="360" w:lineRule="auto"/>
        <w:jc w:val="both"/>
        <w:outlineLvl w:val="3"/>
        <w:rPr>
          <w:rFonts w:hint="eastAsia" w:ascii="仿宋_GB2312" w:hAnsi="Times New Roman" w:eastAsia="仿宋_GB2312" w:cs="仿宋_GB2312"/>
          <w:b w:val="0"/>
          <w:color w:val="auto"/>
          <w:kern w:val="0"/>
          <w:sz w:val="21"/>
          <w:szCs w:val="21"/>
          <w:highlight w:val="none"/>
          <w:lang w:val="en-US" w:eastAsia="zh-CN" w:bidi="ar-SA"/>
        </w:rPr>
      </w:pPr>
      <w:r>
        <w:rPr>
          <w:rFonts w:hint="eastAsia" w:ascii="仿宋_GB2312" w:hAnsi="Times New Roman" w:eastAsia="仿宋_GB2312" w:cs="仿宋_GB2312"/>
          <w:b w:val="0"/>
          <w:color w:val="auto"/>
          <w:kern w:val="0"/>
          <w:sz w:val="21"/>
          <w:szCs w:val="21"/>
          <w:highlight w:val="none"/>
          <w:lang w:val="en-US" w:eastAsia="zh-CN" w:bidi="ar-SA"/>
        </w:rPr>
        <w:t>附件14：安全</w:t>
      </w:r>
      <w:r>
        <w:rPr>
          <w:rFonts w:hint="eastAsia" w:ascii="仿宋_GB2312" w:hAnsi="Arial" w:eastAsia="仿宋_GB2312" w:cs="仿宋_GB2312"/>
          <w:b w:val="0"/>
          <w:color w:val="auto"/>
          <w:kern w:val="0"/>
          <w:sz w:val="21"/>
          <w:szCs w:val="21"/>
          <w:highlight w:val="none"/>
          <w:lang w:val="en-US" w:eastAsia="zh-CN" w:bidi="ar-SA"/>
        </w:rPr>
        <w:t>生产</w:t>
      </w:r>
      <w:r>
        <w:rPr>
          <w:rFonts w:hint="eastAsia" w:ascii="仿宋_GB2312" w:hAnsi="Times New Roman" w:eastAsia="仿宋_GB2312" w:cs="仿宋_GB2312"/>
          <w:b w:val="0"/>
          <w:color w:val="auto"/>
          <w:kern w:val="0"/>
          <w:sz w:val="21"/>
          <w:szCs w:val="21"/>
          <w:highlight w:val="none"/>
          <w:lang w:val="en-US" w:eastAsia="zh-CN" w:bidi="ar-SA"/>
        </w:rPr>
        <w:t>费支付申请（核准）表</w:t>
      </w:r>
    </w:p>
    <w:p w14:paraId="65BA778D">
      <w:pPr>
        <w:jc w:val="center"/>
        <w:outlineLvl w:val="9"/>
        <w:rPr>
          <w:rFonts w:ascii="Times New Roman" w:hAnsi="Times New Roman" w:cs="Times New Roman"/>
          <w:b/>
          <w:color w:val="auto"/>
          <w:sz w:val="21"/>
          <w:szCs w:val="21"/>
          <w:highlight w:val="none"/>
        </w:rPr>
      </w:pPr>
      <w:r>
        <w:rPr>
          <w:rFonts w:hint="default" w:ascii="宋体" w:hAnsi="宋体" w:cs="Times New Roman"/>
          <w:b/>
          <w:color w:val="auto"/>
          <w:sz w:val="21"/>
          <w:szCs w:val="21"/>
          <w:highlight w:val="none"/>
          <w:lang w:val="en"/>
        </w:rPr>
        <w:t>安全生产费</w:t>
      </w:r>
      <w:r>
        <w:rPr>
          <w:rFonts w:hint="eastAsia" w:ascii="宋体" w:hAnsi="宋体" w:cs="Times New Roman"/>
          <w:b/>
          <w:color w:val="auto"/>
          <w:sz w:val="21"/>
          <w:szCs w:val="21"/>
          <w:highlight w:val="none"/>
        </w:rPr>
        <w:t>支付申请（核准）表</w:t>
      </w:r>
    </w:p>
    <w:p w14:paraId="509364CE">
      <w:pPr>
        <w:spacing w:line="360" w:lineRule="auto"/>
        <w:ind w:firstLine="210" w:firstLineChars="100"/>
        <w:rPr>
          <w:rFonts w:ascii="Times New Roman" w:hAnsi="Times New Roman" w:cs="Times New Roman"/>
          <w:color w:val="auto"/>
          <w:sz w:val="21"/>
          <w:szCs w:val="21"/>
          <w:highlight w:val="none"/>
        </w:rPr>
      </w:pPr>
      <w:r>
        <w:rPr>
          <w:rFonts w:hint="eastAsia" w:ascii="宋体" w:hAnsi="宋体" w:cs="Times New Roman"/>
          <w:color w:val="auto"/>
          <w:sz w:val="21"/>
          <w:szCs w:val="21"/>
          <w:highlight w:val="none"/>
        </w:rPr>
        <w:t xml:space="preserve">工程名称：                                   </w:t>
      </w:r>
      <w:r>
        <w:rPr>
          <w:rFonts w:hint="eastAsia" w:ascii="宋体" w:hAnsi="宋体" w:cs="Times New Roman"/>
          <w:color w:val="auto"/>
          <w:sz w:val="21"/>
          <w:szCs w:val="21"/>
          <w:highlight w:val="none"/>
          <w:lang w:val="en-US" w:eastAsia="zh-CN"/>
        </w:rPr>
        <w:t xml:space="preserve">      </w:t>
      </w:r>
      <w:r>
        <w:rPr>
          <w:rFonts w:hint="eastAsia" w:ascii="宋体" w:hAnsi="宋体" w:cs="Times New Roman"/>
          <w:color w:val="auto"/>
          <w:sz w:val="21"/>
          <w:szCs w:val="21"/>
          <w:highlight w:val="none"/>
        </w:rPr>
        <w:t xml:space="preserve">          编号：</w:t>
      </w:r>
    </w:p>
    <w:tbl>
      <w:tblPr>
        <w:tblStyle w:val="54"/>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0"/>
        <w:gridCol w:w="4552"/>
      </w:tblGrid>
      <w:tr w14:paraId="2DC44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7790E466">
            <w:pPr>
              <w:keepNext w:val="0"/>
              <w:keepLines w:val="0"/>
              <w:suppressLineNumbers w:val="0"/>
              <w:spacing w:before="0" w:beforeAutospacing="0" w:after="0" w:afterAutospacing="0" w:line="480" w:lineRule="exact"/>
              <w:ind w:left="525" w:leftChars="149" w:right="0" w:hanging="212" w:hangingChars="101"/>
              <w:rPr>
                <w:rFonts w:hint="default" w:ascii="Times New Roman" w:hAnsi="Times New Roman" w:cs="Times New Roman"/>
                <w:color w:val="auto"/>
                <w:sz w:val="21"/>
                <w:szCs w:val="21"/>
                <w:highlight w:val="none"/>
                <w:u w:val="single"/>
              </w:rPr>
            </w:pPr>
            <w:r>
              <w:rPr>
                <w:rFonts w:hint="eastAsia" w:ascii="宋体" w:hAnsi="宋体" w:cs="Times New Roman"/>
                <w:color w:val="auto"/>
                <w:sz w:val="21"/>
                <w:szCs w:val="21"/>
                <w:highlight w:val="none"/>
              </w:rPr>
              <w:t>致：</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u w:val="single"/>
              </w:rPr>
              <w:t>（发包人全称）</w:t>
            </w:r>
          </w:p>
          <w:p w14:paraId="73BF0BCE">
            <w:pPr>
              <w:keepNext w:val="0"/>
              <w:keepLines w:val="0"/>
              <w:suppressLineNumbers w:val="0"/>
              <w:spacing w:before="0" w:beforeAutospacing="0" w:after="0" w:afterAutospacing="0" w:line="400" w:lineRule="exact"/>
              <w:ind w:left="-4" w:leftChars="-2" w:right="0" w:firstLine="315" w:firstLineChars="150"/>
              <w:rPr>
                <w:rFonts w:hint="eastAsia" w:ascii="Times New Roman" w:hAnsi="Times New Roman" w:eastAsia="宋体" w:cs="Times New Roman"/>
                <w:color w:val="auto"/>
                <w:sz w:val="21"/>
                <w:szCs w:val="21"/>
                <w:highlight w:val="none"/>
                <w:lang w:eastAsia="zh-CN"/>
              </w:rPr>
            </w:pPr>
            <w:r>
              <w:rPr>
                <w:rFonts w:hint="eastAsia" w:ascii="宋体" w:hAnsi="宋体" w:cs="Times New Roman"/>
                <w:color w:val="auto"/>
                <w:sz w:val="21"/>
                <w:szCs w:val="21"/>
                <w:highlight w:val="none"/>
              </w:rPr>
              <w:t>我方根据施工合同的约定</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现申请支付</w:t>
            </w:r>
            <w:r>
              <w:rPr>
                <w:rFonts w:hint="default" w:ascii="宋体" w:hAnsi="宋体" w:cs="Times New Roman"/>
                <w:color w:val="auto"/>
                <w:sz w:val="21"/>
                <w:szCs w:val="21"/>
                <w:highlight w:val="none"/>
                <w:lang w:val="en"/>
              </w:rPr>
              <w:t>安全生产费</w:t>
            </w:r>
            <w:r>
              <w:rPr>
                <w:rFonts w:hint="eastAsia" w:ascii="宋体" w:hAnsi="宋体" w:cs="Times New Roman"/>
                <w:color w:val="auto"/>
                <w:sz w:val="21"/>
                <w:szCs w:val="21"/>
                <w:highlight w:val="none"/>
              </w:rPr>
              <w:t>为</w:t>
            </w:r>
            <w:r>
              <w:rPr>
                <w:rFonts w:hint="eastAsia" w:ascii="Times New Roman" w:hAnsi="Times New Roman" w:cs="Times New Roman"/>
                <w:color w:val="auto"/>
                <w:sz w:val="21"/>
                <w:szCs w:val="21"/>
                <w:highlight w:val="none"/>
                <w:lang w:eastAsia="zh-CN"/>
              </w:rPr>
              <w:t>（</w:t>
            </w:r>
            <w:r>
              <w:rPr>
                <w:rFonts w:hint="eastAsia" w:ascii="宋体" w:hAnsi="宋体" w:cs="Times New Roman"/>
                <w:color w:val="auto"/>
                <w:sz w:val="21"/>
                <w:szCs w:val="21"/>
                <w:highlight w:val="none"/>
              </w:rPr>
              <w:t>大写</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元</w:t>
            </w:r>
            <w:r>
              <w:rPr>
                <w:rFonts w:hint="eastAsia" w:ascii="宋体" w:hAnsi="宋体" w:cs="Times New Roman"/>
                <w:color w:val="auto"/>
                <w:sz w:val="21"/>
                <w:szCs w:val="21"/>
                <w:highlight w:val="none"/>
                <w:lang w:eastAsia="zh-CN"/>
              </w:rPr>
              <w:t>，</w:t>
            </w:r>
            <w:r>
              <w:rPr>
                <w:rFonts w:hint="eastAsia" w:ascii="Times New Roman" w:hAnsi="Times New Roman" w:cs="Times New Roman"/>
                <w:color w:val="auto"/>
                <w:sz w:val="21"/>
                <w:szCs w:val="21"/>
                <w:highlight w:val="none"/>
                <w:lang w:eastAsia="zh-CN"/>
              </w:rPr>
              <w:t>（</w:t>
            </w:r>
            <w:r>
              <w:rPr>
                <w:rFonts w:hint="eastAsia" w:ascii="宋体" w:hAnsi="宋体" w:cs="Times New Roman"/>
                <w:color w:val="auto"/>
                <w:sz w:val="21"/>
                <w:szCs w:val="21"/>
                <w:highlight w:val="none"/>
              </w:rPr>
              <w:t>小写</w:t>
            </w:r>
            <w:r>
              <w:rPr>
                <w:rFonts w:hint="eastAsia" w:ascii="Times New Roman" w:hAnsi="Times New Roman" w:cs="Times New Roman"/>
                <w:color w:val="auto"/>
                <w:sz w:val="21"/>
                <w:szCs w:val="21"/>
                <w:highlight w:val="none"/>
                <w:lang w:eastAsia="zh-CN"/>
              </w:rPr>
              <w:t>）</w:t>
            </w:r>
          </w:p>
          <w:p w14:paraId="13F8518D">
            <w:pPr>
              <w:keepNext w:val="0"/>
              <w:keepLines w:val="0"/>
              <w:suppressLineNumbers w:val="0"/>
              <w:spacing w:before="0" w:beforeAutospacing="0" w:after="0" w:afterAutospacing="0" w:line="400" w:lineRule="exact"/>
              <w:ind w:left="0" w:right="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元</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请予核准。</w:t>
            </w:r>
          </w:p>
          <w:tbl>
            <w:tblPr>
              <w:tblStyle w:val="54"/>
              <w:tblW w:w="8859"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
              <w:gridCol w:w="3286"/>
              <w:gridCol w:w="1571"/>
              <w:gridCol w:w="1671"/>
              <w:gridCol w:w="1500"/>
            </w:tblGrid>
            <w:tr w14:paraId="3AF63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831" w:type="dxa"/>
                  <w:tcBorders>
                    <w:top w:val="single" w:color="auto" w:sz="4" w:space="0"/>
                    <w:left w:val="single" w:color="auto" w:sz="4" w:space="0"/>
                    <w:bottom w:val="single" w:color="auto" w:sz="4" w:space="0"/>
                    <w:right w:val="single" w:color="auto" w:sz="4" w:space="0"/>
                  </w:tcBorders>
                  <w:noWrap w:val="0"/>
                  <w:vAlign w:val="center"/>
                </w:tcPr>
                <w:p w14:paraId="071B9FFF">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序号</w:t>
                  </w:r>
                </w:p>
              </w:tc>
              <w:tc>
                <w:tcPr>
                  <w:tcW w:w="3286" w:type="dxa"/>
                  <w:tcBorders>
                    <w:top w:val="single" w:color="auto" w:sz="4" w:space="0"/>
                    <w:left w:val="single" w:color="auto" w:sz="4" w:space="0"/>
                    <w:bottom w:val="single" w:color="auto" w:sz="4" w:space="0"/>
                    <w:right w:val="single" w:color="auto" w:sz="4" w:space="0"/>
                  </w:tcBorders>
                  <w:noWrap w:val="0"/>
                  <w:vAlign w:val="center"/>
                </w:tcPr>
                <w:p w14:paraId="4A533470">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 xml:space="preserve">名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称</w:t>
                  </w:r>
                </w:p>
              </w:tc>
              <w:tc>
                <w:tcPr>
                  <w:tcW w:w="1571" w:type="dxa"/>
                  <w:tcBorders>
                    <w:top w:val="single" w:color="auto" w:sz="4" w:space="0"/>
                    <w:left w:val="single" w:color="auto" w:sz="4" w:space="0"/>
                    <w:bottom w:val="single" w:color="auto" w:sz="4" w:space="0"/>
                    <w:right w:val="single" w:color="auto" w:sz="4" w:space="0"/>
                  </w:tcBorders>
                  <w:noWrap w:val="0"/>
                  <w:vAlign w:val="center"/>
                </w:tcPr>
                <w:p w14:paraId="157848E9">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申请金额（元）</w:t>
                  </w:r>
                </w:p>
              </w:tc>
              <w:tc>
                <w:tcPr>
                  <w:tcW w:w="1671" w:type="dxa"/>
                  <w:tcBorders>
                    <w:top w:val="single" w:color="auto" w:sz="4" w:space="0"/>
                    <w:left w:val="single" w:color="auto" w:sz="4" w:space="0"/>
                    <w:bottom w:val="single" w:color="auto" w:sz="4" w:space="0"/>
                    <w:right w:val="single" w:color="auto" w:sz="4" w:space="0"/>
                  </w:tcBorders>
                  <w:noWrap w:val="0"/>
                  <w:vAlign w:val="center"/>
                </w:tcPr>
                <w:p w14:paraId="7D11DF71">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复核金额（元）</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9105A45">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备注</w:t>
                  </w:r>
                </w:p>
              </w:tc>
            </w:tr>
            <w:tr w14:paraId="270DE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59D90010">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1</w:t>
                  </w:r>
                </w:p>
              </w:tc>
              <w:tc>
                <w:tcPr>
                  <w:tcW w:w="3286" w:type="dxa"/>
                  <w:tcBorders>
                    <w:top w:val="single" w:color="auto" w:sz="4" w:space="0"/>
                    <w:left w:val="single" w:color="auto" w:sz="4" w:space="0"/>
                    <w:bottom w:val="single" w:color="auto" w:sz="4" w:space="0"/>
                    <w:right w:val="single" w:color="auto" w:sz="4" w:space="0"/>
                  </w:tcBorders>
                  <w:noWrap w:val="0"/>
                  <w:vAlign w:val="top"/>
                </w:tcPr>
                <w:p w14:paraId="465B52F5">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lang w:val="en"/>
                    </w:rPr>
                  </w:pPr>
                  <w:r>
                    <w:rPr>
                      <w:rFonts w:hint="eastAsia" w:ascii="宋体" w:hAnsi="宋体" w:cs="Times New Roman"/>
                      <w:color w:val="auto"/>
                      <w:sz w:val="21"/>
                      <w:szCs w:val="21"/>
                      <w:highlight w:val="none"/>
                    </w:rPr>
                    <w:t>签约合同价中的</w:t>
                  </w:r>
                  <w:r>
                    <w:rPr>
                      <w:rFonts w:hint="default" w:ascii="宋体" w:hAnsi="宋体" w:cs="Times New Roman"/>
                      <w:color w:val="auto"/>
                      <w:sz w:val="21"/>
                      <w:szCs w:val="21"/>
                      <w:highlight w:val="none"/>
                      <w:lang w:val="en"/>
                    </w:rPr>
                    <w:t>安全生产费</w:t>
                  </w:r>
                </w:p>
              </w:tc>
              <w:tc>
                <w:tcPr>
                  <w:tcW w:w="1571" w:type="dxa"/>
                  <w:tcBorders>
                    <w:top w:val="single" w:color="auto" w:sz="4" w:space="0"/>
                    <w:left w:val="single" w:color="auto" w:sz="4" w:space="0"/>
                    <w:bottom w:val="single" w:color="auto" w:sz="4" w:space="0"/>
                    <w:right w:val="single" w:color="auto" w:sz="4" w:space="0"/>
                  </w:tcBorders>
                  <w:noWrap w:val="0"/>
                  <w:vAlign w:val="top"/>
                </w:tcPr>
                <w:p w14:paraId="3F81A6BA">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19B8D3BF">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6BEEC427">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r>
            <w:tr w14:paraId="75AF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02C20526">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2</w:t>
                  </w:r>
                </w:p>
              </w:tc>
              <w:tc>
                <w:tcPr>
                  <w:tcW w:w="3286" w:type="dxa"/>
                  <w:tcBorders>
                    <w:top w:val="single" w:color="auto" w:sz="4" w:space="0"/>
                    <w:left w:val="single" w:color="auto" w:sz="4" w:space="0"/>
                    <w:bottom w:val="single" w:color="auto" w:sz="4" w:space="0"/>
                    <w:right w:val="single" w:color="auto" w:sz="4" w:space="0"/>
                  </w:tcBorders>
                  <w:noWrap w:val="0"/>
                  <w:vAlign w:val="top"/>
                </w:tcPr>
                <w:p w14:paraId="66D07E68">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lang w:val="en"/>
                    </w:rPr>
                  </w:pPr>
                  <w:r>
                    <w:rPr>
                      <w:rFonts w:hint="eastAsia" w:ascii="宋体" w:hAnsi="宋体" w:cs="Times New Roman"/>
                      <w:color w:val="auto"/>
                      <w:sz w:val="21"/>
                      <w:szCs w:val="21"/>
                      <w:highlight w:val="none"/>
                    </w:rPr>
                    <w:t>累计已支付的</w:t>
                  </w:r>
                  <w:r>
                    <w:rPr>
                      <w:rFonts w:hint="default" w:ascii="宋体" w:hAnsi="宋体" w:cs="Times New Roman"/>
                      <w:color w:val="auto"/>
                      <w:sz w:val="21"/>
                      <w:szCs w:val="21"/>
                      <w:highlight w:val="none"/>
                      <w:lang w:val="en"/>
                    </w:rPr>
                    <w:t>安全生产费</w:t>
                  </w:r>
                </w:p>
              </w:tc>
              <w:tc>
                <w:tcPr>
                  <w:tcW w:w="1571" w:type="dxa"/>
                  <w:tcBorders>
                    <w:top w:val="single" w:color="auto" w:sz="4" w:space="0"/>
                    <w:left w:val="single" w:color="auto" w:sz="4" w:space="0"/>
                    <w:bottom w:val="single" w:color="auto" w:sz="4" w:space="0"/>
                    <w:right w:val="single" w:color="auto" w:sz="4" w:space="0"/>
                  </w:tcBorders>
                  <w:noWrap w:val="0"/>
                  <w:vAlign w:val="top"/>
                </w:tcPr>
                <w:p w14:paraId="4F930866">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20266AB4">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2DD13925">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r>
            <w:tr w14:paraId="1001B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59B7846F">
                  <w:pPr>
                    <w:keepNext w:val="0"/>
                    <w:keepLines w:val="0"/>
                    <w:suppressLineNumbers w:val="0"/>
                    <w:spacing w:before="0" w:beforeAutospacing="0" w:after="0" w:afterAutospacing="0" w:line="280" w:lineRule="exact"/>
                    <w:ind w:left="0" w:right="0"/>
                    <w:jc w:val="center"/>
                    <w:rPr>
                      <w:rFonts w:hint="default" w:ascii="Calibri" w:hAnsi="Calibri" w:cs="Times New Roman"/>
                      <w:color w:val="auto"/>
                      <w:sz w:val="21"/>
                      <w:szCs w:val="21"/>
                      <w:highlight w:val="none"/>
                    </w:rPr>
                  </w:pPr>
                  <w:r>
                    <w:rPr>
                      <w:rFonts w:hint="eastAsia" w:ascii="Calibri" w:hAnsi="Calibri" w:cs="Times New Roman"/>
                      <w:color w:val="auto"/>
                      <w:sz w:val="21"/>
                      <w:szCs w:val="21"/>
                      <w:highlight w:val="none"/>
                    </w:rPr>
                    <w:t>3</w:t>
                  </w:r>
                </w:p>
              </w:tc>
              <w:tc>
                <w:tcPr>
                  <w:tcW w:w="3286" w:type="dxa"/>
                  <w:tcBorders>
                    <w:top w:val="single" w:color="auto" w:sz="4" w:space="0"/>
                    <w:left w:val="single" w:color="auto" w:sz="4" w:space="0"/>
                    <w:bottom w:val="single" w:color="auto" w:sz="4" w:space="0"/>
                    <w:right w:val="single" w:color="auto" w:sz="4" w:space="0"/>
                  </w:tcBorders>
                  <w:noWrap w:val="0"/>
                  <w:vAlign w:val="top"/>
                </w:tcPr>
                <w:p w14:paraId="2B60E225">
                  <w:pPr>
                    <w:keepNext w:val="0"/>
                    <w:keepLines w:val="0"/>
                    <w:suppressLineNumbers w:val="0"/>
                    <w:spacing w:before="0" w:beforeAutospacing="0" w:after="0" w:afterAutospacing="0" w:line="280" w:lineRule="exact"/>
                    <w:ind w:left="0" w:right="0"/>
                    <w:rPr>
                      <w:rFonts w:hint="default" w:ascii="Calibri" w:hAnsi="Calibri" w:cs="Times New Roman"/>
                      <w:color w:val="auto"/>
                      <w:sz w:val="21"/>
                      <w:szCs w:val="21"/>
                      <w:highlight w:val="none"/>
                      <w:lang w:val="en"/>
                    </w:rPr>
                  </w:pPr>
                  <w:r>
                    <w:rPr>
                      <w:rFonts w:hint="eastAsia" w:ascii="宋体" w:hAnsi="宋体" w:cs="Times New Roman"/>
                      <w:color w:val="auto"/>
                      <w:sz w:val="21"/>
                      <w:szCs w:val="21"/>
                      <w:highlight w:val="none"/>
                    </w:rPr>
                    <w:t>本期应支付的</w:t>
                  </w:r>
                  <w:r>
                    <w:rPr>
                      <w:rFonts w:hint="default" w:ascii="宋体" w:hAnsi="宋体" w:cs="Times New Roman"/>
                      <w:color w:val="auto"/>
                      <w:sz w:val="21"/>
                      <w:szCs w:val="21"/>
                      <w:highlight w:val="none"/>
                      <w:lang w:val="en"/>
                    </w:rPr>
                    <w:t>安全生产费</w:t>
                  </w:r>
                </w:p>
              </w:tc>
              <w:tc>
                <w:tcPr>
                  <w:tcW w:w="1571" w:type="dxa"/>
                  <w:tcBorders>
                    <w:top w:val="single" w:color="auto" w:sz="4" w:space="0"/>
                    <w:left w:val="single" w:color="auto" w:sz="4" w:space="0"/>
                    <w:bottom w:val="single" w:color="auto" w:sz="4" w:space="0"/>
                    <w:right w:val="single" w:color="auto" w:sz="4" w:space="0"/>
                  </w:tcBorders>
                  <w:noWrap w:val="0"/>
                  <w:vAlign w:val="top"/>
                </w:tcPr>
                <w:p w14:paraId="3B295E50">
                  <w:pPr>
                    <w:keepNext w:val="0"/>
                    <w:keepLines w:val="0"/>
                    <w:suppressLineNumbers w:val="0"/>
                    <w:spacing w:before="0" w:beforeAutospacing="0" w:after="0" w:afterAutospacing="0" w:line="280" w:lineRule="exact"/>
                    <w:ind w:left="0" w:right="0"/>
                    <w:jc w:val="center"/>
                    <w:rPr>
                      <w:rFonts w:hint="default" w:ascii="Calibri" w:hAnsi="Calibri" w:cs="Times New Roman"/>
                      <w:color w:val="auto"/>
                      <w:sz w:val="21"/>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2DFFAECE">
                  <w:pPr>
                    <w:keepNext w:val="0"/>
                    <w:keepLines w:val="0"/>
                    <w:suppressLineNumbers w:val="0"/>
                    <w:spacing w:before="0" w:beforeAutospacing="0" w:after="0" w:afterAutospacing="0" w:line="280" w:lineRule="exact"/>
                    <w:ind w:left="0" w:right="0"/>
                    <w:jc w:val="center"/>
                    <w:rPr>
                      <w:rFonts w:hint="default" w:ascii="Calibri" w:hAnsi="Calibri" w:cs="Times New Roman"/>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6099EE2B">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r>
            <w:tr w14:paraId="0F5BA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21066219">
                  <w:pPr>
                    <w:keepNext w:val="0"/>
                    <w:keepLines w:val="0"/>
                    <w:suppressLineNumbers w:val="0"/>
                    <w:spacing w:before="0" w:beforeAutospacing="0" w:after="0" w:afterAutospacing="0" w:line="280" w:lineRule="exact"/>
                    <w:ind w:left="0" w:right="0"/>
                    <w:jc w:val="center"/>
                    <w:rPr>
                      <w:rFonts w:hint="default" w:ascii="Calibri" w:hAnsi="Calibri" w:cs="Times New Roman"/>
                      <w:color w:val="auto"/>
                      <w:sz w:val="21"/>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69D9FEAD">
                  <w:pPr>
                    <w:keepNext w:val="0"/>
                    <w:keepLines w:val="0"/>
                    <w:suppressLineNumbers w:val="0"/>
                    <w:spacing w:before="0" w:beforeAutospacing="0" w:after="0" w:afterAutospacing="0" w:line="280" w:lineRule="exact"/>
                    <w:ind w:left="0" w:right="0"/>
                    <w:rPr>
                      <w:rFonts w:hint="default" w:ascii="Calibri" w:hAnsi="Calibri" w:cs="Times New Roman"/>
                      <w:color w:val="auto"/>
                      <w:sz w:val="21"/>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27B9D532">
                  <w:pPr>
                    <w:keepNext w:val="0"/>
                    <w:keepLines w:val="0"/>
                    <w:suppressLineNumbers w:val="0"/>
                    <w:spacing w:before="0" w:beforeAutospacing="0" w:after="0" w:afterAutospacing="0" w:line="280" w:lineRule="exact"/>
                    <w:ind w:left="0" w:right="0"/>
                    <w:jc w:val="center"/>
                    <w:rPr>
                      <w:rFonts w:hint="default" w:ascii="Calibri" w:hAnsi="Calibri" w:cs="Times New Roman"/>
                      <w:color w:val="auto"/>
                      <w:sz w:val="21"/>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6706F82E">
                  <w:pPr>
                    <w:keepNext w:val="0"/>
                    <w:keepLines w:val="0"/>
                    <w:suppressLineNumbers w:val="0"/>
                    <w:spacing w:before="0" w:beforeAutospacing="0" w:after="0" w:afterAutospacing="0" w:line="280" w:lineRule="exact"/>
                    <w:ind w:left="0" w:right="0"/>
                    <w:jc w:val="center"/>
                    <w:rPr>
                      <w:rFonts w:hint="default" w:ascii="Calibri" w:hAnsi="Calibri" w:cs="Times New Roman"/>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3FDD750A">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r>
            <w:tr w14:paraId="4EBB8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6F7D3A5B">
                  <w:pPr>
                    <w:keepNext w:val="0"/>
                    <w:keepLines w:val="0"/>
                    <w:suppressLineNumbers w:val="0"/>
                    <w:spacing w:before="0" w:beforeAutospacing="0" w:after="0" w:afterAutospacing="0" w:line="280" w:lineRule="exact"/>
                    <w:ind w:left="0" w:right="0"/>
                    <w:jc w:val="center"/>
                    <w:rPr>
                      <w:rFonts w:hint="default" w:ascii="Calibri" w:hAnsi="Calibri" w:cs="Times New Roman"/>
                      <w:color w:val="auto"/>
                      <w:sz w:val="21"/>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17335F8C">
                  <w:pPr>
                    <w:keepNext w:val="0"/>
                    <w:keepLines w:val="0"/>
                    <w:suppressLineNumbers w:val="0"/>
                    <w:spacing w:before="0" w:beforeAutospacing="0" w:after="0" w:afterAutospacing="0" w:line="280" w:lineRule="exact"/>
                    <w:ind w:left="0" w:right="0"/>
                    <w:rPr>
                      <w:rFonts w:hint="default" w:ascii="Calibri" w:hAnsi="Calibri" w:cs="Times New Roman"/>
                      <w:color w:val="auto"/>
                      <w:sz w:val="21"/>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4463F7B1">
                  <w:pPr>
                    <w:keepNext w:val="0"/>
                    <w:keepLines w:val="0"/>
                    <w:suppressLineNumbers w:val="0"/>
                    <w:spacing w:before="0" w:beforeAutospacing="0" w:after="0" w:afterAutospacing="0" w:line="280" w:lineRule="exact"/>
                    <w:ind w:left="0" w:right="0"/>
                    <w:jc w:val="center"/>
                    <w:rPr>
                      <w:rFonts w:hint="default" w:ascii="Calibri" w:hAnsi="Calibri" w:cs="Times New Roman"/>
                      <w:color w:val="auto"/>
                      <w:sz w:val="21"/>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73809011">
                  <w:pPr>
                    <w:keepNext w:val="0"/>
                    <w:keepLines w:val="0"/>
                    <w:suppressLineNumbers w:val="0"/>
                    <w:spacing w:before="0" w:beforeAutospacing="0" w:after="0" w:afterAutospacing="0" w:line="280" w:lineRule="exact"/>
                    <w:ind w:left="0" w:right="0"/>
                    <w:jc w:val="center"/>
                    <w:rPr>
                      <w:rFonts w:hint="default" w:ascii="Calibri" w:hAnsi="Calibri" w:cs="Times New Roman"/>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0E776349">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r>
            <w:tr w14:paraId="2B6A0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602A1AA5">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3410EF1C">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6B5AFF0B">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202267C9">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0BD2715D">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r>
            <w:tr w14:paraId="43682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7BCA3082">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7045B289">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16BFF1CE">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566BB345">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35FD1B4C">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r>
            <w:tr w14:paraId="2E167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63DC6E11">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6F80C05D">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07C62CE9">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4A712845">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71D379F6">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r>
            <w:tr w14:paraId="44994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77AD988D">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0BF37F10">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6DC0FC75">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74C9CA1B">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10FB6EFC">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r>
            <w:tr w14:paraId="47B8F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59742640">
                  <w:pPr>
                    <w:keepNext w:val="0"/>
                    <w:keepLines w:val="0"/>
                    <w:suppressLineNumbers w:val="0"/>
                    <w:spacing w:before="0" w:beforeAutospacing="0" w:after="0" w:afterAutospacing="0" w:line="280" w:lineRule="exact"/>
                    <w:ind w:left="0" w:right="0"/>
                    <w:jc w:val="center"/>
                    <w:rPr>
                      <w:rFonts w:hint="default" w:ascii="Times New Roman" w:hAnsi="Times New Roman" w:cs="Times New Roman"/>
                      <w:color w:val="auto"/>
                      <w:sz w:val="21"/>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786F6752">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2317BFD9">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67B80595">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62B65919">
                  <w:pPr>
                    <w:keepNext w:val="0"/>
                    <w:keepLines w:val="0"/>
                    <w:suppressLineNumbers w:val="0"/>
                    <w:spacing w:before="0" w:beforeAutospacing="0" w:after="0" w:afterAutospacing="0" w:line="280" w:lineRule="exact"/>
                    <w:ind w:left="0" w:right="0"/>
                    <w:rPr>
                      <w:rFonts w:hint="default" w:ascii="Times New Roman" w:hAnsi="Times New Roman" w:cs="Times New Roman"/>
                      <w:color w:val="auto"/>
                      <w:sz w:val="21"/>
                      <w:szCs w:val="21"/>
                      <w:highlight w:val="none"/>
                    </w:rPr>
                  </w:pPr>
                </w:p>
              </w:tc>
            </w:tr>
          </w:tbl>
          <w:p w14:paraId="18C28E37">
            <w:pPr>
              <w:keepNext w:val="0"/>
              <w:keepLines w:val="0"/>
              <w:suppressLineNumbers w:val="0"/>
              <w:wordWrap w:val="0"/>
              <w:spacing w:before="0" w:beforeAutospacing="0" w:after="0" w:afterAutospacing="0" w:line="400" w:lineRule="exact"/>
              <w:ind w:left="0" w:right="420"/>
              <w:rPr>
                <w:rFonts w:hint="default" w:ascii="Times New Roman" w:hAnsi="Times New Roman" w:cs="Times New Roman"/>
                <w:color w:val="auto"/>
                <w:sz w:val="21"/>
                <w:szCs w:val="21"/>
                <w:highlight w:val="none"/>
              </w:rPr>
            </w:pPr>
          </w:p>
          <w:p w14:paraId="2EBF392D">
            <w:pPr>
              <w:keepNext w:val="0"/>
              <w:keepLines w:val="0"/>
              <w:suppressLineNumbers w:val="0"/>
              <w:wordWrap w:val="0"/>
              <w:spacing w:before="0" w:beforeAutospacing="0" w:after="0" w:afterAutospacing="0" w:line="400" w:lineRule="exact"/>
              <w:ind w:left="0" w:right="42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 xml:space="preserve">承包人（章） </w:t>
            </w:r>
            <w:r>
              <w:rPr>
                <w:rFonts w:hint="default" w:ascii="Times New Roman" w:hAnsi="Times New Roman" w:cs="Times New Roman"/>
                <w:color w:val="auto"/>
                <w:sz w:val="21"/>
                <w:szCs w:val="21"/>
                <w:highlight w:val="none"/>
              </w:rPr>
              <w:t xml:space="preserve">            </w:t>
            </w:r>
          </w:p>
          <w:p w14:paraId="00F25EEB">
            <w:pPr>
              <w:keepNext w:val="0"/>
              <w:keepLines w:val="0"/>
              <w:suppressLineNumbers w:val="0"/>
              <w:spacing w:before="0" w:beforeAutospacing="0" w:after="0" w:afterAutospacing="0" w:line="400" w:lineRule="exact"/>
              <w:ind w:left="0" w:right="420" w:firstLine="435"/>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造价人员</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承包人代表</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 xml:space="preserve">日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期</w:t>
            </w:r>
            <w:r>
              <w:rPr>
                <w:rFonts w:hint="default" w:ascii="Times New Roman" w:hAnsi="Times New Roman" w:cs="Times New Roman"/>
                <w:color w:val="auto"/>
                <w:sz w:val="21"/>
                <w:szCs w:val="21"/>
                <w:highlight w:val="none"/>
                <w:u w:val="single"/>
              </w:rPr>
              <w:t xml:space="preserve">               </w:t>
            </w:r>
          </w:p>
        </w:tc>
      </w:tr>
      <w:tr w14:paraId="0AC24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520" w:type="dxa"/>
            <w:tcBorders>
              <w:top w:val="single" w:color="auto" w:sz="4" w:space="0"/>
              <w:left w:val="single" w:color="auto" w:sz="4" w:space="0"/>
              <w:bottom w:val="single" w:color="auto" w:sz="4" w:space="0"/>
              <w:right w:val="single" w:color="auto" w:sz="4" w:space="0"/>
            </w:tcBorders>
            <w:noWrap w:val="0"/>
            <w:vAlign w:val="top"/>
          </w:tcPr>
          <w:p w14:paraId="2A98CD7A">
            <w:pPr>
              <w:keepNext w:val="0"/>
              <w:keepLines w:val="0"/>
              <w:suppressLineNumbers w:val="0"/>
              <w:spacing w:before="0" w:beforeAutospacing="0" w:after="0" w:afterAutospacing="0" w:line="360" w:lineRule="exact"/>
              <w:ind w:left="0" w:right="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复核意见：</w:t>
            </w:r>
          </w:p>
          <w:p w14:paraId="360D1ECB">
            <w:pPr>
              <w:keepNext w:val="0"/>
              <w:keepLines w:val="0"/>
              <w:suppressLineNumbers w:val="0"/>
              <w:spacing w:before="0" w:beforeAutospacing="0" w:after="0" w:afterAutospacing="0" w:line="360" w:lineRule="exact"/>
              <w:ind w:left="0" w:right="0" w:firstLine="312"/>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□与合同约定不相符</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修改意见见附件。</w:t>
            </w:r>
          </w:p>
          <w:p w14:paraId="7AB7993C">
            <w:pPr>
              <w:keepNext w:val="0"/>
              <w:keepLines w:val="0"/>
              <w:suppressLineNumbers w:val="0"/>
              <w:spacing w:before="0" w:beforeAutospacing="0" w:after="0" w:afterAutospacing="0" w:line="360" w:lineRule="exact"/>
              <w:ind w:left="0" w:right="0" w:firstLine="312"/>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□与合同约定相符</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具体金额由造价工程师复核。</w:t>
            </w:r>
          </w:p>
          <w:p w14:paraId="42D9C046">
            <w:pPr>
              <w:keepNext w:val="0"/>
              <w:keepLines w:val="0"/>
              <w:suppressLineNumbers w:val="0"/>
              <w:spacing w:before="0" w:beforeAutospacing="0" w:after="0" w:afterAutospacing="0" w:line="360" w:lineRule="exact"/>
              <w:ind w:left="0" w:right="0" w:firstLine="435"/>
              <w:jc w:val="right"/>
              <w:rPr>
                <w:rFonts w:hint="default" w:ascii="Times New Roman" w:hAnsi="Times New Roman" w:cs="Times New Roman"/>
                <w:color w:val="auto"/>
                <w:sz w:val="21"/>
                <w:szCs w:val="21"/>
                <w:highlight w:val="none"/>
              </w:rPr>
            </w:pPr>
          </w:p>
          <w:p w14:paraId="7A83D86B">
            <w:pPr>
              <w:keepNext w:val="0"/>
              <w:keepLines w:val="0"/>
              <w:suppressLineNumbers w:val="0"/>
              <w:spacing w:before="0" w:beforeAutospacing="0" w:after="0" w:afterAutospacing="0" w:line="360" w:lineRule="exact"/>
              <w:ind w:left="0" w:right="0" w:firstLine="435"/>
              <w:jc w:val="center"/>
              <w:rPr>
                <w:rFonts w:hint="default" w:ascii="Times New Roman" w:hAnsi="Times New Roman" w:cs="Times New Roman"/>
                <w:color w:val="auto"/>
                <w:sz w:val="21"/>
                <w:szCs w:val="21"/>
                <w:highlight w:val="none"/>
                <w:u w:val="single"/>
              </w:rPr>
            </w:pP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监理工程师</w:t>
            </w:r>
            <w:r>
              <w:rPr>
                <w:rFonts w:hint="default" w:ascii="Times New Roman" w:hAnsi="Times New Roman" w:cs="Times New Roman"/>
                <w:color w:val="auto"/>
                <w:sz w:val="21"/>
                <w:szCs w:val="21"/>
                <w:highlight w:val="none"/>
                <w:u w:val="single"/>
              </w:rPr>
              <w:t xml:space="preserve">           </w:t>
            </w:r>
          </w:p>
          <w:p w14:paraId="2A76E2F4">
            <w:pPr>
              <w:keepNext w:val="0"/>
              <w:keepLines w:val="0"/>
              <w:suppressLineNumbers w:val="0"/>
              <w:spacing w:before="0" w:beforeAutospacing="0" w:after="0" w:afterAutospacing="0" w:line="360" w:lineRule="exact"/>
              <w:ind w:left="0" w:right="0" w:firstLine="435"/>
              <w:jc w:val="center"/>
              <w:rPr>
                <w:rFonts w:hint="default" w:ascii="Times New Roman" w:hAnsi="Times New Roman" w:cs="Times New Roman"/>
                <w:color w:val="auto"/>
                <w:sz w:val="21"/>
                <w:szCs w:val="21"/>
                <w:highlight w:val="none"/>
                <w:u w:val="single"/>
              </w:rPr>
            </w:pP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 xml:space="preserve">日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期</w:t>
            </w:r>
            <w:r>
              <w:rPr>
                <w:rFonts w:hint="default" w:ascii="Times New Roman" w:hAnsi="Times New Roman" w:cs="Times New Roman"/>
                <w:color w:val="auto"/>
                <w:sz w:val="21"/>
                <w:szCs w:val="21"/>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4B19A833">
            <w:pPr>
              <w:keepNext w:val="0"/>
              <w:keepLines w:val="0"/>
              <w:suppressLineNumbers w:val="0"/>
              <w:spacing w:before="0" w:beforeAutospacing="0" w:after="0" w:afterAutospacing="0" w:line="360" w:lineRule="exact"/>
              <w:ind w:left="0" w:right="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复核意见：</w:t>
            </w:r>
          </w:p>
          <w:p w14:paraId="491513EE">
            <w:pPr>
              <w:keepNext w:val="0"/>
              <w:keepLines w:val="0"/>
              <w:suppressLineNumbers w:val="0"/>
              <w:spacing w:before="0" w:beforeAutospacing="0" w:after="0" w:afterAutospacing="0" w:line="360" w:lineRule="exact"/>
              <w:ind w:left="0" w:right="0" w:firstLine="435"/>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你方提出的支付申请经复核</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应支付预付款金额为</w:t>
            </w:r>
            <w:r>
              <w:rPr>
                <w:rFonts w:hint="eastAsia" w:ascii="Times New Roman" w:hAnsi="Times New Roman" w:cs="Times New Roman"/>
                <w:color w:val="auto"/>
                <w:sz w:val="21"/>
                <w:szCs w:val="21"/>
                <w:highlight w:val="none"/>
                <w:lang w:eastAsia="zh-CN"/>
              </w:rPr>
              <w:t>（</w:t>
            </w:r>
            <w:r>
              <w:rPr>
                <w:rFonts w:hint="eastAsia" w:ascii="宋体" w:hAnsi="宋体" w:cs="Times New Roman"/>
                <w:color w:val="auto"/>
                <w:sz w:val="21"/>
                <w:szCs w:val="21"/>
                <w:highlight w:val="none"/>
              </w:rPr>
              <w:t>大写</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u w:val="single"/>
              </w:rPr>
              <w:t xml:space="preserve">                </w:t>
            </w:r>
            <w:r>
              <w:rPr>
                <w:rFonts w:hint="eastAsia" w:ascii="宋体" w:hAnsi="宋体" w:cs="Times New Roman"/>
                <w:color w:val="auto"/>
                <w:sz w:val="21"/>
                <w:szCs w:val="21"/>
                <w:highlight w:val="none"/>
              </w:rPr>
              <w:t>元</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（小写）</w:t>
            </w:r>
          </w:p>
          <w:p w14:paraId="158242C2">
            <w:pPr>
              <w:keepNext w:val="0"/>
              <w:keepLines w:val="0"/>
              <w:suppressLineNumbers w:val="0"/>
              <w:spacing w:before="0" w:beforeAutospacing="0" w:after="0" w:afterAutospacing="0" w:line="360" w:lineRule="exact"/>
              <w:ind w:left="0" w:right="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u w:val="single"/>
              </w:rPr>
              <w:t xml:space="preserve">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元。</w:t>
            </w:r>
          </w:p>
          <w:p w14:paraId="46C7133D">
            <w:pPr>
              <w:keepNext w:val="0"/>
              <w:keepLines w:val="0"/>
              <w:suppressLineNumbers w:val="0"/>
              <w:spacing w:before="0" w:beforeAutospacing="0" w:after="0" w:afterAutospacing="0" w:line="360" w:lineRule="exact"/>
              <w:ind w:left="0" w:right="0"/>
              <w:rPr>
                <w:rFonts w:hint="default" w:ascii="Times New Roman" w:hAnsi="Times New Roman" w:cs="Times New Roman"/>
                <w:color w:val="auto"/>
                <w:sz w:val="21"/>
                <w:szCs w:val="21"/>
                <w:highlight w:val="none"/>
                <w:u w:val="single"/>
              </w:rPr>
            </w:pPr>
          </w:p>
          <w:p w14:paraId="07276C71">
            <w:pPr>
              <w:keepNext w:val="0"/>
              <w:keepLines w:val="0"/>
              <w:suppressLineNumbers w:val="0"/>
              <w:spacing w:before="0" w:beforeAutospacing="0" w:after="0" w:afterAutospacing="0" w:line="360" w:lineRule="exact"/>
              <w:ind w:left="0" w:right="0" w:firstLine="435"/>
              <w:jc w:val="center"/>
              <w:rPr>
                <w:rFonts w:hint="default" w:ascii="Times New Roman" w:hAnsi="Times New Roman" w:cs="Times New Roman"/>
                <w:color w:val="auto"/>
                <w:sz w:val="21"/>
                <w:szCs w:val="21"/>
                <w:highlight w:val="none"/>
                <w:u w:val="single"/>
              </w:rPr>
            </w:pP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造价工程师</w:t>
            </w:r>
            <w:r>
              <w:rPr>
                <w:rFonts w:hint="default" w:ascii="Times New Roman" w:hAnsi="Times New Roman" w:cs="Times New Roman"/>
                <w:color w:val="auto"/>
                <w:sz w:val="21"/>
                <w:szCs w:val="21"/>
                <w:highlight w:val="none"/>
                <w:u w:val="single"/>
              </w:rPr>
              <w:t xml:space="preserve">           </w:t>
            </w:r>
          </w:p>
          <w:p w14:paraId="1D988F4E">
            <w:pPr>
              <w:keepNext w:val="0"/>
              <w:keepLines w:val="0"/>
              <w:suppressLineNumbers w:val="0"/>
              <w:spacing w:before="0" w:beforeAutospacing="0" w:after="0" w:afterAutospacing="0" w:line="360" w:lineRule="exact"/>
              <w:ind w:left="0" w:right="0" w:firstLine="435"/>
              <w:jc w:val="center"/>
              <w:rPr>
                <w:rFonts w:hint="default" w:ascii="Times New Roman" w:hAnsi="Times New Roman" w:cs="Times New Roman"/>
                <w:color w:val="auto"/>
                <w:sz w:val="21"/>
                <w:szCs w:val="21"/>
                <w:highlight w:val="none"/>
                <w:u w:val="single"/>
              </w:rPr>
            </w:pP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 xml:space="preserve">日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期</w:t>
            </w:r>
            <w:r>
              <w:rPr>
                <w:rFonts w:hint="default" w:ascii="Times New Roman" w:hAnsi="Times New Roman" w:cs="Times New Roman"/>
                <w:color w:val="auto"/>
                <w:sz w:val="21"/>
                <w:szCs w:val="21"/>
                <w:highlight w:val="none"/>
                <w:u w:val="single"/>
              </w:rPr>
              <w:t xml:space="preserve">           </w:t>
            </w:r>
          </w:p>
        </w:tc>
      </w:tr>
      <w:tr w14:paraId="3A13A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78F8FFB2">
            <w:pPr>
              <w:keepNext w:val="0"/>
              <w:keepLines w:val="0"/>
              <w:suppressLineNumbers w:val="0"/>
              <w:spacing w:before="0" w:beforeAutospacing="0" w:after="0" w:afterAutospacing="0" w:line="400" w:lineRule="exact"/>
              <w:ind w:left="0" w:right="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审核意见：</w:t>
            </w:r>
          </w:p>
          <w:p w14:paraId="00987AE9">
            <w:pPr>
              <w:keepNext w:val="0"/>
              <w:keepLines w:val="0"/>
              <w:suppressLineNumbers w:val="0"/>
              <w:spacing w:before="0" w:beforeAutospacing="0" w:after="0" w:afterAutospacing="0" w:line="400" w:lineRule="exact"/>
              <w:ind w:left="0" w:right="0" w:firstLine="435"/>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□不同意。</w:t>
            </w:r>
          </w:p>
          <w:p w14:paraId="783E6360">
            <w:pPr>
              <w:keepNext w:val="0"/>
              <w:keepLines w:val="0"/>
              <w:suppressLineNumbers w:val="0"/>
              <w:spacing w:before="0" w:beforeAutospacing="0" w:after="0" w:afterAutospacing="0" w:line="400" w:lineRule="exact"/>
              <w:ind w:left="0" w:right="0" w:firstLine="420" w:firstLineChars="200"/>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□同意</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支付时间为本表签发后的</w:t>
            </w:r>
            <w:r>
              <w:rPr>
                <w:rFonts w:hint="eastAsia" w:ascii="Times New Roman" w:hAnsi="Times New Roman" w:cs="Times New Roman"/>
                <w:color w:val="auto"/>
                <w:sz w:val="21"/>
                <w:szCs w:val="21"/>
                <w:highlight w:val="none"/>
              </w:rPr>
              <w:t>15</w:t>
            </w:r>
            <w:r>
              <w:rPr>
                <w:rFonts w:hint="eastAsia" w:ascii="宋体" w:hAnsi="宋体" w:cs="Times New Roman"/>
                <w:color w:val="auto"/>
                <w:sz w:val="21"/>
                <w:szCs w:val="21"/>
                <w:highlight w:val="none"/>
              </w:rPr>
              <w:t>天内。</w:t>
            </w:r>
          </w:p>
          <w:p w14:paraId="1FE210CC">
            <w:pPr>
              <w:keepNext w:val="0"/>
              <w:keepLines w:val="0"/>
              <w:suppressLineNumbers w:val="0"/>
              <w:wordWrap w:val="0"/>
              <w:spacing w:before="0" w:beforeAutospacing="0" w:after="0" w:afterAutospacing="0" w:line="400" w:lineRule="exact"/>
              <w:ind w:left="0" w:right="0" w:firstLine="420" w:firstLineChars="200"/>
              <w:jc w:val="right"/>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 xml:space="preserve">发包人（章） </w:t>
            </w:r>
            <w:r>
              <w:rPr>
                <w:rFonts w:hint="default" w:ascii="Times New Roman" w:hAnsi="Times New Roman" w:cs="Times New Roman"/>
                <w:color w:val="auto"/>
                <w:sz w:val="21"/>
                <w:szCs w:val="21"/>
                <w:highlight w:val="none"/>
              </w:rPr>
              <w:t xml:space="preserve">          </w:t>
            </w:r>
          </w:p>
          <w:p w14:paraId="26A02362">
            <w:pPr>
              <w:keepNext w:val="0"/>
              <w:keepLines w:val="0"/>
              <w:suppressLineNumbers w:val="0"/>
              <w:wordWrap w:val="0"/>
              <w:spacing w:before="0" w:beforeAutospacing="0" w:after="0" w:afterAutospacing="0" w:line="400" w:lineRule="exact"/>
              <w:ind w:left="0" w:right="0" w:firstLine="420" w:firstLineChars="200"/>
              <w:jc w:val="right"/>
              <w:rPr>
                <w:rFonts w:hint="default" w:ascii="Times New Roman" w:hAnsi="Times New Roman" w:cs="Times New Roman"/>
                <w:color w:val="auto"/>
                <w:sz w:val="21"/>
                <w:szCs w:val="21"/>
                <w:highlight w:val="none"/>
                <w:u w:val="single"/>
              </w:rPr>
            </w:pPr>
            <w:r>
              <w:rPr>
                <w:rFonts w:hint="eastAsia" w:ascii="宋体" w:hAnsi="宋体" w:cs="Times New Roman"/>
                <w:color w:val="auto"/>
                <w:sz w:val="21"/>
                <w:szCs w:val="21"/>
                <w:highlight w:val="none"/>
              </w:rPr>
              <w:t>发包人代表</w:t>
            </w:r>
            <w:r>
              <w:rPr>
                <w:rFonts w:hint="default" w:ascii="Times New Roman" w:hAnsi="Times New Roman" w:cs="Times New Roman"/>
                <w:color w:val="auto"/>
                <w:sz w:val="21"/>
                <w:szCs w:val="21"/>
                <w:highlight w:val="none"/>
                <w:u w:val="single"/>
              </w:rPr>
              <w:t xml:space="preserve">             </w:t>
            </w:r>
          </w:p>
          <w:p w14:paraId="19325A8B">
            <w:pPr>
              <w:keepNext w:val="0"/>
              <w:keepLines w:val="0"/>
              <w:suppressLineNumbers w:val="0"/>
              <w:wordWrap w:val="0"/>
              <w:spacing w:before="0" w:beforeAutospacing="0" w:after="0" w:afterAutospacing="0" w:line="400" w:lineRule="exact"/>
              <w:ind w:left="0" w:right="0" w:firstLine="420" w:firstLineChars="200"/>
              <w:jc w:val="right"/>
              <w:rPr>
                <w:rFonts w:hint="default" w:ascii="Times New Roman" w:hAnsi="Times New Roman" w:cs="Times New Roman"/>
                <w:color w:val="auto"/>
                <w:sz w:val="21"/>
                <w:szCs w:val="21"/>
                <w:highlight w:val="none"/>
                <w:u w:val="single"/>
              </w:rPr>
            </w:pPr>
            <w:r>
              <w:rPr>
                <w:rFonts w:hint="eastAsia" w:ascii="宋体" w:hAnsi="宋体" w:cs="Times New Roman"/>
                <w:color w:val="auto"/>
                <w:sz w:val="21"/>
                <w:szCs w:val="21"/>
                <w:highlight w:val="none"/>
              </w:rPr>
              <w:t xml:space="preserve">日 </w:t>
            </w:r>
            <w:r>
              <w:rPr>
                <w:rFonts w:hint="default" w:ascii="Times New Roman" w:hAnsi="Times New Roman" w:cs="Times New Roman"/>
                <w:color w:val="auto"/>
                <w:sz w:val="21"/>
                <w:szCs w:val="21"/>
                <w:highlight w:val="none"/>
              </w:rPr>
              <w:t xml:space="preserve">     </w:t>
            </w:r>
            <w:r>
              <w:rPr>
                <w:rFonts w:hint="eastAsia" w:ascii="宋体" w:hAnsi="宋体" w:cs="Times New Roman"/>
                <w:color w:val="auto"/>
                <w:sz w:val="21"/>
                <w:szCs w:val="21"/>
                <w:highlight w:val="none"/>
              </w:rPr>
              <w:t>期</w:t>
            </w:r>
            <w:r>
              <w:rPr>
                <w:rFonts w:hint="default" w:ascii="Times New Roman" w:hAnsi="Times New Roman" w:cs="Times New Roman"/>
                <w:color w:val="auto"/>
                <w:sz w:val="21"/>
                <w:szCs w:val="21"/>
                <w:highlight w:val="none"/>
                <w:u w:val="single"/>
              </w:rPr>
              <w:t xml:space="preserve">             </w:t>
            </w:r>
          </w:p>
        </w:tc>
      </w:tr>
    </w:tbl>
    <w:p w14:paraId="644615CF">
      <w:pPr>
        <w:ind w:firstLine="420" w:firstLineChars="200"/>
        <w:rPr>
          <w:rFonts w:ascii="Times New Roman" w:hAnsi="Times New Roman" w:cs="Times New Roman"/>
          <w:color w:val="auto"/>
          <w:sz w:val="21"/>
          <w:szCs w:val="21"/>
          <w:highlight w:val="none"/>
        </w:rPr>
      </w:pPr>
      <w:r>
        <w:rPr>
          <w:rFonts w:hint="eastAsia" w:ascii="宋体" w:hAnsi="宋体" w:cs="Times New Roman"/>
          <w:color w:val="auto"/>
          <w:sz w:val="21"/>
          <w:szCs w:val="21"/>
          <w:highlight w:val="none"/>
        </w:rPr>
        <w:t>注：</w:t>
      </w:r>
      <w:r>
        <w:rPr>
          <w:rFonts w:hint="eastAsia" w:ascii="Times New Roman" w:hAnsi="Times New Roman" w:cs="Times New Roman"/>
          <w:color w:val="auto"/>
          <w:sz w:val="21"/>
          <w:szCs w:val="21"/>
          <w:highlight w:val="none"/>
        </w:rPr>
        <w:t>1.</w:t>
      </w:r>
      <w:r>
        <w:rPr>
          <w:rFonts w:hint="eastAsia" w:ascii="宋体" w:hAnsi="宋体" w:cs="Times New Roman"/>
          <w:color w:val="auto"/>
          <w:sz w:val="21"/>
          <w:szCs w:val="21"/>
          <w:highlight w:val="none"/>
        </w:rPr>
        <w:t xml:space="preserve">在选择栏中的“□”内作标识“√”。 </w:t>
      </w:r>
    </w:p>
    <w:p w14:paraId="13746491">
      <w:pPr>
        <w:widowControl w:val="0"/>
        <w:spacing w:after="120" w:afterLines="0" w:line="240" w:lineRule="auto"/>
        <w:ind w:leftChars="0" w:firstLine="0" w:firstLineChars="0"/>
        <w:jc w:val="both"/>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 xml:space="preserve">    </w:t>
      </w:r>
      <w:r>
        <w:rPr>
          <w:rFonts w:ascii="Times New Roman" w:hAnsi="Times New Roman" w:eastAsia="宋体" w:cs="Times New Roman"/>
          <w:color w:val="auto"/>
          <w:kern w:val="2"/>
          <w:sz w:val="21"/>
          <w:szCs w:val="21"/>
          <w:highlight w:val="none"/>
          <w:lang w:val="en-US" w:eastAsia="zh-CN" w:bidi="ar-SA"/>
        </w:rPr>
        <w:t xml:space="preserve">  </w:t>
      </w:r>
      <w:r>
        <w:rPr>
          <w:rFonts w:hint="eastAsia" w:ascii="宋体" w:hAnsi="宋体" w:eastAsia="宋体" w:cs="Times New Roman"/>
          <w:color w:val="auto"/>
          <w:kern w:val="2"/>
          <w:sz w:val="21"/>
          <w:szCs w:val="21"/>
          <w:highlight w:val="none"/>
          <w:lang w:val="en-US" w:eastAsia="zh-CN" w:bidi="ar-SA"/>
        </w:rPr>
        <w:t xml:space="preserve">  </w:t>
      </w:r>
      <w:r>
        <w:rPr>
          <w:rFonts w:hint="eastAsia" w:ascii="Times New Roman" w:hAnsi="Times New Roman" w:eastAsia="宋体" w:cs="Times New Roman"/>
          <w:color w:val="auto"/>
          <w:kern w:val="2"/>
          <w:sz w:val="21"/>
          <w:szCs w:val="21"/>
          <w:highlight w:val="none"/>
          <w:lang w:val="en-US" w:eastAsia="zh-CN" w:bidi="ar-SA"/>
        </w:rPr>
        <w:t>2.</w:t>
      </w:r>
      <w:r>
        <w:rPr>
          <w:rFonts w:hint="eastAsia" w:ascii="宋体" w:hAnsi="宋体" w:eastAsia="宋体" w:cs="Times New Roman"/>
          <w:color w:val="auto"/>
          <w:kern w:val="2"/>
          <w:sz w:val="21"/>
          <w:szCs w:val="21"/>
          <w:highlight w:val="none"/>
          <w:lang w:val="en-US" w:eastAsia="zh-CN" w:bidi="ar-SA"/>
        </w:rPr>
        <w:t xml:space="preserve">本表一式四份，由承包人填报，发包人、监理人、造价咨询人、承包人各存一份。     </w:t>
      </w:r>
    </w:p>
    <w:p w14:paraId="67FE235E">
      <w:pPr>
        <w:widowControl w:val="0"/>
        <w:spacing w:after="120" w:afterLines="0" w:line="240" w:lineRule="auto"/>
        <w:ind w:leftChars="0" w:firstLine="0" w:firstLineChars="0"/>
        <w:jc w:val="both"/>
        <w:rPr>
          <w:rFonts w:hint="eastAsia" w:ascii="宋体" w:hAnsi="宋体" w:eastAsia="宋体" w:cs="Times New Roman"/>
          <w:color w:val="auto"/>
          <w:kern w:val="2"/>
          <w:sz w:val="21"/>
          <w:szCs w:val="21"/>
          <w:highlight w:val="none"/>
          <w:lang w:val="en-US" w:eastAsia="zh-CN" w:bidi="ar-SA"/>
        </w:rPr>
      </w:pPr>
    </w:p>
    <w:p w14:paraId="1A33E9DC">
      <w:pPr>
        <w:keepNext/>
        <w:keepLines/>
        <w:widowControl/>
        <w:spacing w:before="120" w:beforeLines="0" w:after="120" w:afterLines="0" w:line="360" w:lineRule="auto"/>
        <w:jc w:val="both"/>
        <w:outlineLvl w:val="3"/>
        <w:rPr>
          <w:rFonts w:hint="eastAsia" w:ascii="仿宋_GB2312" w:hAnsi="Times New Roman" w:eastAsia="仿宋_GB2312" w:cs="仿宋_GB2312"/>
          <w:b w:val="0"/>
          <w:color w:val="auto"/>
          <w:kern w:val="0"/>
          <w:sz w:val="21"/>
          <w:szCs w:val="21"/>
          <w:highlight w:val="none"/>
          <w:lang w:val="en-US" w:eastAsia="zh-CN" w:bidi="ar-SA"/>
        </w:rPr>
      </w:pPr>
      <w:r>
        <w:rPr>
          <w:rFonts w:hint="eastAsia" w:ascii="仿宋_GB2312" w:hAnsi="Times New Roman" w:eastAsia="仿宋_GB2312" w:cs="仿宋_GB2312"/>
          <w:b w:val="0"/>
          <w:color w:val="auto"/>
          <w:kern w:val="0"/>
          <w:sz w:val="21"/>
          <w:szCs w:val="21"/>
          <w:highlight w:val="none"/>
          <w:lang w:val="en-US" w:eastAsia="zh-CN" w:bidi="ar-SA"/>
        </w:rPr>
        <w:t>附件15 发包人提供材料一览表</w:t>
      </w:r>
    </w:p>
    <w:p w14:paraId="71D45BC7">
      <w:pPr>
        <w:widowControl/>
        <w:jc w:val="center"/>
        <w:rPr>
          <w:rFonts w:ascii="Times New Roman" w:hAnsi="Times New Roman" w:cs="Times New Roman"/>
          <w:b/>
          <w:color w:val="auto"/>
          <w:sz w:val="21"/>
          <w:szCs w:val="21"/>
          <w:highlight w:val="none"/>
        </w:rPr>
      </w:pPr>
      <w:r>
        <w:rPr>
          <w:rFonts w:hint="eastAsia" w:ascii="宋体" w:hAnsi="宋体" w:cs="Times New Roman"/>
          <w:b/>
          <w:color w:val="auto"/>
          <w:sz w:val="21"/>
          <w:szCs w:val="21"/>
          <w:highlight w:val="none"/>
        </w:rPr>
        <w:t>发包人提供材料一览表</w:t>
      </w:r>
    </w:p>
    <w:p w14:paraId="7E0586F2">
      <w:pP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w:t>
      </w:r>
    </w:p>
    <w:p w14:paraId="5B0233F6">
      <w:pPr>
        <w:ind w:firstLine="420" w:firstLineChars="200"/>
        <w:rPr>
          <w:rFonts w:ascii="Times New Roman" w:hAnsi="Times New Roman" w:cs="Times New Roman"/>
          <w:color w:val="auto"/>
          <w:sz w:val="21"/>
          <w:szCs w:val="21"/>
          <w:highlight w:val="none"/>
        </w:rPr>
      </w:pPr>
      <w:r>
        <w:rPr>
          <w:rFonts w:hint="eastAsia" w:ascii="宋体" w:hAnsi="宋体" w:cs="Times New Roman"/>
          <w:color w:val="auto"/>
          <w:sz w:val="21"/>
          <w:szCs w:val="21"/>
          <w:highlight w:val="none"/>
        </w:rPr>
        <w:t xml:space="preserve">工程名称：                                                  </w:t>
      </w:r>
      <w:r>
        <w:rPr>
          <w:rFonts w:hint="eastAsia" w:ascii="宋体" w:hAnsi="宋体" w:cs="Times New Roman"/>
          <w:color w:val="auto"/>
          <w:sz w:val="21"/>
          <w:szCs w:val="21"/>
          <w:highlight w:val="none"/>
          <w:lang w:val="en-US" w:eastAsia="zh-CN"/>
        </w:rPr>
        <w:t xml:space="preserve">       </w:t>
      </w:r>
      <w:r>
        <w:rPr>
          <w:rFonts w:hint="eastAsia" w:ascii="宋体" w:hAnsi="宋体" w:cs="Times New Roman"/>
          <w:color w:val="auto"/>
          <w:sz w:val="21"/>
          <w:szCs w:val="21"/>
          <w:highlight w:val="none"/>
        </w:rPr>
        <w:t xml:space="preserve"> 第  页  共  页</w:t>
      </w:r>
    </w:p>
    <w:tbl>
      <w:tblPr>
        <w:tblStyle w:val="54"/>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1976"/>
        <w:gridCol w:w="744"/>
        <w:gridCol w:w="743"/>
        <w:gridCol w:w="979"/>
        <w:gridCol w:w="979"/>
        <w:gridCol w:w="1118"/>
        <w:gridCol w:w="805"/>
        <w:gridCol w:w="853"/>
      </w:tblGrid>
      <w:tr w14:paraId="1ECCE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4F4991DB">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序号</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06240DB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名称、规格、型号</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3E0A9F82">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单位</w:t>
            </w:r>
          </w:p>
        </w:tc>
        <w:tc>
          <w:tcPr>
            <w:tcW w:w="743" w:type="dxa"/>
            <w:tcBorders>
              <w:top w:val="single" w:color="auto" w:sz="4" w:space="0"/>
              <w:left w:val="single" w:color="auto" w:sz="4" w:space="0"/>
              <w:bottom w:val="single" w:color="auto" w:sz="4" w:space="0"/>
              <w:right w:val="single" w:color="auto" w:sz="4" w:space="0"/>
            </w:tcBorders>
            <w:noWrap w:val="0"/>
            <w:vAlign w:val="center"/>
          </w:tcPr>
          <w:p w14:paraId="333924B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数量</w:t>
            </w:r>
          </w:p>
        </w:tc>
        <w:tc>
          <w:tcPr>
            <w:tcW w:w="979" w:type="dxa"/>
            <w:tcBorders>
              <w:top w:val="single" w:color="auto" w:sz="4" w:space="0"/>
              <w:left w:val="single" w:color="auto" w:sz="4" w:space="0"/>
              <w:bottom w:val="single" w:color="auto" w:sz="4" w:space="0"/>
              <w:right w:val="single" w:color="auto" w:sz="4" w:space="0"/>
            </w:tcBorders>
            <w:noWrap w:val="0"/>
            <w:vAlign w:val="center"/>
          </w:tcPr>
          <w:p w14:paraId="7687962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单价（元）</w:t>
            </w:r>
          </w:p>
        </w:tc>
        <w:tc>
          <w:tcPr>
            <w:tcW w:w="979" w:type="dxa"/>
            <w:tcBorders>
              <w:top w:val="single" w:color="auto" w:sz="4" w:space="0"/>
              <w:left w:val="single" w:color="auto" w:sz="4" w:space="0"/>
              <w:bottom w:val="single" w:color="auto" w:sz="4" w:space="0"/>
              <w:right w:val="single" w:color="auto" w:sz="4" w:space="0"/>
            </w:tcBorders>
            <w:noWrap w:val="0"/>
            <w:vAlign w:val="center"/>
          </w:tcPr>
          <w:p w14:paraId="6447E310">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合价（元）</w:t>
            </w:r>
          </w:p>
        </w:tc>
        <w:tc>
          <w:tcPr>
            <w:tcW w:w="1118" w:type="dxa"/>
            <w:tcBorders>
              <w:top w:val="single" w:color="auto" w:sz="4" w:space="0"/>
              <w:left w:val="single" w:color="auto" w:sz="4" w:space="0"/>
              <w:bottom w:val="single" w:color="auto" w:sz="4" w:space="0"/>
              <w:right w:val="single" w:color="auto" w:sz="4" w:space="0"/>
            </w:tcBorders>
            <w:noWrap w:val="0"/>
            <w:vAlign w:val="center"/>
          </w:tcPr>
          <w:p w14:paraId="7478CCF2">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有效损耗率（%）</w:t>
            </w:r>
          </w:p>
        </w:tc>
        <w:tc>
          <w:tcPr>
            <w:tcW w:w="805" w:type="dxa"/>
            <w:tcBorders>
              <w:top w:val="single" w:color="auto" w:sz="4" w:space="0"/>
              <w:left w:val="single" w:color="auto" w:sz="4" w:space="0"/>
              <w:bottom w:val="single" w:color="auto" w:sz="4" w:space="0"/>
              <w:right w:val="single" w:color="auto" w:sz="4" w:space="0"/>
            </w:tcBorders>
            <w:noWrap w:val="0"/>
            <w:vAlign w:val="center"/>
          </w:tcPr>
          <w:p w14:paraId="1C3C684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lang w:eastAsia="zh-CN"/>
              </w:rPr>
              <w:t>交货地点</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204F7656">
            <w:pPr>
              <w:keepNext w:val="0"/>
              <w:keepLines w:val="0"/>
              <w:suppressLineNumbers w:val="0"/>
              <w:spacing w:before="0" w:beforeAutospacing="0" w:after="0" w:afterAutospacing="0"/>
              <w:ind w:left="0" w:right="0"/>
              <w:jc w:val="center"/>
              <w:rPr>
                <w:rFonts w:hint="eastAsia" w:ascii="宋体" w:hAnsi="宋体" w:cs="Times New Roman"/>
                <w:color w:val="auto"/>
                <w:sz w:val="21"/>
                <w:szCs w:val="21"/>
                <w:highlight w:val="none"/>
              </w:rPr>
            </w:pPr>
            <w:r>
              <w:rPr>
                <w:rFonts w:hint="eastAsia" w:ascii="宋体" w:hAnsi="宋体" w:cs="Times New Roman"/>
                <w:color w:val="auto"/>
                <w:sz w:val="21"/>
                <w:szCs w:val="21"/>
                <w:highlight w:val="none"/>
              </w:rPr>
              <w:t>备注</w:t>
            </w:r>
          </w:p>
        </w:tc>
      </w:tr>
      <w:tr w14:paraId="71A37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3B0F06C6">
            <w:pPr>
              <w:keepNext w:val="0"/>
              <w:keepLines w:val="0"/>
              <w:suppressLineNumbers w:val="0"/>
              <w:spacing w:before="0" w:beforeAutospacing="0" w:after="0" w:afterAutospacing="0"/>
              <w:ind w:left="0" w:leftChars="0" w:right="0" w:rightChars="0"/>
              <w:jc w:val="center"/>
              <w:rPr>
                <w:rFonts w:hint="default" w:ascii="宋体" w:hAnsi="宋体" w:cs="Times New Roman"/>
                <w:b/>
                <w:bCs/>
                <w:color w:val="auto"/>
                <w:sz w:val="21"/>
                <w:szCs w:val="21"/>
                <w:highlight w:val="none"/>
              </w:rPr>
            </w:pPr>
            <w:r>
              <w:rPr>
                <w:rFonts w:hint="eastAsia" w:ascii="宋体" w:hAnsi="宋体" w:cs="Times New Roman"/>
                <w:b/>
                <w:bCs/>
                <w:color w:val="auto"/>
                <w:sz w:val="21"/>
                <w:szCs w:val="21"/>
                <w:highlight w:val="none"/>
                <w:lang w:val="en-US" w:eastAsia="zh-CN"/>
              </w:rPr>
              <w:t>一</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7A62E067">
            <w:pPr>
              <w:keepNext w:val="0"/>
              <w:keepLines w:val="0"/>
              <w:suppressLineNumbers w:val="0"/>
              <w:spacing w:before="0" w:beforeAutospacing="0" w:after="0" w:afterAutospacing="0"/>
              <w:ind w:left="0" w:leftChars="0" w:right="0" w:rightChars="0"/>
              <w:jc w:val="left"/>
              <w:rPr>
                <w:rFonts w:hint="eastAsia" w:ascii="宋体" w:hAnsi="宋体" w:eastAsia="宋体" w:cs="Times New Roman"/>
                <w:b/>
                <w:bCs/>
                <w:color w:val="auto"/>
                <w:sz w:val="21"/>
                <w:szCs w:val="21"/>
                <w:highlight w:val="none"/>
              </w:rPr>
            </w:pPr>
            <w:r>
              <w:rPr>
                <w:rFonts w:hint="eastAsia" w:ascii="宋体" w:hAnsi="宋体" w:cs="Times New Roman"/>
                <w:b/>
                <w:bCs/>
                <w:color w:val="auto"/>
                <w:sz w:val="21"/>
                <w:szCs w:val="21"/>
                <w:highlight w:val="none"/>
                <w:lang w:eastAsia="zh-CN"/>
              </w:rPr>
              <w:t>单项工程</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63471FC9">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427A7AAB">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E6D8770">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D43DEB0">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6B0574CC">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490945C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7BE7C2C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r>
      <w:tr w14:paraId="0D7B9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0E1A8DB1">
            <w:pPr>
              <w:keepNext w:val="0"/>
              <w:keepLines w:val="0"/>
              <w:suppressLineNumbers w:val="0"/>
              <w:spacing w:before="0" w:beforeAutospacing="0" w:after="0" w:afterAutospacing="0"/>
              <w:ind w:left="0" w:leftChars="0" w:right="0" w:rightChars="0"/>
              <w:jc w:val="center"/>
              <w:rPr>
                <w:rFonts w:hint="default" w:ascii="宋体" w:hAnsi="宋体" w:eastAsia="宋体" w:cs="Times New Roman"/>
                <w:color w:val="auto"/>
                <w:kern w:val="2"/>
                <w:sz w:val="21"/>
                <w:szCs w:val="21"/>
                <w:highlight w:val="none"/>
                <w:lang w:val="en-US" w:eastAsia="zh-CN" w:bidi="ar-SA"/>
              </w:rPr>
            </w:pPr>
            <w:r>
              <w:rPr>
                <w:rFonts w:hint="eastAsia" w:ascii="宋体" w:hAnsi="宋体" w:cs="Times New Roman"/>
                <w:b w:val="0"/>
                <w:bCs w:val="0"/>
                <w:color w:val="auto"/>
                <w:sz w:val="21"/>
                <w:szCs w:val="21"/>
                <w:highlight w:val="none"/>
                <w:lang w:eastAsia="zh-CN"/>
              </w:rPr>
              <w:t>（一）</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474F3A5C">
            <w:pPr>
              <w:keepNext w:val="0"/>
              <w:keepLines w:val="0"/>
              <w:suppressLineNumbers w:val="0"/>
              <w:spacing w:before="0" w:beforeAutospacing="0" w:after="0" w:afterAutospacing="0"/>
              <w:ind w:left="0" w:leftChars="0" w:right="0" w:rightChars="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cs="Times New Roman"/>
                <w:b w:val="0"/>
                <w:bCs w:val="0"/>
                <w:color w:val="auto"/>
                <w:sz w:val="21"/>
                <w:szCs w:val="21"/>
                <w:highlight w:val="none"/>
                <w:lang w:eastAsia="zh-CN"/>
              </w:rPr>
              <w:t>单位</w:t>
            </w:r>
            <w:r>
              <w:rPr>
                <w:rFonts w:hint="eastAsia" w:ascii="宋体" w:hAnsi="宋体" w:cs="Times New Roman"/>
                <w:b w:val="0"/>
                <w:bCs w:val="0"/>
                <w:color w:val="auto"/>
                <w:sz w:val="21"/>
                <w:szCs w:val="21"/>
                <w:highlight w:val="none"/>
              </w:rPr>
              <w:t>工程</w:t>
            </w:r>
            <w:r>
              <w:rPr>
                <w:rFonts w:hint="eastAsia" w:ascii="宋体" w:hAnsi="宋体" w:cs="Times New Roman"/>
                <w:b w:val="0"/>
                <w:bCs w:val="0"/>
                <w:color w:val="auto"/>
                <w:sz w:val="21"/>
                <w:szCs w:val="21"/>
                <w:highlight w:val="none"/>
                <w:lang w:val="en-US" w:eastAsia="zh-CN"/>
              </w:rPr>
              <w:t>1</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040F12A0">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57DF2B10">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1FE3C91">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E786CC1">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090C5A5A">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77D5508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3AEFE14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r>
      <w:tr w14:paraId="56799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6F59850B">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C764922">
            <w:pPr>
              <w:keepNext w:val="0"/>
              <w:keepLines w:val="0"/>
              <w:suppressLineNumbers w:val="0"/>
              <w:spacing w:before="0" w:beforeAutospacing="0" w:after="0" w:afterAutospacing="0"/>
              <w:ind w:left="0" w:right="0"/>
              <w:jc w:val="both"/>
              <w:rPr>
                <w:rFonts w:hint="default" w:ascii="宋体" w:hAnsi="宋体" w:cs="Times New Roman"/>
                <w:color w:val="auto"/>
                <w:sz w:val="21"/>
                <w:szCs w:val="21"/>
                <w:highlight w:val="none"/>
              </w:rPr>
            </w:pPr>
            <w:r>
              <w:rPr>
                <w:rFonts w:hint="default" w:ascii="宋体" w:hAnsi="宋体" w:cs="Times New Roman"/>
                <w:color w:val="auto"/>
                <w:sz w:val="21"/>
                <w:szCs w:val="21"/>
                <w:highlight w:val="none"/>
              </w:rPr>
              <w:t>……</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0F22C3EB">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14D5CD90">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2880F4FC">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3DC5A29">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45DB53DC">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5B4875FB">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3369886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r>
      <w:tr w14:paraId="5E861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6DC81E5D">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03D43360">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32486B1E">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63D5FD2A">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26DAB20A">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0844AAAF">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27D223BE">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0EC7F4E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262BC77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r>
      <w:tr w14:paraId="6F0BE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02C5B30D">
            <w:pPr>
              <w:keepNext w:val="0"/>
              <w:keepLines w:val="0"/>
              <w:suppressLineNumbers w:val="0"/>
              <w:spacing w:before="0" w:beforeAutospacing="0" w:after="0" w:afterAutospacing="0"/>
              <w:ind w:left="0" w:leftChars="0" w:right="0" w:rightChars="0"/>
              <w:jc w:val="center"/>
              <w:rPr>
                <w:rFonts w:hint="eastAsia" w:ascii="宋体" w:hAnsi="宋体" w:eastAsia="宋体" w:cs="Times New Roman"/>
                <w:color w:val="auto"/>
                <w:sz w:val="21"/>
                <w:szCs w:val="21"/>
                <w:highlight w:val="none"/>
              </w:rPr>
            </w:pPr>
            <w:r>
              <w:rPr>
                <w:rFonts w:hint="eastAsia" w:ascii="宋体" w:hAnsi="宋体" w:cs="Times New Roman"/>
                <w:b w:val="0"/>
                <w:bCs w:val="0"/>
                <w:color w:val="auto"/>
                <w:sz w:val="21"/>
                <w:szCs w:val="21"/>
                <w:highlight w:val="none"/>
                <w:lang w:eastAsia="zh-CN"/>
              </w:rPr>
              <w:t>（二）</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3617D56E">
            <w:pPr>
              <w:keepNext w:val="0"/>
              <w:keepLines w:val="0"/>
              <w:suppressLineNumbers w:val="0"/>
              <w:spacing w:before="0" w:beforeAutospacing="0" w:after="0" w:afterAutospacing="0"/>
              <w:ind w:left="0" w:leftChars="0" w:right="0" w:rightChars="0"/>
              <w:jc w:val="left"/>
              <w:rPr>
                <w:rFonts w:hint="eastAsia" w:ascii="宋体" w:hAnsi="宋体" w:eastAsia="宋体" w:cs="Times New Roman"/>
                <w:color w:val="auto"/>
                <w:sz w:val="21"/>
                <w:szCs w:val="21"/>
                <w:highlight w:val="none"/>
              </w:rPr>
            </w:pPr>
            <w:r>
              <w:rPr>
                <w:rFonts w:hint="eastAsia" w:ascii="宋体" w:hAnsi="宋体" w:cs="Times New Roman"/>
                <w:b w:val="0"/>
                <w:bCs w:val="0"/>
                <w:color w:val="auto"/>
                <w:kern w:val="0"/>
                <w:sz w:val="21"/>
                <w:szCs w:val="21"/>
                <w:highlight w:val="none"/>
                <w:lang w:eastAsia="zh-CN"/>
              </w:rPr>
              <w:t>单位</w:t>
            </w:r>
            <w:r>
              <w:rPr>
                <w:rFonts w:hint="eastAsia" w:ascii="宋体" w:hAnsi="宋体" w:cs="Times New Roman"/>
                <w:b w:val="0"/>
                <w:bCs w:val="0"/>
                <w:color w:val="auto"/>
                <w:kern w:val="0"/>
                <w:sz w:val="21"/>
                <w:szCs w:val="21"/>
                <w:highlight w:val="none"/>
              </w:rPr>
              <w:t>工程</w:t>
            </w:r>
            <w:r>
              <w:rPr>
                <w:rFonts w:hint="eastAsia" w:ascii="宋体" w:hAnsi="宋体" w:cs="Times New Roman"/>
                <w:b w:val="0"/>
                <w:bCs w:val="0"/>
                <w:color w:val="auto"/>
                <w:kern w:val="0"/>
                <w:sz w:val="21"/>
                <w:szCs w:val="21"/>
                <w:highlight w:val="none"/>
                <w:lang w:val="en-US" w:eastAsia="zh-CN"/>
              </w:rPr>
              <w:t>2</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16485101">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4E25E731">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2475E10F">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0A26D473">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34DD9EA6">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5F4BB769">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0118463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r>
      <w:tr w14:paraId="75D4A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2C5668F6">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4AE56A61">
            <w:pPr>
              <w:keepNext w:val="0"/>
              <w:keepLines w:val="0"/>
              <w:suppressLineNumbers w:val="0"/>
              <w:spacing w:before="0" w:beforeAutospacing="0" w:after="0" w:afterAutospacing="0"/>
              <w:ind w:left="0" w:right="0"/>
              <w:jc w:val="left"/>
              <w:rPr>
                <w:rFonts w:hint="default" w:ascii="宋体" w:hAnsi="宋体" w:cs="Times New Roman"/>
                <w:color w:val="auto"/>
                <w:sz w:val="21"/>
                <w:szCs w:val="21"/>
                <w:highlight w:val="none"/>
              </w:rPr>
            </w:pPr>
            <w:r>
              <w:rPr>
                <w:rFonts w:hint="default" w:ascii="宋体" w:hAnsi="宋体" w:cs="Times New Roman"/>
                <w:color w:val="auto"/>
                <w:sz w:val="21"/>
                <w:szCs w:val="21"/>
                <w:highlight w:val="none"/>
              </w:rPr>
              <w:t>……</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6994DE24">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3AD69C75">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F616895">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3EE7D227">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40B81172">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5A6D2B89">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3ECE6C2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r>
      <w:tr w14:paraId="0A3E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2ABB22FA">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6CCAA335">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18654D04">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1E356728">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5154066">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5A636FC">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4806E38C">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6314B99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53FB534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r>
      <w:tr w14:paraId="3023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2ABE6EBD">
            <w:pPr>
              <w:keepNext w:val="0"/>
              <w:keepLines w:val="0"/>
              <w:suppressLineNumbers w:val="0"/>
              <w:spacing w:before="0" w:beforeAutospacing="0" w:after="0" w:afterAutospacing="0"/>
              <w:ind w:left="0" w:leftChars="0" w:right="0" w:rightChars="0"/>
              <w:jc w:val="center"/>
              <w:rPr>
                <w:rFonts w:hint="eastAsia" w:ascii="宋体" w:hAnsi="宋体" w:eastAsia="宋体" w:cs="Times New Roman"/>
                <w:b/>
                <w:color w:val="auto"/>
                <w:sz w:val="21"/>
                <w:szCs w:val="21"/>
                <w:highlight w:val="none"/>
              </w:rPr>
            </w:pPr>
            <w:r>
              <w:rPr>
                <w:rFonts w:hint="eastAsia" w:ascii="宋体" w:hAnsi="宋体" w:cs="Times New Roman"/>
                <w:b/>
                <w:color w:val="auto"/>
                <w:sz w:val="21"/>
                <w:szCs w:val="21"/>
                <w:highlight w:val="none"/>
                <w:lang w:eastAsia="zh-CN"/>
              </w:rPr>
              <w:t>二</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C3C7415">
            <w:pPr>
              <w:keepNext w:val="0"/>
              <w:keepLines w:val="0"/>
              <w:suppressLineNumbers w:val="0"/>
              <w:spacing w:before="0" w:beforeAutospacing="0" w:after="0" w:afterAutospacing="0"/>
              <w:ind w:left="0" w:leftChars="0" w:right="0" w:rightChars="0"/>
              <w:jc w:val="left"/>
              <w:rPr>
                <w:rFonts w:hint="eastAsia" w:ascii="Times New Roman" w:hAnsi="Times New Roman" w:eastAsia="宋体" w:cs="Times New Roman"/>
                <w:b w:val="0"/>
                <w:bCs w:val="0"/>
                <w:color w:val="auto"/>
                <w:kern w:val="2"/>
                <w:sz w:val="21"/>
                <w:szCs w:val="21"/>
                <w:highlight w:val="none"/>
              </w:rPr>
            </w:pPr>
            <w:r>
              <w:rPr>
                <w:rFonts w:hint="eastAsia" w:ascii="宋体" w:hAnsi="宋体" w:cs="Times New Roman"/>
                <w:b/>
                <w:bCs/>
                <w:color w:val="auto"/>
                <w:kern w:val="0"/>
                <w:sz w:val="21"/>
                <w:szCs w:val="21"/>
                <w:highlight w:val="none"/>
                <w:lang w:eastAsia="zh-CN"/>
              </w:rPr>
              <w:t>单项</w:t>
            </w:r>
            <w:r>
              <w:rPr>
                <w:rFonts w:hint="eastAsia" w:ascii="宋体" w:hAnsi="宋体" w:cs="Times New Roman"/>
                <w:b/>
                <w:bCs/>
                <w:color w:val="auto"/>
                <w:kern w:val="0"/>
                <w:sz w:val="21"/>
                <w:szCs w:val="21"/>
                <w:highlight w:val="none"/>
              </w:rPr>
              <w:t>工程</w:t>
            </w:r>
            <w:r>
              <w:rPr>
                <w:rFonts w:hint="eastAsia" w:ascii="宋体" w:hAnsi="宋体" w:cs="Times New Roman"/>
                <w:b/>
                <w:bCs/>
                <w:color w:val="auto"/>
                <w:kern w:val="0"/>
                <w:sz w:val="21"/>
                <w:szCs w:val="21"/>
                <w:highlight w:val="none"/>
                <w:lang w:val="en-US" w:eastAsia="zh-CN"/>
              </w:rPr>
              <w:t>2</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47C244BB">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600C4BB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EF5DDC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8E93EEB">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67B64CE2">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6F0F986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247DD89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r>
      <w:tr w14:paraId="1707B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6DBBFED8">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7D44EB4C">
            <w:pPr>
              <w:keepNext w:val="0"/>
              <w:keepLines w:val="0"/>
              <w:suppressLineNumbers w:val="0"/>
              <w:spacing w:before="0" w:beforeAutospacing="0" w:after="0" w:afterAutospacing="0"/>
              <w:ind w:left="0" w:right="0"/>
              <w:jc w:val="left"/>
              <w:textAlignment w:val="center"/>
              <w:rPr>
                <w:rFonts w:hint="default" w:ascii="宋体" w:hAnsi="宋体" w:cs="Times New Roman"/>
                <w:color w:val="auto"/>
                <w:sz w:val="21"/>
                <w:szCs w:val="21"/>
                <w:highlight w:val="none"/>
              </w:rPr>
            </w:pPr>
            <w:r>
              <w:rPr>
                <w:rFonts w:hint="default" w:ascii="宋体" w:hAnsi="宋体" w:cs="Times New Roman"/>
                <w:color w:val="auto"/>
                <w:sz w:val="21"/>
                <w:szCs w:val="21"/>
                <w:highlight w:val="none"/>
              </w:rPr>
              <w:t>……</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3E8D732B">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0FA79CC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597235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E267F4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20C5E60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15BB34F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0CA2611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r>
      <w:tr w14:paraId="51C3A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67226C71">
            <w:pPr>
              <w:keepNext w:val="0"/>
              <w:keepLines w:val="0"/>
              <w:suppressLineNumbers w:val="0"/>
              <w:spacing w:before="0" w:beforeAutospacing="0" w:after="0" w:afterAutospacing="0"/>
              <w:ind w:left="0" w:right="0"/>
              <w:jc w:val="center"/>
              <w:rPr>
                <w:rFonts w:hint="default" w:ascii="宋体" w:hAnsi="宋体" w:cs="Times New Roman"/>
                <w:b/>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7C336705">
            <w:pPr>
              <w:keepNext w:val="0"/>
              <w:keepLines w:val="0"/>
              <w:suppressLineNumbers w:val="0"/>
              <w:spacing w:before="0" w:beforeAutospacing="0" w:after="0" w:afterAutospacing="0"/>
              <w:ind w:left="0" w:right="0"/>
              <w:jc w:val="left"/>
              <w:textAlignment w:val="center"/>
              <w:rPr>
                <w:rFonts w:hint="default" w:ascii="宋体" w:hAnsi="宋体" w:cs="Times New Roman"/>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4C5D497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720F061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DA41DE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5A6C4E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0ABB4C5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563DE21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6ECCB024">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r>
      <w:tr w14:paraId="66DB6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70485EC2">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766FB9DA">
            <w:pPr>
              <w:keepNext w:val="0"/>
              <w:keepLines w:val="0"/>
              <w:suppressLineNumbers w:val="0"/>
              <w:spacing w:before="0" w:beforeAutospacing="0" w:after="0" w:afterAutospacing="0"/>
              <w:ind w:left="0" w:right="0"/>
              <w:jc w:val="left"/>
              <w:textAlignment w:val="center"/>
              <w:rPr>
                <w:rFonts w:hint="default" w:ascii="宋体" w:hAnsi="宋体" w:cs="Times New Roman"/>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2751518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6735224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E511A54">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24717E2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7A0E8F2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563B5760">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3529E18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r>
      <w:tr w14:paraId="37313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738CCF26">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3112C0D0">
            <w:pPr>
              <w:keepNext w:val="0"/>
              <w:keepLines w:val="0"/>
              <w:suppressLineNumbers w:val="0"/>
              <w:spacing w:before="0" w:beforeAutospacing="0" w:after="0" w:afterAutospacing="0"/>
              <w:ind w:left="0" w:right="0"/>
              <w:jc w:val="left"/>
              <w:textAlignment w:val="center"/>
              <w:rPr>
                <w:rFonts w:hint="default" w:ascii="宋体" w:hAnsi="宋体" w:cs="Times New Roman"/>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0DE1257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4AEB0D37">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34B39484">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3220090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5AE824F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3432050C">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68DF601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r>
      <w:tr w14:paraId="74790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07F9652B">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4A3082A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2045228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3B33FA0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31C3CBD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164A0D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6D7D18C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2F4F832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029F3AE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r>
      <w:tr w14:paraId="4523C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7BF6857C">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5DA244FB">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48EB432C">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5E90938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24D75822">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A355469">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6921E262">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0B4DB63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7679438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r>
      <w:tr w14:paraId="339EE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2FAEEA4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31A74770">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240CFFE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268DD6B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035676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A54080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1A4BCF17">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0BDC8D5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5BDB9BB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r>
      <w:tr w14:paraId="518A7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54C57174">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7F635A0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58C7818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2AF28C92">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28709B9C">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26FCC5F9">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283E7ED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7CA5DF3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5963816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r>
      <w:tr w14:paraId="43CB8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1AFD31C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03A5646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合计</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1FE1E85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455F552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91A9152">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82B16D0">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494569E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069379A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1A51DAD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r>
    </w:tbl>
    <w:p w14:paraId="56E2C57B">
      <w:pPr>
        <w:rPr>
          <w:rFonts w:hint="eastAsia" w:ascii="宋体" w:hAnsi="宋体" w:cs="Times New Roman"/>
          <w:color w:val="auto"/>
          <w:sz w:val="21"/>
          <w:szCs w:val="21"/>
          <w:highlight w:val="none"/>
        </w:rPr>
      </w:pPr>
      <w:r>
        <w:rPr>
          <w:rFonts w:hint="eastAsia" w:ascii="宋体" w:hAnsi="宋体" w:cs="Times New Roman"/>
          <w:color w:val="auto"/>
          <w:sz w:val="21"/>
          <w:szCs w:val="21"/>
          <w:highlight w:val="none"/>
        </w:rPr>
        <w:t>注：</w:t>
      </w:r>
      <w:r>
        <w:rPr>
          <w:rFonts w:hint="eastAsia" w:ascii="宋体" w:hAnsi="宋体" w:cs="Times New Roman"/>
          <w:color w:val="auto"/>
          <w:sz w:val="21"/>
          <w:szCs w:val="21"/>
          <w:highlight w:val="none"/>
          <w:lang w:val="en-US" w:eastAsia="zh-CN"/>
        </w:rPr>
        <w:t>1.</w:t>
      </w:r>
      <w:r>
        <w:rPr>
          <w:rFonts w:hint="eastAsia" w:ascii="宋体" w:hAnsi="宋体" w:cs="Times New Roman"/>
          <w:color w:val="auto"/>
          <w:sz w:val="21"/>
          <w:szCs w:val="21"/>
          <w:highlight w:val="none"/>
        </w:rPr>
        <w:t>此表由招标人填写</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供投标人在投标报价、确定总承包服务费时参考。</w:t>
      </w:r>
    </w:p>
    <w:p w14:paraId="71487F0F">
      <w:pPr>
        <w:rPr>
          <w:rFonts w:hint="default" w:ascii="宋体" w:hAnsi="宋体" w:eastAsia="宋体" w:cs="Times New Roman"/>
          <w:color w:val="auto"/>
          <w:sz w:val="21"/>
          <w:szCs w:val="21"/>
          <w:highlight w:val="none"/>
          <w:lang w:val="en-US" w:eastAsia="zh-CN"/>
        </w:rPr>
      </w:pPr>
      <w:r>
        <w:rPr>
          <w:rFonts w:hint="eastAsia" w:ascii="宋体" w:hAnsi="宋体" w:cs="Times New Roman"/>
          <w:color w:val="auto"/>
          <w:sz w:val="21"/>
          <w:szCs w:val="21"/>
          <w:highlight w:val="none"/>
          <w:lang w:val="en-US" w:eastAsia="zh-CN"/>
        </w:rPr>
        <w:t xml:space="preserve">    2.应用于一般计税法为除税价，应用于简易计税法为含税价。</w:t>
      </w:r>
    </w:p>
    <w:p w14:paraId="700E3FF2">
      <w:pP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w:t>
      </w:r>
    </w:p>
    <w:p w14:paraId="357AF4BB">
      <w:pP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w:t>
      </w:r>
    </w:p>
    <w:p w14:paraId="47DA0EC3">
      <w:pPr>
        <w:pStyle w:val="52"/>
        <w:rPr>
          <w:rFonts w:ascii="Times New Roman" w:hAnsi="Times New Roman" w:cs="Times New Roman"/>
          <w:color w:val="auto"/>
          <w:sz w:val="21"/>
          <w:szCs w:val="21"/>
          <w:highlight w:val="none"/>
        </w:rPr>
      </w:pPr>
    </w:p>
    <w:p w14:paraId="25A731CC">
      <w:pPr>
        <w:pStyle w:val="52"/>
        <w:rPr>
          <w:rFonts w:ascii="Times New Roman" w:hAnsi="Times New Roman" w:cs="Times New Roman"/>
          <w:color w:val="auto"/>
          <w:sz w:val="21"/>
          <w:szCs w:val="21"/>
          <w:highlight w:val="none"/>
        </w:rPr>
      </w:pPr>
    </w:p>
    <w:p w14:paraId="7C7746BA">
      <w:pPr>
        <w:pStyle w:val="52"/>
        <w:rPr>
          <w:rFonts w:ascii="Times New Roman" w:hAnsi="Times New Roman" w:cs="Times New Roman"/>
          <w:color w:val="auto"/>
          <w:sz w:val="21"/>
          <w:szCs w:val="21"/>
          <w:highlight w:val="none"/>
        </w:rPr>
      </w:pPr>
    </w:p>
    <w:p w14:paraId="3269D094">
      <w:pPr>
        <w:pStyle w:val="52"/>
        <w:rPr>
          <w:rFonts w:ascii="Times New Roman" w:hAnsi="Times New Roman" w:cs="Times New Roman"/>
          <w:color w:val="auto"/>
          <w:sz w:val="21"/>
          <w:szCs w:val="21"/>
          <w:highlight w:val="none"/>
        </w:rPr>
      </w:pPr>
    </w:p>
    <w:p w14:paraId="401CA494">
      <w:pPr>
        <w:pStyle w:val="52"/>
        <w:rPr>
          <w:rFonts w:ascii="Times New Roman" w:hAnsi="Times New Roman" w:cs="Times New Roman"/>
          <w:color w:val="auto"/>
          <w:sz w:val="21"/>
          <w:szCs w:val="21"/>
          <w:highlight w:val="none"/>
        </w:rPr>
      </w:pPr>
    </w:p>
    <w:p w14:paraId="11B8E2D2">
      <w:pPr>
        <w:pStyle w:val="52"/>
        <w:rPr>
          <w:rFonts w:ascii="Times New Roman" w:hAnsi="Times New Roman" w:cs="Times New Roman"/>
          <w:color w:val="auto"/>
          <w:sz w:val="21"/>
          <w:szCs w:val="21"/>
          <w:highlight w:val="none"/>
        </w:rPr>
      </w:pPr>
    </w:p>
    <w:p w14:paraId="65AF51D2">
      <w:pPr>
        <w:keepNext/>
        <w:keepLines/>
        <w:widowControl/>
        <w:spacing w:before="120" w:beforeLines="0" w:after="120" w:afterLines="0" w:line="360" w:lineRule="auto"/>
        <w:jc w:val="both"/>
        <w:outlineLvl w:val="3"/>
        <w:rPr>
          <w:rFonts w:hint="eastAsia" w:ascii="仿宋_GB2312" w:hAnsi="Times New Roman" w:eastAsia="仿宋_GB2312" w:cs="仿宋_GB2312"/>
          <w:b w:val="0"/>
          <w:color w:val="auto"/>
          <w:kern w:val="0"/>
          <w:sz w:val="21"/>
          <w:szCs w:val="21"/>
          <w:highlight w:val="none"/>
          <w:lang w:val="en-US" w:eastAsia="zh-CN" w:bidi="ar-SA"/>
        </w:rPr>
      </w:pPr>
    </w:p>
    <w:p w14:paraId="1A98B7B4">
      <w:pPr>
        <w:keepNext/>
        <w:keepLines/>
        <w:widowControl/>
        <w:spacing w:before="120" w:beforeLines="0" w:after="120" w:afterLines="0" w:line="360" w:lineRule="auto"/>
        <w:jc w:val="both"/>
        <w:outlineLvl w:val="3"/>
        <w:rPr>
          <w:rFonts w:hint="eastAsia" w:ascii="仿宋_GB2312" w:hAnsi="Times New Roman" w:eastAsia="仿宋_GB2312" w:cs="仿宋_GB2312"/>
          <w:b w:val="0"/>
          <w:color w:val="auto"/>
          <w:kern w:val="0"/>
          <w:sz w:val="21"/>
          <w:szCs w:val="21"/>
          <w:highlight w:val="none"/>
          <w:lang w:val="en-US" w:eastAsia="zh-CN" w:bidi="ar-SA"/>
        </w:rPr>
      </w:pPr>
      <w:r>
        <w:rPr>
          <w:rFonts w:hint="eastAsia" w:ascii="仿宋_GB2312" w:hAnsi="Times New Roman" w:eastAsia="仿宋_GB2312" w:cs="仿宋_GB2312"/>
          <w:b w:val="0"/>
          <w:color w:val="auto"/>
          <w:kern w:val="0"/>
          <w:sz w:val="21"/>
          <w:szCs w:val="21"/>
          <w:highlight w:val="none"/>
          <w:lang w:val="en-US" w:eastAsia="zh-CN" w:bidi="ar-SA"/>
        </w:rPr>
        <w:t>附件</w:t>
      </w:r>
      <w:r>
        <w:rPr>
          <w:rFonts w:hint="eastAsia" w:ascii="仿宋_GB2312" w:eastAsia="仿宋_GB2312" w:cs="仿宋_GB2312"/>
          <w:b w:val="0"/>
          <w:color w:val="auto"/>
          <w:kern w:val="0"/>
          <w:sz w:val="21"/>
          <w:szCs w:val="21"/>
          <w:highlight w:val="none"/>
          <w:lang w:val="en-US" w:eastAsia="zh-CN" w:bidi="ar-SA"/>
        </w:rPr>
        <w:t>1</w:t>
      </w:r>
      <w:r>
        <w:rPr>
          <w:rFonts w:hint="eastAsia" w:ascii="仿宋_GB2312" w:hAnsi="Times New Roman" w:eastAsia="仿宋_GB2312" w:cs="仿宋_GB2312"/>
          <w:b w:val="0"/>
          <w:color w:val="auto"/>
          <w:kern w:val="0"/>
          <w:sz w:val="21"/>
          <w:szCs w:val="21"/>
          <w:highlight w:val="none"/>
          <w:lang w:val="en-US" w:eastAsia="zh-CN" w:bidi="ar-SA"/>
        </w:rPr>
        <w:t>6 允许</w:t>
      </w:r>
      <w:r>
        <w:rPr>
          <w:rFonts w:hint="eastAsia" w:ascii="仿宋_GB2312" w:hAnsi="Arial" w:eastAsia="仿宋_GB2312" w:cs="仿宋_GB2312"/>
          <w:b w:val="0"/>
          <w:color w:val="auto"/>
          <w:kern w:val="0"/>
          <w:sz w:val="21"/>
          <w:szCs w:val="21"/>
          <w:highlight w:val="none"/>
          <w:lang w:val="en-US" w:eastAsia="zh-CN" w:bidi="ar-SA"/>
        </w:rPr>
        <w:t>调整</w:t>
      </w:r>
      <w:r>
        <w:rPr>
          <w:rFonts w:hint="eastAsia" w:ascii="仿宋_GB2312" w:hAnsi="Times New Roman" w:eastAsia="仿宋_GB2312" w:cs="仿宋_GB2312"/>
          <w:b w:val="0"/>
          <w:color w:val="auto"/>
          <w:kern w:val="0"/>
          <w:sz w:val="21"/>
          <w:szCs w:val="21"/>
          <w:highlight w:val="none"/>
          <w:lang w:val="en-US" w:eastAsia="zh-CN" w:bidi="ar-SA"/>
        </w:rPr>
        <w:t>价格的主要材料一览表</w:t>
      </w:r>
    </w:p>
    <w:p w14:paraId="186B4F29">
      <w:pPr>
        <w:jc w:val="center"/>
        <w:rPr>
          <w:rFonts w:ascii="Times New Roman" w:hAnsi="Times New Roman" w:cs="Times New Roman"/>
          <w:b/>
          <w:color w:val="auto"/>
          <w:sz w:val="21"/>
          <w:szCs w:val="21"/>
          <w:highlight w:val="none"/>
        </w:rPr>
      </w:pPr>
      <w:r>
        <w:rPr>
          <w:rFonts w:hint="eastAsia" w:ascii="宋体" w:hAnsi="宋体" w:cs="Times New Roman"/>
          <w:b/>
          <w:color w:val="auto"/>
          <w:sz w:val="21"/>
          <w:szCs w:val="21"/>
          <w:highlight w:val="none"/>
        </w:rPr>
        <w:t>允许调整价格的主要材料一览表</w:t>
      </w:r>
    </w:p>
    <w:p w14:paraId="0E5A8AD1">
      <w:pPr>
        <w:jc w:val="center"/>
        <w:rPr>
          <w:rFonts w:ascii="Times New Roman" w:hAnsi="Times New Roman" w:cs="Times New Roman"/>
          <w:b/>
          <w:bCs/>
          <w:color w:val="auto"/>
          <w:sz w:val="21"/>
          <w:szCs w:val="21"/>
          <w:highlight w:val="none"/>
        </w:rPr>
      </w:pPr>
      <w:r>
        <w:rPr>
          <w:rFonts w:hint="eastAsia" w:ascii="宋体" w:hAnsi="宋体" w:cs="Times New Roman"/>
          <w:b/>
          <w:bCs/>
          <w:color w:val="auto"/>
          <w:sz w:val="21"/>
          <w:szCs w:val="21"/>
          <w:highlight w:val="none"/>
        </w:rPr>
        <w:t>（适用于</w:t>
      </w:r>
      <w:r>
        <w:rPr>
          <w:rFonts w:hint="eastAsia" w:ascii="宋体" w:hAnsi="宋体" w:cs="Times New Roman"/>
          <w:b/>
          <w:bCs/>
          <w:color w:val="auto"/>
          <w:sz w:val="21"/>
          <w:szCs w:val="21"/>
          <w:highlight w:val="none"/>
          <w:lang w:eastAsia="zh-CN"/>
        </w:rPr>
        <w:t>单价合同</w:t>
      </w:r>
      <w:r>
        <w:rPr>
          <w:rFonts w:hint="eastAsia" w:ascii="宋体" w:hAnsi="宋体" w:cs="Times New Roman"/>
          <w:b/>
          <w:bCs/>
          <w:color w:val="auto"/>
          <w:sz w:val="21"/>
          <w:szCs w:val="21"/>
          <w:highlight w:val="none"/>
        </w:rPr>
        <w:t>）</w:t>
      </w:r>
    </w:p>
    <w:p w14:paraId="28D60812">
      <w:pPr>
        <w:jc w:val="left"/>
        <w:rPr>
          <w:rFonts w:ascii="宋体" w:hAnsi="宋体" w:cs="Times New Roman"/>
          <w:color w:val="auto"/>
          <w:sz w:val="21"/>
          <w:szCs w:val="21"/>
          <w:highlight w:val="none"/>
        </w:rPr>
      </w:pPr>
      <w:r>
        <w:rPr>
          <w:rFonts w:hint="eastAsia" w:ascii="宋体" w:hAnsi="宋体" w:cs="Times New Roman"/>
          <w:color w:val="auto"/>
          <w:sz w:val="21"/>
          <w:szCs w:val="21"/>
          <w:highlight w:val="none"/>
        </w:rPr>
        <w:t xml:space="preserve"> 工程名称：          </w:t>
      </w:r>
      <w:r>
        <w:rPr>
          <w:rFonts w:hint="eastAsia" w:ascii="宋体" w:hAnsi="宋体" w:cs="Times New Roman"/>
          <w:color w:val="auto"/>
          <w:sz w:val="21"/>
          <w:szCs w:val="21"/>
          <w:highlight w:val="none"/>
          <w:lang w:val="en-US" w:eastAsia="zh-CN"/>
        </w:rPr>
        <w:t xml:space="preserve">                                                        </w:t>
      </w:r>
      <w:r>
        <w:rPr>
          <w:rFonts w:hint="eastAsia" w:ascii="宋体" w:hAnsi="宋体" w:cs="Times New Roman"/>
          <w:color w:val="auto"/>
          <w:sz w:val="21"/>
          <w:szCs w:val="21"/>
          <w:highlight w:val="none"/>
        </w:rPr>
        <w:t>第  页  共  页</w:t>
      </w:r>
    </w:p>
    <w:tbl>
      <w:tblPr>
        <w:tblStyle w:val="54"/>
        <w:tblW w:w="99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4"/>
        <w:gridCol w:w="4602"/>
        <w:gridCol w:w="851"/>
        <w:gridCol w:w="1075"/>
        <w:gridCol w:w="1225"/>
        <w:gridCol w:w="1257"/>
      </w:tblGrid>
      <w:tr w14:paraId="7240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08E828CC">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序号</w:t>
            </w:r>
          </w:p>
        </w:tc>
        <w:tc>
          <w:tcPr>
            <w:tcW w:w="4602" w:type="dxa"/>
            <w:noWrap w:val="0"/>
            <w:vAlign w:val="center"/>
          </w:tcPr>
          <w:p w14:paraId="028CF4B2">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名称、规格、型号</w:t>
            </w:r>
          </w:p>
        </w:tc>
        <w:tc>
          <w:tcPr>
            <w:tcW w:w="851" w:type="dxa"/>
            <w:noWrap w:val="0"/>
            <w:vAlign w:val="center"/>
          </w:tcPr>
          <w:p w14:paraId="34C5FBB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单位</w:t>
            </w:r>
          </w:p>
        </w:tc>
        <w:tc>
          <w:tcPr>
            <w:tcW w:w="1075" w:type="dxa"/>
            <w:noWrap w:val="0"/>
            <w:vAlign w:val="center"/>
          </w:tcPr>
          <w:p w14:paraId="28FDD3A6">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r>
              <w:rPr>
                <w:rFonts w:hint="eastAsia" w:ascii="宋体" w:hAnsi="宋体" w:cs="Times New Roman"/>
                <w:color w:val="auto"/>
                <w:sz w:val="21"/>
                <w:szCs w:val="21"/>
                <w:highlight w:val="none"/>
              </w:rPr>
              <w:t>基准单价（元）</w:t>
            </w:r>
          </w:p>
        </w:tc>
        <w:tc>
          <w:tcPr>
            <w:tcW w:w="1225" w:type="dxa"/>
            <w:noWrap w:val="0"/>
            <w:vAlign w:val="center"/>
          </w:tcPr>
          <w:p w14:paraId="5934481B">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r>
              <w:rPr>
                <w:rFonts w:hint="eastAsia" w:ascii="宋体" w:hAnsi="宋体" w:cs="Times New Roman"/>
                <w:color w:val="auto"/>
                <w:sz w:val="21"/>
                <w:szCs w:val="21"/>
                <w:highlight w:val="none"/>
              </w:rPr>
              <w:t>投标单价（元）</w:t>
            </w:r>
          </w:p>
        </w:tc>
        <w:tc>
          <w:tcPr>
            <w:tcW w:w="1257" w:type="dxa"/>
            <w:noWrap w:val="0"/>
            <w:vAlign w:val="center"/>
          </w:tcPr>
          <w:p w14:paraId="4214A80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eastAsia" w:ascii="宋体" w:hAnsi="宋体" w:cs="Times New Roman"/>
                <w:color w:val="auto"/>
                <w:sz w:val="21"/>
                <w:szCs w:val="21"/>
                <w:highlight w:val="none"/>
              </w:rPr>
              <w:t>风险幅度（</w:t>
            </w:r>
            <w:r>
              <w:rPr>
                <w:rFonts w:hint="eastAsia" w:ascii="Times New Roman" w:hAnsi="Times New Roman" w:cs="Times New Roman"/>
                <w:color w:val="auto"/>
                <w:sz w:val="21"/>
                <w:szCs w:val="21"/>
                <w:highlight w:val="none"/>
              </w:rPr>
              <w:t>%</w:t>
            </w:r>
            <w:r>
              <w:rPr>
                <w:rFonts w:hint="eastAsia" w:ascii="宋体" w:hAnsi="宋体" w:cs="Times New Roman"/>
                <w:color w:val="auto"/>
                <w:sz w:val="21"/>
                <w:szCs w:val="21"/>
                <w:highlight w:val="none"/>
              </w:rPr>
              <w:t>）</w:t>
            </w:r>
          </w:p>
        </w:tc>
      </w:tr>
      <w:tr w14:paraId="71959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51B2697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highlight w:val="none"/>
              </w:rPr>
            </w:pPr>
            <w:r>
              <w:rPr>
                <w:rFonts w:hint="eastAsia" w:ascii="Times New Roman" w:hAnsi="Times New Roman" w:cs="Times New Roman"/>
                <w:b/>
                <w:bCs/>
                <w:color w:val="auto"/>
                <w:sz w:val="21"/>
                <w:szCs w:val="21"/>
                <w:highlight w:val="none"/>
                <w:lang w:eastAsia="zh-CN"/>
              </w:rPr>
              <w:t>一</w:t>
            </w:r>
          </w:p>
        </w:tc>
        <w:tc>
          <w:tcPr>
            <w:tcW w:w="4602" w:type="dxa"/>
            <w:noWrap w:val="0"/>
            <w:vAlign w:val="center"/>
          </w:tcPr>
          <w:p w14:paraId="4AA702B1">
            <w:pPr>
              <w:keepNext w:val="0"/>
              <w:keepLines w:val="0"/>
              <w:widowControl/>
              <w:suppressLineNumbers w:val="0"/>
              <w:spacing w:before="0" w:beforeAutospacing="0" w:after="0" w:afterAutospacing="0"/>
              <w:ind w:left="0" w:leftChars="0" w:right="0" w:rightChars="0"/>
              <w:jc w:val="left"/>
              <w:rPr>
                <w:rFonts w:hint="default" w:ascii="宋体" w:hAnsi="宋体" w:cs="Times New Roman"/>
                <w:color w:val="auto"/>
                <w:sz w:val="21"/>
                <w:szCs w:val="21"/>
                <w:highlight w:val="none"/>
              </w:rPr>
            </w:pPr>
            <w:r>
              <w:rPr>
                <w:rFonts w:hint="eastAsia" w:ascii="宋体" w:hAnsi="宋体" w:cs="Times New Roman"/>
                <w:b/>
                <w:bCs w:val="0"/>
                <w:color w:val="auto"/>
                <w:sz w:val="21"/>
                <w:szCs w:val="21"/>
                <w:highlight w:val="none"/>
                <w:lang w:eastAsia="zh-CN"/>
              </w:rPr>
              <w:t>单项工程</w:t>
            </w:r>
            <w:r>
              <w:rPr>
                <w:rFonts w:hint="eastAsia" w:ascii="宋体" w:hAnsi="宋体" w:cs="Times New Roman"/>
                <w:b/>
                <w:bCs w:val="0"/>
                <w:color w:val="auto"/>
                <w:sz w:val="21"/>
                <w:szCs w:val="21"/>
                <w:highlight w:val="none"/>
                <w:lang w:val="en-US" w:eastAsia="zh-CN"/>
              </w:rPr>
              <w:t>1</w:t>
            </w:r>
          </w:p>
        </w:tc>
        <w:tc>
          <w:tcPr>
            <w:tcW w:w="851" w:type="dxa"/>
            <w:noWrap w:val="0"/>
            <w:vAlign w:val="center"/>
          </w:tcPr>
          <w:p w14:paraId="3EED3736">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075" w:type="dxa"/>
            <w:noWrap w:val="0"/>
            <w:vAlign w:val="center"/>
          </w:tcPr>
          <w:p w14:paraId="5CF80343">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25" w:type="dxa"/>
            <w:noWrap w:val="0"/>
            <w:vAlign w:val="center"/>
          </w:tcPr>
          <w:p w14:paraId="631C6C21">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57" w:type="dxa"/>
            <w:noWrap w:val="0"/>
            <w:vAlign w:val="center"/>
          </w:tcPr>
          <w:p w14:paraId="6F6626CF">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r>
      <w:tr w14:paraId="72748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221B04A2">
            <w:pPr>
              <w:keepNext w:val="0"/>
              <w:keepLines w:val="0"/>
              <w:suppressLineNumbers w:val="0"/>
              <w:spacing w:before="0" w:beforeAutospacing="0" w:after="0" w:afterAutospacing="0"/>
              <w:ind w:left="0" w:leftChars="0" w:right="0" w:rightChars="0"/>
              <w:jc w:val="center"/>
              <w:rPr>
                <w:rFonts w:hint="eastAsia" w:ascii="宋体" w:hAnsi="宋体"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rPr>
              <w:t>（一）</w:t>
            </w:r>
          </w:p>
        </w:tc>
        <w:tc>
          <w:tcPr>
            <w:tcW w:w="4602" w:type="dxa"/>
            <w:noWrap w:val="0"/>
            <w:vAlign w:val="center"/>
          </w:tcPr>
          <w:p w14:paraId="2B6D1E0C">
            <w:pPr>
              <w:keepNext w:val="0"/>
              <w:keepLines w:val="0"/>
              <w:suppressLineNumbers w:val="0"/>
              <w:spacing w:before="0" w:beforeAutospacing="0" w:after="0" w:afterAutospacing="0"/>
              <w:ind w:left="0" w:leftChars="0" w:right="0" w:rightChars="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cs="Times New Roman"/>
                <w:bCs/>
                <w:color w:val="auto"/>
                <w:sz w:val="21"/>
                <w:szCs w:val="21"/>
                <w:highlight w:val="none"/>
                <w:lang w:eastAsia="zh-CN"/>
              </w:rPr>
              <w:t>单位工程</w:t>
            </w:r>
            <w:r>
              <w:rPr>
                <w:rFonts w:hint="eastAsia" w:ascii="宋体" w:hAnsi="宋体" w:cs="Times New Roman"/>
                <w:bCs/>
                <w:color w:val="auto"/>
                <w:sz w:val="21"/>
                <w:szCs w:val="21"/>
                <w:highlight w:val="none"/>
                <w:lang w:val="en-US" w:eastAsia="zh-CN"/>
              </w:rPr>
              <w:t>1</w:t>
            </w:r>
          </w:p>
        </w:tc>
        <w:tc>
          <w:tcPr>
            <w:tcW w:w="851" w:type="dxa"/>
            <w:noWrap w:val="0"/>
            <w:vAlign w:val="center"/>
          </w:tcPr>
          <w:p w14:paraId="17AF66E6">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075" w:type="dxa"/>
            <w:noWrap w:val="0"/>
            <w:vAlign w:val="center"/>
          </w:tcPr>
          <w:p w14:paraId="59E0970A">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25" w:type="dxa"/>
            <w:noWrap w:val="0"/>
            <w:vAlign w:val="center"/>
          </w:tcPr>
          <w:p w14:paraId="6E1236E0">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57" w:type="dxa"/>
            <w:noWrap w:val="0"/>
            <w:vAlign w:val="center"/>
          </w:tcPr>
          <w:p w14:paraId="225AAC68">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r>
      <w:tr w14:paraId="0BB0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25BC3CAD">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4602" w:type="dxa"/>
            <w:noWrap w:val="0"/>
            <w:vAlign w:val="center"/>
          </w:tcPr>
          <w:p w14:paraId="3D618A98">
            <w:pPr>
              <w:keepNext w:val="0"/>
              <w:keepLines w:val="0"/>
              <w:suppressLineNumbers w:val="0"/>
              <w:spacing w:before="0" w:beforeAutospacing="0" w:after="0" w:afterAutospacing="0"/>
              <w:ind w:left="0" w:right="0"/>
              <w:jc w:val="left"/>
              <w:rPr>
                <w:rFonts w:hint="default" w:ascii="宋体" w:hAnsi="宋体" w:cs="Times New Roman"/>
                <w:color w:val="auto"/>
                <w:sz w:val="21"/>
                <w:szCs w:val="21"/>
                <w:highlight w:val="none"/>
              </w:rPr>
            </w:pPr>
            <w:r>
              <w:rPr>
                <w:rFonts w:hint="default" w:ascii="宋体" w:hAnsi="宋体" w:cs="Times New Roman"/>
                <w:b w:val="0"/>
                <w:bCs w:val="0"/>
                <w:color w:val="auto"/>
                <w:kern w:val="0"/>
                <w:sz w:val="21"/>
                <w:szCs w:val="21"/>
                <w:highlight w:val="none"/>
              </w:rPr>
              <w:t>……</w:t>
            </w:r>
          </w:p>
        </w:tc>
        <w:tc>
          <w:tcPr>
            <w:tcW w:w="851" w:type="dxa"/>
            <w:noWrap w:val="0"/>
            <w:vAlign w:val="center"/>
          </w:tcPr>
          <w:p w14:paraId="0F35231E">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075" w:type="dxa"/>
            <w:noWrap w:val="0"/>
            <w:vAlign w:val="center"/>
          </w:tcPr>
          <w:p w14:paraId="299F3D7D">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25" w:type="dxa"/>
            <w:noWrap w:val="0"/>
            <w:vAlign w:val="center"/>
          </w:tcPr>
          <w:p w14:paraId="0A5DCDE4">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57" w:type="dxa"/>
            <w:noWrap w:val="0"/>
            <w:vAlign w:val="center"/>
          </w:tcPr>
          <w:p w14:paraId="33F1E81B">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r>
      <w:tr w14:paraId="2E60E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6B6690C5">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4602" w:type="dxa"/>
            <w:noWrap w:val="0"/>
            <w:vAlign w:val="center"/>
          </w:tcPr>
          <w:p w14:paraId="352CC006">
            <w:pPr>
              <w:keepNext w:val="0"/>
              <w:keepLines w:val="0"/>
              <w:suppressLineNumbers w:val="0"/>
              <w:spacing w:before="0" w:beforeAutospacing="0" w:after="0" w:afterAutospacing="0"/>
              <w:ind w:left="0" w:right="0"/>
              <w:jc w:val="left"/>
              <w:rPr>
                <w:rFonts w:hint="default" w:ascii="宋体" w:hAnsi="宋体" w:cs="Times New Roman"/>
                <w:color w:val="auto"/>
                <w:sz w:val="21"/>
                <w:szCs w:val="21"/>
                <w:highlight w:val="none"/>
              </w:rPr>
            </w:pPr>
          </w:p>
        </w:tc>
        <w:tc>
          <w:tcPr>
            <w:tcW w:w="851" w:type="dxa"/>
            <w:noWrap w:val="0"/>
            <w:vAlign w:val="center"/>
          </w:tcPr>
          <w:p w14:paraId="6C9515D1">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075" w:type="dxa"/>
            <w:noWrap w:val="0"/>
            <w:vAlign w:val="center"/>
          </w:tcPr>
          <w:p w14:paraId="7BC4F0FD">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25" w:type="dxa"/>
            <w:noWrap w:val="0"/>
            <w:vAlign w:val="center"/>
          </w:tcPr>
          <w:p w14:paraId="22D4D74D">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57" w:type="dxa"/>
            <w:noWrap w:val="0"/>
            <w:vAlign w:val="center"/>
          </w:tcPr>
          <w:p w14:paraId="2CBAD8BC">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r>
      <w:tr w14:paraId="0A59C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6D310403">
            <w:pPr>
              <w:keepNext w:val="0"/>
              <w:keepLines w:val="0"/>
              <w:suppressLineNumbers w:val="0"/>
              <w:spacing w:before="0" w:beforeAutospacing="0" w:after="0" w:afterAutospacing="0"/>
              <w:ind w:left="0" w:leftChars="0" w:right="0" w:rightChars="0"/>
              <w:jc w:val="center"/>
              <w:rPr>
                <w:rFonts w:hint="default" w:ascii="宋体" w:hAnsi="宋体" w:cs="Times New Roman"/>
                <w:b w:val="0"/>
                <w:color w:val="auto"/>
                <w:sz w:val="21"/>
                <w:szCs w:val="21"/>
                <w:highlight w:val="none"/>
              </w:rPr>
            </w:pPr>
            <w:r>
              <w:rPr>
                <w:rFonts w:hint="eastAsia" w:ascii="宋体" w:hAnsi="宋体" w:cs="Times New Roman"/>
                <w:b/>
                <w:color w:val="auto"/>
                <w:sz w:val="21"/>
                <w:szCs w:val="21"/>
                <w:highlight w:val="none"/>
              </w:rPr>
              <w:t>二</w:t>
            </w:r>
          </w:p>
        </w:tc>
        <w:tc>
          <w:tcPr>
            <w:tcW w:w="4602" w:type="dxa"/>
            <w:noWrap w:val="0"/>
            <w:vAlign w:val="center"/>
          </w:tcPr>
          <w:p w14:paraId="5B45361B">
            <w:pPr>
              <w:keepNext w:val="0"/>
              <w:keepLines w:val="0"/>
              <w:widowControl/>
              <w:suppressLineNumbers w:val="0"/>
              <w:spacing w:before="0" w:beforeAutospacing="0" w:after="0" w:afterAutospacing="0"/>
              <w:ind w:left="0" w:leftChars="0" w:right="0" w:rightChars="0"/>
              <w:jc w:val="left"/>
              <w:rPr>
                <w:rFonts w:hint="default" w:ascii="宋体" w:hAnsi="宋体" w:cs="Times New Roman"/>
                <w:b w:val="0"/>
                <w:bCs w:val="0"/>
                <w:color w:val="auto"/>
                <w:kern w:val="2"/>
                <w:sz w:val="21"/>
                <w:szCs w:val="21"/>
                <w:highlight w:val="none"/>
              </w:rPr>
            </w:pPr>
            <w:r>
              <w:rPr>
                <w:rFonts w:hint="eastAsia" w:ascii="宋体" w:hAnsi="宋体" w:cs="Times New Roman"/>
                <w:b/>
                <w:bCs/>
                <w:color w:val="auto"/>
                <w:kern w:val="0"/>
                <w:sz w:val="21"/>
                <w:szCs w:val="21"/>
                <w:highlight w:val="none"/>
                <w:lang w:eastAsia="zh-CN"/>
              </w:rPr>
              <w:t>单项</w:t>
            </w:r>
            <w:r>
              <w:rPr>
                <w:rFonts w:hint="eastAsia" w:ascii="宋体" w:hAnsi="宋体" w:cs="Times New Roman"/>
                <w:b/>
                <w:bCs/>
                <w:color w:val="auto"/>
                <w:kern w:val="0"/>
                <w:sz w:val="21"/>
                <w:szCs w:val="21"/>
                <w:highlight w:val="none"/>
              </w:rPr>
              <w:t>工程</w:t>
            </w:r>
            <w:r>
              <w:rPr>
                <w:rFonts w:hint="eastAsia" w:ascii="宋体" w:hAnsi="宋体" w:cs="Times New Roman"/>
                <w:b/>
                <w:bCs/>
                <w:color w:val="auto"/>
                <w:kern w:val="0"/>
                <w:sz w:val="21"/>
                <w:szCs w:val="21"/>
                <w:highlight w:val="none"/>
                <w:lang w:val="en-US" w:eastAsia="zh-CN"/>
              </w:rPr>
              <w:t>2</w:t>
            </w:r>
          </w:p>
        </w:tc>
        <w:tc>
          <w:tcPr>
            <w:tcW w:w="851" w:type="dxa"/>
            <w:noWrap w:val="0"/>
            <w:vAlign w:val="center"/>
          </w:tcPr>
          <w:p w14:paraId="11AAA5C8">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075" w:type="dxa"/>
            <w:noWrap w:val="0"/>
            <w:vAlign w:val="center"/>
          </w:tcPr>
          <w:p w14:paraId="430DE4F1">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25" w:type="dxa"/>
            <w:noWrap w:val="0"/>
            <w:vAlign w:val="center"/>
          </w:tcPr>
          <w:p w14:paraId="7787AC36">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57" w:type="dxa"/>
            <w:noWrap w:val="0"/>
            <w:vAlign w:val="center"/>
          </w:tcPr>
          <w:p w14:paraId="4278BBBE">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r>
      <w:tr w14:paraId="3AA2B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404E3286">
            <w:pPr>
              <w:keepNext w:val="0"/>
              <w:keepLines w:val="0"/>
              <w:suppressLineNumbers w:val="0"/>
              <w:spacing w:before="0" w:beforeAutospacing="0" w:after="0" w:afterAutospacing="0"/>
              <w:ind w:left="0" w:right="0"/>
              <w:jc w:val="center"/>
              <w:rPr>
                <w:rFonts w:hint="default" w:ascii="宋体" w:hAnsi="宋体" w:cs="Times New Roman"/>
                <w:b/>
                <w:color w:val="auto"/>
                <w:sz w:val="21"/>
                <w:szCs w:val="21"/>
                <w:highlight w:val="none"/>
              </w:rPr>
            </w:pPr>
          </w:p>
        </w:tc>
        <w:tc>
          <w:tcPr>
            <w:tcW w:w="4602" w:type="dxa"/>
            <w:noWrap w:val="0"/>
            <w:vAlign w:val="center"/>
          </w:tcPr>
          <w:p w14:paraId="5A40F2EA">
            <w:pPr>
              <w:keepNext w:val="0"/>
              <w:keepLines w:val="0"/>
              <w:suppressLineNumbers w:val="0"/>
              <w:spacing w:before="0" w:beforeAutospacing="0" w:after="0" w:afterAutospacing="0"/>
              <w:ind w:left="0" w:right="0"/>
              <w:jc w:val="left"/>
              <w:rPr>
                <w:rFonts w:hint="default" w:ascii="宋体" w:hAnsi="宋体" w:cs="Times New Roman"/>
                <w:b/>
                <w:bCs/>
                <w:color w:val="auto"/>
                <w:kern w:val="0"/>
                <w:sz w:val="21"/>
                <w:szCs w:val="21"/>
                <w:highlight w:val="none"/>
              </w:rPr>
            </w:pPr>
            <w:r>
              <w:rPr>
                <w:rFonts w:hint="default" w:ascii="宋体" w:hAnsi="宋体" w:cs="Times New Roman"/>
                <w:b w:val="0"/>
                <w:bCs w:val="0"/>
                <w:color w:val="auto"/>
                <w:kern w:val="0"/>
                <w:sz w:val="21"/>
                <w:szCs w:val="21"/>
                <w:highlight w:val="none"/>
              </w:rPr>
              <w:t>……</w:t>
            </w:r>
          </w:p>
        </w:tc>
        <w:tc>
          <w:tcPr>
            <w:tcW w:w="851" w:type="dxa"/>
            <w:noWrap w:val="0"/>
            <w:vAlign w:val="center"/>
          </w:tcPr>
          <w:p w14:paraId="5E24A432">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075" w:type="dxa"/>
            <w:noWrap w:val="0"/>
            <w:vAlign w:val="center"/>
          </w:tcPr>
          <w:p w14:paraId="69D8BAC7">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25" w:type="dxa"/>
            <w:noWrap w:val="0"/>
            <w:vAlign w:val="center"/>
          </w:tcPr>
          <w:p w14:paraId="172BEA16">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57" w:type="dxa"/>
            <w:noWrap w:val="0"/>
            <w:vAlign w:val="center"/>
          </w:tcPr>
          <w:p w14:paraId="66B68927">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r>
      <w:tr w14:paraId="3401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584380EB">
            <w:pPr>
              <w:keepNext w:val="0"/>
              <w:keepLines w:val="0"/>
              <w:suppressLineNumbers w:val="0"/>
              <w:spacing w:before="0" w:beforeAutospacing="0" w:after="0" w:afterAutospacing="0"/>
              <w:ind w:left="0" w:right="0"/>
              <w:jc w:val="center"/>
              <w:rPr>
                <w:rFonts w:hint="default" w:ascii="宋体" w:hAnsi="宋体" w:cs="Times New Roman"/>
                <w:b/>
                <w:color w:val="auto"/>
                <w:sz w:val="21"/>
                <w:szCs w:val="21"/>
                <w:highlight w:val="none"/>
              </w:rPr>
            </w:pPr>
            <w:r>
              <w:rPr>
                <w:rFonts w:hint="eastAsia" w:ascii="宋体" w:hAnsi="宋体" w:cs="Times New Roman"/>
                <w:b/>
                <w:color w:val="auto"/>
                <w:sz w:val="21"/>
                <w:szCs w:val="21"/>
                <w:highlight w:val="none"/>
              </w:rPr>
              <w:t>三</w:t>
            </w:r>
          </w:p>
        </w:tc>
        <w:tc>
          <w:tcPr>
            <w:tcW w:w="4602" w:type="dxa"/>
            <w:noWrap w:val="0"/>
            <w:vAlign w:val="center"/>
          </w:tcPr>
          <w:p w14:paraId="06D2B5A2">
            <w:pPr>
              <w:keepNext w:val="0"/>
              <w:keepLines w:val="0"/>
              <w:suppressLineNumbers w:val="0"/>
              <w:spacing w:before="0" w:beforeAutospacing="0" w:after="0" w:afterAutospacing="0"/>
              <w:ind w:left="0" w:right="0"/>
              <w:jc w:val="left"/>
              <w:rPr>
                <w:rFonts w:hint="default" w:ascii="宋体" w:hAnsi="宋体" w:cs="Times New Roman"/>
                <w:color w:val="auto"/>
                <w:sz w:val="21"/>
                <w:szCs w:val="21"/>
                <w:highlight w:val="none"/>
              </w:rPr>
            </w:pPr>
            <w:r>
              <w:rPr>
                <w:rFonts w:hint="eastAsia" w:ascii="宋体" w:hAnsi="宋体" w:cs="Times New Roman"/>
                <w:b/>
                <w:bCs/>
                <w:color w:val="auto"/>
                <w:kern w:val="0"/>
                <w:sz w:val="21"/>
                <w:szCs w:val="21"/>
                <w:highlight w:val="none"/>
                <w:lang w:eastAsia="zh-CN"/>
              </w:rPr>
              <w:t>单项</w:t>
            </w:r>
            <w:r>
              <w:rPr>
                <w:rFonts w:hint="eastAsia" w:ascii="宋体" w:hAnsi="宋体" w:cs="Times New Roman"/>
                <w:b/>
                <w:bCs/>
                <w:color w:val="auto"/>
                <w:kern w:val="0"/>
                <w:sz w:val="21"/>
                <w:szCs w:val="21"/>
                <w:highlight w:val="none"/>
              </w:rPr>
              <w:t>工程</w:t>
            </w:r>
            <w:r>
              <w:rPr>
                <w:rFonts w:hint="eastAsia" w:ascii="宋体" w:hAnsi="宋体" w:cs="Times New Roman"/>
                <w:b/>
                <w:bCs/>
                <w:color w:val="auto"/>
                <w:kern w:val="0"/>
                <w:sz w:val="21"/>
                <w:szCs w:val="21"/>
                <w:highlight w:val="none"/>
                <w:lang w:val="en-US" w:eastAsia="zh-CN"/>
              </w:rPr>
              <w:t>3</w:t>
            </w:r>
          </w:p>
        </w:tc>
        <w:tc>
          <w:tcPr>
            <w:tcW w:w="851" w:type="dxa"/>
            <w:noWrap w:val="0"/>
            <w:vAlign w:val="center"/>
          </w:tcPr>
          <w:p w14:paraId="4F56EDEC">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075" w:type="dxa"/>
            <w:noWrap w:val="0"/>
            <w:vAlign w:val="center"/>
          </w:tcPr>
          <w:p w14:paraId="5EB054E3">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25" w:type="dxa"/>
            <w:noWrap w:val="0"/>
            <w:vAlign w:val="center"/>
          </w:tcPr>
          <w:p w14:paraId="504A354A">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57" w:type="dxa"/>
            <w:noWrap w:val="0"/>
            <w:vAlign w:val="center"/>
          </w:tcPr>
          <w:p w14:paraId="3312FF6B">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r>
      <w:tr w14:paraId="18D11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3685C81F">
            <w:pPr>
              <w:keepNext w:val="0"/>
              <w:keepLines w:val="0"/>
              <w:suppressLineNumbers w:val="0"/>
              <w:spacing w:before="0" w:beforeAutospacing="0" w:after="0" w:afterAutospacing="0"/>
              <w:ind w:left="0" w:right="0"/>
              <w:jc w:val="center"/>
              <w:rPr>
                <w:rFonts w:hint="default" w:ascii="宋体" w:hAnsi="宋体" w:cs="Times New Roman"/>
                <w:b/>
                <w:color w:val="auto"/>
                <w:sz w:val="21"/>
                <w:szCs w:val="21"/>
                <w:highlight w:val="none"/>
              </w:rPr>
            </w:pPr>
          </w:p>
        </w:tc>
        <w:tc>
          <w:tcPr>
            <w:tcW w:w="4602" w:type="dxa"/>
            <w:noWrap w:val="0"/>
            <w:vAlign w:val="center"/>
          </w:tcPr>
          <w:p w14:paraId="7F1E11A4">
            <w:pPr>
              <w:keepNext w:val="0"/>
              <w:keepLines w:val="0"/>
              <w:suppressLineNumbers w:val="0"/>
              <w:spacing w:before="0" w:beforeAutospacing="0" w:after="0" w:afterAutospacing="0"/>
              <w:ind w:left="0" w:right="0"/>
              <w:jc w:val="left"/>
              <w:rPr>
                <w:rFonts w:hint="default" w:ascii="宋体" w:hAnsi="宋体" w:cs="Times New Roman"/>
                <w:b/>
                <w:bCs/>
                <w:color w:val="auto"/>
                <w:kern w:val="0"/>
                <w:sz w:val="21"/>
                <w:szCs w:val="21"/>
                <w:highlight w:val="none"/>
              </w:rPr>
            </w:pPr>
            <w:r>
              <w:rPr>
                <w:rFonts w:hint="default" w:ascii="宋体" w:hAnsi="宋体" w:cs="Times New Roman"/>
                <w:b w:val="0"/>
                <w:bCs w:val="0"/>
                <w:color w:val="auto"/>
                <w:kern w:val="0"/>
                <w:sz w:val="21"/>
                <w:szCs w:val="21"/>
                <w:highlight w:val="none"/>
              </w:rPr>
              <w:t>……</w:t>
            </w:r>
          </w:p>
        </w:tc>
        <w:tc>
          <w:tcPr>
            <w:tcW w:w="851" w:type="dxa"/>
            <w:noWrap w:val="0"/>
            <w:vAlign w:val="center"/>
          </w:tcPr>
          <w:p w14:paraId="76217086">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075" w:type="dxa"/>
            <w:noWrap w:val="0"/>
            <w:vAlign w:val="center"/>
          </w:tcPr>
          <w:p w14:paraId="431A613C">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25" w:type="dxa"/>
            <w:noWrap w:val="0"/>
            <w:vAlign w:val="center"/>
          </w:tcPr>
          <w:p w14:paraId="37F9E636">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57" w:type="dxa"/>
            <w:noWrap w:val="0"/>
            <w:vAlign w:val="center"/>
          </w:tcPr>
          <w:p w14:paraId="6B853182">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r>
      <w:tr w14:paraId="7307A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5C5AB670">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4602" w:type="dxa"/>
            <w:noWrap w:val="0"/>
            <w:vAlign w:val="center"/>
          </w:tcPr>
          <w:p w14:paraId="52CF84B3">
            <w:pPr>
              <w:keepNext w:val="0"/>
              <w:keepLines w:val="0"/>
              <w:suppressLineNumbers w:val="0"/>
              <w:spacing w:before="0" w:beforeAutospacing="0" w:after="0" w:afterAutospacing="0"/>
              <w:ind w:left="0" w:right="0"/>
              <w:jc w:val="left"/>
              <w:textAlignment w:val="center"/>
              <w:rPr>
                <w:rFonts w:hint="default" w:ascii="宋体" w:hAnsi="宋体" w:cs="Times New Roman"/>
                <w:color w:val="auto"/>
                <w:sz w:val="21"/>
                <w:szCs w:val="21"/>
                <w:highlight w:val="none"/>
              </w:rPr>
            </w:pPr>
          </w:p>
        </w:tc>
        <w:tc>
          <w:tcPr>
            <w:tcW w:w="851" w:type="dxa"/>
            <w:noWrap w:val="0"/>
            <w:vAlign w:val="center"/>
          </w:tcPr>
          <w:p w14:paraId="4C5CA0A5">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075" w:type="dxa"/>
            <w:noWrap w:val="0"/>
            <w:vAlign w:val="center"/>
          </w:tcPr>
          <w:p w14:paraId="2E862930">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25" w:type="dxa"/>
            <w:noWrap w:val="0"/>
            <w:vAlign w:val="center"/>
          </w:tcPr>
          <w:p w14:paraId="6AC46C69">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57" w:type="dxa"/>
            <w:noWrap w:val="0"/>
            <w:vAlign w:val="center"/>
          </w:tcPr>
          <w:p w14:paraId="2BF5A9BC">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r>
      <w:tr w14:paraId="10DDA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46F2DD01">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4602" w:type="dxa"/>
            <w:noWrap w:val="0"/>
            <w:vAlign w:val="center"/>
          </w:tcPr>
          <w:p w14:paraId="4DE57134">
            <w:pPr>
              <w:keepNext w:val="0"/>
              <w:keepLines w:val="0"/>
              <w:suppressLineNumbers w:val="0"/>
              <w:spacing w:before="0" w:beforeAutospacing="0" w:after="0" w:afterAutospacing="0"/>
              <w:ind w:left="0" w:right="0"/>
              <w:jc w:val="left"/>
              <w:textAlignment w:val="center"/>
              <w:rPr>
                <w:rFonts w:hint="default" w:ascii="宋体" w:hAnsi="宋体" w:cs="Times New Roman"/>
                <w:color w:val="auto"/>
                <w:sz w:val="21"/>
                <w:szCs w:val="21"/>
                <w:highlight w:val="none"/>
              </w:rPr>
            </w:pPr>
          </w:p>
        </w:tc>
        <w:tc>
          <w:tcPr>
            <w:tcW w:w="851" w:type="dxa"/>
            <w:noWrap w:val="0"/>
            <w:vAlign w:val="center"/>
          </w:tcPr>
          <w:p w14:paraId="3C8E4757">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075" w:type="dxa"/>
            <w:noWrap w:val="0"/>
            <w:vAlign w:val="center"/>
          </w:tcPr>
          <w:p w14:paraId="74E95E23">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25" w:type="dxa"/>
            <w:noWrap w:val="0"/>
            <w:vAlign w:val="center"/>
          </w:tcPr>
          <w:p w14:paraId="07D9F790">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57" w:type="dxa"/>
            <w:noWrap w:val="0"/>
            <w:vAlign w:val="center"/>
          </w:tcPr>
          <w:p w14:paraId="65C28D49">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r>
      <w:tr w14:paraId="0E682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448E0CE6">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4602" w:type="dxa"/>
            <w:noWrap w:val="0"/>
            <w:vAlign w:val="center"/>
          </w:tcPr>
          <w:p w14:paraId="30A9DFEE">
            <w:pPr>
              <w:keepNext w:val="0"/>
              <w:keepLines w:val="0"/>
              <w:suppressLineNumbers w:val="0"/>
              <w:spacing w:before="0" w:beforeAutospacing="0" w:after="0" w:afterAutospacing="0"/>
              <w:ind w:left="0" w:right="0"/>
              <w:jc w:val="left"/>
              <w:textAlignment w:val="center"/>
              <w:rPr>
                <w:rFonts w:hint="default" w:ascii="宋体" w:hAnsi="宋体" w:cs="Times New Roman"/>
                <w:color w:val="auto"/>
                <w:sz w:val="21"/>
                <w:szCs w:val="21"/>
                <w:highlight w:val="none"/>
              </w:rPr>
            </w:pPr>
          </w:p>
        </w:tc>
        <w:tc>
          <w:tcPr>
            <w:tcW w:w="851" w:type="dxa"/>
            <w:noWrap w:val="0"/>
            <w:vAlign w:val="center"/>
          </w:tcPr>
          <w:p w14:paraId="2D492D2E">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075" w:type="dxa"/>
            <w:noWrap w:val="0"/>
            <w:vAlign w:val="center"/>
          </w:tcPr>
          <w:p w14:paraId="0B6A506F">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25" w:type="dxa"/>
            <w:noWrap w:val="0"/>
            <w:vAlign w:val="center"/>
          </w:tcPr>
          <w:p w14:paraId="3C69F6AE">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57" w:type="dxa"/>
            <w:noWrap w:val="0"/>
            <w:vAlign w:val="center"/>
          </w:tcPr>
          <w:p w14:paraId="6F200373">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r>
      <w:tr w14:paraId="6818A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6B2DA3F9">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4602" w:type="dxa"/>
            <w:noWrap w:val="0"/>
            <w:vAlign w:val="center"/>
          </w:tcPr>
          <w:p w14:paraId="530CACBB">
            <w:pPr>
              <w:keepNext w:val="0"/>
              <w:keepLines w:val="0"/>
              <w:suppressLineNumbers w:val="0"/>
              <w:spacing w:before="0" w:beforeAutospacing="0" w:after="0" w:afterAutospacing="0"/>
              <w:ind w:left="0" w:right="0"/>
              <w:jc w:val="left"/>
              <w:textAlignment w:val="center"/>
              <w:rPr>
                <w:rFonts w:hint="default" w:ascii="宋体" w:hAnsi="宋体" w:cs="Times New Roman"/>
                <w:color w:val="auto"/>
                <w:sz w:val="21"/>
                <w:szCs w:val="21"/>
                <w:highlight w:val="none"/>
              </w:rPr>
            </w:pPr>
          </w:p>
        </w:tc>
        <w:tc>
          <w:tcPr>
            <w:tcW w:w="851" w:type="dxa"/>
            <w:noWrap w:val="0"/>
            <w:vAlign w:val="center"/>
          </w:tcPr>
          <w:p w14:paraId="7209E2FA">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075" w:type="dxa"/>
            <w:noWrap w:val="0"/>
            <w:vAlign w:val="center"/>
          </w:tcPr>
          <w:p w14:paraId="6892874B">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25" w:type="dxa"/>
            <w:noWrap w:val="0"/>
            <w:vAlign w:val="center"/>
          </w:tcPr>
          <w:p w14:paraId="04704A4B">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57" w:type="dxa"/>
            <w:noWrap w:val="0"/>
            <w:vAlign w:val="center"/>
          </w:tcPr>
          <w:p w14:paraId="5C3F2AA3">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r>
      <w:tr w14:paraId="44176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23C89143">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4602" w:type="dxa"/>
            <w:noWrap w:val="0"/>
            <w:vAlign w:val="center"/>
          </w:tcPr>
          <w:p w14:paraId="4BF6CA6B">
            <w:pPr>
              <w:keepNext w:val="0"/>
              <w:keepLines w:val="0"/>
              <w:suppressLineNumbers w:val="0"/>
              <w:spacing w:before="0" w:beforeAutospacing="0" w:after="0" w:afterAutospacing="0"/>
              <w:ind w:left="0" w:right="0"/>
              <w:jc w:val="left"/>
              <w:textAlignment w:val="center"/>
              <w:rPr>
                <w:rFonts w:hint="default" w:ascii="宋体" w:hAnsi="宋体" w:cs="Times New Roman"/>
                <w:color w:val="auto"/>
                <w:sz w:val="21"/>
                <w:szCs w:val="21"/>
                <w:highlight w:val="none"/>
              </w:rPr>
            </w:pPr>
          </w:p>
        </w:tc>
        <w:tc>
          <w:tcPr>
            <w:tcW w:w="851" w:type="dxa"/>
            <w:noWrap w:val="0"/>
            <w:vAlign w:val="center"/>
          </w:tcPr>
          <w:p w14:paraId="5594AB2B">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075" w:type="dxa"/>
            <w:noWrap w:val="0"/>
            <w:vAlign w:val="center"/>
          </w:tcPr>
          <w:p w14:paraId="5987AB91">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25" w:type="dxa"/>
            <w:noWrap w:val="0"/>
            <w:vAlign w:val="center"/>
          </w:tcPr>
          <w:p w14:paraId="4CB2A76C">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57" w:type="dxa"/>
            <w:noWrap w:val="0"/>
            <w:vAlign w:val="center"/>
          </w:tcPr>
          <w:p w14:paraId="787B1684">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r>
      <w:tr w14:paraId="63B5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4A25CDFB">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4602" w:type="dxa"/>
            <w:noWrap w:val="0"/>
            <w:vAlign w:val="center"/>
          </w:tcPr>
          <w:p w14:paraId="7A443655">
            <w:pPr>
              <w:keepNext w:val="0"/>
              <w:keepLines w:val="0"/>
              <w:suppressLineNumbers w:val="0"/>
              <w:spacing w:before="0" w:beforeAutospacing="0" w:after="0" w:afterAutospacing="0"/>
              <w:ind w:left="0" w:right="0"/>
              <w:jc w:val="left"/>
              <w:textAlignment w:val="center"/>
              <w:rPr>
                <w:rFonts w:hint="default" w:ascii="宋体" w:hAnsi="宋体" w:cs="Times New Roman"/>
                <w:color w:val="auto"/>
                <w:sz w:val="21"/>
                <w:szCs w:val="21"/>
                <w:highlight w:val="none"/>
              </w:rPr>
            </w:pPr>
          </w:p>
        </w:tc>
        <w:tc>
          <w:tcPr>
            <w:tcW w:w="851" w:type="dxa"/>
            <w:noWrap w:val="0"/>
            <w:vAlign w:val="center"/>
          </w:tcPr>
          <w:p w14:paraId="5A230BC9">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075" w:type="dxa"/>
            <w:noWrap w:val="0"/>
            <w:vAlign w:val="center"/>
          </w:tcPr>
          <w:p w14:paraId="450DD721">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25" w:type="dxa"/>
            <w:noWrap w:val="0"/>
            <w:vAlign w:val="center"/>
          </w:tcPr>
          <w:p w14:paraId="655552C9">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57" w:type="dxa"/>
            <w:noWrap w:val="0"/>
            <w:vAlign w:val="center"/>
          </w:tcPr>
          <w:p w14:paraId="0F0BA83B">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r>
      <w:tr w14:paraId="01198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144CCA6D">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4602" w:type="dxa"/>
            <w:noWrap w:val="0"/>
            <w:vAlign w:val="center"/>
          </w:tcPr>
          <w:p w14:paraId="7C89A48F">
            <w:pPr>
              <w:keepNext w:val="0"/>
              <w:keepLines w:val="0"/>
              <w:suppressLineNumbers w:val="0"/>
              <w:spacing w:before="0" w:beforeAutospacing="0" w:after="0" w:afterAutospacing="0"/>
              <w:ind w:left="0" w:right="0"/>
              <w:jc w:val="left"/>
              <w:textAlignment w:val="center"/>
              <w:rPr>
                <w:rFonts w:hint="default" w:ascii="宋体" w:hAnsi="宋体" w:cs="Times New Roman"/>
                <w:color w:val="auto"/>
                <w:sz w:val="21"/>
                <w:szCs w:val="21"/>
                <w:highlight w:val="none"/>
              </w:rPr>
            </w:pPr>
          </w:p>
        </w:tc>
        <w:tc>
          <w:tcPr>
            <w:tcW w:w="851" w:type="dxa"/>
            <w:noWrap w:val="0"/>
            <w:vAlign w:val="center"/>
          </w:tcPr>
          <w:p w14:paraId="1F44D8A1">
            <w:pPr>
              <w:keepNext w:val="0"/>
              <w:keepLines w:val="0"/>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075" w:type="dxa"/>
            <w:noWrap w:val="0"/>
            <w:vAlign w:val="center"/>
          </w:tcPr>
          <w:p w14:paraId="0B30A115">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25" w:type="dxa"/>
            <w:noWrap w:val="0"/>
            <w:vAlign w:val="center"/>
          </w:tcPr>
          <w:p w14:paraId="234E040A">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c>
          <w:tcPr>
            <w:tcW w:w="1257" w:type="dxa"/>
            <w:noWrap w:val="0"/>
            <w:vAlign w:val="center"/>
          </w:tcPr>
          <w:p w14:paraId="26137D21">
            <w:pPr>
              <w:keepNext w:val="0"/>
              <w:keepLines w:val="0"/>
              <w:widowControl/>
              <w:suppressLineNumbers w:val="0"/>
              <w:spacing w:before="0" w:beforeAutospacing="0" w:after="0" w:afterAutospacing="0"/>
              <w:ind w:left="0" w:right="0"/>
              <w:jc w:val="center"/>
              <w:rPr>
                <w:rFonts w:hint="default" w:ascii="宋体" w:hAnsi="宋体" w:cs="Times New Roman"/>
                <w:color w:val="auto"/>
                <w:sz w:val="21"/>
                <w:szCs w:val="21"/>
                <w:highlight w:val="none"/>
              </w:rPr>
            </w:pPr>
          </w:p>
        </w:tc>
      </w:tr>
    </w:tbl>
    <w:p w14:paraId="395FFC3C">
      <w:pPr>
        <w:ind w:left="360" w:hanging="420" w:hangingChars="200"/>
        <w:rPr>
          <w:rFonts w:hint="eastAsia" w:ascii="宋体" w:hAnsi="宋体" w:cs="Times New Roman"/>
          <w:color w:val="auto"/>
          <w:sz w:val="21"/>
          <w:szCs w:val="21"/>
          <w:highlight w:val="none"/>
        </w:rPr>
      </w:pPr>
      <w:r>
        <w:rPr>
          <w:rFonts w:hint="eastAsia" w:ascii="宋体" w:hAnsi="宋体" w:cs="Times New Roman"/>
          <w:color w:val="auto"/>
          <w:sz w:val="21"/>
          <w:szCs w:val="21"/>
          <w:highlight w:val="none"/>
        </w:rPr>
        <w:t>注：</w:t>
      </w:r>
      <w:r>
        <w:rPr>
          <w:rFonts w:hint="eastAsia" w:ascii="宋体" w:hAnsi="宋体" w:cs="Times New Roman"/>
          <w:color w:val="auto"/>
          <w:sz w:val="21"/>
          <w:szCs w:val="21"/>
          <w:highlight w:val="none"/>
          <w:lang w:val="en-US" w:eastAsia="zh-CN"/>
        </w:rPr>
        <w:t>1.</w:t>
      </w:r>
      <w:r>
        <w:rPr>
          <w:rFonts w:hint="eastAsia" w:ascii="宋体" w:hAnsi="宋体" w:cs="Times New Roman"/>
          <w:color w:val="auto"/>
          <w:sz w:val="21"/>
          <w:szCs w:val="21"/>
          <w:highlight w:val="none"/>
        </w:rPr>
        <w:t>此表由招标人填写除“投标单价”栏的内容</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投标人在投标时自主确定投标单价。</w:t>
      </w:r>
    </w:p>
    <w:p w14:paraId="4F4E058A">
      <w:pPr>
        <w:ind w:left="357" w:leftChars="170" w:firstLine="0" w:firstLineChars="0"/>
        <w:rPr>
          <w:rFonts w:ascii="Times New Roman" w:hAnsi="Times New Roman" w:cs="Times New Roman"/>
          <w:color w:val="auto"/>
          <w:sz w:val="21"/>
          <w:szCs w:val="21"/>
          <w:highlight w:val="none"/>
        </w:rPr>
      </w:pPr>
      <w:r>
        <w:rPr>
          <w:rFonts w:hint="eastAsia" w:ascii="宋体" w:hAnsi="宋体" w:cs="Times New Roman"/>
          <w:color w:val="auto"/>
          <w:sz w:val="21"/>
          <w:szCs w:val="21"/>
          <w:highlight w:val="none"/>
          <w:lang w:val="en-US" w:eastAsia="zh-CN"/>
        </w:rPr>
        <w:t>2.应用于一般计税法为除税价，应用于简易计税法为含税价。</w:t>
      </w:r>
    </w:p>
    <w:p w14:paraId="55551E77">
      <w:pPr>
        <w:jc w:val="left"/>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w:t>
      </w:r>
    </w:p>
    <w:p w14:paraId="382CBCFB">
      <w:pPr>
        <w:jc w:val="right"/>
        <w:rPr>
          <w:rFonts w:hint="eastAsia" w:ascii="宋体" w:hAnsi="宋体" w:cs="Times New Roman"/>
          <w:color w:val="auto"/>
          <w:sz w:val="21"/>
          <w:szCs w:val="21"/>
          <w:highlight w:val="none"/>
        </w:rPr>
      </w:pPr>
    </w:p>
    <w:p w14:paraId="7414F6E8">
      <w:pPr>
        <w:jc w:val="right"/>
        <w:rPr>
          <w:rFonts w:hint="eastAsia" w:ascii="宋体" w:hAnsi="宋体" w:cs="Times New Roman"/>
          <w:color w:val="auto"/>
          <w:sz w:val="21"/>
          <w:szCs w:val="21"/>
          <w:highlight w:val="none"/>
        </w:rPr>
      </w:pPr>
    </w:p>
    <w:p w14:paraId="2D19B8D1">
      <w:pPr>
        <w:jc w:val="right"/>
        <w:rPr>
          <w:rFonts w:hint="eastAsia" w:ascii="宋体" w:hAnsi="宋体" w:cs="Times New Roman"/>
          <w:color w:val="auto"/>
          <w:sz w:val="21"/>
          <w:szCs w:val="21"/>
          <w:highlight w:val="none"/>
        </w:rPr>
      </w:pPr>
    </w:p>
    <w:p w14:paraId="64DBF253">
      <w:pPr>
        <w:jc w:val="right"/>
        <w:rPr>
          <w:rFonts w:hint="eastAsia" w:ascii="宋体" w:hAnsi="宋体" w:cs="Times New Roman"/>
          <w:color w:val="auto"/>
          <w:sz w:val="21"/>
          <w:szCs w:val="21"/>
          <w:highlight w:val="none"/>
        </w:rPr>
      </w:pPr>
    </w:p>
    <w:p w14:paraId="2BE97BF8">
      <w:pPr>
        <w:jc w:val="right"/>
        <w:rPr>
          <w:rFonts w:hint="eastAsia" w:ascii="宋体" w:hAnsi="宋体" w:cs="Times New Roman"/>
          <w:color w:val="auto"/>
          <w:sz w:val="21"/>
          <w:szCs w:val="21"/>
          <w:highlight w:val="none"/>
        </w:rPr>
      </w:pPr>
    </w:p>
    <w:p w14:paraId="676208D4">
      <w:pPr>
        <w:jc w:val="right"/>
        <w:rPr>
          <w:rFonts w:hint="eastAsia" w:ascii="宋体" w:hAnsi="宋体" w:cs="Times New Roman"/>
          <w:color w:val="auto"/>
          <w:sz w:val="21"/>
          <w:szCs w:val="21"/>
          <w:highlight w:val="none"/>
        </w:rPr>
      </w:pPr>
    </w:p>
    <w:p w14:paraId="317E4FEB">
      <w:pPr>
        <w:jc w:val="right"/>
        <w:rPr>
          <w:rFonts w:hint="eastAsia" w:ascii="宋体" w:hAnsi="宋体" w:cs="Times New Roman"/>
          <w:color w:val="auto"/>
          <w:sz w:val="21"/>
          <w:szCs w:val="21"/>
          <w:highlight w:val="none"/>
        </w:rPr>
      </w:pPr>
    </w:p>
    <w:p w14:paraId="3A1585DB">
      <w:pPr>
        <w:jc w:val="right"/>
        <w:rPr>
          <w:rFonts w:hint="eastAsia" w:ascii="宋体" w:hAnsi="宋体" w:cs="Times New Roman"/>
          <w:color w:val="auto"/>
          <w:sz w:val="21"/>
          <w:szCs w:val="21"/>
          <w:highlight w:val="none"/>
        </w:rPr>
      </w:pPr>
    </w:p>
    <w:p w14:paraId="5D9D009E">
      <w:pPr>
        <w:jc w:val="right"/>
        <w:rPr>
          <w:rFonts w:hint="eastAsia" w:ascii="宋体" w:hAnsi="宋体" w:cs="Times New Roman"/>
          <w:color w:val="auto"/>
          <w:sz w:val="21"/>
          <w:szCs w:val="21"/>
          <w:highlight w:val="none"/>
        </w:rPr>
      </w:pPr>
    </w:p>
    <w:p w14:paraId="3F420B03">
      <w:pPr>
        <w:jc w:val="right"/>
        <w:rPr>
          <w:rFonts w:hint="eastAsia" w:ascii="宋体" w:hAnsi="宋体" w:cs="Times New Roman"/>
          <w:color w:val="auto"/>
          <w:sz w:val="21"/>
          <w:szCs w:val="21"/>
          <w:highlight w:val="none"/>
        </w:rPr>
      </w:pPr>
    </w:p>
    <w:p w14:paraId="37821E0E">
      <w:pPr>
        <w:jc w:val="right"/>
        <w:rPr>
          <w:rFonts w:hint="eastAsia" w:ascii="宋体" w:hAnsi="宋体" w:cs="Times New Roman"/>
          <w:color w:val="auto"/>
          <w:sz w:val="21"/>
          <w:szCs w:val="21"/>
          <w:highlight w:val="none"/>
        </w:rPr>
      </w:pPr>
    </w:p>
    <w:p w14:paraId="52299C8E">
      <w:pPr>
        <w:jc w:val="center"/>
        <w:rPr>
          <w:rFonts w:hint="eastAsia" w:ascii="宋体" w:hAnsi="宋体" w:eastAsia="宋体" w:cs="Times New Roman"/>
          <w:b/>
          <w:bCs w:val="0"/>
          <w:color w:val="auto"/>
          <w:sz w:val="21"/>
          <w:szCs w:val="21"/>
          <w:highlight w:val="none"/>
          <w:lang w:eastAsia="zh-CN"/>
        </w:rPr>
      </w:pPr>
    </w:p>
    <w:p w14:paraId="5A8E52C6">
      <w:pPr>
        <w:jc w:val="center"/>
        <w:rPr>
          <w:rFonts w:hint="eastAsia" w:ascii="宋体" w:hAnsi="宋体" w:eastAsia="宋体" w:cs="Times New Roman"/>
          <w:b/>
          <w:bCs w:val="0"/>
          <w:color w:val="auto"/>
          <w:sz w:val="21"/>
          <w:szCs w:val="21"/>
          <w:highlight w:val="none"/>
        </w:rPr>
      </w:pPr>
      <w:r>
        <w:rPr>
          <w:rFonts w:hint="eastAsia" w:ascii="宋体" w:hAnsi="宋体" w:eastAsia="宋体" w:cs="Times New Roman"/>
          <w:b/>
          <w:bCs w:val="0"/>
          <w:color w:val="auto"/>
          <w:sz w:val="21"/>
          <w:szCs w:val="21"/>
          <w:highlight w:val="none"/>
          <w:lang w:eastAsia="zh-CN"/>
        </w:rPr>
        <w:t>人工及主要材料费可调因子价格指数及</w:t>
      </w:r>
      <w:r>
        <w:rPr>
          <w:rFonts w:hint="eastAsia" w:ascii="宋体" w:hAnsi="宋体" w:eastAsia="宋体" w:cs="Times New Roman"/>
          <w:b/>
          <w:bCs w:val="0"/>
          <w:color w:val="auto"/>
          <w:sz w:val="21"/>
          <w:szCs w:val="21"/>
          <w:highlight w:val="none"/>
        </w:rPr>
        <w:t>权重表</w:t>
      </w:r>
    </w:p>
    <w:p w14:paraId="26459CBA">
      <w:pPr>
        <w:jc w:val="center"/>
        <w:rPr>
          <w:rFonts w:hint="eastAsia" w:ascii="宋体" w:hAnsi="宋体" w:eastAsia="宋体" w:cs="Times New Roman"/>
          <w:b/>
          <w:bCs/>
          <w:color w:val="auto"/>
          <w:sz w:val="21"/>
          <w:szCs w:val="21"/>
          <w:highlight w:val="none"/>
        </w:rPr>
      </w:pPr>
      <w:r>
        <w:rPr>
          <w:rFonts w:hint="eastAsia" w:ascii="宋体" w:hAnsi="宋体" w:eastAsia="宋体" w:cs="Times New Roman"/>
          <w:b/>
          <w:bCs/>
          <w:color w:val="auto"/>
          <w:sz w:val="21"/>
          <w:szCs w:val="21"/>
          <w:highlight w:val="none"/>
          <w:lang w:eastAsia="zh-CN"/>
        </w:rPr>
        <w:t>（适用于总价合同）</w:t>
      </w:r>
    </w:p>
    <w:p w14:paraId="43F40A2C">
      <w:pPr>
        <w:widowControl w:val="0"/>
        <w:spacing w:line="380" w:lineRule="exact"/>
        <w:jc w:val="both"/>
        <w:rPr>
          <w:rFonts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 xml:space="preserve"> 工程名称：                                                       第  页  共  页</w:t>
      </w:r>
    </w:p>
    <w:tbl>
      <w:tblPr>
        <w:tblStyle w:val="348"/>
        <w:tblW w:w="9048" w:type="dxa"/>
        <w:tblInd w:w="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7"/>
        <w:gridCol w:w="1405"/>
        <w:gridCol w:w="1091"/>
        <w:gridCol w:w="1445"/>
        <w:gridCol w:w="1309"/>
        <w:gridCol w:w="1268"/>
        <w:gridCol w:w="1303"/>
      </w:tblGrid>
      <w:tr w14:paraId="6AC9E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8" w:hRule="atLeast"/>
        </w:trPr>
        <w:tc>
          <w:tcPr>
            <w:tcW w:w="1227" w:type="dxa"/>
            <w:noWrap w:val="0"/>
            <w:vAlign w:val="center"/>
          </w:tcPr>
          <w:p w14:paraId="2585292D">
            <w:pPr>
              <w:pStyle w:val="349"/>
              <w:spacing w:before="1"/>
              <w:ind w:left="105"/>
              <w:jc w:val="center"/>
              <w:rPr>
                <w:color w:val="auto"/>
                <w:sz w:val="21"/>
                <w:szCs w:val="21"/>
                <w:highlight w:val="none"/>
              </w:rPr>
            </w:pPr>
            <w:r>
              <w:rPr>
                <w:rFonts w:hint="eastAsia"/>
                <w:color w:val="auto"/>
                <w:sz w:val="21"/>
                <w:szCs w:val="21"/>
                <w:highlight w:val="none"/>
                <w:lang w:eastAsia="zh-CN"/>
              </w:rPr>
              <w:t>可调因子</w:t>
            </w:r>
          </w:p>
        </w:tc>
        <w:tc>
          <w:tcPr>
            <w:tcW w:w="1405" w:type="dxa"/>
            <w:noWrap w:val="0"/>
            <w:vAlign w:val="center"/>
          </w:tcPr>
          <w:p w14:paraId="7F7764D0">
            <w:pPr>
              <w:pStyle w:val="349"/>
              <w:spacing w:before="1"/>
              <w:jc w:val="center"/>
              <w:rPr>
                <w:rFonts w:hint="eastAsia" w:ascii="黑体"/>
                <w:color w:val="auto"/>
                <w:sz w:val="21"/>
                <w:szCs w:val="21"/>
                <w:highlight w:val="none"/>
                <w:lang w:eastAsia="zh-CN"/>
              </w:rPr>
            </w:pPr>
            <w:r>
              <w:rPr>
                <w:rFonts w:hint="eastAsia" w:ascii="黑体"/>
                <w:color w:val="auto"/>
                <w:sz w:val="21"/>
                <w:szCs w:val="21"/>
                <w:highlight w:val="none"/>
                <w:lang w:eastAsia="zh-CN"/>
              </w:rPr>
              <w:t>基准日价格</w:t>
            </w:r>
          </w:p>
          <w:p w14:paraId="29AEFC2C">
            <w:pPr>
              <w:pStyle w:val="349"/>
              <w:spacing w:before="1"/>
              <w:jc w:val="center"/>
              <w:rPr>
                <w:rFonts w:hint="eastAsia"/>
                <w:color w:val="auto"/>
                <w:sz w:val="21"/>
                <w:szCs w:val="21"/>
                <w:highlight w:val="none"/>
                <w:lang w:val="en-US" w:eastAsia="zh-CN"/>
              </w:rPr>
            </w:pPr>
            <w:r>
              <w:rPr>
                <w:color w:val="auto"/>
                <w:sz w:val="21"/>
                <w:szCs w:val="21"/>
                <w:highlight w:val="none"/>
              </w:rPr>
              <w:t>指数</w:t>
            </w:r>
            <w:r>
              <w:rPr>
                <w:rFonts w:hint="eastAsia"/>
                <w:color w:val="auto"/>
                <w:sz w:val="21"/>
                <w:szCs w:val="21"/>
                <w:highlight w:val="none"/>
                <w:lang w:eastAsia="zh-CN"/>
              </w:rPr>
              <w:t>或</w:t>
            </w:r>
            <w:r>
              <w:rPr>
                <w:rFonts w:hint="eastAsia"/>
                <w:color w:val="auto"/>
                <w:sz w:val="21"/>
                <w:szCs w:val="21"/>
                <w:highlight w:val="none"/>
                <w:lang w:val="en-US" w:eastAsia="zh-CN"/>
              </w:rPr>
              <w:t>单价</w:t>
            </w:r>
          </w:p>
          <w:p w14:paraId="7AE56C5B">
            <w:pPr>
              <w:pStyle w:val="349"/>
              <w:spacing w:before="1"/>
              <w:jc w:val="center"/>
              <w:rPr>
                <w:rFonts w:hint="eastAsia"/>
                <w:color w:val="auto"/>
                <w:sz w:val="21"/>
                <w:szCs w:val="21"/>
                <w:highlight w:val="none"/>
                <w:lang w:val="en-US" w:eastAsia="zh-CN"/>
              </w:rPr>
            </w:pPr>
            <w:r>
              <w:rPr>
                <w:rFonts w:hint="eastAsia"/>
                <w:color w:val="auto"/>
                <w:sz w:val="21"/>
                <w:szCs w:val="21"/>
                <w:highlight w:val="none"/>
                <w:lang w:eastAsia="zh-CN"/>
              </w:rPr>
              <w:t>（元）</w:t>
            </w:r>
          </w:p>
        </w:tc>
        <w:tc>
          <w:tcPr>
            <w:tcW w:w="1091" w:type="dxa"/>
            <w:noWrap w:val="0"/>
            <w:vAlign w:val="center"/>
          </w:tcPr>
          <w:p w14:paraId="3725D341">
            <w:pPr>
              <w:pStyle w:val="349"/>
              <w:spacing w:before="1"/>
              <w:ind w:left="108" w:leftChars="0" w:right="0" w:rightChars="0"/>
              <w:jc w:val="both"/>
              <w:rPr>
                <w:rFonts w:hint="default"/>
                <w:color w:val="auto"/>
                <w:sz w:val="21"/>
                <w:szCs w:val="21"/>
                <w:highlight w:val="none"/>
                <w:lang w:val="en-US" w:eastAsia="zh-CN"/>
              </w:rPr>
            </w:pPr>
            <w:r>
              <w:rPr>
                <w:rFonts w:hint="eastAsia"/>
                <w:color w:val="auto"/>
                <w:sz w:val="21"/>
                <w:szCs w:val="21"/>
                <w:highlight w:val="none"/>
                <w:lang w:val="en-US" w:eastAsia="zh-CN"/>
              </w:rPr>
              <w:t>风险幅度（%）</w:t>
            </w:r>
          </w:p>
        </w:tc>
        <w:tc>
          <w:tcPr>
            <w:tcW w:w="1445" w:type="dxa"/>
            <w:noWrap w:val="0"/>
            <w:vAlign w:val="center"/>
          </w:tcPr>
          <w:p w14:paraId="18420F89">
            <w:pPr>
              <w:pStyle w:val="349"/>
              <w:spacing w:before="1"/>
              <w:jc w:val="center"/>
              <w:rPr>
                <w:rFonts w:hint="eastAsia"/>
                <w:color w:val="auto"/>
                <w:sz w:val="21"/>
                <w:szCs w:val="21"/>
                <w:highlight w:val="none"/>
                <w:lang w:val="en-US" w:eastAsia="zh-CN"/>
              </w:rPr>
            </w:pPr>
            <w:r>
              <w:rPr>
                <w:rFonts w:hint="eastAsia"/>
                <w:color w:val="auto"/>
                <w:sz w:val="21"/>
                <w:szCs w:val="21"/>
                <w:highlight w:val="none"/>
                <w:lang w:val="en-US" w:eastAsia="zh-CN"/>
              </w:rPr>
              <w:t>基本价格</w:t>
            </w:r>
          </w:p>
          <w:p w14:paraId="709B5473">
            <w:pPr>
              <w:pStyle w:val="349"/>
              <w:spacing w:before="1"/>
              <w:jc w:val="center"/>
              <w:rPr>
                <w:rFonts w:hint="eastAsia"/>
                <w:color w:val="auto"/>
                <w:sz w:val="21"/>
                <w:szCs w:val="21"/>
                <w:highlight w:val="none"/>
                <w:lang w:val="en-US" w:eastAsia="zh-CN"/>
              </w:rPr>
            </w:pPr>
            <w:r>
              <w:rPr>
                <w:rFonts w:hint="eastAsia"/>
                <w:color w:val="auto"/>
                <w:sz w:val="21"/>
                <w:szCs w:val="21"/>
                <w:highlight w:val="none"/>
                <w:lang w:val="en-US" w:eastAsia="zh-CN"/>
              </w:rPr>
              <w:t>指数或单价</w:t>
            </w:r>
          </w:p>
          <w:p w14:paraId="4A5764E3">
            <w:pPr>
              <w:pStyle w:val="349"/>
              <w:spacing w:before="1"/>
              <w:jc w:val="center"/>
              <w:rPr>
                <w:rFonts w:hint="eastAsia"/>
                <w:color w:val="auto"/>
                <w:sz w:val="21"/>
                <w:szCs w:val="21"/>
                <w:highlight w:val="none"/>
                <w:lang w:val="en-US" w:eastAsia="zh-CN"/>
              </w:rPr>
            </w:pPr>
            <w:r>
              <w:rPr>
                <w:rFonts w:hint="eastAsia"/>
                <w:color w:val="auto"/>
                <w:sz w:val="21"/>
                <w:szCs w:val="21"/>
                <w:highlight w:val="none"/>
                <w:lang w:val="en-US" w:eastAsia="zh-CN"/>
              </w:rPr>
              <w:t>（元）</w:t>
            </w:r>
          </w:p>
        </w:tc>
        <w:tc>
          <w:tcPr>
            <w:tcW w:w="1309" w:type="dxa"/>
            <w:noWrap w:val="0"/>
            <w:vAlign w:val="center"/>
          </w:tcPr>
          <w:p w14:paraId="49287EA0">
            <w:pPr>
              <w:pStyle w:val="349"/>
              <w:spacing w:before="1"/>
              <w:ind w:left="105"/>
              <w:jc w:val="center"/>
              <w:rPr>
                <w:color w:val="auto"/>
                <w:sz w:val="21"/>
                <w:szCs w:val="21"/>
                <w:highlight w:val="none"/>
                <w:u w:val="single"/>
              </w:rPr>
            </w:pPr>
            <w:r>
              <w:rPr>
                <w:rFonts w:hint="eastAsia"/>
                <w:color w:val="auto"/>
                <w:sz w:val="21"/>
                <w:szCs w:val="21"/>
                <w:highlight w:val="none"/>
                <w:lang w:val="en-US" w:eastAsia="zh-CN"/>
              </w:rPr>
              <w:t>招标</w:t>
            </w:r>
            <w:r>
              <w:rPr>
                <w:rFonts w:hint="eastAsia"/>
                <w:color w:val="auto"/>
                <w:sz w:val="21"/>
                <w:szCs w:val="21"/>
                <w:highlight w:val="none"/>
                <w:lang w:eastAsia="zh-CN"/>
              </w:rPr>
              <w:t>人</w:t>
            </w:r>
            <w:r>
              <w:rPr>
                <w:color w:val="auto"/>
                <w:sz w:val="21"/>
                <w:szCs w:val="21"/>
                <w:highlight w:val="none"/>
              </w:rPr>
              <w:t>允许</w:t>
            </w:r>
            <w:r>
              <w:rPr>
                <w:rFonts w:hint="eastAsia"/>
                <w:color w:val="auto"/>
                <w:sz w:val="21"/>
                <w:szCs w:val="21"/>
                <w:highlight w:val="none"/>
                <w:lang w:eastAsia="zh-CN"/>
              </w:rPr>
              <w:t>权重</w:t>
            </w:r>
            <w:r>
              <w:rPr>
                <w:color w:val="auto"/>
                <w:sz w:val="21"/>
                <w:szCs w:val="21"/>
                <w:highlight w:val="none"/>
              </w:rPr>
              <w:t>范围</w:t>
            </w:r>
          </w:p>
        </w:tc>
        <w:tc>
          <w:tcPr>
            <w:tcW w:w="1268" w:type="dxa"/>
            <w:noWrap w:val="0"/>
            <w:vAlign w:val="center"/>
          </w:tcPr>
          <w:p w14:paraId="6840B0DE">
            <w:pPr>
              <w:pStyle w:val="349"/>
              <w:spacing w:before="1"/>
              <w:ind w:left="0"/>
              <w:jc w:val="center"/>
              <w:rPr>
                <w:rFonts w:hint="eastAsia"/>
                <w:color w:val="auto"/>
                <w:sz w:val="21"/>
                <w:szCs w:val="21"/>
                <w:highlight w:val="none"/>
                <w:lang w:eastAsia="zh-CN"/>
              </w:rPr>
            </w:pPr>
            <w:r>
              <w:rPr>
                <w:color w:val="auto"/>
                <w:sz w:val="21"/>
                <w:szCs w:val="21"/>
                <w:highlight w:val="none"/>
              </w:rPr>
              <w:t>投标人</w:t>
            </w:r>
          </w:p>
          <w:p w14:paraId="5E10FD99">
            <w:pPr>
              <w:pStyle w:val="349"/>
              <w:spacing w:before="1"/>
              <w:ind w:left="0"/>
              <w:jc w:val="center"/>
              <w:rPr>
                <w:rFonts w:hint="eastAsia"/>
                <w:color w:val="auto"/>
                <w:sz w:val="21"/>
                <w:szCs w:val="21"/>
                <w:highlight w:val="none"/>
                <w:lang w:val="en-US" w:eastAsia="zh-CN"/>
              </w:rPr>
            </w:pPr>
            <w:r>
              <w:rPr>
                <w:rFonts w:hint="eastAsia"/>
                <w:color w:val="auto"/>
                <w:sz w:val="21"/>
                <w:szCs w:val="21"/>
                <w:highlight w:val="none"/>
                <w:lang w:eastAsia="zh-CN"/>
              </w:rPr>
              <w:t>填报权重</w:t>
            </w:r>
          </w:p>
        </w:tc>
        <w:tc>
          <w:tcPr>
            <w:tcW w:w="1303" w:type="dxa"/>
            <w:noWrap w:val="0"/>
            <w:vAlign w:val="center"/>
          </w:tcPr>
          <w:p w14:paraId="34408A77">
            <w:pPr>
              <w:pStyle w:val="349"/>
              <w:spacing w:before="1"/>
              <w:ind w:left="0"/>
              <w:jc w:val="center"/>
              <w:rPr>
                <w:rFonts w:hint="eastAsia"/>
                <w:color w:val="auto"/>
                <w:sz w:val="21"/>
                <w:szCs w:val="21"/>
                <w:highlight w:val="none"/>
                <w:lang w:val="en-US" w:eastAsia="zh-CN"/>
              </w:rPr>
            </w:pPr>
            <w:r>
              <w:rPr>
                <w:rFonts w:hint="eastAsia"/>
                <w:color w:val="auto"/>
                <w:sz w:val="21"/>
                <w:szCs w:val="21"/>
                <w:highlight w:val="none"/>
                <w:lang w:val="en-US" w:eastAsia="zh-CN"/>
              </w:rPr>
              <w:t>价格指数</w:t>
            </w:r>
          </w:p>
          <w:p w14:paraId="77881EB3">
            <w:pPr>
              <w:pStyle w:val="349"/>
              <w:spacing w:before="1"/>
              <w:ind w:left="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来源</w:t>
            </w:r>
          </w:p>
        </w:tc>
      </w:tr>
      <w:tr w14:paraId="16BB2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172DEAC4">
            <w:pPr>
              <w:pStyle w:val="349"/>
              <w:spacing w:before="1"/>
              <w:ind w:left="105"/>
              <w:rPr>
                <w:color w:val="auto"/>
                <w:sz w:val="21"/>
                <w:szCs w:val="21"/>
                <w:highlight w:val="none"/>
              </w:rPr>
            </w:pPr>
          </w:p>
        </w:tc>
        <w:tc>
          <w:tcPr>
            <w:tcW w:w="1405" w:type="dxa"/>
            <w:noWrap w:val="0"/>
            <w:vAlign w:val="center"/>
          </w:tcPr>
          <w:p w14:paraId="7C52705B">
            <w:pPr>
              <w:pStyle w:val="349"/>
              <w:spacing w:before="1"/>
              <w:jc w:val="both"/>
              <w:rPr>
                <w:rFonts w:hint="default" w:eastAsia="宋体"/>
                <w:color w:val="auto"/>
                <w:sz w:val="21"/>
                <w:szCs w:val="21"/>
                <w:highlight w:val="none"/>
                <w:lang w:val="en-US" w:eastAsia="zh-CN"/>
              </w:rPr>
            </w:pPr>
          </w:p>
        </w:tc>
        <w:tc>
          <w:tcPr>
            <w:tcW w:w="1091" w:type="dxa"/>
            <w:noWrap w:val="0"/>
            <w:vAlign w:val="center"/>
          </w:tcPr>
          <w:p w14:paraId="4A067742">
            <w:pPr>
              <w:pStyle w:val="349"/>
              <w:spacing w:before="1"/>
              <w:ind w:left="108" w:leftChars="0" w:right="0" w:rightChars="0"/>
              <w:jc w:val="both"/>
              <w:rPr>
                <w:rFonts w:hint="eastAsia" w:ascii="Times New Roman" w:hAnsi="Times New Roman" w:eastAsia="宋体" w:cs="Times New Roman"/>
                <w:color w:val="auto"/>
                <w:kern w:val="2"/>
                <w:sz w:val="21"/>
                <w:szCs w:val="21"/>
                <w:highlight w:val="none"/>
                <w:lang w:val="en-US" w:eastAsia="zh-CN" w:bidi="ar-SA"/>
              </w:rPr>
            </w:pPr>
          </w:p>
        </w:tc>
        <w:tc>
          <w:tcPr>
            <w:tcW w:w="1445" w:type="dxa"/>
            <w:noWrap w:val="0"/>
            <w:vAlign w:val="center"/>
          </w:tcPr>
          <w:p w14:paraId="6ECC1DD2">
            <w:pPr>
              <w:pStyle w:val="349"/>
              <w:spacing w:before="1"/>
              <w:jc w:val="both"/>
              <w:rPr>
                <w:rFonts w:hint="default"/>
                <w:color w:val="auto"/>
                <w:sz w:val="21"/>
                <w:szCs w:val="21"/>
                <w:highlight w:val="none"/>
                <w:lang w:val="en-US" w:eastAsia="zh-CN"/>
              </w:rPr>
            </w:pPr>
          </w:p>
        </w:tc>
        <w:tc>
          <w:tcPr>
            <w:tcW w:w="1309" w:type="dxa"/>
            <w:noWrap w:val="0"/>
            <w:vAlign w:val="top"/>
          </w:tcPr>
          <w:p w14:paraId="5023C5AA">
            <w:pPr>
              <w:pStyle w:val="349"/>
              <w:spacing w:before="1"/>
              <w:ind w:left="105"/>
              <w:rPr>
                <w:color w:val="auto"/>
                <w:sz w:val="21"/>
                <w:szCs w:val="21"/>
                <w:highlight w:val="none"/>
              </w:rPr>
            </w:pPr>
          </w:p>
        </w:tc>
        <w:tc>
          <w:tcPr>
            <w:tcW w:w="1268" w:type="dxa"/>
            <w:noWrap w:val="0"/>
            <w:vAlign w:val="top"/>
          </w:tcPr>
          <w:p w14:paraId="12A5C7B4">
            <w:pPr>
              <w:pStyle w:val="349"/>
              <w:spacing w:before="1"/>
              <w:ind w:left="107"/>
              <w:rPr>
                <w:rFonts w:hint="default" w:eastAsia="宋体"/>
                <w:color w:val="auto"/>
                <w:sz w:val="21"/>
                <w:szCs w:val="21"/>
                <w:highlight w:val="none"/>
                <w:lang w:val="en-US" w:eastAsia="zh-CN"/>
              </w:rPr>
            </w:pPr>
          </w:p>
        </w:tc>
        <w:tc>
          <w:tcPr>
            <w:tcW w:w="1303" w:type="dxa"/>
            <w:noWrap w:val="0"/>
            <w:vAlign w:val="top"/>
          </w:tcPr>
          <w:p w14:paraId="23B66604">
            <w:pPr>
              <w:pStyle w:val="349"/>
              <w:spacing w:before="1"/>
              <w:ind w:left="108"/>
              <w:rPr>
                <w:rFonts w:hint="default" w:eastAsia="宋体"/>
                <w:color w:val="auto"/>
                <w:sz w:val="21"/>
                <w:szCs w:val="21"/>
                <w:highlight w:val="none"/>
                <w:lang w:val="en-US" w:eastAsia="zh-CN"/>
              </w:rPr>
            </w:pPr>
          </w:p>
        </w:tc>
      </w:tr>
      <w:tr w14:paraId="65164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4A07F7B8">
            <w:pPr>
              <w:pStyle w:val="349"/>
              <w:ind w:left="105"/>
              <w:rPr>
                <w:rFonts w:hint="default" w:eastAsia="宋体"/>
                <w:color w:val="auto"/>
                <w:sz w:val="21"/>
                <w:szCs w:val="21"/>
                <w:highlight w:val="none"/>
                <w:lang w:val="en-US" w:eastAsia="zh-CN"/>
              </w:rPr>
            </w:pPr>
          </w:p>
        </w:tc>
        <w:tc>
          <w:tcPr>
            <w:tcW w:w="1405" w:type="dxa"/>
            <w:noWrap w:val="0"/>
            <w:vAlign w:val="center"/>
          </w:tcPr>
          <w:p w14:paraId="76F3C0AF">
            <w:pPr>
              <w:pStyle w:val="349"/>
              <w:ind w:left="105"/>
              <w:jc w:val="both"/>
              <w:rPr>
                <w:rFonts w:hint="default" w:eastAsia="宋体"/>
                <w:color w:val="auto"/>
                <w:sz w:val="21"/>
                <w:szCs w:val="21"/>
                <w:highlight w:val="none"/>
                <w:lang w:val="en-US" w:eastAsia="zh-CN"/>
              </w:rPr>
            </w:pPr>
          </w:p>
        </w:tc>
        <w:tc>
          <w:tcPr>
            <w:tcW w:w="1091" w:type="dxa"/>
            <w:noWrap w:val="0"/>
            <w:vAlign w:val="center"/>
          </w:tcPr>
          <w:p w14:paraId="22EB94BA">
            <w:pPr>
              <w:pStyle w:val="349"/>
              <w:ind w:left="108" w:leftChars="0" w:right="0" w:rightChars="0"/>
              <w:jc w:val="both"/>
              <w:rPr>
                <w:rFonts w:hint="eastAsia" w:ascii="Times New Roman" w:hAnsi="Times New Roman" w:eastAsia="宋体" w:cs="Times New Roman"/>
                <w:color w:val="auto"/>
                <w:kern w:val="2"/>
                <w:sz w:val="21"/>
                <w:szCs w:val="21"/>
                <w:highlight w:val="none"/>
                <w:lang w:val="en-US" w:eastAsia="zh-CN" w:bidi="ar-SA"/>
              </w:rPr>
            </w:pPr>
          </w:p>
        </w:tc>
        <w:tc>
          <w:tcPr>
            <w:tcW w:w="1445" w:type="dxa"/>
            <w:noWrap w:val="0"/>
            <w:vAlign w:val="center"/>
          </w:tcPr>
          <w:p w14:paraId="76B0A9BE">
            <w:pPr>
              <w:pStyle w:val="349"/>
              <w:ind w:left="105"/>
              <w:jc w:val="both"/>
              <w:rPr>
                <w:rFonts w:hint="default"/>
                <w:color w:val="auto"/>
                <w:sz w:val="21"/>
                <w:szCs w:val="21"/>
                <w:highlight w:val="none"/>
                <w:lang w:val="en-US" w:eastAsia="zh-CN"/>
              </w:rPr>
            </w:pPr>
          </w:p>
        </w:tc>
        <w:tc>
          <w:tcPr>
            <w:tcW w:w="1309" w:type="dxa"/>
            <w:noWrap w:val="0"/>
            <w:vAlign w:val="top"/>
          </w:tcPr>
          <w:p w14:paraId="21791A68">
            <w:pPr>
              <w:pStyle w:val="349"/>
              <w:ind w:left="105"/>
              <w:rPr>
                <w:color w:val="auto"/>
                <w:sz w:val="21"/>
                <w:szCs w:val="21"/>
                <w:highlight w:val="none"/>
              </w:rPr>
            </w:pPr>
          </w:p>
        </w:tc>
        <w:tc>
          <w:tcPr>
            <w:tcW w:w="1268" w:type="dxa"/>
            <w:noWrap w:val="0"/>
            <w:vAlign w:val="top"/>
          </w:tcPr>
          <w:p w14:paraId="178B4EAE">
            <w:pPr>
              <w:pStyle w:val="349"/>
              <w:ind w:left="107"/>
              <w:rPr>
                <w:rFonts w:hint="default" w:eastAsia="宋体"/>
                <w:color w:val="auto"/>
                <w:sz w:val="21"/>
                <w:szCs w:val="21"/>
                <w:highlight w:val="none"/>
                <w:lang w:val="en-US" w:eastAsia="zh-CN"/>
              </w:rPr>
            </w:pPr>
          </w:p>
        </w:tc>
        <w:tc>
          <w:tcPr>
            <w:tcW w:w="1303" w:type="dxa"/>
            <w:noWrap w:val="0"/>
            <w:vAlign w:val="top"/>
          </w:tcPr>
          <w:p w14:paraId="79A87CD9">
            <w:pPr>
              <w:pStyle w:val="349"/>
              <w:ind w:left="108"/>
              <w:rPr>
                <w:rFonts w:hint="default" w:eastAsia="宋体"/>
                <w:color w:val="auto"/>
                <w:sz w:val="21"/>
                <w:szCs w:val="21"/>
                <w:highlight w:val="none"/>
                <w:lang w:val="en-US" w:eastAsia="zh-CN"/>
              </w:rPr>
            </w:pPr>
          </w:p>
        </w:tc>
      </w:tr>
      <w:tr w14:paraId="7303B1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376B751A">
            <w:pPr>
              <w:pStyle w:val="349"/>
              <w:ind w:left="105"/>
              <w:rPr>
                <w:rFonts w:hint="default" w:eastAsia="宋体"/>
                <w:color w:val="auto"/>
                <w:sz w:val="21"/>
                <w:szCs w:val="21"/>
                <w:highlight w:val="none"/>
                <w:lang w:val="en-US" w:eastAsia="zh-CN"/>
              </w:rPr>
            </w:pPr>
          </w:p>
        </w:tc>
        <w:tc>
          <w:tcPr>
            <w:tcW w:w="1405" w:type="dxa"/>
            <w:noWrap w:val="0"/>
            <w:vAlign w:val="center"/>
          </w:tcPr>
          <w:p w14:paraId="0BB2D3BD">
            <w:pPr>
              <w:pStyle w:val="349"/>
              <w:ind w:left="105"/>
              <w:jc w:val="both"/>
              <w:rPr>
                <w:rFonts w:hint="default" w:eastAsia="宋体"/>
                <w:color w:val="auto"/>
                <w:sz w:val="21"/>
                <w:szCs w:val="21"/>
                <w:highlight w:val="none"/>
                <w:lang w:val="en-US" w:eastAsia="zh-CN"/>
              </w:rPr>
            </w:pPr>
          </w:p>
        </w:tc>
        <w:tc>
          <w:tcPr>
            <w:tcW w:w="1091" w:type="dxa"/>
            <w:noWrap w:val="0"/>
            <w:vAlign w:val="center"/>
          </w:tcPr>
          <w:p w14:paraId="5EB78662">
            <w:pPr>
              <w:pStyle w:val="349"/>
              <w:ind w:left="108" w:leftChars="0" w:right="0" w:rightChars="0"/>
              <w:jc w:val="both"/>
              <w:rPr>
                <w:rFonts w:hint="eastAsia" w:ascii="Times New Roman" w:hAnsi="Times New Roman" w:eastAsia="宋体" w:cs="Times New Roman"/>
                <w:color w:val="auto"/>
                <w:kern w:val="2"/>
                <w:sz w:val="21"/>
                <w:szCs w:val="21"/>
                <w:highlight w:val="none"/>
                <w:lang w:val="en-US" w:eastAsia="zh-CN" w:bidi="ar-SA"/>
              </w:rPr>
            </w:pPr>
          </w:p>
        </w:tc>
        <w:tc>
          <w:tcPr>
            <w:tcW w:w="1445" w:type="dxa"/>
            <w:noWrap w:val="0"/>
            <w:vAlign w:val="center"/>
          </w:tcPr>
          <w:p w14:paraId="7B41C414">
            <w:pPr>
              <w:pStyle w:val="349"/>
              <w:ind w:left="105"/>
              <w:jc w:val="both"/>
              <w:rPr>
                <w:rFonts w:hint="default"/>
                <w:color w:val="auto"/>
                <w:sz w:val="21"/>
                <w:szCs w:val="21"/>
                <w:highlight w:val="none"/>
                <w:lang w:val="en-US" w:eastAsia="zh-CN"/>
              </w:rPr>
            </w:pPr>
          </w:p>
        </w:tc>
        <w:tc>
          <w:tcPr>
            <w:tcW w:w="1309" w:type="dxa"/>
            <w:noWrap w:val="0"/>
            <w:vAlign w:val="top"/>
          </w:tcPr>
          <w:p w14:paraId="15D4FDB8">
            <w:pPr>
              <w:pStyle w:val="349"/>
              <w:ind w:left="105"/>
              <w:rPr>
                <w:color w:val="auto"/>
                <w:sz w:val="21"/>
                <w:szCs w:val="21"/>
                <w:highlight w:val="none"/>
              </w:rPr>
            </w:pPr>
          </w:p>
        </w:tc>
        <w:tc>
          <w:tcPr>
            <w:tcW w:w="1268" w:type="dxa"/>
            <w:noWrap w:val="0"/>
            <w:vAlign w:val="top"/>
          </w:tcPr>
          <w:p w14:paraId="568CC34F">
            <w:pPr>
              <w:pStyle w:val="349"/>
              <w:ind w:left="107"/>
              <w:rPr>
                <w:rFonts w:hint="default" w:eastAsia="宋体"/>
                <w:color w:val="auto"/>
                <w:sz w:val="21"/>
                <w:szCs w:val="21"/>
                <w:highlight w:val="none"/>
                <w:lang w:val="en-US" w:eastAsia="zh-CN"/>
              </w:rPr>
            </w:pPr>
          </w:p>
        </w:tc>
        <w:tc>
          <w:tcPr>
            <w:tcW w:w="1303" w:type="dxa"/>
            <w:noWrap w:val="0"/>
            <w:vAlign w:val="top"/>
          </w:tcPr>
          <w:p w14:paraId="47BE4FF5">
            <w:pPr>
              <w:pStyle w:val="349"/>
              <w:ind w:left="108"/>
              <w:rPr>
                <w:rFonts w:hint="default" w:eastAsia="宋体"/>
                <w:color w:val="auto"/>
                <w:sz w:val="21"/>
                <w:szCs w:val="21"/>
                <w:highlight w:val="none"/>
                <w:lang w:val="en-US" w:eastAsia="zh-CN"/>
              </w:rPr>
            </w:pPr>
          </w:p>
        </w:tc>
      </w:tr>
      <w:tr w14:paraId="1C1B9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033371A6">
            <w:pPr>
              <w:pStyle w:val="349"/>
              <w:ind w:left="105"/>
              <w:rPr>
                <w:rFonts w:hint="default" w:eastAsia="宋体"/>
                <w:color w:val="auto"/>
                <w:sz w:val="21"/>
                <w:szCs w:val="21"/>
                <w:highlight w:val="none"/>
                <w:lang w:val="en-US" w:eastAsia="zh-CN"/>
              </w:rPr>
            </w:pPr>
          </w:p>
        </w:tc>
        <w:tc>
          <w:tcPr>
            <w:tcW w:w="1405" w:type="dxa"/>
            <w:noWrap w:val="0"/>
            <w:vAlign w:val="center"/>
          </w:tcPr>
          <w:p w14:paraId="1FDB6C74">
            <w:pPr>
              <w:pStyle w:val="349"/>
              <w:ind w:left="105"/>
              <w:jc w:val="both"/>
              <w:rPr>
                <w:rFonts w:hint="default" w:eastAsia="宋体"/>
                <w:color w:val="auto"/>
                <w:sz w:val="21"/>
                <w:szCs w:val="21"/>
                <w:highlight w:val="none"/>
                <w:lang w:val="en-US" w:eastAsia="zh-CN"/>
              </w:rPr>
            </w:pPr>
          </w:p>
        </w:tc>
        <w:tc>
          <w:tcPr>
            <w:tcW w:w="1091" w:type="dxa"/>
            <w:noWrap w:val="0"/>
            <w:vAlign w:val="center"/>
          </w:tcPr>
          <w:p w14:paraId="16D761A5">
            <w:pPr>
              <w:pStyle w:val="349"/>
              <w:ind w:left="108" w:leftChars="0" w:right="0" w:rightChars="0"/>
              <w:jc w:val="both"/>
              <w:rPr>
                <w:rFonts w:hint="eastAsia" w:ascii="Times New Roman" w:hAnsi="Times New Roman" w:eastAsia="宋体" w:cs="Times New Roman"/>
                <w:color w:val="auto"/>
                <w:kern w:val="2"/>
                <w:sz w:val="21"/>
                <w:szCs w:val="21"/>
                <w:highlight w:val="none"/>
                <w:lang w:val="en-US" w:eastAsia="zh-CN" w:bidi="ar-SA"/>
              </w:rPr>
            </w:pPr>
          </w:p>
        </w:tc>
        <w:tc>
          <w:tcPr>
            <w:tcW w:w="1445" w:type="dxa"/>
            <w:noWrap w:val="0"/>
            <w:vAlign w:val="center"/>
          </w:tcPr>
          <w:p w14:paraId="35FA5CAF">
            <w:pPr>
              <w:pStyle w:val="349"/>
              <w:ind w:left="105"/>
              <w:jc w:val="both"/>
              <w:rPr>
                <w:rFonts w:hint="default"/>
                <w:color w:val="auto"/>
                <w:sz w:val="21"/>
                <w:szCs w:val="21"/>
                <w:highlight w:val="none"/>
                <w:lang w:val="en-US" w:eastAsia="zh-CN"/>
              </w:rPr>
            </w:pPr>
          </w:p>
        </w:tc>
        <w:tc>
          <w:tcPr>
            <w:tcW w:w="1309" w:type="dxa"/>
            <w:noWrap w:val="0"/>
            <w:vAlign w:val="top"/>
          </w:tcPr>
          <w:p w14:paraId="699A4DD6">
            <w:pPr>
              <w:pStyle w:val="349"/>
              <w:ind w:left="105"/>
              <w:rPr>
                <w:color w:val="auto"/>
                <w:sz w:val="21"/>
                <w:szCs w:val="21"/>
                <w:highlight w:val="none"/>
              </w:rPr>
            </w:pPr>
          </w:p>
        </w:tc>
        <w:tc>
          <w:tcPr>
            <w:tcW w:w="1268" w:type="dxa"/>
            <w:noWrap w:val="0"/>
            <w:vAlign w:val="top"/>
          </w:tcPr>
          <w:p w14:paraId="47E0CE9F">
            <w:pPr>
              <w:pStyle w:val="349"/>
              <w:ind w:left="107"/>
              <w:rPr>
                <w:rFonts w:hint="default" w:eastAsia="宋体"/>
                <w:color w:val="auto"/>
                <w:sz w:val="21"/>
                <w:szCs w:val="21"/>
                <w:highlight w:val="none"/>
                <w:lang w:val="en-US" w:eastAsia="zh-CN"/>
              </w:rPr>
            </w:pPr>
          </w:p>
        </w:tc>
        <w:tc>
          <w:tcPr>
            <w:tcW w:w="1303" w:type="dxa"/>
            <w:noWrap w:val="0"/>
            <w:vAlign w:val="top"/>
          </w:tcPr>
          <w:p w14:paraId="7F291BC8">
            <w:pPr>
              <w:pStyle w:val="349"/>
              <w:ind w:left="108"/>
              <w:rPr>
                <w:rFonts w:hint="default" w:eastAsia="宋体"/>
                <w:color w:val="auto"/>
                <w:sz w:val="21"/>
                <w:szCs w:val="21"/>
                <w:highlight w:val="none"/>
                <w:lang w:val="en-US" w:eastAsia="zh-CN"/>
              </w:rPr>
            </w:pPr>
          </w:p>
        </w:tc>
      </w:tr>
      <w:tr w14:paraId="018ABF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293A918E">
            <w:pPr>
              <w:pStyle w:val="349"/>
              <w:ind w:left="105"/>
              <w:rPr>
                <w:rFonts w:hint="default" w:eastAsia="宋体"/>
                <w:color w:val="auto"/>
                <w:sz w:val="21"/>
                <w:szCs w:val="21"/>
                <w:highlight w:val="none"/>
                <w:lang w:val="en-US" w:eastAsia="zh-CN"/>
              </w:rPr>
            </w:pPr>
          </w:p>
        </w:tc>
        <w:tc>
          <w:tcPr>
            <w:tcW w:w="1405" w:type="dxa"/>
            <w:noWrap w:val="0"/>
            <w:vAlign w:val="center"/>
          </w:tcPr>
          <w:p w14:paraId="5C093C72">
            <w:pPr>
              <w:pStyle w:val="349"/>
              <w:ind w:left="105"/>
              <w:jc w:val="both"/>
              <w:rPr>
                <w:rFonts w:hint="default" w:eastAsia="宋体"/>
                <w:color w:val="auto"/>
                <w:sz w:val="21"/>
                <w:szCs w:val="21"/>
                <w:highlight w:val="none"/>
                <w:lang w:val="en-US" w:eastAsia="zh-CN"/>
              </w:rPr>
            </w:pPr>
          </w:p>
        </w:tc>
        <w:tc>
          <w:tcPr>
            <w:tcW w:w="1091" w:type="dxa"/>
            <w:noWrap w:val="0"/>
            <w:vAlign w:val="center"/>
          </w:tcPr>
          <w:p w14:paraId="3C2992DC">
            <w:pPr>
              <w:pStyle w:val="349"/>
              <w:ind w:left="108" w:leftChars="0" w:right="0" w:rightChars="0"/>
              <w:jc w:val="both"/>
              <w:rPr>
                <w:rFonts w:hint="eastAsia" w:ascii="Times New Roman" w:hAnsi="Times New Roman" w:eastAsia="宋体" w:cs="Times New Roman"/>
                <w:color w:val="auto"/>
                <w:kern w:val="2"/>
                <w:sz w:val="21"/>
                <w:szCs w:val="21"/>
                <w:highlight w:val="none"/>
                <w:lang w:val="en-US" w:eastAsia="zh-CN" w:bidi="ar-SA"/>
              </w:rPr>
            </w:pPr>
          </w:p>
        </w:tc>
        <w:tc>
          <w:tcPr>
            <w:tcW w:w="1445" w:type="dxa"/>
            <w:noWrap w:val="0"/>
            <w:vAlign w:val="center"/>
          </w:tcPr>
          <w:p w14:paraId="00F20C67">
            <w:pPr>
              <w:pStyle w:val="349"/>
              <w:ind w:left="105"/>
              <w:jc w:val="both"/>
              <w:rPr>
                <w:rFonts w:hint="default"/>
                <w:color w:val="auto"/>
                <w:sz w:val="21"/>
                <w:szCs w:val="21"/>
                <w:highlight w:val="none"/>
                <w:lang w:val="en-US" w:eastAsia="zh-CN"/>
              </w:rPr>
            </w:pPr>
          </w:p>
        </w:tc>
        <w:tc>
          <w:tcPr>
            <w:tcW w:w="1309" w:type="dxa"/>
            <w:noWrap w:val="0"/>
            <w:vAlign w:val="top"/>
          </w:tcPr>
          <w:p w14:paraId="77D47573">
            <w:pPr>
              <w:pStyle w:val="349"/>
              <w:ind w:left="105"/>
              <w:rPr>
                <w:color w:val="auto"/>
                <w:sz w:val="21"/>
                <w:szCs w:val="21"/>
                <w:highlight w:val="none"/>
              </w:rPr>
            </w:pPr>
          </w:p>
        </w:tc>
        <w:tc>
          <w:tcPr>
            <w:tcW w:w="1268" w:type="dxa"/>
            <w:noWrap w:val="0"/>
            <w:vAlign w:val="top"/>
          </w:tcPr>
          <w:p w14:paraId="0B1E3629">
            <w:pPr>
              <w:pStyle w:val="349"/>
              <w:ind w:left="107"/>
              <w:rPr>
                <w:rFonts w:hint="default" w:eastAsia="宋体"/>
                <w:color w:val="auto"/>
                <w:sz w:val="21"/>
                <w:szCs w:val="21"/>
                <w:highlight w:val="none"/>
                <w:lang w:val="en-US" w:eastAsia="zh-CN"/>
              </w:rPr>
            </w:pPr>
          </w:p>
        </w:tc>
        <w:tc>
          <w:tcPr>
            <w:tcW w:w="1303" w:type="dxa"/>
            <w:noWrap w:val="0"/>
            <w:vAlign w:val="top"/>
          </w:tcPr>
          <w:p w14:paraId="0DED21E3">
            <w:pPr>
              <w:pStyle w:val="349"/>
              <w:ind w:left="108"/>
              <w:rPr>
                <w:rFonts w:hint="default" w:eastAsia="宋体"/>
                <w:color w:val="auto"/>
                <w:sz w:val="21"/>
                <w:szCs w:val="21"/>
                <w:highlight w:val="none"/>
                <w:lang w:val="en-US" w:eastAsia="zh-CN"/>
              </w:rPr>
            </w:pPr>
          </w:p>
        </w:tc>
      </w:tr>
      <w:tr w14:paraId="147D1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0C5AE080">
            <w:pPr>
              <w:pStyle w:val="349"/>
              <w:ind w:left="105"/>
              <w:rPr>
                <w:rFonts w:hint="default" w:eastAsia="宋体"/>
                <w:color w:val="auto"/>
                <w:sz w:val="21"/>
                <w:szCs w:val="21"/>
                <w:highlight w:val="none"/>
                <w:lang w:val="en-US" w:eastAsia="zh-CN"/>
              </w:rPr>
            </w:pPr>
          </w:p>
        </w:tc>
        <w:tc>
          <w:tcPr>
            <w:tcW w:w="1405" w:type="dxa"/>
            <w:noWrap w:val="0"/>
            <w:vAlign w:val="center"/>
          </w:tcPr>
          <w:p w14:paraId="7C92A379">
            <w:pPr>
              <w:pStyle w:val="349"/>
              <w:ind w:left="105"/>
              <w:jc w:val="both"/>
              <w:rPr>
                <w:rFonts w:hint="default" w:eastAsia="宋体"/>
                <w:color w:val="auto"/>
                <w:sz w:val="21"/>
                <w:szCs w:val="21"/>
                <w:highlight w:val="none"/>
                <w:lang w:val="en-US" w:eastAsia="zh-CN"/>
              </w:rPr>
            </w:pPr>
          </w:p>
        </w:tc>
        <w:tc>
          <w:tcPr>
            <w:tcW w:w="1091" w:type="dxa"/>
            <w:noWrap w:val="0"/>
            <w:vAlign w:val="center"/>
          </w:tcPr>
          <w:p w14:paraId="798528A4">
            <w:pPr>
              <w:pStyle w:val="349"/>
              <w:ind w:left="108" w:leftChars="0" w:right="0" w:rightChars="0"/>
              <w:jc w:val="both"/>
              <w:rPr>
                <w:rFonts w:hint="eastAsia" w:ascii="Times New Roman" w:hAnsi="Times New Roman" w:eastAsia="宋体" w:cs="Times New Roman"/>
                <w:color w:val="auto"/>
                <w:kern w:val="2"/>
                <w:sz w:val="21"/>
                <w:szCs w:val="21"/>
                <w:highlight w:val="none"/>
                <w:lang w:val="en-US" w:eastAsia="zh-CN" w:bidi="ar-SA"/>
              </w:rPr>
            </w:pPr>
          </w:p>
        </w:tc>
        <w:tc>
          <w:tcPr>
            <w:tcW w:w="1445" w:type="dxa"/>
            <w:noWrap w:val="0"/>
            <w:vAlign w:val="center"/>
          </w:tcPr>
          <w:p w14:paraId="5B7AE67F">
            <w:pPr>
              <w:pStyle w:val="349"/>
              <w:ind w:left="105"/>
              <w:jc w:val="both"/>
              <w:rPr>
                <w:rFonts w:hint="default"/>
                <w:color w:val="auto"/>
                <w:sz w:val="21"/>
                <w:szCs w:val="21"/>
                <w:highlight w:val="none"/>
                <w:lang w:val="en-US" w:eastAsia="zh-CN"/>
              </w:rPr>
            </w:pPr>
          </w:p>
        </w:tc>
        <w:tc>
          <w:tcPr>
            <w:tcW w:w="1309" w:type="dxa"/>
            <w:noWrap w:val="0"/>
            <w:vAlign w:val="top"/>
          </w:tcPr>
          <w:p w14:paraId="3D614943">
            <w:pPr>
              <w:pStyle w:val="349"/>
              <w:ind w:left="105"/>
              <w:rPr>
                <w:color w:val="auto"/>
                <w:sz w:val="21"/>
                <w:szCs w:val="21"/>
                <w:highlight w:val="none"/>
              </w:rPr>
            </w:pPr>
          </w:p>
        </w:tc>
        <w:tc>
          <w:tcPr>
            <w:tcW w:w="1268" w:type="dxa"/>
            <w:noWrap w:val="0"/>
            <w:vAlign w:val="top"/>
          </w:tcPr>
          <w:p w14:paraId="102695C9">
            <w:pPr>
              <w:pStyle w:val="349"/>
              <w:ind w:left="107"/>
              <w:rPr>
                <w:rFonts w:hint="default" w:eastAsia="宋体"/>
                <w:color w:val="auto"/>
                <w:sz w:val="21"/>
                <w:szCs w:val="21"/>
                <w:highlight w:val="none"/>
                <w:lang w:val="en-US" w:eastAsia="zh-CN"/>
              </w:rPr>
            </w:pPr>
          </w:p>
        </w:tc>
        <w:tc>
          <w:tcPr>
            <w:tcW w:w="1303" w:type="dxa"/>
            <w:noWrap w:val="0"/>
            <w:vAlign w:val="top"/>
          </w:tcPr>
          <w:p w14:paraId="32024D56">
            <w:pPr>
              <w:pStyle w:val="349"/>
              <w:ind w:left="108"/>
              <w:rPr>
                <w:rFonts w:hint="default" w:eastAsia="宋体"/>
                <w:color w:val="auto"/>
                <w:sz w:val="21"/>
                <w:szCs w:val="21"/>
                <w:highlight w:val="none"/>
                <w:lang w:val="en-US" w:eastAsia="zh-CN"/>
              </w:rPr>
            </w:pPr>
          </w:p>
        </w:tc>
      </w:tr>
      <w:tr w14:paraId="31842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392AEF58">
            <w:pPr>
              <w:pStyle w:val="349"/>
              <w:ind w:left="105"/>
              <w:rPr>
                <w:rFonts w:hint="default" w:eastAsia="宋体"/>
                <w:color w:val="auto"/>
                <w:sz w:val="21"/>
                <w:szCs w:val="21"/>
                <w:highlight w:val="none"/>
                <w:lang w:val="en-US" w:eastAsia="zh-CN"/>
              </w:rPr>
            </w:pPr>
          </w:p>
        </w:tc>
        <w:tc>
          <w:tcPr>
            <w:tcW w:w="1405" w:type="dxa"/>
            <w:noWrap w:val="0"/>
            <w:vAlign w:val="center"/>
          </w:tcPr>
          <w:p w14:paraId="5B9029FB">
            <w:pPr>
              <w:pStyle w:val="349"/>
              <w:ind w:left="105"/>
              <w:jc w:val="both"/>
              <w:rPr>
                <w:rFonts w:hint="default" w:eastAsia="宋体"/>
                <w:color w:val="auto"/>
                <w:sz w:val="21"/>
                <w:szCs w:val="21"/>
                <w:highlight w:val="none"/>
                <w:lang w:val="en-US" w:eastAsia="zh-CN"/>
              </w:rPr>
            </w:pPr>
          </w:p>
        </w:tc>
        <w:tc>
          <w:tcPr>
            <w:tcW w:w="1091" w:type="dxa"/>
            <w:noWrap w:val="0"/>
            <w:vAlign w:val="center"/>
          </w:tcPr>
          <w:p w14:paraId="38E88945">
            <w:pPr>
              <w:pStyle w:val="349"/>
              <w:ind w:left="108" w:leftChars="0" w:right="0" w:rightChars="0"/>
              <w:jc w:val="both"/>
              <w:rPr>
                <w:rFonts w:hint="eastAsia" w:ascii="Times New Roman" w:hAnsi="Times New Roman" w:eastAsia="宋体" w:cs="Times New Roman"/>
                <w:color w:val="auto"/>
                <w:kern w:val="2"/>
                <w:sz w:val="21"/>
                <w:szCs w:val="21"/>
                <w:highlight w:val="none"/>
                <w:lang w:val="en-US" w:eastAsia="zh-CN" w:bidi="ar-SA"/>
              </w:rPr>
            </w:pPr>
          </w:p>
        </w:tc>
        <w:tc>
          <w:tcPr>
            <w:tcW w:w="1445" w:type="dxa"/>
            <w:noWrap w:val="0"/>
            <w:vAlign w:val="center"/>
          </w:tcPr>
          <w:p w14:paraId="29B06E48">
            <w:pPr>
              <w:pStyle w:val="349"/>
              <w:ind w:left="105"/>
              <w:jc w:val="both"/>
              <w:rPr>
                <w:rFonts w:hint="default"/>
                <w:color w:val="auto"/>
                <w:sz w:val="21"/>
                <w:szCs w:val="21"/>
                <w:highlight w:val="none"/>
                <w:lang w:val="en-US" w:eastAsia="zh-CN"/>
              </w:rPr>
            </w:pPr>
          </w:p>
        </w:tc>
        <w:tc>
          <w:tcPr>
            <w:tcW w:w="1309" w:type="dxa"/>
            <w:noWrap w:val="0"/>
            <w:vAlign w:val="top"/>
          </w:tcPr>
          <w:p w14:paraId="2C364A06">
            <w:pPr>
              <w:pStyle w:val="349"/>
              <w:ind w:left="105"/>
              <w:rPr>
                <w:color w:val="auto"/>
                <w:sz w:val="21"/>
                <w:szCs w:val="21"/>
                <w:highlight w:val="none"/>
              </w:rPr>
            </w:pPr>
          </w:p>
        </w:tc>
        <w:tc>
          <w:tcPr>
            <w:tcW w:w="1268" w:type="dxa"/>
            <w:noWrap w:val="0"/>
            <w:vAlign w:val="top"/>
          </w:tcPr>
          <w:p w14:paraId="1423CF4A">
            <w:pPr>
              <w:pStyle w:val="349"/>
              <w:ind w:left="107"/>
              <w:rPr>
                <w:rFonts w:hint="default" w:eastAsia="宋体"/>
                <w:color w:val="auto"/>
                <w:sz w:val="21"/>
                <w:szCs w:val="21"/>
                <w:highlight w:val="none"/>
                <w:lang w:val="en-US" w:eastAsia="zh-CN"/>
              </w:rPr>
            </w:pPr>
          </w:p>
        </w:tc>
        <w:tc>
          <w:tcPr>
            <w:tcW w:w="1303" w:type="dxa"/>
            <w:noWrap w:val="0"/>
            <w:vAlign w:val="top"/>
          </w:tcPr>
          <w:p w14:paraId="58198E93">
            <w:pPr>
              <w:pStyle w:val="349"/>
              <w:ind w:left="108"/>
              <w:rPr>
                <w:rFonts w:hint="default" w:eastAsia="宋体"/>
                <w:color w:val="auto"/>
                <w:sz w:val="21"/>
                <w:szCs w:val="21"/>
                <w:highlight w:val="none"/>
                <w:lang w:val="en-US" w:eastAsia="zh-CN"/>
              </w:rPr>
            </w:pPr>
          </w:p>
        </w:tc>
      </w:tr>
      <w:tr w14:paraId="332B3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33767EF0">
            <w:pPr>
              <w:pStyle w:val="349"/>
              <w:ind w:left="105"/>
              <w:rPr>
                <w:rFonts w:hint="default" w:eastAsia="宋体"/>
                <w:color w:val="auto"/>
                <w:sz w:val="21"/>
                <w:szCs w:val="21"/>
                <w:highlight w:val="none"/>
                <w:lang w:val="en-US" w:eastAsia="zh-CN"/>
              </w:rPr>
            </w:pPr>
          </w:p>
        </w:tc>
        <w:tc>
          <w:tcPr>
            <w:tcW w:w="1405" w:type="dxa"/>
            <w:noWrap w:val="0"/>
            <w:vAlign w:val="center"/>
          </w:tcPr>
          <w:p w14:paraId="162F34E3">
            <w:pPr>
              <w:pStyle w:val="349"/>
              <w:ind w:left="105"/>
              <w:jc w:val="both"/>
              <w:rPr>
                <w:rFonts w:hint="default" w:eastAsia="宋体"/>
                <w:color w:val="auto"/>
                <w:sz w:val="21"/>
                <w:szCs w:val="21"/>
                <w:highlight w:val="none"/>
                <w:lang w:val="en-US" w:eastAsia="zh-CN"/>
              </w:rPr>
            </w:pPr>
          </w:p>
        </w:tc>
        <w:tc>
          <w:tcPr>
            <w:tcW w:w="1091" w:type="dxa"/>
            <w:noWrap w:val="0"/>
            <w:vAlign w:val="center"/>
          </w:tcPr>
          <w:p w14:paraId="30EEC01C">
            <w:pPr>
              <w:pStyle w:val="349"/>
              <w:ind w:left="108" w:leftChars="0" w:right="0" w:rightChars="0"/>
              <w:jc w:val="both"/>
              <w:rPr>
                <w:rFonts w:hint="eastAsia" w:ascii="Times New Roman" w:hAnsi="Times New Roman" w:eastAsia="宋体" w:cs="Times New Roman"/>
                <w:color w:val="auto"/>
                <w:kern w:val="2"/>
                <w:sz w:val="21"/>
                <w:szCs w:val="21"/>
                <w:highlight w:val="none"/>
                <w:lang w:val="en-US" w:eastAsia="zh-CN" w:bidi="ar-SA"/>
              </w:rPr>
            </w:pPr>
          </w:p>
        </w:tc>
        <w:tc>
          <w:tcPr>
            <w:tcW w:w="1445" w:type="dxa"/>
            <w:noWrap w:val="0"/>
            <w:vAlign w:val="center"/>
          </w:tcPr>
          <w:p w14:paraId="0AF04ADE">
            <w:pPr>
              <w:pStyle w:val="349"/>
              <w:ind w:left="105"/>
              <w:jc w:val="both"/>
              <w:rPr>
                <w:rFonts w:hint="default"/>
                <w:color w:val="auto"/>
                <w:sz w:val="21"/>
                <w:szCs w:val="21"/>
                <w:highlight w:val="none"/>
                <w:lang w:val="en-US" w:eastAsia="zh-CN"/>
              </w:rPr>
            </w:pPr>
          </w:p>
        </w:tc>
        <w:tc>
          <w:tcPr>
            <w:tcW w:w="1309" w:type="dxa"/>
            <w:noWrap w:val="0"/>
            <w:vAlign w:val="top"/>
          </w:tcPr>
          <w:p w14:paraId="167DA79C">
            <w:pPr>
              <w:pStyle w:val="349"/>
              <w:ind w:left="105"/>
              <w:rPr>
                <w:color w:val="auto"/>
                <w:sz w:val="21"/>
                <w:szCs w:val="21"/>
                <w:highlight w:val="none"/>
              </w:rPr>
            </w:pPr>
          </w:p>
        </w:tc>
        <w:tc>
          <w:tcPr>
            <w:tcW w:w="1268" w:type="dxa"/>
            <w:noWrap w:val="0"/>
            <w:vAlign w:val="top"/>
          </w:tcPr>
          <w:p w14:paraId="2434BA78">
            <w:pPr>
              <w:pStyle w:val="349"/>
              <w:ind w:left="107"/>
              <w:rPr>
                <w:rFonts w:hint="default" w:eastAsia="宋体"/>
                <w:color w:val="auto"/>
                <w:sz w:val="21"/>
                <w:szCs w:val="21"/>
                <w:highlight w:val="none"/>
                <w:lang w:val="en-US" w:eastAsia="zh-CN"/>
              </w:rPr>
            </w:pPr>
          </w:p>
        </w:tc>
        <w:tc>
          <w:tcPr>
            <w:tcW w:w="1303" w:type="dxa"/>
            <w:noWrap w:val="0"/>
            <w:vAlign w:val="top"/>
          </w:tcPr>
          <w:p w14:paraId="064D7284">
            <w:pPr>
              <w:pStyle w:val="349"/>
              <w:ind w:left="108"/>
              <w:rPr>
                <w:rFonts w:hint="default" w:eastAsia="宋体"/>
                <w:color w:val="auto"/>
                <w:sz w:val="21"/>
                <w:szCs w:val="21"/>
                <w:highlight w:val="none"/>
                <w:lang w:val="en-US" w:eastAsia="zh-CN"/>
              </w:rPr>
            </w:pPr>
          </w:p>
        </w:tc>
      </w:tr>
      <w:tr w14:paraId="01081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4FFBBC19">
            <w:pPr>
              <w:pStyle w:val="349"/>
              <w:ind w:left="105"/>
              <w:rPr>
                <w:rFonts w:hint="default" w:eastAsia="宋体"/>
                <w:color w:val="auto"/>
                <w:sz w:val="21"/>
                <w:szCs w:val="21"/>
                <w:highlight w:val="none"/>
                <w:lang w:val="en-US" w:eastAsia="zh-CN"/>
              </w:rPr>
            </w:pPr>
          </w:p>
        </w:tc>
        <w:tc>
          <w:tcPr>
            <w:tcW w:w="1405" w:type="dxa"/>
            <w:noWrap w:val="0"/>
            <w:vAlign w:val="center"/>
          </w:tcPr>
          <w:p w14:paraId="3807A726">
            <w:pPr>
              <w:pStyle w:val="349"/>
              <w:ind w:left="105"/>
              <w:jc w:val="both"/>
              <w:rPr>
                <w:rFonts w:hint="default" w:eastAsia="宋体"/>
                <w:color w:val="auto"/>
                <w:sz w:val="21"/>
                <w:szCs w:val="21"/>
                <w:highlight w:val="none"/>
                <w:lang w:val="en-US" w:eastAsia="zh-CN"/>
              </w:rPr>
            </w:pPr>
          </w:p>
        </w:tc>
        <w:tc>
          <w:tcPr>
            <w:tcW w:w="1091" w:type="dxa"/>
            <w:noWrap w:val="0"/>
            <w:vAlign w:val="center"/>
          </w:tcPr>
          <w:p w14:paraId="4A549A01">
            <w:pPr>
              <w:pStyle w:val="349"/>
              <w:ind w:left="108" w:leftChars="0" w:right="0" w:rightChars="0"/>
              <w:jc w:val="both"/>
              <w:rPr>
                <w:rFonts w:hint="eastAsia" w:ascii="Times New Roman" w:hAnsi="Times New Roman" w:eastAsia="宋体" w:cs="Times New Roman"/>
                <w:color w:val="auto"/>
                <w:kern w:val="2"/>
                <w:sz w:val="21"/>
                <w:szCs w:val="21"/>
                <w:highlight w:val="none"/>
                <w:lang w:val="en-US" w:eastAsia="zh-CN" w:bidi="ar-SA"/>
              </w:rPr>
            </w:pPr>
          </w:p>
        </w:tc>
        <w:tc>
          <w:tcPr>
            <w:tcW w:w="1445" w:type="dxa"/>
            <w:noWrap w:val="0"/>
            <w:vAlign w:val="center"/>
          </w:tcPr>
          <w:p w14:paraId="643A5852">
            <w:pPr>
              <w:pStyle w:val="349"/>
              <w:ind w:left="105"/>
              <w:jc w:val="both"/>
              <w:rPr>
                <w:rFonts w:hint="default"/>
                <w:color w:val="auto"/>
                <w:sz w:val="21"/>
                <w:szCs w:val="21"/>
                <w:highlight w:val="none"/>
                <w:lang w:val="en-US" w:eastAsia="zh-CN"/>
              </w:rPr>
            </w:pPr>
          </w:p>
        </w:tc>
        <w:tc>
          <w:tcPr>
            <w:tcW w:w="1309" w:type="dxa"/>
            <w:noWrap w:val="0"/>
            <w:vAlign w:val="top"/>
          </w:tcPr>
          <w:p w14:paraId="7251055D">
            <w:pPr>
              <w:pStyle w:val="349"/>
              <w:ind w:left="105"/>
              <w:rPr>
                <w:color w:val="auto"/>
                <w:sz w:val="21"/>
                <w:szCs w:val="21"/>
                <w:highlight w:val="none"/>
              </w:rPr>
            </w:pPr>
          </w:p>
        </w:tc>
        <w:tc>
          <w:tcPr>
            <w:tcW w:w="1268" w:type="dxa"/>
            <w:noWrap w:val="0"/>
            <w:vAlign w:val="top"/>
          </w:tcPr>
          <w:p w14:paraId="6FCF1138">
            <w:pPr>
              <w:pStyle w:val="349"/>
              <w:ind w:left="107"/>
              <w:rPr>
                <w:rFonts w:hint="default" w:eastAsia="宋体"/>
                <w:color w:val="auto"/>
                <w:sz w:val="21"/>
                <w:szCs w:val="21"/>
                <w:highlight w:val="none"/>
                <w:lang w:val="en-US" w:eastAsia="zh-CN"/>
              </w:rPr>
            </w:pPr>
          </w:p>
        </w:tc>
        <w:tc>
          <w:tcPr>
            <w:tcW w:w="1303" w:type="dxa"/>
            <w:noWrap w:val="0"/>
            <w:vAlign w:val="top"/>
          </w:tcPr>
          <w:p w14:paraId="00991F27">
            <w:pPr>
              <w:pStyle w:val="349"/>
              <w:ind w:left="108"/>
              <w:rPr>
                <w:rFonts w:hint="default" w:eastAsia="宋体"/>
                <w:color w:val="auto"/>
                <w:sz w:val="21"/>
                <w:szCs w:val="21"/>
                <w:highlight w:val="none"/>
                <w:lang w:val="en-US" w:eastAsia="zh-CN"/>
              </w:rPr>
            </w:pPr>
          </w:p>
        </w:tc>
      </w:tr>
      <w:tr w14:paraId="2E510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5159B502">
            <w:pPr>
              <w:pStyle w:val="349"/>
              <w:ind w:left="105"/>
              <w:rPr>
                <w:rFonts w:hint="default" w:eastAsia="宋体"/>
                <w:color w:val="auto"/>
                <w:sz w:val="21"/>
                <w:szCs w:val="21"/>
                <w:highlight w:val="none"/>
                <w:lang w:val="en-US" w:eastAsia="zh-CN"/>
              </w:rPr>
            </w:pPr>
          </w:p>
        </w:tc>
        <w:tc>
          <w:tcPr>
            <w:tcW w:w="1405" w:type="dxa"/>
            <w:noWrap w:val="0"/>
            <w:vAlign w:val="center"/>
          </w:tcPr>
          <w:p w14:paraId="33B6ADB8">
            <w:pPr>
              <w:pStyle w:val="349"/>
              <w:ind w:left="105"/>
              <w:jc w:val="both"/>
              <w:rPr>
                <w:rFonts w:hint="default" w:eastAsia="宋体"/>
                <w:color w:val="auto"/>
                <w:sz w:val="21"/>
                <w:szCs w:val="21"/>
                <w:highlight w:val="none"/>
                <w:lang w:val="en-US" w:eastAsia="zh-CN"/>
              </w:rPr>
            </w:pPr>
          </w:p>
        </w:tc>
        <w:tc>
          <w:tcPr>
            <w:tcW w:w="1091" w:type="dxa"/>
            <w:noWrap w:val="0"/>
            <w:vAlign w:val="center"/>
          </w:tcPr>
          <w:p w14:paraId="4D249C0E">
            <w:pPr>
              <w:pStyle w:val="349"/>
              <w:ind w:left="108" w:leftChars="0" w:right="0" w:rightChars="0"/>
              <w:jc w:val="both"/>
              <w:rPr>
                <w:rFonts w:hint="eastAsia" w:ascii="Times New Roman" w:hAnsi="Times New Roman" w:eastAsia="宋体" w:cs="Times New Roman"/>
                <w:color w:val="auto"/>
                <w:kern w:val="2"/>
                <w:sz w:val="21"/>
                <w:szCs w:val="21"/>
                <w:highlight w:val="none"/>
                <w:lang w:val="en-US" w:eastAsia="zh-CN" w:bidi="ar-SA"/>
              </w:rPr>
            </w:pPr>
          </w:p>
        </w:tc>
        <w:tc>
          <w:tcPr>
            <w:tcW w:w="1445" w:type="dxa"/>
            <w:noWrap w:val="0"/>
            <w:vAlign w:val="center"/>
          </w:tcPr>
          <w:p w14:paraId="42C8B616">
            <w:pPr>
              <w:pStyle w:val="349"/>
              <w:ind w:left="105"/>
              <w:jc w:val="both"/>
              <w:rPr>
                <w:rFonts w:hint="default"/>
                <w:color w:val="auto"/>
                <w:sz w:val="21"/>
                <w:szCs w:val="21"/>
                <w:highlight w:val="none"/>
                <w:lang w:val="en-US" w:eastAsia="zh-CN"/>
              </w:rPr>
            </w:pPr>
          </w:p>
        </w:tc>
        <w:tc>
          <w:tcPr>
            <w:tcW w:w="1309" w:type="dxa"/>
            <w:noWrap w:val="0"/>
            <w:vAlign w:val="top"/>
          </w:tcPr>
          <w:p w14:paraId="4C2BFFE1">
            <w:pPr>
              <w:pStyle w:val="349"/>
              <w:ind w:left="105"/>
              <w:rPr>
                <w:color w:val="auto"/>
                <w:sz w:val="21"/>
                <w:szCs w:val="21"/>
                <w:highlight w:val="none"/>
              </w:rPr>
            </w:pPr>
          </w:p>
        </w:tc>
        <w:tc>
          <w:tcPr>
            <w:tcW w:w="1268" w:type="dxa"/>
            <w:noWrap w:val="0"/>
            <w:vAlign w:val="top"/>
          </w:tcPr>
          <w:p w14:paraId="0F7C8D40">
            <w:pPr>
              <w:pStyle w:val="349"/>
              <w:ind w:left="107"/>
              <w:rPr>
                <w:rFonts w:hint="default" w:eastAsia="宋体"/>
                <w:color w:val="auto"/>
                <w:sz w:val="21"/>
                <w:szCs w:val="21"/>
                <w:highlight w:val="none"/>
                <w:lang w:val="en-US" w:eastAsia="zh-CN"/>
              </w:rPr>
            </w:pPr>
          </w:p>
        </w:tc>
        <w:tc>
          <w:tcPr>
            <w:tcW w:w="1303" w:type="dxa"/>
            <w:noWrap w:val="0"/>
            <w:vAlign w:val="top"/>
          </w:tcPr>
          <w:p w14:paraId="33C69014">
            <w:pPr>
              <w:pStyle w:val="349"/>
              <w:ind w:left="108"/>
              <w:rPr>
                <w:rFonts w:hint="default" w:eastAsia="宋体"/>
                <w:color w:val="auto"/>
                <w:sz w:val="21"/>
                <w:szCs w:val="21"/>
                <w:highlight w:val="none"/>
                <w:lang w:val="en-US" w:eastAsia="zh-CN"/>
              </w:rPr>
            </w:pPr>
          </w:p>
        </w:tc>
      </w:tr>
      <w:tr w14:paraId="573F5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468A444F">
            <w:pPr>
              <w:pStyle w:val="349"/>
              <w:ind w:left="105"/>
              <w:rPr>
                <w:rFonts w:hint="default" w:eastAsia="宋体"/>
                <w:color w:val="auto"/>
                <w:sz w:val="21"/>
                <w:szCs w:val="21"/>
                <w:highlight w:val="none"/>
                <w:lang w:val="en-US" w:eastAsia="zh-CN"/>
              </w:rPr>
            </w:pPr>
          </w:p>
        </w:tc>
        <w:tc>
          <w:tcPr>
            <w:tcW w:w="1405" w:type="dxa"/>
            <w:noWrap w:val="0"/>
            <w:vAlign w:val="center"/>
          </w:tcPr>
          <w:p w14:paraId="27E54DE3">
            <w:pPr>
              <w:pStyle w:val="349"/>
              <w:ind w:left="105"/>
              <w:jc w:val="both"/>
              <w:rPr>
                <w:rFonts w:hint="default" w:eastAsia="宋体"/>
                <w:color w:val="auto"/>
                <w:sz w:val="21"/>
                <w:szCs w:val="21"/>
                <w:highlight w:val="none"/>
                <w:lang w:val="en-US" w:eastAsia="zh-CN"/>
              </w:rPr>
            </w:pPr>
          </w:p>
        </w:tc>
        <w:tc>
          <w:tcPr>
            <w:tcW w:w="1091" w:type="dxa"/>
            <w:noWrap w:val="0"/>
            <w:vAlign w:val="center"/>
          </w:tcPr>
          <w:p w14:paraId="49B15DBD">
            <w:pPr>
              <w:pStyle w:val="349"/>
              <w:ind w:left="108" w:leftChars="0" w:right="0" w:rightChars="0"/>
              <w:jc w:val="both"/>
              <w:rPr>
                <w:rFonts w:hint="eastAsia" w:ascii="Times New Roman" w:hAnsi="Times New Roman" w:eastAsia="宋体" w:cs="Times New Roman"/>
                <w:color w:val="auto"/>
                <w:kern w:val="2"/>
                <w:sz w:val="21"/>
                <w:szCs w:val="21"/>
                <w:highlight w:val="none"/>
                <w:lang w:val="en-US" w:eastAsia="zh-CN" w:bidi="ar-SA"/>
              </w:rPr>
            </w:pPr>
          </w:p>
        </w:tc>
        <w:tc>
          <w:tcPr>
            <w:tcW w:w="1445" w:type="dxa"/>
            <w:noWrap w:val="0"/>
            <w:vAlign w:val="center"/>
          </w:tcPr>
          <w:p w14:paraId="3D982507">
            <w:pPr>
              <w:pStyle w:val="349"/>
              <w:ind w:left="105"/>
              <w:jc w:val="both"/>
              <w:rPr>
                <w:rFonts w:hint="default"/>
                <w:color w:val="auto"/>
                <w:sz w:val="21"/>
                <w:szCs w:val="21"/>
                <w:highlight w:val="none"/>
                <w:lang w:val="en-US" w:eastAsia="zh-CN"/>
              </w:rPr>
            </w:pPr>
          </w:p>
        </w:tc>
        <w:tc>
          <w:tcPr>
            <w:tcW w:w="1309" w:type="dxa"/>
            <w:noWrap w:val="0"/>
            <w:vAlign w:val="top"/>
          </w:tcPr>
          <w:p w14:paraId="1050DEFE">
            <w:pPr>
              <w:pStyle w:val="349"/>
              <w:ind w:left="105"/>
              <w:rPr>
                <w:color w:val="auto"/>
                <w:sz w:val="21"/>
                <w:szCs w:val="21"/>
                <w:highlight w:val="none"/>
              </w:rPr>
            </w:pPr>
          </w:p>
        </w:tc>
        <w:tc>
          <w:tcPr>
            <w:tcW w:w="1268" w:type="dxa"/>
            <w:noWrap w:val="0"/>
            <w:vAlign w:val="top"/>
          </w:tcPr>
          <w:p w14:paraId="2CCC59A5">
            <w:pPr>
              <w:pStyle w:val="349"/>
              <w:ind w:left="107"/>
              <w:rPr>
                <w:rFonts w:hint="default" w:eastAsia="宋体"/>
                <w:color w:val="auto"/>
                <w:sz w:val="21"/>
                <w:szCs w:val="21"/>
                <w:highlight w:val="none"/>
                <w:lang w:val="en-US" w:eastAsia="zh-CN"/>
              </w:rPr>
            </w:pPr>
          </w:p>
        </w:tc>
        <w:tc>
          <w:tcPr>
            <w:tcW w:w="1303" w:type="dxa"/>
            <w:noWrap w:val="0"/>
            <w:vAlign w:val="top"/>
          </w:tcPr>
          <w:p w14:paraId="1857653B">
            <w:pPr>
              <w:pStyle w:val="349"/>
              <w:ind w:left="108"/>
              <w:rPr>
                <w:rFonts w:hint="default" w:eastAsia="宋体"/>
                <w:color w:val="auto"/>
                <w:sz w:val="21"/>
                <w:szCs w:val="21"/>
                <w:highlight w:val="none"/>
                <w:lang w:val="en-US" w:eastAsia="zh-CN"/>
              </w:rPr>
            </w:pPr>
          </w:p>
        </w:tc>
      </w:tr>
      <w:tr w14:paraId="76A5C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3B47C503">
            <w:pPr>
              <w:pStyle w:val="349"/>
              <w:ind w:left="105"/>
              <w:rPr>
                <w:rFonts w:hint="default" w:eastAsia="宋体"/>
                <w:color w:val="auto"/>
                <w:sz w:val="21"/>
                <w:szCs w:val="21"/>
                <w:highlight w:val="none"/>
                <w:lang w:val="en-US" w:eastAsia="zh-CN"/>
              </w:rPr>
            </w:pPr>
          </w:p>
        </w:tc>
        <w:tc>
          <w:tcPr>
            <w:tcW w:w="1405" w:type="dxa"/>
            <w:noWrap w:val="0"/>
            <w:vAlign w:val="center"/>
          </w:tcPr>
          <w:p w14:paraId="529C089C">
            <w:pPr>
              <w:pStyle w:val="349"/>
              <w:ind w:left="105"/>
              <w:jc w:val="both"/>
              <w:rPr>
                <w:rFonts w:hint="default" w:eastAsia="宋体"/>
                <w:color w:val="auto"/>
                <w:sz w:val="21"/>
                <w:szCs w:val="21"/>
                <w:highlight w:val="none"/>
                <w:lang w:val="en-US" w:eastAsia="zh-CN"/>
              </w:rPr>
            </w:pPr>
          </w:p>
        </w:tc>
        <w:tc>
          <w:tcPr>
            <w:tcW w:w="1091" w:type="dxa"/>
            <w:noWrap w:val="0"/>
            <w:vAlign w:val="center"/>
          </w:tcPr>
          <w:p w14:paraId="2D6AE29B">
            <w:pPr>
              <w:pStyle w:val="349"/>
              <w:ind w:left="108" w:leftChars="0" w:right="0" w:rightChars="0"/>
              <w:jc w:val="both"/>
              <w:rPr>
                <w:rFonts w:hint="eastAsia" w:ascii="Times New Roman" w:hAnsi="Times New Roman" w:eastAsia="宋体" w:cs="Times New Roman"/>
                <w:color w:val="auto"/>
                <w:kern w:val="2"/>
                <w:sz w:val="21"/>
                <w:szCs w:val="21"/>
                <w:highlight w:val="none"/>
                <w:lang w:val="en-US" w:eastAsia="zh-CN" w:bidi="ar-SA"/>
              </w:rPr>
            </w:pPr>
          </w:p>
        </w:tc>
        <w:tc>
          <w:tcPr>
            <w:tcW w:w="1445" w:type="dxa"/>
            <w:noWrap w:val="0"/>
            <w:vAlign w:val="center"/>
          </w:tcPr>
          <w:p w14:paraId="340E567F">
            <w:pPr>
              <w:pStyle w:val="349"/>
              <w:ind w:left="105"/>
              <w:jc w:val="both"/>
              <w:rPr>
                <w:rFonts w:hint="default"/>
                <w:color w:val="auto"/>
                <w:sz w:val="21"/>
                <w:szCs w:val="21"/>
                <w:highlight w:val="none"/>
                <w:lang w:val="en-US" w:eastAsia="zh-CN"/>
              </w:rPr>
            </w:pPr>
          </w:p>
        </w:tc>
        <w:tc>
          <w:tcPr>
            <w:tcW w:w="1309" w:type="dxa"/>
            <w:noWrap w:val="0"/>
            <w:vAlign w:val="top"/>
          </w:tcPr>
          <w:p w14:paraId="2A98B0EE">
            <w:pPr>
              <w:pStyle w:val="349"/>
              <w:ind w:left="105"/>
              <w:rPr>
                <w:color w:val="auto"/>
                <w:sz w:val="21"/>
                <w:szCs w:val="21"/>
                <w:highlight w:val="none"/>
              </w:rPr>
            </w:pPr>
          </w:p>
        </w:tc>
        <w:tc>
          <w:tcPr>
            <w:tcW w:w="1268" w:type="dxa"/>
            <w:noWrap w:val="0"/>
            <w:vAlign w:val="top"/>
          </w:tcPr>
          <w:p w14:paraId="11F6CB54">
            <w:pPr>
              <w:pStyle w:val="349"/>
              <w:ind w:left="107"/>
              <w:rPr>
                <w:rFonts w:hint="default" w:eastAsia="宋体"/>
                <w:color w:val="auto"/>
                <w:sz w:val="21"/>
                <w:szCs w:val="21"/>
                <w:highlight w:val="none"/>
                <w:lang w:val="en-US" w:eastAsia="zh-CN"/>
              </w:rPr>
            </w:pPr>
          </w:p>
        </w:tc>
        <w:tc>
          <w:tcPr>
            <w:tcW w:w="1303" w:type="dxa"/>
            <w:noWrap w:val="0"/>
            <w:vAlign w:val="top"/>
          </w:tcPr>
          <w:p w14:paraId="3E5B323D">
            <w:pPr>
              <w:pStyle w:val="349"/>
              <w:ind w:left="108"/>
              <w:rPr>
                <w:rFonts w:hint="default" w:eastAsia="宋体"/>
                <w:color w:val="auto"/>
                <w:sz w:val="21"/>
                <w:szCs w:val="21"/>
                <w:highlight w:val="none"/>
                <w:lang w:val="en-US" w:eastAsia="zh-CN"/>
              </w:rPr>
            </w:pPr>
          </w:p>
        </w:tc>
      </w:tr>
      <w:tr w14:paraId="7D49B5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7A16E96E">
            <w:pPr>
              <w:pStyle w:val="349"/>
              <w:ind w:left="105"/>
              <w:rPr>
                <w:rFonts w:hint="default" w:eastAsia="宋体"/>
                <w:color w:val="auto"/>
                <w:sz w:val="21"/>
                <w:szCs w:val="21"/>
                <w:highlight w:val="none"/>
                <w:lang w:val="en-US" w:eastAsia="zh-CN"/>
              </w:rPr>
            </w:pPr>
          </w:p>
        </w:tc>
        <w:tc>
          <w:tcPr>
            <w:tcW w:w="1405" w:type="dxa"/>
            <w:noWrap w:val="0"/>
            <w:vAlign w:val="center"/>
          </w:tcPr>
          <w:p w14:paraId="7B0C239F">
            <w:pPr>
              <w:pStyle w:val="349"/>
              <w:ind w:left="105"/>
              <w:jc w:val="both"/>
              <w:rPr>
                <w:rFonts w:hint="default" w:eastAsia="宋体"/>
                <w:color w:val="auto"/>
                <w:sz w:val="21"/>
                <w:szCs w:val="21"/>
                <w:highlight w:val="none"/>
                <w:lang w:val="en-US" w:eastAsia="zh-CN"/>
              </w:rPr>
            </w:pPr>
          </w:p>
        </w:tc>
        <w:tc>
          <w:tcPr>
            <w:tcW w:w="1091" w:type="dxa"/>
            <w:noWrap w:val="0"/>
            <w:vAlign w:val="center"/>
          </w:tcPr>
          <w:p w14:paraId="73A70410">
            <w:pPr>
              <w:pStyle w:val="349"/>
              <w:ind w:left="108" w:leftChars="0" w:right="0" w:rightChars="0"/>
              <w:jc w:val="both"/>
              <w:rPr>
                <w:rFonts w:hint="eastAsia" w:ascii="Times New Roman" w:hAnsi="Times New Roman" w:eastAsia="宋体" w:cs="Times New Roman"/>
                <w:color w:val="auto"/>
                <w:kern w:val="2"/>
                <w:sz w:val="21"/>
                <w:szCs w:val="21"/>
                <w:highlight w:val="none"/>
                <w:lang w:val="en-US" w:eastAsia="zh-CN" w:bidi="ar-SA"/>
              </w:rPr>
            </w:pPr>
          </w:p>
        </w:tc>
        <w:tc>
          <w:tcPr>
            <w:tcW w:w="1445" w:type="dxa"/>
            <w:noWrap w:val="0"/>
            <w:vAlign w:val="center"/>
          </w:tcPr>
          <w:p w14:paraId="2A53EC27">
            <w:pPr>
              <w:pStyle w:val="349"/>
              <w:ind w:left="105"/>
              <w:jc w:val="both"/>
              <w:rPr>
                <w:rFonts w:hint="default"/>
                <w:color w:val="auto"/>
                <w:sz w:val="21"/>
                <w:szCs w:val="21"/>
                <w:highlight w:val="none"/>
                <w:lang w:val="en-US" w:eastAsia="zh-CN"/>
              </w:rPr>
            </w:pPr>
          </w:p>
        </w:tc>
        <w:tc>
          <w:tcPr>
            <w:tcW w:w="1309" w:type="dxa"/>
            <w:noWrap w:val="0"/>
            <w:vAlign w:val="top"/>
          </w:tcPr>
          <w:p w14:paraId="4150144B">
            <w:pPr>
              <w:pStyle w:val="349"/>
              <w:ind w:left="105"/>
              <w:rPr>
                <w:color w:val="auto"/>
                <w:sz w:val="21"/>
                <w:szCs w:val="21"/>
                <w:highlight w:val="none"/>
              </w:rPr>
            </w:pPr>
          </w:p>
        </w:tc>
        <w:tc>
          <w:tcPr>
            <w:tcW w:w="1268" w:type="dxa"/>
            <w:noWrap w:val="0"/>
            <w:vAlign w:val="top"/>
          </w:tcPr>
          <w:p w14:paraId="6421734B">
            <w:pPr>
              <w:pStyle w:val="349"/>
              <w:ind w:left="107"/>
              <w:rPr>
                <w:rFonts w:hint="default" w:eastAsia="宋体"/>
                <w:color w:val="auto"/>
                <w:sz w:val="21"/>
                <w:szCs w:val="21"/>
                <w:highlight w:val="none"/>
                <w:lang w:val="en-US" w:eastAsia="zh-CN"/>
              </w:rPr>
            </w:pPr>
          </w:p>
        </w:tc>
        <w:tc>
          <w:tcPr>
            <w:tcW w:w="1303" w:type="dxa"/>
            <w:noWrap w:val="0"/>
            <w:vAlign w:val="top"/>
          </w:tcPr>
          <w:p w14:paraId="2277196A">
            <w:pPr>
              <w:pStyle w:val="349"/>
              <w:ind w:left="108"/>
              <w:rPr>
                <w:rFonts w:hint="default" w:eastAsia="宋体"/>
                <w:color w:val="auto"/>
                <w:sz w:val="21"/>
                <w:szCs w:val="21"/>
                <w:highlight w:val="none"/>
                <w:lang w:val="en-US" w:eastAsia="zh-CN"/>
              </w:rPr>
            </w:pPr>
          </w:p>
        </w:tc>
      </w:tr>
      <w:tr w14:paraId="4D92F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032CB91C">
            <w:pPr>
              <w:pStyle w:val="349"/>
              <w:ind w:left="105"/>
              <w:rPr>
                <w:rFonts w:hint="default" w:eastAsia="宋体"/>
                <w:color w:val="auto"/>
                <w:sz w:val="21"/>
                <w:szCs w:val="21"/>
                <w:highlight w:val="none"/>
                <w:lang w:val="en-US" w:eastAsia="zh-CN"/>
              </w:rPr>
            </w:pPr>
          </w:p>
        </w:tc>
        <w:tc>
          <w:tcPr>
            <w:tcW w:w="1405" w:type="dxa"/>
            <w:noWrap w:val="0"/>
            <w:vAlign w:val="center"/>
          </w:tcPr>
          <w:p w14:paraId="03610A53">
            <w:pPr>
              <w:pStyle w:val="349"/>
              <w:ind w:left="105"/>
              <w:jc w:val="both"/>
              <w:rPr>
                <w:rFonts w:hint="default" w:eastAsia="宋体"/>
                <w:color w:val="auto"/>
                <w:sz w:val="21"/>
                <w:szCs w:val="21"/>
                <w:highlight w:val="none"/>
                <w:lang w:val="en-US" w:eastAsia="zh-CN"/>
              </w:rPr>
            </w:pPr>
          </w:p>
        </w:tc>
        <w:tc>
          <w:tcPr>
            <w:tcW w:w="1091" w:type="dxa"/>
            <w:noWrap w:val="0"/>
            <w:vAlign w:val="center"/>
          </w:tcPr>
          <w:p w14:paraId="51BCE0BC">
            <w:pPr>
              <w:pStyle w:val="349"/>
              <w:ind w:left="108" w:leftChars="0" w:right="0" w:rightChars="0"/>
              <w:jc w:val="both"/>
              <w:rPr>
                <w:rFonts w:hint="eastAsia" w:ascii="Times New Roman" w:hAnsi="Times New Roman" w:eastAsia="宋体" w:cs="Times New Roman"/>
                <w:color w:val="auto"/>
                <w:kern w:val="2"/>
                <w:sz w:val="21"/>
                <w:szCs w:val="21"/>
                <w:highlight w:val="none"/>
                <w:lang w:val="en-US" w:eastAsia="zh-CN" w:bidi="ar-SA"/>
              </w:rPr>
            </w:pPr>
          </w:p>
        </w:tc>
        <w:tc>
          <w:tcPr>
            <w:tcW w:w="1445" w:type="dxa"/>
            <w:noWrap w:val="0"/>
            <w:vAlign w:val="center"/>
          </w:tcPr>
          <w:p w14:paraId="15E5B1F1">
            <w:pPr>
              <w:pStyle w:val="349"/>
              <w:ind w:left="105"/>
              <w:jc w:val="both"/>
              <w:rPr>
                <w:rFonts w:hint="default"/>
                <w:color w:val="auto"/>
                <w:sz w:val="21"/>
                <w:szCs w:val="21"/>
                <w:highlight w:val="none"/>
                <w:lang w:val="en-US" w:eastAsia="zh-CN"/>
              </w:rPr>
            </w:pPr>
          </w:p>
        </w:tc>
        <w:tc>
          <w:tcPr>
            <w:tcW w:w="1309" w:type="dxa"/>
            <w:noWrap w:val="0"/>
            <w:vAlign w:val="top"/>
          </w:tcPr>
          <w:p w14:paraId="1F8C5CC3">
            <w:pPr>
              <w:pStyle w:val="349"/>
              <w:ind w:left="105"/>
              <w:rPr>
                <w:color w:val="auto"/>
                <w:sz w:val="21"/>
                <w:szCs w:val="21"/>
                <w:highlight w:val="none"/>
              </w:rPr>
            </w:pPr>
          </w:p>
        </w:tc>
        <w:tc>
          <w:tcPr>
            <w:tcW w:w="1268" w:type="dxa"/>
            <w:noWrap w:val="0"/>
            <w:vAlign w:val="top"/>
          </w:tcPr>
          <w:p w14:paraId="1244E9E2">
            <w:pPr>
              <w:pStyle w:val="349"/>
              <w:ind w:left="107"/>
              <w:rPr>
                <w:rFonts w:hint="default" w:eastAsia="宋体"/>
                <w:color w:val="auto"/>
                <w:sz w:val="21"/>
                <w:szCs w:val="21"/>
                <w:highlight w:val="none"/>
                <w:lang w:val="en-US" w:eastAsia="zh-CN"/>
              </w:rPr>
            </w:pPr>
          </w:p>
        </w:tc>
        <w:tc>
          <w:tcPr>
            <w:tcW w:w="1303" w:type="dxa"/>
            <w:noWrap w:val="0"/>
            <w:vAlign w:val="top"/>
          </w:tcPr>
          <w:p w14:paraId="4E40A2FC">
            <w:pPr>
              <w:pStyle w:val="349"/>
              <w:ind w:left="108"/>
              <w:rPr>
                <w:rFonts w:hint="default" w:eastAsia="宋体"/>
                <w:color w:val="auto"/>
                <w:sz w:val="21"/>
                <w:szCs w:val="21"/>
                <w:highlight w:val="none"/>
                <w:lang w:val="en-US" w:eastAsia="zh-CN"/>
              </w:rPr>
            </w:pPr>
          </w:p>
        </w:tc>
      </w:tr>
      <w:tr w14:paraId="0C39E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0666A42F">
            <w:pPr>
              <w:pStyle w:val="349"/>
              <w:spacing w:before="1"/>
              <w:ind w:left="105"/>
              <w:rPr>
                <w:color w:val="auto"/>
                <w:sz w:val="21"/>
                <w:szCs w:val="21"/>
                <w:highlight w:val="none"/>
              </w:rPr>
            </w:pPr>
          </w:p>
        </w:tc>
        <w:tc>
          <w:tcPr>
            <w:tcW w:w="1405" w:type="dxa"/>
            <w:noWrap w:val="0"/>
            <w:vAlign w:val="center"/>
          </w:tcPr>
          <w:p w14:paraId="346655BF">
            <w:pPr>
              <w:pStyle w:val="349"/>
              <w:spacing w:before="1"/>
              <w:ind w:left="105"/>
              <w:jc w:val="both"/>
              <w:rPr>
                <w:rFonts w:hint="default" w:eastAsia="宋体"/>
                <w:color w:val="auto"/>
                <w:sz w:val="21"/>
                <w:szCs w:val="21"/>
                <w:highlight w:val="none"/>
                <w:lang w:val="en-US" w:eastAsia="zh-CN"/>
              </w:rPr>
            </w:pPr>
          </w:p>
        </w:tc>
        <w:tc>
          <w:tcPr>
            <w:tcW w:w="1091" w:type="dxa"/>
            <w:noWrap w:val="0"/>
            <w:vAlign w:val="center"/>
          </w:tcPr>
          <w:p w14:paraId="0A8C4805">
            <w:pPr>
              <w:pStyle w:val="349"/>
              <w:spacing w:before="1"/>
              <w:ind w:left="108" w:leftChars="0" w:right="0" w:rightChars="0"/>
              <w:jc w:val="both"/>
              <w:rPr>
                <w:rFonts w:hint="eastAsia" w:ascii="Times New Roman" w:hAnsi="Times New Roman" w:eastAsia="宋体" w:cs="Times New Roman"/>
                <w:color w:val="auto"/>
                <w:kern w:val="2"/>
                <w:sz w:val="21"/>
                <w:szCs w:val="21"/>
                <w:highlight w:val="none"/>
                <w:lang w:val="en-US" w:eastAsia="zh-CN" w:bidi="ar-SA"/>
              </w:rPr>
            </w:pPr>
          </w:p>
        </w:tc>
        <w:tc>
          <w:tcPr>
            <w:tcW w:w="1445" w:type="dxa"/>
            <w:noWrap w:val="0"/>
            <w:vAlign w:val="center"/>
          </w:tcPr>
          <w:p w14:paraId="26DCD4EA">
            <w:pPr>
              <w:pStyle w:val="349"/>
              <w:spacing w:before="1"/>
              <w:ind w:left="105"/>
              <w:jc w:val="both"/>
              <w:rPr>
                <w:rFonts w:hint="default"/>
                <w:color w:val="auto"/>
                <w:sz w:val="21"/>
                <w:szCs w:val="21"/>
                <w:highlight w:val="none"/>
                <w:lang w:val="en-US" w:eastAsia="zh-CN"/>
              </w:rPr>
            </w:pPr>
          </w:p>
        </w:tc>
        <w:tc>
          <w:tcPr>
            <w:tcW w:w="1309" w:type="dxa"/>
            <w:noWrap w:val="0"/>
            <w:vAlign w:val="top"/>
          </w:tcPr>
          <w:p w14:paraId="4D187DD5">
            <w:pPr>
              <w:pStyle w:val="349"/>
              <w:spacing w:before="1"/>
              <w:ind w:left="105"/>
              <w:rPr>
                <w:color w:val="auto"/>
                <w:sz w:val="21"/>
                <w:szCs w:val="21"/>
                <w:highlight w:val="none"/>
              </w:rPr>
            </w:pPr>
          </w:p>
        </w:tc>
        <w:tc>
          <w:tcPr>
            <w:tcW w:w="1268" w:type="dxa"/>
            <w:noWrap w:val="0"/>
            <w:vAlign w:val="top"/>
          </w:tcPr>
          <w:p w14:paraId="50FAB70B">
            <w:pPr>
              <w:pStyle w:val="349"/>
              <w:spacing w:before="1"/>
              <w:ind w:left="107"/>
              <w:rPr>
                <w:rFonts w:hint="default" w:eastAsia="宋体"/>
                <w:color w:val="auto"/>
                <w:sz w:val="21"/>
                <w:szCs w:val="21"/>
                <w:highlight w:val="none"/>
                <w:lang w:val="en-US" w:eastAsia="zh-CN"/>
              </w:rPr>
            </w:pPr>
          </w:p>
        </w:tc>
        <w:tc>
          <w:tcPr>
            <w:tcW w:w="1303" w:type="dxa"/>
            <w:noWrap w:val="0"/>
            <w:vAlign w:val="top"/>
          </w:tcPr>
          <w:p w14:paraId="4A59F26E">
            <w:pPr>
              <w:pStyle w:val="349"/>
              <w:spacing w:before="1"/>
              <w:ind w:left="108"/>
              <w:rPr>
                <w:rFonts w:hint="default" w:eastAsia="宋体"/>
                <w:color w:val="auto"/>
                <w:sz w:val="21"/>
                <w:szCs w:val="21"/>
                <w:highlight w:val="none"/>
                <w:lang w:val="en-US" w:eastAsia="zh-CN"/>
              </w:rPr>
            </w:pPr>
          </w:p>
        </w:tc>
      </w:tr>
      <w:tr w14:paraId="662C0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14AD9E93">
            <w:pPr>
              <w:pStyle w:val="349"/>
              <w:spacing w:before="1"/>
              <w:ind w:left="105"/>
              <w:rPr>
                <w:color w:val="auto"/>
                <w:sz w:val="21"/>
                <w:szCs w:val="21"/>
                <w:highlight w:val="none"/>
              </w:rPr>
            </w:pPr>
          </w:p>
        </w:tc>
        <w:tc>
          <w:tcPr>
            <w:tcW w:w="1405" w:type="dxa"/>
            <w:noWrap w:val="0"/>
            <w:vAlign w:val="top"/>
          </w:tcPr>
          <w:p w14:paraId="7FB213E7">
            <w:pPr>
              <w:pStyle w:val="349"/>
              <w:spacing w:before="1"/>
              <w:ind w:left="105"/>
              <w:rPr>
                <w:color w:val="auto"/>
                <w:sz w:val="21"/>
                <w:szCs w:val="21"/>
                <w:highlight w:val="none"/>
              </w:rPr>
            </w:pPr>
          </w:p>
        </w:tc>
        <w:tc>
          <w:tcPr>
            <w:tcW w:w="1091" w:type="dxa"/>
            <w:noWrap w:val="0"/>
            <w:vAlign w:val="top"/>
          </w:tcPr>
          <w:p w14:paraId="62C2CA93">
            <w:pPr>
              <w:pStyle w:val="349"/>
              <w:spacing w:before="1"/>
              <w:ind w:left="105"/>
              <w:rPr>
                <w:color w:val="auto"/>
                <w:sz w:val="21"/>
                <w:szCs w:val="21"/>
                <w:highlight w:val="none"/>
              </w:rPr>
            </w:pPr>
          </w:p>
        </w:tc>
        <w:tc>
          <w:tcPr>
            <w:tcW w:w="1445" w:type="dxa"/>
            <w:noWrap w:val="0"/>
            <w:vAlign w:val="top"/>
          </w:tcPr>
          <w:p w14:paraId="7EFAA655">
            <w:pPr>
              <w:pStyle w:val="349"/>
              <w:spacing w:before="1"/>
              <w:ind w:left="105"/>
              <w:rPr>
                <w:color w:val="auto"/>
                <w:sz w:val="21"/>
                <w:szCs w:val="21"/>
                <w:highlight w:val="none"/>
              </w:rPr>
            </w:pPr>
          </w:p>
        </w:tc>
        <w:tc>
          <w:tcPr>
            <w:tcW w:w="1309" w:type="dxa"/>
            <w:noWrap w:val="0"/>
            <w:vAlign w:val="top"/>
          </w:tcPr>
          <w:p w14:paraId="7BA3D8C4">
            <w:pPr>
              <w:pStyle w:val="349"/>
              <w:spacing w:before="1"/>
              <w:ind w:left="105"/>
              <w:rPr>
                <w:color w:val="auto"/>
                <w:sz w:val="21"/>
                <w:szCs w:val="21"/>
                <w:highlight w:val="none"/>
              </w:rPr>
            </w:pPr>
          </w:p>
        </w:tc>
        <w:tc>
          <w:tcPr>
            <w:tcW w:w="1268" w:type="dxa"/>
            <w:noWrap w:val="0"/>
            <w:vAlign w:val="top"/>
          </w:tcPr>
          <w:p w14:paraId="03A26EE2">
            <w:pPr>
              <w:pStyle w:val="349"/>
              <w:spacing w:before="1"/>
              <w:ind w:left="107"/>
              <w:rPr>
                <w:color w:val="auto"/>
                <w:sz w:val="21"/>
                <w:szCs w:val="21"/>
                <w:highlight w:val="none"/>
              </w:rPr>
            </w:pPr>
          </w:p>
        </w:tc>
        <w:tc>
          <w:tcPr>
            <w:tcW w:w="1303" w:type="dxa"/>
            <w:noWrap w:val="0"/>
            <w:vAlign w:val="top"/>
          </w:tcPr>
          <w:p w14:paraId="2EE33C07">
            <w:pPr>
              <w:pStyle w:val="349"/>
              <w:spacing w:before="1"/>
              <w:ind w:left="108"/>
              <w:rPr>
                <w:color w:val="auto"/>
                <w:sz w:val="21"/>
                <w:szCs w:val="21"/>
                <w:highlight w:val="none"/>
              </w:rPr>
            </w:pPr>
          </w:p>
        </w:tc>
      </w:tr>
      <w:tr w14:paraId="0A3E6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10286001">
            <w:pPr>
              <w:pStyle w:val="349"/>
              <w:rPr>
                <w:rFonts w:ascii="黑体"/>
                <w:color w:val="auto"/>
                <w:sz w:val="21"/>
                <w:szCs w:val="21"/>
                <w:highlight w:val="none"/>
              </w:rPr>
            </w:pPr>
          </w:p>
          <w:p w14:paraId="4886D1C3">
            <w:pPr>
              <w:pStyle w:val="349"/>
              <w:spacing w:before="6"/>
              <w:rPr>
                <w:rFonts w:ascii="黑体"/>
                <w:color w:val="auto"/>
                <w:sz w:val="21"/>
                <w:szCs w:val="21"/>
                <w:highlight w:val="none"/>
              </w:rPr>
            </w:pPr>
          </w:p>
          <w:p w14:paraId="2A9F3B5F">
            <w:pPr>
              <w:pStyle w:val="349"/>
              <w:spacing w:before="1"/>
              <w:ind w:left="105"/>
              <w:rPr>
                <w:color w:val="auto"/>
                <w:sz w:val="21"/>
                <w:szCs w:val="21"/>
                <w:highlight w:val="none"/>
              </w:rPr>
            </w:pPr>
            <w:r>
              <w:rPr>
                <w:color w:val="auto"/>
                <w:sz w:val="21"/>
                <w:szCs w:val="21"/>
                <w:highlight w:val="none"/>
              </w:rPr>
              <w:t xml:space="preserve"> </w:t>
            </w:r>
          </w:p>
        </w:tc>
        <w:tc>
          <w:tcPr>
            <w:tcW w:w="1405" w:type="dxa"/>
            <w:noWrap w:val="0"/>
            <w:vAlign w:val="top"/>
          </w:tcPr>
          <w:p w14:paraId="613D81E9">
            <w:pPr>
              <w:pStyle w:val="349"/>
              <w:rPr>
                <w:rFonts w:ascii="黑体"/>
                <w:color w:val="auto"/>
                <w:sz w:val="21"/>
                <w:szCs w:val="21"/>
                <w:highlight w:val="none"/>
              </w:rPr>
            </w:pPr>
          </w:p>
          <w:p w14:paraId="1C6A770E">
            <w:pPr>
              <w:pStyle w:val="349"/>
              <w:spacing w:before="6"/>
              <w:rPr>
                <w:rFonts w:ascii="黑体"/>
                <w:color w:val="auto"/>
                <w:sz w:val="21"/>
                <w:szCs w:val="21"/>
                <w:highlight w:val="none"/>
              </w:rPr>
            </w:pPr>
          </w:p>
          <w:p w14:paraId="6D396D25">
            <w:pPr>
              <w:pStyle w:val="349"/>
              <w:spacing w:before="1"/>
              <w:ind w:left="105"/>
              <w:rPr>
                <w:color w:val="auto"/>
                <w:sz w:val="21"/>
                <w:szCs w:val="21"/>
                <w:highlight w:val="none"/>
              </w:rPr>
            </w:pPr>
            <w:r>
              <w:rPr>
                <w:color w:val="auto"/>
                <w:sz w:val="21"/>
                <w:szCs w:val="21"/>
                <w:highlight w:val="none"/>
              </w:rPr>
              <w:t xml:space="preserve"> </w:t>
            </w:r>
          </w:p>
        </w:tc>
        <w:tc>
          <w:tcPr>
            <w:tcW w:w="1091" w:type="dxa"/>
            <w:noWrap w:val="0"/>
            <w:vAlign w:val="top"/>
          </w:tcPr>
          <w:p w14:paraId="46BD8E93">
            <w:pPr>
              <w:pStyle w:val="349"/>
              <w:spacing w:before="1"/>
              <w:ind w:left="105"/>
              <w:rPr>
                <w:color w:val="auto"/>
                <w:sz w:val="21"/>
                <w:szCs w:val="21"/>
                <w:highlight w:val="none"/>
              </w:rPr>
            </w:pPr>
          </w:p>
        </w:tc>
        <w:tc>
          <w:tcPr>
            <w:tcW w:w="1445" w:type="dxa"/>
            <w:noWrap w:val="0"/>
            <w:vAlign w:val="top"/>
          </w:tcPr>
          <w:p w14:paraId="0095B92B">
            <w:pPr>
              <w:pStyle w:val="349"/>
              <w:spacing w:before="1"/>
              <w:ind w:left="105"/>
              <w:rPr>
                <w:color w:val="auto"/>
                <w:sz w:val="21"/>
                <w:szCs w:val="21"/>
                <w:highlight w:val="none"/>
              </w:rPr>
            </w:pPr>
          </w:p>
        </w:tc>
        <w:tc>
          <w:tcPr>
            <w:tcW w:w="1309" w:type="dxa"/>
            <w:noWrap w:val="0"/>
            <w:vAlign w:val="top"/>
          </w:tcPr>
          <w:p w14:paraId="749783B6">
            <w:pPr>
              <w:pStyle w:val="349"/>
              <w:rPr>
                <w:rFonts w:ascii="黑体"/>
                <w:color w:val="auto"/>
                <w:sz w:val="21"/>
                <w:szCs w:val="21"/>
                <w:highlight w:val="none"/>
              </w:rPr>
            </w:pPr>
          </w:p>
          <w:p w14:paraId="495C4747">
            <w:pPr>
              <w:pStyle w:val="349"/>
              <w:spacing w:before="6"/>
              <w:rPr>
                <w:rFonts w:ascii="黑体"/>
                <w:color w:val="auto"/>
                <w:sz w:val="21"/>
                <w:szCs w:val="21"/>
                <w:highlight w:val="none"/>
              </w:rPr>
            </w:pPr>
          </w:p>
          <w:p w14:paraId="589AFC8B">
            <w:pPr>
              <w:pStyle w:val="349"/>
              <w:spacing w:before="1"/>
              <w:ind w:left="105"/>
              <w:rPr>
                <w:color w:val="auto"/>
                <w:sz w:val="21"/>
                <w:szCs w:val="21"/>
                <w:highlight w:val="none"/>
              </w:rPr>
            </w:pPr>
            <w:r>
              <w:rPr>
                <w:color w:val="auto"/>
                <w:sz w:val="21"/>
                <w:szCs w:val="21"/>
                <w:highlight w:val="none"/>
              </w:rPr>
              <w:t xml:space="preserve"> </w:t>
            </w:r>
          </w:p>
        </w:tc>
        <w:tc>
          <w:tcPr>
            <w:tcW w:w="1268" w:type="dxa"/>
            <w:noWrap w:val="0"/>
            <w:vAlign w:val="top"/>
          </w:tcPr>
          <w:p w14:paraId="13F5B2F3">
            <w:pPr>
              <w:pStyle w:val="349"/>
              <w:rPr>
                <w:rFonts w:ascii="黑体"/>
                <w:color w:val="auto"/>
                <w:sz w:val="21"/>
                <w:szCs w:val="21"/>
                <w:highlight w:val="none"/>
              </w:rPr>
            </w:pPr>
          </w:p>
          <w:p w14:paraId="18F10D05">
            <w:pPr>
              <w:pStyle w:val="349"/>
              <w:spacing w:before="6"/>
              <w:rPr>
                <w:rFonts w:ascii="黑体"/>
                <w:color w:val="auto"/>
                <w:sz w:val="21"/>
                <w:szCs w:val="21"/>
                <w:highlight w:val="none"/>
              </w:rPr>
            </w:pPr>
          </w:p>
          <w:p w14:paraId="63AEEC2D">
            <w:pPr>
              <w:pStyle w:val="349"/>
              <w:spacing w:before="1"/>
              <w:ind w:left="107"/>
              <w:rPr>
                <w:color w:val="auto"/>
                <w:sz w:val="21"/>
                <w:szCs w:val="21"/>
                <w:highlight w:val="none"/>
              </w:rPr>
            </w:pPr>
            <w:r>
              <w:rPr>
                <w:color w:val="auto"/>
                <w:sz w:val="21"/>
                <w:szCs w:val="21"/>
                <w:highlight w:val="none"/>
              </w:rPr>
              <w:t xml:space="preserve"> </w:t>
            </w:r>
          </w:p>
        </w:tc>
        <w:tc>
          <w:tcPr>
            <w:tcW w:w="1303" w:type="dxa"/>
            <w:noWrap w:val="0"/>
            <w:vAlign w:val="top"/>
          </w:tcPr>
          <w:p w14:paraId="3CE3BA77">
            <w:pPr>
              <w:pStyle w:val="349"/>
              <w:rPr>
                <w:rFonts w:ascii="黑体"/>
                <w:color w:val="auto"/>
                <w:sz w:val="21"/>
                <w:szCs w:val="21"/>
                <w:highlight w:val="none"/>
              </w:rPr>
            </w:pPr>
          </w:p>
          <w:p w14:paraId="4C5BE4DF">
            <w:pPr>
              <w:pStyle w:val="349"/>
              <w:spacing w:before="6"/>
              <w:rPr>
                <w:rFonts w:ascii="黑体"/>
                <w:color w:val="auto"/>
                <w:sz w:val="21"/>
                <w:szCs w:val="21"/>
                <w:highlight w:val="none"/>
              </w:rPr>
            </w:pPr>
          </w:p>
          <w:p w14:paraId="6D440A6C">
            <w:pPr>
              <w:pStyle w:val="349"/>
              <w:spacing w:before="1"/>
              <w:ind w:left="108"/>
              <w:rPr>
                <w:color w:val="auto"/>
                <w:sz w:val="21"/>
                <w:szCs w:val="21"/>
                <w:highlight w:val="none"/>
              </w:rPr>
            </w:pPr>
            <w:r>
              <w:rPr>
                <w:color w:val="auto"/>
                <w:sz w:val="21"/>
                <w:szCs w:val="21"/>
                <w:highlight w:val="none"/>
              </w:rPr>
              <w:t xml:space="preserve"> </w:t>
            </w:r>
          </w:p>
        </w:tc>
      </w:tr>
    </w:tbl>
    <w:p w14:paraId="28717297">
      <w:pPr>
        <w:ind w:firstLine="210" w:firstLineChars="100"/>
        <w:rPr>
          <w:rFonts w:hint="eastAsia" w:ascii="宋体" w:hAnsi="宋体" w:cs="Times New Roman"/>
          <w:color w:val="auto"/>
          <w:sz w:val="21"/>
          <w:szCs w:val="21"/>
          <w:highlight w:val="none"/>
        </w:rPr>
      </w:pPr>
      <w:r>
        <w:rPr>
          <w:rFonts w:hint="eastAsia" w:ascii="宋体" w:hAnsi="宋体" w:cs="Times New Roman"/>
          <w:color w:val="auto"/>
          <w:sz w:val="21"/>
          <w:szCs w:val="21"/>
          <w:highlight w:val="none"/>
        </w:rPr>
        <w:t>注：</w:t>
      </w:r>
      <w:r>
        <w:rPr>
          <w:rFonts w:hint="eastAsia" w:ascii="宋体" w:hAnsi="宋体" w:cs="Times New Roman"/>
          <w:color w:val="auto"/>
          <w:sz w:val="21"/>
          <w:szCs w:val="21"/>
          <w:highlight w:val="none"/>
          <w:lang w:val="en-US" w:eastAsia="zh-CN"/>
        </w:rPr>
        <w:t>1.</w:t>
      </w:r>
      <w:r>
        <w:rPr>
          <w:rFonts w:hint="eastAsia" w:ascii="宋体" w:hAnsi="宋体" w:cs="Times New Roman"/>
          <w:color w:val="auto"/>
          <w:sz w:val="21"/>
          <w:szCs w:val="21"/>
          <w:highlight w:val="none"/>
        </w:rPr>
        <w:t>此表由招标人填写除“投标单价”栏的内容</w:t>
      </w:r>
      <w:r>
        <w:rPr>
          <w:rFonts w:hint="eastAsia" w:ascii="宋体" w:hAnsi="宋体" w:cs="Times New Roman"/>
          <w:color w:val="auto"/>
          <w:sz w:val="21"/>
          <w:szCs w:val="21"/>
          <w:highlight w:val="none"/>
          <w:lang w:eastAsia="zh-CN"/>
        </w:rPr>
        <w:t>，</w:t>
      </w:r>
      <w:r>
        <w:rPr>
          <w:rFonts w:hint="eastAsia" w:ascii="宋体" w:hAnsi="宋体" w:cs="Times New Roman"/>
          <w:color w:val="auto"/>
          <w:sz w:val="21"/>
          <w:szCs w:val="21"/>
          <w:highlight w:val="none"/>
        </w:rPr>
        <w:t>投标人在投标时自主确定投标单价。</w:t>
      </w:r>
    </w:p>
    <w:p w14:paraId="5995FAE5">
      <w:pPr>
        <w:spacing w:line="360" w:lineRule="auto"/>
        <w:rPr>
          <w:rFonts w:ascii="Times New Roman" w:hAnsi="Times New Roman" w:cs="Times New Roman"/>
          <w:color w:val="auto"/>
          <w:sz w:val="21"/>
          <w:szCs w:val="21"/>
          <w:highlight w:val="none"/>
        </w:rPr>
      </w:pPr>
      <w:r>
        <w:rPr>
          <w:rFonts w:hint="eastAsia" w:ascii="宋体" w:hAnsi="宋体" w:cs="Times New Roman"/>
          <w:color w:val="auto"/>
          <w:sz w:val="21"/>
          <w:szCs w:val="21"/>
          <w:highlight w:val="none"/>
          <w:lang w:val="en-US" w:eastAsia="zh-CN"/>
        </w:rPr>
        <w:t>2.应用于一般计税法为除税价，应用于简易计税法为含税价。</w:t>
      </w:r>
    </w:p>
    <w:p w14:paraId="17AB165A">
      <w:pPr>
        <w:pStyle w:val="27"/>
        <w:snapToGrid w:val="0"/>
        <w:spacing w:before="120" w:after="120" w:line="320" w:lineRule="exact"/>
        <w:jc w:val="center"/>
        <w:outlineLvl w:val="0"/>
        <w:rPr>
          <w:rFonts w:ascii="Times New Roman" w:hAnsi="Times New Roman"/>
          <w:color w:val="auto"/>
          <w:sz w:val="18"/>
          <w:szCs w:val="18"/>
          <w:highlight w:val="none"/>
        </w:rPr>
      </w:pPr>
      <w:r>
        <w:rPr>
          <w:rFonts w:ascii="Times New Roman" w:hAnsi="Times New Roman" w:cs="Times New Roman"/>
          <w:color w:val="auto"/>
          <w:sz w:val="18"/>
          <w:szCs w:val="18"/>
          <w:highlight w:val="none"/>
        </w:rPr>
        <w:br w:type="page"/>
      </w:r>
      <w:bookmarkStart w:id="1081" w:name="_Toc30376"/>
      <w:r>
        <w:rPr>
          <w:rFonts w:ascii="Times New Roman" w:hAnsi="Times New Roman" w:cs="Times New Roman"/>
          <w:color w:val="auto"/>
          <w:sz w:val="18"/>
          <w:szCs w:val="18"/>
          <w:highlight w:val="none"/>
        </w:rPr>
        <w:t>第</w:t>
      </w:r>
      <w:r>
        <w:rPr>
          <w:rFonts w:hint="eastAsia" w:ascii="Times New Roman" w:hAnsi="Times New Roman" w:cs="Times New Roman"/>
          <w:color w:val="auto"/>
          <w:sz w:val="18"/>
          <w:szCs w:val="18"/>
          <w:highlight w:val="none"/>
        </w:rPr>
        <w:t>六</w:t>
      </w:r>
      <w:r>
        <w:rPr>
          <w:rFonts w:ascii="Times New Roman" w:hAnsi="Times New Roman" w:cs="Times New Roman"/>
          <w:color w:val="auto"/>
          <w:sz w:val="18"/>
          <w:szCs w:val="18"/>
          <w:highlight w:val="none"/>
        </w:rPr>
        <w:t>章  响应文件格式</w:t>
      </w:r>
      <w:bookmarkEnd w:id="1081"/>
    </w:p>
    <w:p w14:paraId="198544BB">
      <w:pPr>
        <w:rPr>
          <w:color w:val="auto"/>
          <w:sz w:val="18"/>
          <w:szCs w:val="18"/>
          <w:highlight w:val="none"/>
        </w:rPr>
      </w:pPr>
      <w:bookmarkStart w:id="1082" w:name="_Toc254970697"/>
      <w:bookmarkStart w:id="1083" w:name="_Toc254970556"/>
    </w:p>
    <w:p w14:paraId="28AA6FBC">
      <w:pPr>
        <w:rPr>
          <w:color w:val="auto"/>
          <w:sz w:val="18"/>
          <w:szCs w:val="18"/>
          <w:highlight w:val="none"/>
        </w:rPr>
      </w:pPr>
    </w:p>
    <w:p w14:paraId="2D8D42CF">
      <w:pPr>
        <w:snapToGrid w:val="0"/>
        <w:spacing w:before="120" w:beforeLines="50" w:after="50" w:line="440" w:lineRule="exact"/>
        <w:rPr>
          <w:bCs/>
          <w:color w:val="auto"/>
          <w:sz w:val="18"/>
          <w:szCs w:val="18"/>
          <w:highlight w:val="none"/>
        </w:rPr>
      </w:pPr>
      <w:bookmarkStart w:id="1084" w:name="_Hlk89190642"/>
      <w:r>
        <w:rPr>
          <w:rFonts w:hint="eastAsia"/>
          <w:color w:val="auto"/>
          <w:sz w:val="18"/>
          <w:szCs w:val="18"/>
          <w:highlight w:val="none"/>
        </w:rPr>
        <w:t>注：有签字、盖章要求的应按要求签字（签章）、盖章（签章）。</w:t>
      </w:r>
      <w:bookmarkEnd w:id="1082"/>
      <w:bookmarkEnd w:id="1083"/>
      <w:r>
        <w:rPr>
          <w:bCs/>
          <w:color w:val="auto"/>
          <w:sz w:val="18"/>
          <w:szCs w:val="18"/>
          <w:highlight w:val="none"/>
        </w:rPr>
        <w:t xml:space="preserve"> </w:t>
      </w:r>
    </w:p>
    <w:bookmarkEnd w:id="1084"/>
    <w:p w14:paraId="1F48CBEE">
      <w:pPr>
        <w:snapToGrid w:val="0"/>
        <w:spacing w:before="120" w:beforeLines="50" w:after="50" w:line="440" w:lineRule="exact"/>
        <w:jc w:val="left"/>
        <w:outlineLvl w:val="1"/>
        <w:rPr>
          <w:b/>
          <w:color w:val="auto"/>
          <w:sz w:val="18"/>
          <w:szCs w:val="18"/>
          <w:highlight w:val="none"/>
        </w:rPr>
      </w:pPr>
      <w:r>
        <w:rPr>
          <w:color w:val="auto"/>
          <w:sz w:val="18"/>
          <w:szCs w:val="18"/>
          <w:highlight w:val="none"/>
        </w:rPr>
        <w:br w:type="page"/>
      </w:r>
      <w:bookmarkStart w:id="1085" w:name="_Hlk89190719"/>
      <w:r>
        <w:rPr>
          <w:rFonts w:hint="eastAsia"/>
          <w:b/>
          <w:color w:val="auto"/>
          <w:sz w:val="18"/>
          <w:szCs w:val="18"/>
          <w:highlight w:val="none"/>
        </w:rPr>
        <w:t>1.</w:t>
      </w:r>
      <w:r>
        <w:rPr>
          <w:b/>
          <w:color w:val="auto"/>
          <w:sz w:val="18"/>
          <w:szCs w:val="18"/>
          <w:highlight w:val="none"/>
        </w:rPr>
        <w:t xml:space="preserve">响应文件封面格式： </w:t>
      </w:r>
    </w:p>
    <w:p w14:paraId="46C41CF0">
      <w:pPr>
        <w:snapToGrid w:val="0"/>
        <w:spacing w:before="120" w:beforeLines="50" w:after="50" w:line="360" w:lineRule="exact"/>
        <w:rPr>
          <w:color w:val="auto"/>
          <w:sz w:val="18"/>
          <w:szCs w:val="18"/>
          <w:highlight w:val="none"/>
        </w:rPr>
      </w:pPr>
    </w:p>
    <w:p w14:paraId="6C96F4DB">
      <w:pPr>
        <w:snapToGrid w:val="0"/>
        <w:spacing w:before="120" w:beforeLines="50" w:after="50" w:line="360" w:lineRule="exact"/>
        <w:jc w:val="center"/>
        <w:rPr>
          <w:bCs/>
          <w:color w:val="auto"/>
          <w:sz w:val="18"/>
          <w:szCs w:val="18"/>
          <w:highlight w:val="none"/>
        </w:rPr>
      </w:pPr>
    </w:p>
    <w:p w14:paraId="763C754F">
      <w:pPr>
        <w:snapToGrid w:val="0"/>
        <w:spacing w:before="120" w:beforeLines="50" w:after="50" w:line="360" w:lineRule="exact"/>
        <w:jc w:val="center"/>
        <w:rPr>
          <w:b/>
          <w:bCs/>
          <w:color w:val="auto"/>
          <w:sz w:val="18"/>
          <w:szCs w:val="18"/>
          <w:highlight w:val="none"/>
        </w:rPr>
      </w:pPr>
    </w:p>
    <w:p w14:paraId="086D4C5E">
      <w:pPr>
        <w:snapToGrid w:val="0"/>
        <w:spacing w:before="120" w:beforeLines="50" w:after="50" w:line="360" w:lineRule="exact"/>
        <w:jc w:val="center"/>
        <w:rPr>
          <w:b/>
          <w:bCs/>
          <w:color w:val="auto"/>
          <w:sz w:val="18"/>
          <w:szCs w:val="18"/>
          <w:highlight w:val="none"/>
        </w:rPr>
      </w:pPr>
      <w:r>
        <w:rPr>
          <w:rFonts w:hint="eastAsia"/>
          <w:b/>
          <w:bCs/>
          <w:color w:val="auto"/>
          <w:sz w:val="18"/>
          <w:szCs w:val="18"/>
          <w:highlight w:val="none"/>
        </w:rPr>
        <w:t>电子</w:t>
      </w:r>
      <w:r>
        <w:rPr>
          <w:b/>
          <w:bCs/>
          <w:color w:val="auto"/>
          <w:sz w:val="18"/>
          <w:szCs w:val="18"/>
          <w:highlight w:val="none"/>
        </w:rPr>
        <w:t>响应文件</w:t>
      </w:r>
    </w:p>
    <w:p w14:paraId="64175E94">
      <w:pPr>
        <w:snapToGrid w:val="0"/>
        <w:spacing w:before="120" w:beforeLines="50" w:after="50" w:line="360" w:lineRule="exact"/>
        <w:rPr>
          <w:bCs/>
          <w:color w:val="auto"/>
          <w:sz w:val="18"/>
          <w:szCs w:val="18"/>
          <w:highlight w:val="none"/>
        </w:rPr>
      </w:pPr>
    </w:p>
    <w:p w14:paraId="6F9448F3">
      <w:pPr>
        <w:snapToGrid w:val="0"/>
        <w:spacing w:before="120" w:beforeLines="50" w:after="50" w:line="360" w:lineRule="exact"/>
        <w:ind w:firstLine="540" w:firstLineChars="300"/>
        <w:rPr>
          <w:bCs/>
          <w:color w:val="auto"/>
          <w:sz w:val="18"/>
          <w:szCs w:val="18"/>
          <w:highlight w:val="none"/>
        </w:rPr>
      </w:pPr>
      <w:r>
        <w:rPr>
          <w:bCs/>
          <w:color w:val="auto"/>
          <w:sz w:val="18"/>
          <w:szCs w:val="18"/>
          <w:highlight w:val="none"/>
        </w:rPr>
        <w:t xml:space="preserve">项目名称： </w:t>
      </w:r>
    </w:p>
    <w:p w14:paraId="26BF95C7">
      <w:pPr>
        <w:snapToGrid w:val="0"/>
        <w:spacing w:before="120" w:beforeLines="50" w:after="50" w:line="360" w:lineRule="exact"/>
        <w:ind w:firstLine="540" w:firstLineChars="300"/>
        <w:rPr>
          <w:bCs/>
          <w:color w:val="auto"/>
          <w:sz w:val="18"/>
          <w:szCs w:val="18"/>
          <w:highlight w:val="none"/>
        </w:rPr>
      </w:pPr>
      <w:r>
        <w:rPr>
          <w:bCs/>
          <w:color w:val="auto"/>
          <w:sz w:val="18"/>
          <w:szCs w:val="18"/>
          <w:highlight w:val="none"/>
        </w:rPr>
        <w:t>项目编号：</w:t>
      </w:r>
    </w:p>
    <w:p w14:paraId="1EE1C4BE">
      <w:pPr>
        <w:snapToGrid w:val="0"/>
        <w:spacing w:before="120" w:beforeLines="50" w:after="50" w:line="360" w:lineRule="exact"/>
        <w:ind w:firstLine="540" w:firstLineChars="300"/>
        <w:rPr>
          <w:bCs/>
          <w:color w:val="auto"/>
          <w:sz w:val="18"/>
          <w:szCs w:val="18"/>
          <w:highlight w:val="none"/>
        </w:rPr>
      </w:pPr>
      <w:r>
        <w:rPr>
          <w:bCs/>
          <w:color w:val="auto"/>
          <w:sz w:val="18"/>
          <w:szCs w:val="18"/>
          <w:highlight w:val="none"/>
        </w:rPr>
        <w:t>分标</w:t>
      </w:r>
      <w:r>
        <w:rPr>
          <w:rFonts w:hint="eastAsia"/>
          <w:bCs/>
          <w:color w:val="auto"/>
          <w:sz w:val="18"/>
          <w:szCs w:val="18"/>
          <w:highlight w:val="none"/>
        </w:rPr>
        <w:t>号</w:t>
      </w:r>
      <w:r>
        <w:rPr>
          <w:bCs/>
          <w:color w:val="auto"/>
          <w:sz w:val="18"/>
          <w:szCs w:val="18"/>
          <w:highlight w:val="none"/>
        </w:rPr>
        <w:t>： （若无</w:t>
      </w:r>
      <w:r>
        <w:rPr>
          <w:rFonts w:hint="eastAsia"/>
          <w:bCs/>
          <w:color w:val="auto"/>
          <w:sz w:val="18"/>
          <w:szCs w:val="18"/>
          <w:highlight w:val="none"/>
        </w:rPr>
        <w:t>留空或写</w:t>
      </w:r>
      <w:r>
        <w:rPr>
          <w:bCs/>
          <w:color w:val="auto"/>
          <w:sz w:val="18"/>
          <w:szCs w:val="18"/>
          <w:highlight w:val="none"/>
        </w:rPr>
        <w:t>“/”）</w:t>
      </w:r>
    </w:p>
    <w:p w14:paraId="56457182">
      <w:pPr>
        <w:snapToGrid w:val="0"/>
        <w:spacing w:before="120" w:beforeLines="50" w:after="50" w:line="360" w:lineRule="exact"/>
        <w:ind w:firstLine="540" w:firstLineChars="300"/>
        <w:rPr>
          <w:bCs/>
          <w:color w:val="auto"/>
          <w:sz w:val="18"/>
          <w:szCs w:val="18"/>
          <w:highlight w:val="none"/>
        </w:rPr>
      </w:pPr>
      <w:r>
        <w:rPr>
          <w:bCs/>
          <w:color w:val="auto"/>
          <w:sz w:val="18"/>
          <w:szCs w:val="18"/>
          <w:highlight w:val="none"/>
        </w:rPr>
        <w:t>响应文件名称：资格</w:t>
      </w:r>
      <w:r>
        <w:rPr>
          <w:rFonts w:hint="eastAsia"/>
          <w:bCs/>
          <w:color w:val="auto"/>
          <w:sz w:val="18"/>
          <w:szCs w:val="18"/>
          <w:highlight w:val="none"/>
        </w:rPr>
        <w:t>证明</w:t>
      </w:r>
      <w:r>
        <w:rPr>
          <w:bCs/>
          <w:color w:val="auto"/>
          <w:sz w:val="18"/>
          <w:szCs w:val="18"/>
          <w:highlight w:val="none"/>
        </w:rPr>
        <w:t>文件、商务技术文件、报价文件</w:t>
      </w:r>
    </w:p>
    <w:bookmarkEnd w:id="1085"/>
    <w:p w14:paraId="412062D1">
      <w:pPr>
        <w:snapToGrid w:val="0"/>
        <w:spacing w:before="120" w:beforeLines="50" w:after="50" w:line="360" w:lineRule="exact"/>
        <w:ind w:firstLine="540" w:firstLineChars="300"/>
        <w:rPr>
          <w:bCs/>
          <w:color w:val="auto"/>
          <w:sz w:val="18"/>
          <w:szCs w:val="18"/>
          <w:highlight w:val="none"/>
        </w:rPr>
      </w:pPr>
      <w:r>
        <w:rPr>
          <w:bCs/>
          <w:color w:val="auto"/>
          <w:sz w:val="18"/>
          <w:szCs w:val="18"/>
          <w:highlight w:val="none"/>
        </w:rPr>
        <w:t>供应商名称：</w:t>
      </w:r>
    </w:p>
    <w:p w14:paraId="127BB68F">
      <w:pPr>
        <w:snapToGrid w:val="0"/>
        <w:spacing w:before="120" w:beforeLines="50" w:after="50" w:line="360" w:lineRule="exact"/>
        <w:ind w:firstLine="540" w:firstLineChars="300"/>
        <w:rPr>
          <w:bCs/>
          <w:color w:val="auto"/>
          <w:sz w:val="18"/>
          <w:szCs w:val="18"/>
          <w:highlight w:val="none"/>
        </w:rPr>
      </w:pPr>
      <w:r>
        <w:rPr>
          <w:bCs/>
          <w:color w:val="auto"/>
          <w:sz w:val="18"/>
          <w:szCs w:val="18"/>
          <w:highlight w:val="none"/>
        </w:rPr>
        <w:t>供应商地址：</w:t>
      </w:r>
    </w:p>
    <w:p w14:paraId="2F173C21">
      <w:pPr>
        <w:pStyle w:val="7"/>
        <w:snapToGrid w:val="0"/>
        <w:spacing w:before="50" w:after="50" w:line="360" w:lineRule="exact"/>
        <w:ind w:firstLine="720" w:firstLineChars="400"/>
        <w:rPr>
          <w:bCs/>
          <w:color w:val="auto"/>
          <w:sz w:val="18"/>
          <w:szCs w:val="18"/>
          <w:highlight w:val="none"/>
        </w:rPr>
      </w:pPr>
    </w:p>
    <w:p w14:paraId="296A8FF6">
      <w:pPr>
        <w:snapToGrid w:val="0"/>
        <w:spacing w:before="120" w:beforeLines="50" w:after="50" w:line="360" w:lineRule="exact"/>
        <w:jc w:val="center"/>
        <w:rPr>
          <w:color w:val="auto"/>
          <w:sz w:val="18"/>
          <w:szCs w:val="18"/>
          <w:highlight w:val="none"/>
        </w:rPr>
      </w:pPr>
      <w:r>
        <w:rPr>
          <w:color w:val="auto"/>
          <w:sz w:val="18"/>
          <w:szCs w:val="18"/>
          <w:highlight w:val="none"/>
        </w:rPr>
        <w:t xml:space="preserve">                        年  月  日</w:t>
      </w:r>
    </w:p>
    <w:p w14:paraId="78219F43">
      <w:pPr>
        <w:snapToGrid w:val="0"/>
        <w:spacing w:before="120" w:beforeLines="50" w:after="50" w:line="440" w:lineRule="exact"/>
        <w:jc w:val="center"/>
        <w:outlineLvl w:val="1"/>
        <w:rPr>
          <w:b/>
          <w:bCs/>
          <w:color w:val="auto"/>
          <w:sz w:val="18"/>
          <w:szCs w:val="18"/>
          <w:highlight w:val="none"/>
        </w:rPr>
      </w:pPr>
      <w:bookmarkStart w:id="1086" w:name="_Toc254970698"/>
      <w:bookmarkStart w:id="1087" w:name="_Toc254970557"/>
      <w:r>
        <w:rPr>
          <w:color w:val="auto"/>
          <w:sz w:val="18"/>
          <w:szCs w:val="18"/>
          <w:highlight w:val="none"/>
        </w:rPr>
        <w:br w:type="page"/>
      </w:r>
      <w:bookmarkEnd w:id="1086"/>
      <w:bookmarkEnd w:id="1087"/>
    </w:p>
    <w:p w14:paraId="3CE7D7CF">
      <w:pPr>
        <w:snapToGrid w:val="0"/>
        <w:spacing w:before="120" w:beforeLines="50" w:after="50" w:line="440" w:lineRule="exact"/>
        <w:jc w:val="center"/>
        <w:rPr>
          <w:color w:val="auto"/>
          <w:sz w:val="18"/>
          <w:szCs w:val="18"/>
          <w:highlight w:val="none"/>
        </w:rPr>
      </w:pPr>
    </w:p>
    <w:p w14:paraId="254EED74">
      <w:pPr>
        <w:snapToGrid w:val="0"/>
        <w:spacing w:before="50" w:after="50" w:line="440" w:lineRule="exact"/>
        <w:ind w:firstLine="89" w:firstLineChars="49"/>
        <w:jc w:val="center"/>
        <w:rPr>
          <w:b/>
          <w:color w:val="auto"/>
          <w:sz w:val="18"/>
          <w:szCs w:val="18"/>
          <w:highlight w:val="none"/>
        </w:rPr>
      </w:pPr>
      <w:r>
        <w:rPr>
          <w:b/>
          <w:color w:val="auto"/>
          <w:sz w:val="18"/>
          <w:szCs w:val="18"/>
          <w:highlight w:val="none"/>
        </w:rPr>
        <w:t>目录</w:t>
      </w:r>
    </w:p>
    <w:p w14:paraId="5FF83908">
      <w:pPr>
        <w:snapToGrid w:val="0"/>
        <w:spacing w:before="50" w:after="50" w:line="440" w:lineRule="exact"/>
        <w:ind w:firstLine="89" w:firstLineChars="49"/>
        <w:jc w:val="center"/>
        <w:rPr>
          <w:b/>
          <w:color w:val="auto"/>
          <w:sz w:val="18"/>
          <w:szCs w:val="18"/>
          <w:highlight w:val="none"/>
        </w:rPr>
      </w:pPr>
      <w:r>
        <w:rPr>
          <w:b/>
          <w:color w:val="auto"/>
          <w:sz w:val="18"/>
          <w:szCs w:val="18"/>
          <w:highlight w:val="none"/>
        </w:rPr>
        <w:t>（</w:t>
      </w:r>
      <w:bookmarkStart w:id="1088" w:name="_Hlk89190735"/>
      <w:r>
        <w:rPr>
          <w:b/>
          <w:color w:val="auto"/>
          <w:sz w:val="18"/>
          <w:szCs w:val="18"/>
          <w:highlight w:val="none"/>
        </w:rPr>
        <w:t>需</w:t>
      </w:r>
      <w:bookmarkEnd w:id="1088"/>
      <w:r>
        <w:rPr>
          <w:b/>
          <w:color w:val="auto"/>
          <w:sz w:val="18"/>
          <w:szCs w:val="18"/>
          <w:highlight w:val="none"/>
        </w:rPr>
        <w:t>有页码）</w:t>
      </w:r>
    </w:p>
    <w:p w14:paraId="50B0C318">
      <w:pPr>
        <w:snapToGrid w:val="0"/>
        <w:spacing w:before="50" w:after="50" w:line="440" w:lineRule="exact"/>
        <w:ind w:firstLine="89" w:firstLineChars="49"/>
        <w:jc w:val="center"/>
        <w:rPr>
          <w:b/>
          <w:color w:val="auto"/>
          <w:sz w:val="18"/>
          <w:szCs w:val="18"/>
          <w:highlight w:val="none"/>
        </w:rPr>
      </w:pPr>
      <w:r>
        <w:rPr>
          <w:b/>
          <w:color w:val="auto"/>
          <w:sz w:val="18"/>
          <w:szCs w:val="18"/>
          <w:highlight w:val="none"/>
        </w:rPr>
        <w:br w:type="page"/>
      </w:r>
    </w:p>
    <w:p w14:paraId="28394BBC">
      <w:pPr>
        <w:snapToGrid w:val="0"/>
        <w:spacing w:before="120" w:beforeLines="50" w:after="50" w:line="440" w:lineRule="exact"/>
        <w:jc w:val="center"/>
        <w:outlineLvl w:val="1"/>
        <w:rPr>
          <w:bCs/>
          <w:color w:val="auto"/>
          <w:sz w:val="18"/>
          <w:szCs w:val="18"/>
          <w:highlight w:val="none"/>
        </w:rPr>
      </w:pPr>
      <w:r>
        <w:rPr>
          <w:bCs/>
          <w:color w:val="auto"/>
          <w:sz w:val="18"/>
          <w:szCs w:val="18"/>
          <w:highlight w:val="none"/>
        </w:rPr>
        <w:t>第</w:t>
      </w:r>
      <w:r>
        <w:rPr>
          <w:rFonts w:hint="eastAsia"/>
          <w:bCs/>
          <w:color w:val="auto"/>
          <w:sz w:val="18"/>
          <w:szCs w:val="18"/>
          <w:highlight w:val="none"/>
        </w:rPr>
        <w:t>一</w:t>
      </w:r>
      <w:r>
        <w:rPr>
          <w:bCs/>
          <w:color w:val="auto"/>
          <w:sz w:val="18"/>
          <w:szCs w:val="18"/>
          <w:highlight w:val="none"/>
        </w:rPr>
        <w:t xml:space="preserve">部分 </w:t>
      </w:r>
      <w:bookmarkStart w:id="1089" w:name="_Hlk89190743"/>
      <w:r>
        <w:rPr>
          <w:bCs/>
          <w:color w:val="auto"/>
          <w:sz w:val="18"/>
          <w:szCs w:val="18"/>
          <w:highlight w:val="none"/>
        </w:rPr>
        <w:t>资格</w:t>
      </w:r>
      <w:r>
        <w:rPr>
          <w:rFonts w:hint="eastAsia"/>
          <w:bCs/>
          <w:color w:val="auto"/>
          <w:sz w:val="18"/>
          <w:szCs w:val="18"/>
          <w:highlight w:val="none"/>
        </w:rPr>
        <w:t>证明</w:t>
      </w:r>
      <w:r>
        <w:rPr>
          <w:bCs/>
          <w:color w:val="auto"/>
          <w:sz w:val="18"/>
          <w:szCs w:val="18"/>
          <w:highlight w:val="none"/>
        </w:rPr>
        <w:t>文件</w:t>
      </w:r>
      <w:bookmarkEnd w:id="1089"/>
    </w:p>
    <w:p w14:paraId="391B20DF">
      <w:pPr>
        <w:snapToGrid w:val="0"/>
        <w:spacing w:before="50" w:after="50" w:line="440" w:lineRule="exact"/>
        <w:ind w:firstLine="89" w:firstLineChars="49"/>
        <w:jc w:val="center"/>
        <w:rPr>
          <w:rStyle w:val="64"/>
          <w:rFonts w:ascii="Times New Roman" w:hAnsi="Times New Roman" w:eastAsia="宋体"/>
          <w:color w:val="auto"/>
          <w:sz w:val="18"/>
          <w:szCs w:val="18"/>
          <w:highlight w:val="none"/>
        </w:rPr>
      </w:pPr>
    </w:p>
    <w:p w14:paraId="60C8DFFB">
      <w:pPr>
        <w:snapToGrid w:val="0"/>
        <w:spacing w:before="50" w:after="120" w:afterLines="50" w:line="400" w:lineRule="exact"/>
        <w:jc w:val="left"/>
        <w:rPr>
          <w:b/>
          <w:color w:val="auto"/>
          <w:sz w:val="18"/>
          <w:szCs w:val="18"/>
          <w:highlight w:val="none"/>
        </w:rPr>
      </w:pPr>
      <w:r>
        <w:rPr>
          <w:rFonts w:hint="eastAsia"/>
          <w:b/>
          <w:color w:val="auto"/>
          <w:sz w:val="18"/>
          <w:szCs w:val="18"/>
          <w:highlight w:val="none"/>
        </w:rPr>
        <w:t>1</w:t>
      </w:r>
      <w:r>
        <w:rPr>
          <w:b/>
          <w:color w:val="auto"/>
          <w:sz w:val="18"/>
          <w:szCs w:val="18"/>
          <w:highlight w:val="none"/>
        </w:rPr>
        <w:t>．响应声明书格式：</w:t>
      </w:r>
    </w:p>
    <w:p w14:paraId="15457947">
      <w:pPr>
        <w:snapToGrid w:val="0"/>
        <w:spacing w:before="120" w:beforeLines="50" w:after="50" w:line="360" w:lineRule="exact"/>
        <w:jc w:val="center"/>
        <w:rPr>
          <w:b/>
          <w:color w:val="auto"/>
          <w:sz w:val="18"/>
          <w:szCs w:val="18"/>
          <w:highlight w:val="none"/>
        </w:rPr>
      </w:pPr>
      <w:r>
        <w:rPr>
          <w:b/>
          <w:color w:val="auto"/>
          <w:sz w:val="18"/>
          <w:szCs w:val="18"/>
          <w:highlight w:val="none"/>
        </w:rPr>
        <w:t>响应声明书</w:t>
      </w:r>
    </w:p>
    <w:p w14:paraId="254A4B26">
      <w:pPr>
        <w:snapToGrid w:val="0"/>
        <w:spacing w:before="120" w:beforeLines="50" w:after="50" w:line="360" w:lineRule="exact"/>
        <w:jc w:val="center"/>
        <w:rPr>
          <w:color w:val="auto"/>
          <w:sz w:val="18"/>
          <w:szCs w:val="18"/>
          <w:highlight w:val="none"/>
        </w:rPr>
      </w:pPr>
    </w:p>
    <w:p w14:paraId="2E31A6AE">
      <w:pPr>
        <w:snapToGrid w:val="0"/>
        <w:spacing w:before="120" w:beforeLines="50" w:after="50" w:line="360" w:lineRule="exact"/>
        <w:rPr>
          <w:color w:val="auto"/>
          <w:sz w:val="18"/>
          <w:szCs w:val="18"/>
          <w:highlight w:val="none"/>
        </w:rPr>
      </w:pPr>
      <w:r>
        <w:rPr>
          <w:color w:val="auto"/>
          <w:sz w:val="18"/>
          <w:szCs w:val="18"/>
          <w:highlight w:val="none"/>
        </w:rPr>
        <w:t>致：</w:t>
      </w:r>
      <w:r>
        <w:rPr>
          <w:i/>
          <w:iCs/>
          <w:color w:val="auto"/>
          <w:sz w:val="18"/>
          <w:szCs w:val="18"/>
          <w:highlight w:val="none"/>
          <w:u w:val="single"/>
        </w:rPr>
        <w:t>（采购</w:t>
      </w:r>
      <w:r>
        <w:rPr>
          <w:rFonts w:hint="eastAsia"/>
          <w:i/>
          <w:iCs/>
          <w:color w:val="auto"/>
          <w:sz w:val="18"/>
          <w:szCs w:val="18"/>
          <w:highlight w:val="none"/>
          <w:u w:val="single"/>
        </w:rPr>
        <w:t>人</w:t>
      </w:r>
      <w:r>
        <w:rPr>
          <w:i/>
          <w:iCs/>
          <w:color w:val="auto"/>
          <w:sz w:val="18"/>
          <w:szCs w:val="18"/>
          <w:highlight w:val="none"/>
          <w:u w:val="single"/>
        </w:rPr>
        <w:t>名称）</w:t>
      </w:r>
      <w:r>
        <w:rPr>
          <w:color w:val="auto"/>
          <w:sz w:val="18"/>
          <w:szCs w:val="18"/>
          <w:highlight w:val="none"/>
        </w:rPr>
        <w:t>：：</w:t>
      </w:r>
    </w:p>
    <w:p w14:paraId="41D42BB1">
      <w:pPr>
        <w:snapToGrid w:val="0"/>
        <w:spacing w:before="120" w:beforeLines="50" w:after="50" w:line="360" w:lineRule="exact"/>
        <w:ind w:firstLine="540" w:firstLineChars="300"/>
        <w:rPr>
          <w:color w:val="auto"/>
          <w:sz w:val="18"/>
          <w:szCs w:val="18"/>
          <w:highlight w:val="none"/>
        </w:rPr>
      </w:pPr>
      <w:r>
        <w:rPr>
          <w:i/>
          <w:iCs/>
          <w:color w:val="auto"/>
          <w:sz w:val="18"/>
          <w:szCs w:val="18"/>
          <w:highlight w:val="none"/>
          <w:u w:val="single"/>
        </w:rPr>
        <w:t>（供应商名称）</w:t>
      </w:r>
      <w:r>
        <w:rPr>
          <w:color w:val="auto"/>
          <w:sz w:val="18"/>
          <w:szCs w:val="18"/>
          <w:highlight w:val="none"/>
        </w:rPr>
        <w:t>系中华人民共和国合法企业，</w:t>
      </w:r>
      <w:r>
        <w:rPr>
          <w:rFonts w:hint="eastAsia"/>
          <w:color w:val="auto"/>
          <w:sz w:val="18"/>
          <w:szCs w:val="18"/>
          <w:highlight w:val="none"/>
          <w:u w:val="single"/>
        </w:rPr>
        <w:t xml:space="preserve"> </w:t>
      </w:r>
      <w:r>
        <w:rPr>
          <w:i/>
          <w:iCs/>
          <w:color w:val="auto"/>
          <w:sz w:val="18"/>
          <w:szCs w:val="18"/>
          <w:highlight w:val="none"/>
          <w:u w:val="single"/>
        </w:rPr>
        <w:t xml:space="preserve"> </w:t>
      </w:r>
      <w:r>
        <w:rPr>
          <w:rFonts w:hint="eastAsia"/>
          <w:i/>
          <w:iCs/>
          <w:color w:val="auto"/>
          <w:sz w:val="18"/>
          <w:szCs w:val="18"/>
          <w:highlight w:val="none"/>
          <w:u w:val="single"/>
        </w:rPr>
        <w:t>（</w:t>
      </w:r>
      <w:r>
        <w:rPr>
          <w:i/>
          <w:iCs/>
          <w:color w:val="auto"/>
          <w:sz w:val="18"/>
          <w:szCs w:val="18"/>
          <w:highlight w:val="none"/>
          <w:u w:val="single"/>
        </w:rPr>
        <w:t>经营地址</w:t>
      </w:r>
      <w:r>
        <w:rPr>
          <w:rFonts w:hint="eastAsia"/>
          <w:i/>
          <w:iCs/>
          <w:color w:val="auto"/>
          <w:sz w:val="18"/>
          <w:szCs w:val="18"/>
          <w:highlight w:val="none"/>
          <w:u w:val="single"/>
        </w:rPr>
        <w:t xml:space="preserve">） </w:t>
      </w:r>
      <w:r>
        <w:rPr>
          <w:i/>
          <w:iCs/>
          <w:color w:val="auto"/>
          <w:sz w:val="18"/>
          <w:szCs w:val="18"/>
          <w:highlight w:val="none"/>
          <w:u w:val="single"/>
        </w:rPr>
        <w:t xml:space="preserve"> </w:t>
      </w:r>
      <w:r>
        <w:rPr>
          <w:color w:val="auto"/>
          <w:sz w:val="18"/>
          <w:szCs w:val="18"/>
          <w:highlight w:val="none"/>
          <w:u w:val="single"/>
        </w:rPr>
        <w:t xml:space="preserve"> </w:t>
      </w:r>
      <w:r>
        <w:rPr>
          <w:color w:val="auto"/>
          <w:sz w:val="18"/>
          <w:szCs w:val="18"/>
          <w:highlight w:val="none"/>
        </w:rPr>
        <w:t>。</w:t>
      </w:r>
    </w:p>
    <w:p w14:paraId="039CEDE9">
      <w:pPr>
        <w:snapToGrid w:val="0"/>
        <w:spacing w:before="120" w:beforeLines="50" w:after="50" w:line="360" w:lineRule="exact"/>
        <w:ind w:firstLine="645"/>
        <w:rPr>
          <w:color w:val="auto"/>
          <w:sz w:val="18"/>
          <w:szCs w:val="18"/>
          <w:highlight w:val="none"/>
        </w:rPr>
      </w:pPr>
      <w:r>
        <w:rPr>
          <w:color w:val="auto"/>
          <w:sz w:val="18"/>
          <w:szCs w:val="18"/>
          <w:highlight w:val="none"/>
        </w:rPr>
        <w:t>我</w:t>
      </w:r>
      <w:r>
        <w:rPr>
          <w:i/>
          <w:iCs/>
          <w:color w:val="auto"/>
          <w:sz w:val="18"/>
          <w:szCs w:val="18"/>
          <w:highlight w:val="none"/>
          <w:u w:val="single"/>
        </w:rPr>
        <w:t>（姓名）</w:t>
      </w:r>
      <w:r>
        <w:rPr>
          <w:rFonts w:hint="eastAsia"/>
          <w:i/>
          <w:iCs/>
          <w:color w:val="auto"/>
          <w:sz w:val="18"/>
          <w:szCs w:val="18"/>
          <w:highlight w:val="none"/>
          <w:u w:val="single"/>
        </w:rPr>
        <w:t xml:space="preserve"> </w:t>
      </w:r>
      <w:r>
        <w:rPr>
          <w:color w:val="auto"/>
          <w:sz w:val="18"/>
          <w:szCs w:val="18"/>
          <w:highlight w:val="none"/>
        </w:rPr>
        <w:t>系</w:t>
      </w:r>
      <w:r>
        <w:rPr>
          <w:i/>
          <w:iCs/>
          <w:color w:val="auto"/>
          <w:sz w:val="18"/>
          <w:szCs w:val="18"/>
          <w:highlight w:val="none"/>
          <w:u w:val="single"/>
        </w:rPr>
        <w:t>（供应商名称）</w:t>
      </w:r>
      <w:r>
        <w:rPr>
          <w:color w:val="auto"/>
          <w:sz w:val="18"/>
          <w:szCs w:val="18"/>
          <w:highlight w:val="none"/>
        </w:rPr>
        <w:t>的法定代表人，我方愿意参加贵方组织的</w:t>
      </w:r>
      <w:r>
        <w:rPr>
          <w:rFonts w:hint="eastAsia"/>
          <w:i/>
          <w:iCs/>
          <w:color w:val="auto"/>
          <w:sz w:val="18"/>
          <w:szCs w:val="18"/>
          <w:highlight w:val="none"/>
          <w:u w:val="single"/>
        </w:rPr>
        <w:t xml:space="preserve">（项目名称） </w:t>
      </w:r>
      <w:r>
        <w:rPr>
          <w:color w:val="auto"/>
          <w:sz w:val="18"/>
          <w:szCs w:val="18"/>
          <w:highlight w:val="none"/>
        </w:rPr>
        <w:t>项目的磋商，为便于贵方公正、择优地确定成交供应商及其响应内容，我方就本次磋商有关事项郑重声明如下：</w:t>
      </w:r>
    </w:p>
    <w:p w14:paraId="365FB77F">
      <w:pPr>
        <w:snapToGrid w:val="0"/>
        <w:spacing w:before="120" w:beforeLines="50" w:line="360" w:lineRule="exact"/>
        <w:ind w:firstLine="360" w:firstLineChars="200"/>
        <w:rPr>
          <w:color w:val="auto"/>
          <w:sz w:val="18"/>
          <w:szCs w:val="18"/>
          <w:highlight w:val="none"/>
        </w:rPr>
      </w:pPr>
      <w:r>
        <w:rPr>
          <w:color w:val="auto"/>
          <w:sz w:val="18"/>
          <w:szCs w:val="18"/>
          <w:highlight w:val="none"/>
        </w:rPr>
        <w:t>（1）我方向贵方提交的所有响应文件、资料都是准确的和真实的。</w:t>
      </w:r>
    </w:p>
    <w:p w14:paraId="110F514A">
      <w:pPr>
        <w:snapToGrid w:val="0"/>
        <w:spacing w:before="120" w:beforeLines="50" w:line="360" w:lineRule="exact"/>
        <w:ind w:firstLine="360" w:firstLineChars="200"/>
        <w:rPr>
          <w:color w:val="auto"/>
          <w:sz w:val="18"/>
          <w:szCs w:val="18"/>
          <w:highlight w:val="none"/>
        </w:rPr>
      </w:pPr>
      <w:r>
        <w:rPr>
          <w:color w:val="auto"/>
          <w:sz w:val="18"/>
          <w:szCs w:val="18"/>
          <w:highlight w:val="none"/>
        </w:rPr>
        <w:t>（2）我方不是采购人的附属机构；也不是为本项目提供整体设计、规范编制或者项目管理、监理、检测等服务的供应商或其附属机构。</w:t>
      </w:r>
    </w:p>
    <w:p w14:paraId="13AE48AC">
      <w:pPr>
        <w:snapToGrid w:val="0"/>
        <w:spacing w:before="120" w:beforeLines="50" w:line="360" w:lineRule="exact"/>
        <w:ind w:firstLine="360" w:firstLineChars="200"/>
        <w:rPr>
          <w:color w:val="auto"/>
          <w:sz w:val="18"/>
          <w:szCs w:val="18"/>
          <w:highlight w:val="none"/>
        </w:rPr>
      </w:pPr>
      <w:r>
        <w:rPr>
          <w:color w:val="auto"/>
          <w:sz w:val="18"/>
          <w:szCs w:val="18"/>
          <w:highlight w:val="none"/>
        </w:rPr>
        <w:t>（3） 我方承诺在参加本政府采购项目活动前，没有被纳入政府部门或银行认定的失信名单，我方具有良好的商业信誉。</w:t>
      </w:r>
    </w:p>
    <w:p w14:paraId="20269839">
      <w:pPr>
        <w:spacing w:line="300" w:lineRule="exact"/>
        <w:ind w:firstLine="360" w:firstLineChars="200"/>
        <w:jc w:val="left"/>
        <w:rPr>
          <w:color w:val="auto"/>
          <w:sz w:val="18"/>
          <w:szCs w:val="18"/>
          <w:highlight w:val="none"/>
        </w:rPr>
      </w:pPr>
      <w:r>
        <w:rPr>
          <w:color w:val="auto"/>
          <w:sz w:val="18"/>
          <w:szCs w:val="18"/>
          <w:highlight w:val="none"/>
        </w:rPr>
        <w:t>（4）我方及本人承诺在参加本政府采购项目活动前三年内，在经营活动中没有重大违法记录。重大违法记录是指供应商因违法经营受到刑事处罚或者责令停产停业、吊销许可证或者执照、较大数额罚款等行政处罚。如我方提供的声明不实，则自愿承担《政府采购法》有关提供虚假材料的规定给予的处罚。</w:t>
      </w:r>
    </w:p>
    <w:p w14:paraId="03AA7CDB">
      <w:pPr>
        <w:snapToGrid w:val="0"/>
        <w:spacing w:before="120" w:beforeLines="50" w:line="360" w:lineRule="exact"/>
        <w:ind w:firstLine="360" w:firstLineChars="200"/>
        <w:rPr>
          <w:color w:val="auto"/>
          <w:sz w:val="18"/>
          <w:szCs w:val="18"/>
          <w:highlight w:val="none"/>
          <w:lang w:val="zh-CN"/>
        </w:rPr>
      </w:pPr>
      <w:r>
        <w:rPr>
          <w:color w:val="auto"/>
          <w:sz w:val="18"/>
          <w:szCs w:val="18"/>
          <w:highlight w:val="none"/>
        </w:rPr>
        <w:t>（5）</w:t>
      </w:r>
      <w:r>
        <w:rPr>
          <w:color w:val="auto"/>
          <w:sz w:val="18"/>
          <w:szCs w:val="18"/>
          <w:highlight w:val="none"/>
          <w:lang w:val="zh-CN"/>
        </w:rPr>
        <w:t>我方</w:t>
      </w:r>
      <w:r>
        <w:rPr>
          <w:color w:val="auto"/>
          <w:sz w:val="18"/>
          <w:szCs w:val="18"/>
          <w:highlight w:val="none"/>
        </w:rPr>
        <w:t>承诺</w:t>
      </w:r>
      <w:r>
        <w:rPr>
          <w:color w:val="auto"/>
          <w:sz w:val="18"/>
          <w:szCs w:val="18"/>
          <w:highlight w:val="none"/>
          <w:lang w:val="zh-CN"/>
        </w:rPr>
        <w:t>具有履行本项目合同所必需的设备和专业技术能力。</w:t>
      </w:r>
    </w:p>
    <w:p w14:paraId="3E848F3D">
      <w:pPr>
        <w:snapToGrid w:val="0"/>
        <w:spacing w:before="120" w:beforeLines="50" w:line="360" w:lineRule="exact"/>
        <w:ind w:firstLine="360" w:firstLineChars="200"/>
        <w:rPr>
          <w:color w:val="auto"/>
          <w:sz w:val="18"/>
          <w:szCs w:val="18"/>
          <w:highlight w:val="none"/>
        </w:rPr>
      </w:pPr>
      <w:r>
        <w:rPr>
          <w:rFonts w:hint="eastAsia"/>
          <w:color w:val="auto"/>
          <w:sz w:val="18"/>
          <w:szCs w:val="18"/>
          <w:highlight w:val="none"/>
        </w:rPr>
        <w:t>（6）我方承诺</w:t>
      </w:r>
      <w:r>
        <w:rPr>
          <w:color w:val="auto"/>
          <w:sz w:val="18"/>
          <w:szCs w:val="18"/>
          <w:highlight w:val="none"/>
        </w:rPr>
        <w:t>未被列入失信被执行人、</w:t>
      </w:r>
      <w:r>
        <w:rPr>
          <w:color w:val="auto"/>
          <w:kern w:val="0"/>
          <w:sz w:val="18"/>
          <w:szCs w:val="18"/>
          <w:highlight w:val="none"/>
        </w:rPr>
        <w:t>重大税收违法失信主体</w:t>
      </w:r>
      <w:r>
        <w:rPr>
          <w:color w:val="auto"/>
          <w:sz w:val="18"/>
          <w:szCs w:val="18"/>
          <w:highlight w:val="none"/>
        </w:rPr>
        <w:t>、政府采购严重违法失信行为记录名单</w:t>
      </w:r>
      <w:r>
        <w:rPr>
          <w:rFonts w:hint="eastAsia"/>
          <w:color w:val="auto"/>
          <w:sz w:val="18"/>
          <w:szCs w:val="18"/>
          <w:highlight w:val="none"/>
        </w:rPr>
        <w:t>，如我方提供的声明不实，则接受本次响应作为响应无效的处理，</w:t>
      </w:r>
      <w:r>
        <w:rPr>
          <w:color w:val="auto"/>
          <w:sz w:val="18"/>
          <w:szCs w:val="18"/>
          <w:highlight w:val="none"/>
        </w:rPr>
        <w:t>并根据财库〔2016〕125号《财政部关于在政府采购活动中查询及使用信用记录有关问题的通知》规定接受失信联合惩戒。</w:t>
      </w:r>
    </w:p>
    <w:p w14:paraId="7E77DB0B">
      <w:pPr>
        <w:snapToGrid w:val="0"/>
        <w:spacing w:before="120" w:beforeLines="50" w:line="360" w:lineRule="exact"/>
        <w:ind w:firstLine="360" w:firstLineChars="200"/>
        <w:rPr>
          <w:color w:val="auto"/>
          <w:sz w:val="18"/>
          <w:szCs w:val="18"/>
          <w:highlight w:val="none"/>
        </w:rPr>
      </w:pPr>
      <w:r>
        <w:rPr>
          <w:rFonts w:hint="eastAsia"/>
          <w:color w:val="auto"/>
          <w:sz w:val="18"/>
          <w:szCs w:val="18"/>
          <w:highlight w:val="none"/>
        </w:rPr>
        <w:t>（7）我方承诺成交后按</w:t>
      </w:r>
      <w:r>
        <w:rPr>
          <w:color w:val="auto"/>
          <w:sz w:val="18"/>
          <w:szCs w:val="18"/>
          <w:highlight w:val="none"/>
        </w:rPr>
        <w:t>规定缴纳代理服务费</w:t>
      </w:r>
      <w:r>
        <w:rPr>
          <w:rFonts w:hint="eastAsia"/>
          <w:color w:val="auto"/>
          <w:sz w:val="18"/>
          <w:szCs w:val="18"/>
          <w:highlight w:val="none"/>
        </w:rPr>
        <w:t>。如未按时缴纳，</w:t>
      </w:r>
      <w:r>
        <w:rPr>
          <w:color w:val="auto"/>
          <w:sz w:val="18"/>
          <w:szCs w:val="18"/>
          <w:highlight w:val="none"/>
        </w:rPr>
        <w:t>贵方可</w:t>
      </w:r>
      <w:r>
        <w:rPr>
          <w:rFonts w:hint="eastAsia"/>
          <w:color w:val="auto"/>
          <w:sz w:val="18"/>
          <w:szCs w:val="18"/>
          <w:highlight w:val="none"/>
        </w:rPr>
        <w:t>不退还</w:t>
      </w:r>
      <w:r>
        <w:rPr>
          <w:color w:val="auto"/>
          <w:sz w:val="18"/>
          <w:szCs w:val="18"/>
          <w:highlight w:val="none"/>
        </w:rPr>
        <w:t>我</w:t>
      </w:r>
      <w:r>
        <w:rPr>
          <w:rFonts w:hint="eastAsia"/>
          <w:color w:val="auto"/>
          <w:sz w:val="18"/>
          <w:szCs w:val="18"/>
          <w:highlight w:val="none"/>
        </w:rPr>
        <w:t>方</w:t>
      </w:r>
      <w:r>
        <w:rPr>
          <w:color w:val="auto"/>
          <w:sz w:val="18"/>
          <w:szCs w:val="18"/>
          <w:highlight w:val="none"/>
        </w:rPr>
        <w:t>提交的</w:t>
      </w:r>
      <w:r>
        <w:rPr>
          <w:rFonts w:hint="eastAsia"/>
          <w:color w:val="auto"/>
          <w:sz w:val="18"/>
          <w:szCs w:val="18"/>
          <w:highlight w:val="none"/>
        </w:rPr>
        <w:t>磋商</w:t>
      </w:r>
      <w:r>
        <w:rPr>
          <w:color w:val="auto"/>
          <w:sz w:val="18"/>
          <w:szCs w:val="18"/>
          <w:highlight w:val="none"/>
        </w:rPr>
        <w:t>保证金</w:t>
      </w:r>
      <w:r>
        <w:rPr>
          <w:rFonts w:hint="eastAsia"/>
          <w:color w:val="auto"/>
          <w:sz w:val="18"/>
          <w:szCs w:val="18"/>
          <w:highlight w:val="none"/>
        </w:rPr>
        <w:t>，并从中</w:t>
      </w:r>
      <w:r>
        <w:rPr>
          <w:color w:val="auto"/>
          <w:sz w:val="18"/>
          <w:szCs w:val="18"/>
          <w:highlight w:val="none"/>
        </w:rPr>
        <w:t>扣除</w:t>
      </w:r>
      <w:r>
        <w:rPr>
          <w:rFonts w:hint="eastAsia"/>
          <w:color w:val="auto"/>
          <w:sz w:val="18"/>
          <w:szCs w:val="18"/>
          <w:highlight w:val="none"/>
        </w:rPr>
        <w:t>代理服务费。</w:t>
      </w:r>
    </w:p>
    <w:p w14:paraId="571B2490">
      <w:pPr>
        <w:snapToGrid w:val="0"/>
        <w:spacing w:before="120" w:beforeLines="50" w:line="360" w:lineRule="exact"/>
        <w:ind w:firstLine="360" w:firstLineChars="200"/>
        <w:rPr>
          <w:color w:val="auto"/>
          <w:sz w:val="18"/>
          <w:szCs w:val="18"/>
          <w:highlight w:val="none"/>
        </w:rPr>
      </w:pPr>
      <w:r>
        <w:rPr>
          <w:color w:val="auto"/>
          <w:sz w:val="18"/>
          <w:szCs w:val="18"/>
          <w:highlight w:val="none"/>
        </w:rPr>
        <w:t>我方对以上声明负全部法律责任。如有虚假或隐瞒，我方愿意承担一切后果，并不再寻求任何旨在减轻或免除法律责任的辩解。</w:t>
      </w:r>
    </w:p>
    <w:p w14:paraId="475693FC">
      <w:pPr>
        <w:snapToGrid w:val="0"/>
        <w:spacing w:before="120" w:beforeLines="50" w:line="360" w:lineRule="exact"/>
        <w:ind w:firstLine="360" w:firstLineChars="200"/>
        <w:rPr>
          <w:color w:val="auto"/>
          <w:sz w:val="18"/>
          <w:szCs w:val="18"/>
          <w:highlight w:val="none"/>
        </w:rPr>
      </w:pPr>
    </w:p>
    <w:p w14:paraId="5F78050F">
      <w:pPr>
        <w:snapToGrid w:val="0"/>
        <w:spacing w:before="120" w:beforeLines="50" w:after="50" w:line="360" w:lineRule="exact"/>
        <w:ind w:firstLine="3060" w:firstLineChars="1700"/>
        <w:rPr>
          <w:color w:val="auto"/>
          <w:sz w:val="18"/>
          <w:szCs w:val="18"/>
          <w:highlight w:val="none"/>
        </w:rPr>
      </w:pPr>
      <w:bookmarkStart w:id="1090" w:name="_Hlk89190765"/>
      <w:r>
        <w:rPr>
          <w:color w:val="auto"/>
          <w:sz w:val="18"/>
          <w:szCs w:val="18"/>
          <w:highlight w:val="none"/>
        </w:rPr>
        <w:t>供应商</w:t>
      </w:r>
      <w:r>
        <w:rPr>
          <w:rFonts w:hint="eastAsia"/>
          <w:color w:val="auto"/>
          <w:sz w:val="18"/>
          <w:szCs w:val="18"/>
          <w:highlight w:val="none"/>
        </w:rPr>
        <w:t>名称（电子签章）</w:t>
      </w:r>
      <w:bookmarkEnd w:id="1090"/>
      <w:r>
        <w:rPr>
          <w:color w:val="auto"/>
          <w:sz w:val="18"/>
          <w:szCs w:val="18"/>
          <w:highlight w:val="none"/>
        </w:rPr>
        <w:t>：</w:t>
      </w:r>
      <w:r>
        <w:rPr>
          <w:color w:val="auto"/>
          <w:sz w:val="18"/>
          <w:szCs w:val="18"/>
          <w:highlight w:val="none"/>
          <w:u w:val="single"/>
        </w:rPr>
        <w:t xml:space="preserve">                </w:t>
      </w:r>
    </w:p>
    <w:p w14:paraId="1A66FA7A">
      <w:pPr>
        <w:snapToGrid w:val="0"/>
        <w:spacing w:before="120" w:beforeLines="50" w:after="50" w:line="360" w:lineRule="exact"/>
        <w:ind w:firstLine="180" w:firstLineChars="100"/>
        <w:rPr>
          <w:color w:val="auto"/>
          <w:sz w:val="18"/>
          <w:szCs w:val="18"/>
          <w:highlight w:val="none"/>
        </w:rPr>
      </w:pPr>
      <w:r>
        <w:rPr>
          <w:color w:val="auto"/>
          <w:sz w:val="18"/>
          <w:szCs w:val="18"/>
          <w:highlight w:val="none"/>
        </w:rPr>
        <w:t xml:space="preserve">                                          年    月    日</w:t>
      </w:r>
    </w:p>
    <w:p w14:paraId="7BA3CE9E">
      <w:pPr>
        <w:spacing w:line="360" w:lineRule="auto"/>
        <w:rPr>
          <w:color w:val="auto"/>
          <w:sz w:val="18"/>
          <w:szCs w:val="18"/>
          <w:highlight w:val="none"/>
        </w:rPr>
      </w:pPr>
      <w:r>
        <w:rPr>
          <w:color w:val="auto"/>
          <w:sz w:val="18"/>
          <w:szCs w:val="18"/>
          <w:highlight w:val="none"/>
        </w:rPr>
        <w:br w:type="page"/>
      </w:r>
      <w:r>
        <w:rPr>
          <w:rFonts w:hint="eastAsia"/>
          <w:color w:val="auto"/>
          <w:sz w:val="18"/>
          <w:szCs w:val="18"/>
          <w:highlight w:val="none"/>
        </w:rPr>
        <w:t>2</w:t>
      </w:r>
      <w:r>
        <w:rPr>
          <w:color w:val="auto"/>
          <w:sz w:val="18"/>
          <w:szCs w:val="18"/>
          <w:highlight w:val="none"/>
        </w:rPr>
        <w:t>．法人或者其他组织的营业执照等证明文件。即供应商是企业则提供营业执照（副本）</w:t>
      </w:r>
      <w:r>
        <w:rPr>
          <w:rFonts w:hint="eastAsia"/>
          <w:color w:val="auto"/>
          <w:sz w:val="18"/>
          <w:szCs w:val="18"/>
          <w:highlight w:val="none"/>
        </w:rPr>
        <w:t>扫描件</w:t>
      </w:r>
      <w:r>
        <w:rPr>
          <w:color w:val="auto"/>
          <w:sz w:val="18"/>
          <w:szCs w:val="18"/>
          <w:highlight w:val="none"/>
        </w:rPr>
        <w:t>；供应商是事业单位，则提供事业单位法人证书（副本）</w:t>
      </w:r>
      <w:r>
        <w:rPr>
          <w:rFonts w:hint="eastAsia"/>
          <w:color w:val="auto"/>
          <w:sz w:val="18"/>
          <w:szCs w:val="18"/>
          <w:highlight w:val="none"/>
        </w:rPr>
        <w:t>扫描件</w:t>
      </w:r>
      <w:r>
        <w:rPr>
          <w:color w:val="auto"/>
          <w:sz w:val="18"/>
          <w:szCs w:val="18"/>
          <w:highlight w:val="none"/>
        </w:rPr>
        <w:t>；供应商是非企业专业服务机构的，则提供执业许可证等证明文件</w:t>
      </w:r>
      <w:r>
        <w:rPr>
          <w:rFonts w:hint="eastAsia"/>
          <w:color w:val="auto"/>
          <w:sz w:val="18"/>
          <w:szCs w:val="18"/>
          <w:highlight w:val="none"/>
        </w:rPr>
        <w:t>扫描件</w:t>
      </w:r>
      <w:r>
        <w:rPr>
          <w:color w:val="auto"/>
          <w:sz w:val="18"/>
          <w:szCs w:val="18"/>
          <w:highlight w:val="none"/>
        </w:rPr>
        <w:t>；如供应商不是以上所列的法人、组织的，则提供国家规定的相关证明材料。</w:t>
      </w:r>
      <w:bookmarkStart w:id="1091" w:name="_Hlk89190828"/>
      <w:r>
        <w:rPr>
          <w:color w:val="auto"/>
          <w:sz w:val="18"/>
          <w:szCs w:val="18"/>
          <w:highlight w:val="none"/>
        </w:rPr>
        <w:t>（加盖供应商</w:t>
      </w:r>
      <w:r>
        <w:rPr>
          <w:rFonts w:hint="eastAsia"/>
          <w:color w:val="auto"/>
          <w:sz w:val="18"/>
          <w:szCs w:val="18"/>
          <w:highlight w:val="none"/>
        </w:rPr>
        <w:t>电子签章</w:t>
      </w:r>
      <w:r>
        <w:rPr>
          <w:color w:val="auto"/>
          <w:sz w:val="18"/>
          <w:szCs w:val="18"/>
          <w:highlight w:val="none"/>
        </w:rPr>
        <w:t>）</w:t>
      </w:r>
      <w:bookmarkEnd w:id="1091"/>
    </w:p>
    <w:p w14:paraId="6D3363B7">
      <w:pPr>
        <w:snapToGrid w:val="0"/>
        <w:spacing w:before="120" w:beforeLines="50" w:after="50" w:line="440" w:lineRule="exact"/>
        <w:rPr>
          <w:rFonts w:hint="eastAsia"/>
          <w:color w:val="auto"/>
          <w:sz w:val="18"/>
          <w:szCs w:val="18"/>
          <w:highlight w:val="none"/>
        </w:rPr>
      </w:pPr>
    </w:p>
    <w:p w14:paraId="1518560E">
      <w:pPr>
        <w:snapToGrid w:val="0"/>
        <w:spacing w:before="120" w:beforeLines="50" w:after="50" w:line="440" w:lineRule="exact"/>
        <w:rPr>
          <w:rFonts w:hint="eastAsia"/>
          <w:color w:val="auto"/>
          <w:sz w:val="18"/>
          <w:szCs w:val="18"/>
          <w:highlight w:val="none"/>
        </w:rPr>
      </w:pPr>
    </w:p>
    <w:p w14:paraId="1C9B4AEC">
      <w:pPr>
        <w:snapToGrid w:val="0"/>
        <w:spacing w:before="120" w:beforeLines="50" w:after="50" w:line="440" w:lineRule="exact"/>
        <w:rPr>
          <w:color w:val="auto"/>
          <w:sz w:val="18"/>
          <w:szCs w:val="18"/>
          <w:highlight w:val="none"/>
        </w:rPr>
      </w:pPr>
      <w:r>
        <w:rPr>
          <w:rFonts w:hint="eastAsia"/>
          <w:color w:val="auto"/>
          <w:sz w:val="18"/>
          <w:szCs w:val="18"/>
          <w:highlight w:val="none"/>
        </w:rPr>
        <w:t>3</w:t>
      </w:r>
      <w:r>
        <w:rPr>
          <w:color w:val="auto"/>
          <w:sz w:val="18"/>
          <w:szCs w:val="18"/>
          <w:highlight w:val="none"/>
        </w:rPr>
        <w:t>．财务状况报告（表）</w:t>
      </w:r>
      <w:r>
        <w:rPr>
          <w:rFonts w:hint="eastAsia"/>
          <w:color w:val="auto"/>
          <w:sz w:val="18"/>
          <w:szCs w:val="18"/>
          <w:highlight w:val="none"/>
        </w:rPr>
        <w:t>扫描件</w:t>
      </w:r>
      <w:r>
        <w:rPr>
          <w:color w:val="auto"/>
          <w:sz w:val="18"/>
          <w:szCs w:val="18"/>
          <w:highlight w:val="none"/>
        </w:rPr>
        <w:t>或银行出具的资信证明</w:t>
      </w:r>
      <w:r>
        <w:rPr>
          <w:rFonts w:hint="eastAsia"/>
          <w:color w:val="auto"/>
          <w:sz w:val="18"/>
          <w:szCs w:val="18"/>
          <w:highlight w:val="none"/>
        </w:rPr>
        <w:t>扫描件</w:t>
      </w:r>
      <w:r>
        <w:rPr>
          <w:color w:val="auto"/>
          <w:sz w:val="18"/>
          <w:szCs w:val="18"/>
          <w:highlight w:val="none"/>
        </w:rPr>
        <w:t>。对于从取得营业执照时间起到截标时间为止不足1年的供应商，只需提交截标时间前一个月的财务状况报告（表）</w:t>
      </w:r>
      <w:r>
        <w:rPr>
          <w:rFonts w:hint="eastAsia"/>
          <w:color w:val="auto"/>
          <w:sz w:val="18"/>
          <w:szCs w:val="18"/>
          <w:highlight w:val="none"/>
        </w:rPr>
        <w:t>扫描件</w:t>
      </w:r>
      <w:r>
        <w:rPr>
          <w:color w:val="auto"/>
          <w:sz w:val="18"/>
          <w:szCs w:val="18"/>
          <w:highlight w:val="none"/>
        </w:rPr>
        <w:t>。（按“评审方法及标准” “资格审查表”规定提供）。</w:t>
      </w:r>
      <w:bookmarkStart w:id="1092" w:name="_Hlk89190839"/>
      <w:r>
        <w:rPr>
          <w:color w:val="auto"/>
          <w:sz w:val="18"/>
          <w:szCs w:val="18"/>
          <w:highlight w:val="none"/>
        </w:rPr>
        <w:t>（加盖供应商</w:t>
      </w:r>
      <w:r>
        <w:rPr>
          <w:rFonts w:hint="eastAsia"/>
          <w:color w:val="auto"/>
          <w:sz w:val="18"/>
          <w:szCs w:val="18"/>
          <w:highlight w:val="none"/>
        </w:rPr>
        <w:t>电子签章</w:t>
      </w:r>
      <w:r>
        <w:rPr>
          <w:color w:val="auto"/>
          <w:sz w:val="18"/>
          <w:szCs w:val="18"/>
          <w:highlight w:val="none"/>
        </w:rPr>
        <w:t>）</w:t>
      </w:r>
      <w:bookmarkEnd w:id="1092"/>
    </w:p>
    <w:p w14:paraId="6AE1EE88">
      <w:pPr>
        <w:snapToGrid w:val="0"/>
        <w:spacing w:before="50" w:after="120" w:afterLines="50" w:line="440" w:lineRule="exact"/>
        <w:jc w:val="left"/>
        <w:rPr>
          <w:rFonts w:hint="eastAsia"/>
          <w:color w:val="auto"/>
          <w:sz w:val="18"/>
          <w:szCs w:val="18"/>
          <w:highlight w:val="none"/>
        </w:rPr>
      </w:pPr>
    </w:p>
    <w:p w14:paraId="10AB72FE">
      <w:pPr>
        <w:snapToGrid w:val="0"/>
        <w:spacing w:before="50" w:after="120" w:afterLines="50" w:line="440" w:lineRule="exact"/>
        <w:jc w:val="left"/>
        <w:rPr>
          <w:rFonts w:hint="eastAsia"/>
          <w:color w:val="auto"/>
          <w:sz w:val="18"/>
          <w:szCs w:val="18"/>
          <w:highlight w:val="none"/>
        </w:rPr>
      </w:pPr>
    </w:p>
    <w:p w14:paraId="6F8C1131">
      <w:pPr>
        <w:snapToGrid w:val="0"/>
        <w:spacing w:before="50" w:after="120" w:afterLines="50" w:line="440" w:lineRule="exact"/>
        <w:jc w:val="left"/>
        <w:rPr>
          <w:b/>
          <w:color w:val="auto"/>
          <w:sz w:val="18"/>
          <w:szCs w:val="18"/>
          <w:highlight w:val="none"/>
        </w:rPr>
      </w:pPr>
      <w:r>
        <w:rPr>
          <w:rFonts w:hint="eastAsia"/>
          <w:color w:val="auto"/>
          <w:sz w:val="18"/>
          <w:szCs w:val="18"/>
          <w:highlight w:val="none"/>
        </w:rPr>
        <w:t>4</w:t>
      </w:r>
      <w:r>
        <w:rPr>
          <w:color w:val="auto"/>
          <w:sz w:val="18"/>
          <w:szCs w:val="18"/>
          <w:highlight w:val="none"/>
        </w:rPr>
        <w:t>．依法缴纳税费证明和社会保险缴纳证明材料</w:t>
      </w:r>
      <w:r>
        <w:rPr>
          <w:rFonts w:hint="eastAsia"/>
          <w:color w:val="auto"/>
          <w:sz w:val="18"/>
          <w:szCs w:val="18"/>
          <w:highlight w:val="none"/>
        </w:rPr>
        <w:t>。</w:t>
      </w:r>
      <w:r>
        <w:rPr>
          <w:color w:val="auto"/>
          <w:sz w:val="18"/>
          <w:szCs w:val="18"/>
          <w:highlight w:val="none"/>
        </w:rPr>
        <w:t>供应商成立不足</w:t>
      </w:r>
      <w:r>
        <w:rPr>
          <w:rFonts w:hint="eastAsia"/>
          <w:color w:val="auto"/>
          <w:sz w:val="18"/>
          <w:szCs w:val="18"/>
          <w:highlight w:val="none"/>
        </w:rPr>
        <w:t>1个月的，无须提供</w:t>
      </w:r>
      <w:r>
        <w:rPr>
          <w:color w:val="auto"/>
          <w:sz w:val="18"/>
          <w:szCs w:val="18"/>
          <w:highlight w:val="none"/>
        </w:rPr>
        <w:t>缴纳税费证明及社保缴费证明</w:t>
      </w:r>
      <w:r>
        <w:rPr>
          <w:rFonts w:hint="eastAsia"/>
          <w:color w:val="auto"/>
          <w:sz w:val="18"/>
          <w:szCs w:val="18"/>
          <w:highlight w:val="none"/>
        </w:rPr>
        <w:t>。</w:t>
      </w:r>
      <w:r>
        <w:rPr>
          <w:color w:val="auto"/>
          <w:sz w:val="18"/>
          <w:szCs w:val="18"/>
          <w:highlight w:val="none"/>
        </w:rPr>
        <w:t>依法免税或不需要缴纳社会保障资金的供应商，须提供相应文件证明其依法免税或不需要缴纳社会保障资金。（按“评审方法及标准” “资格审查表”规定提供</w:t>
      </w:r>
      <w:r>
        <w:rPr>
          <w:rFonts w:hint="eastAsia"/>
          <w:color w:val="auto"/>
          <w:sz w:val="18"/>
          <w:szCs w:val="18"/>
          <w:highlight w:val="none"/>
        </w:rPr>
        <w:t>，其中社会保险缴纳证明在对应人员资料处提供</w:t>
      </w:r>
      <w:r>
        <w:rPr>
          <w:color w:val="auto"/>
          <w:sz w:val="18"/>
          <w:szCs w:val="18"/>
          <w:highlight w:val="none"/>
        </w:rPr>
        <w:t>）（加盖供应商</w:t>
      </w:r>
      <w:r>
        <w:rPr>
          <w:rFonts w:hint="eastAsia"/>
          <w:color w:val="auto"/>
          <w:sz w:val="18"/>
          <w:szCs w:val="18"/>
          <w:highlight w:val="none"/>
        </w:rPr>
        <w:t>电子签章</w:t>
      </w:r>
      <w:r>
        <w:rPr>
          <w:color w:val="auto"/>
          <w:sz w:val="18"/>
          <w:szCs w:val="18"/>
          <w:highlight w:val="none"/>
        </w:rPr>
        <w:t>）</w:t>
      </w:r>
    </w:p>
    <w:p w14:paraId="6D16B560">
      <w:pPr>
        <w:snapToGrid w:val="0"/>
        <w:spacing w:before="50" w:after="120" w:afterLines="50" w:line="440" w:lineRule="exact"/>
        <w:jc w:val="left"/>
        <w:rPr>
          <w:rFonts w:hint="eastAsia"/>
          <w:color w:val="auto"/>
          <w:sz w:val="18"/>
          <w:szCs w:val="18"/>
          <w:highlight w:val="none"/>
        </w:rPr>
      </w:pPr>
    </w:p>
    <w:p w14:paraId="6DB66BE9">
      <w:pPr>
        <w:snapToGrid w:val="0"/>
        <w:spacing w:before="50" w:after="120" w:afterLines="50" w:line="440" w:lineRule="exact"/>
        <w:jc w:val="left"/>
        <w:rPr>
          <w:rFonts w:hint="eastAsia"/>
          <w:color w:val="auto"/>
          <w:sz w:val="18"/>
          <w:szCs w:val="18"/>
          <w:highlight w:val="none"/>
        </w:rPr>
      </w:pPr>
    </w:p>
    <w:p w14:paraId="5EE39D3E">
      <w:pPr>
        <w:snapToGrid w:val="0"/>
        <w:spacing w:before="50" w:after="120" w:afterLines="50" w:line="440" w:lineRule="exact"/>
        <w:jc w:val="left"/>
        <w:rPr>
          <w:rFonts w:hint="eastAsia"/>
          <w:color w:val="auto"/>
          <w:sz w:val="18"/>
          <w:szCs w:val="18"/>
          <w:highlight w:val="none"/>
        </w:rPr>
      </w:pPr>
    </w:p>
    <w:p w14:paraId="642E760C">
      <w:pPr>
        <w:snapToGrid w:val="0"/>
        <w:spacing w:before="50" w:after="120" w:afterLines="50" w:line="440" w:lineRule="exact"/>
        <w:jc w:val="left"/>
        <w:rPr>
          <w:rFonts w:hint="eastAsia"/>
          <w:color w:val="auto"/>
          <w:sz w:val="18"/>
          <w:szCs w:val="18"/>
          <w:highlight w:val="none"/>
        </w:rPr>
      </w:pPr>
    </w:p>
    <w:p w14:paraId="723F12A1">
      <w:pPr>
        <w:snapToGrid w:val="0"/>
        <w:spacing w:before="50" w:after="120" w:afterLines="50" w:line="440" w:lineRule="exact"/>
        <w:jc w:val="left"/>
        <w:rPr>
          <w:rFonts w:hint="eastAsia"/>
          <w:color w:val="auto"/>
          <w:sz w:val="18"/>
          <w:szCs w:val="18"/>
          <w:highlight w:val="none"/>
        </w:rPr>
      </w:pPr>
    </w:p>
    <w:p w14:paraId="10DC1C64">
      <w:pPr>
        <w:snapToGrid w:val="0"/>
        <w:spacing w:before="50" w:after="120" w:afterLines="50" w:line="440" w:lineRule="exact"/>
        <w:jc w:val="left"/>
        <w:rPr>
          <w:rFonts w:hint="eastAsia"/>
          <w:color w:val="auto"/>
          <w:sz w:val="18"/>
          <w:szCs w:val="18"/>
          <w:highlight w:val="none"/>
        </w:rPr>
      </w:pPr>
    </w:p>
    <w:p w14:paraId="29AE0EB5">
      <w:pPr>
        <w:snapToGrid w:val="0"/>
        <w:spacing w:before="50" w:after="120" w:afterLines="50" w:line="440" w:lineRule="exact"/>
        <w:jc w:val="left"/>
        <w:rPr>
          <w:rFonts w:hint="eastAsia"/>
          <w:color w:val="auto"/>
          <w:sz w:val="18"/>
          <w:szCs w:val="18"/>
          <w:highlight w:val="none"/>
        </w:rPr>
      </w:pPr>
    </w:p>
    <w:p w14:paraId="03FDCBE0">
      <w:pPr>
        <w:snapToGrid w:val="0"/>
        <w:spacing w:before="50" w:after="120" w:afterLines="50" w:line="440" w:lineRule="exact"/>
        <w:jc w:val="left"/>
        <w:rPr>
          <w:rFonts w:hint="eastAsia"/>
          <w:color w:val="auto"/>
          <w:sz w:val="18"/>
          <w:szCs w:val="18"/>
          <w:highlight w:val="none"/>
        </w:rPr>
      </w:pPr>
    </w:p>
    <w:p w14:paraId="026DFE87">
      <w:pPr>
        <w:snapToGrid w:val="0"/>
        <w:spacing w:before="50" w:after="120" w:afterLines="50" w:line="440" w:lineRule="exact"/>
        <w:jc w:val="left"/>
        <w:rPr>
          <w:rFonts w:hint="eastAsia"/>
          <w:color w:val="auto"/>
          <w:sz w:val="18"/>
          <w:szCs w:val="18"/>
          <w:highlight w:val="none"/>
        </w:rPr>
      </w:pPr>
    </w:p>
    <w:p w14:paraId="7FFD77F0">
      <w:pPr>
        <w:snapToGrid w:val="0"/>
        <w:spacing w:before="50" w:after="120" w:afterLines="50" w:line="440" w:lineRule="exact"/>
        <w:jc w:val="left"/>
        <w:rPr>
          <w:rFonts w:hint="eastAsia"/>
          <w:color w:val="auto"/>
          <w:sz w:val="18"/>
          <w:szCs w:val="18"/>
          <w:highlight w:val="none"/>
        </w:rPr>
      </w:pPr>
    </w:p>
    <w:p w14:paraId="6E4892A6">
      <w:pPr>
        <w:snapToGrid w:val="0"/>
        <w:spacing w:before="50" w:after="120" w:afterLines="50" w:line="440" w:lineRule="exact"/>
        <w:jc w:val="left"/>
        <w:rPr>
          <w:rFonts w:hint="eastAsia"/>
          <w:color w:val="auto"/>
          <w:sz w:val="18"/>
          <w:szCs w:val="18"/>
          <w:highlight w:val="none"/>
        </w:rPr>
      </w:pPr>
    </w:p>
    <w:p w14:paraId="72EA9C04">
      <w:pPr>
        <w:snapToGrid w:val="0"/>
        <w:spacing w:before="50" w:after="120" w:afterLines="50" w:line="440" w:lineRule="exact"/>
        <w:jc w:val="left"/>
        <w:rPr>
          <w:rFonts w:hint="eastAsia"/>
          <w:color w:val="auto"/>
          <w:sz w:val="18"/>
          <w:szCs w:val="18"/>
          <w:highlight w:val="none"/>
        </w:rPr>
      </w:pPr>
    </w:p>
    <w:p w14:paraId="06E168B8">
      <w:pPr>
        <w:snapToGrid w:val="0"/>
        <w:spacing w:before="50" w:after="120" w:afterLines="50" w:line="440" w:lineRule="exact"/>
        <w:jc w:val="left"/>
        <w:rPr>
          <w:rFonts w:hint="eastAsia"/>
          <w:color w:val="auto"/>
          <w:sz w:val="18"/>
          <w:szCs w:val="18"/>
          <w:highlight w:val="none"/>
        </w:rPr>
      </w:pPr>
    </w:p>
    <w:p w14:paraId="2188FA63">
      <w:pPr>
        <w:snapToGrid w:val="0"/>
        <w:spacing w:before="50" w:after="120" w:afterLines="50" w:line="440" w:lineRule="exact"/>
        <w:jc w:val="left"/>
        <w:rPr>
          <w:color w:val="auto"/>
          <w:sz w:val="18"/>
          <w:szCs w:val="18"/>
          <w:highlight w:val="none"/>
        </w:rPr>
      </w:pPr>
      <w:r>
        <w:rPr>
          <w:rFonts w:hint="eastAsia"/>
          <w:color w:val="auto"/>
          <w:sz w:val="18"/>
          <w:szCs w:val="18"/>
          <w:highlight w:val="none"/>
        </w:rPr>
        <w:t>5</w:t>
      </w:r>
      <w:r>
        <w:rPr>
          <w:color w:val="auto"/>
          <w:sz w:val="18"/>
          <w:szCs w:val="18"/>
          <w:highlight w:val="none"/>
        </w:rPr>
        <w:t>．具备法律、行政法规规定的其他要求的证明材料（按“评审方法及标准” “资格审查表”规定提供）。</w:t>
      </w:r>
      <w:r>
        <w:rPr>
          <w:rFonts w:hint="eastAsia"/>
          <w:b/>
          <w:color w:val="auto"/>
          <w:sz w:val="18"/>
          <w:szCs w:val="18"/>
          <w:highlight w:val="none"/>
        </w:rPr>
        <w:t>（如采购文件有要求时提供）</w:t>
      </w:r>
    </w:p>
    <w:p w14:paraId="1EFA7405">
      <w:pPr>
        <w:snapToGrid w:val="0"/>
        <w:spacing w:before="50" w:after="120" w:afterLines="50" w:line="440" w:lineRule="exact"/>
        <w:jc w:val="left"/>
        <w:rPr>
          <w:color w:val="auto"/>
          <w:sz w:val="18"/>
          <w:szCs w:val="18"/>
          <w:highlight w:val="none"/>
        </w:rPr>
      </w:pPr>
      <w:r>
        <w:rPr>
          <w:rFonts w:hint="eastAsia"/>
          <w:color w:val="auto"/>
          <w:sz w:val="18"/>
          <w:szCs w:val="18"/>
          <w:highlight w:val="none"/>
        </w:rPr>
        <w:t>5</w:t>
      </w:r>
      <w:r>
        <w:rPr>
          <w:color w:val="auto"/>
          <w:sz w:val="18"/>
          <w:szCs w:val="18"/>
          <w:highlight w:val="none"/>
        </w:rPr>
        <w:t>.</w:t>
      </w:r>
      <w:r>
        <w:rPr>
          <w:rFonts w:hint="eastAsia"/>
          <w:color w:val="auto"/>
          <w:sz w:val="18"/>
          <w:szCs w:val="18"/>
          <w:highlight w:val="none"/>
        </w:rPr>
        <w:t>1</w:t>
      </w:r>
      <w:r>
        <w:rPr>
          <w:color w:val="auto"/>
          <w:sz w:val="18"/>
          <w:szCs w:val="18"/>
          <w:highlight w:val="none"/>
        </w:rPr>
        <w:t>供应商基本情况表</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6"/>
        <w:gridCol w:w="897"/>
        <w:gridCol w:w="1021"/>
        <w:gridCol w:w="1160"/>
        <w:gridCol w:w="311"/>
        <w:gridCol w:w="1246"/>
        <w:gridCol w:w="63"/>
        <w:gridCol w:w="720"/>
        <w:gridCol w:w="1923"/>
      </w:tblGrid>
      <w:tr w14:paraId="6C6B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0941A54F">
            <w:pPr>
              <w:jc w:val="center"/>
              <w:rPr>
                <w:color w:val="auto"/>
                <w:sz w:val="18"/>
                <w:szCs w:val="18"/>
                <w:highlight w:val="none"/>
              </w:rPr>
            </w:pPr>
            <w:r>
              <w:rPr>
                <w:color w:val="auto"/>
                <w:sz w:val="18"/>
                <w:szCs w:val="18"/>
                <w:highlight w:val="none"/>
              </w:rPr>
              <w:t>供应商名称</w:t>
            </w:r>
          </w:p>
        </w:tc>
        <w:tc>
          <w:tcPr>
            <w:tcW w:w="7341" w:type="dxa"/>
            <w:gridSpan w:val="8"/>
            <w:vAlign w:val="center"/>
          </w:tcPr>
          <w:p w14:paraId="366F71BC">
            <w:pPr>
              <w:jc w:val="center"/>
              <w:rPr>
                <w:color w:val="auto"/>
                <w:sz w:val="18"/>
                <w:szCs w:val="18"/>
                <w:highlight w:val="none"/>
              </w:rPr>
            </w:pPr>
          </w:p>
        </w:tc>
      </w:tr>
      <w:tr w14:paraId="5A416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62375DFB">
            <w:pPr>
              <w:jc w:val="center"/>
              <w:rPr>
                <w:color w:val="auto"/>
                <w:sz w:val="18"/>
                <w:szCs w:val="18"/>
                <w:highlight w:val="none"/>
              </w:rPr>
            </w:pPr>
            <w:r>
              <w:rPr>
                <w:color w:val="auto"/>
                <w:sz w:val="18"/>
                <w:szCs w:val="18"/>
                <w:highlight w:val="none"/>
              </w:rPr>
              <w:t>注册地址</w:t>
            </w:r>
          </w:p>
        </w:tc>
        <w:tc>
          <w:tcPr>
            <w:tcW w:w="3389" w:type="dxa"/>
            <w:gridSpan w:val="4"/>
            <w:vAlign w:val="center"/>
          </w:tcPr>
          <w:p w14:paraId="011D5202">
            <w:pPr>
              <w:jc w:val="center"/>
              <w:rPr>
                <w:color w:val="auto"/>
                <w:sz w:val="18"/>
                <w:szCs w:val="18"/>
                <w:highlight w:val="none"/>
              </w:rPr>
            </w:pPr>
          </w:p>
        </w:tc>
        <w:tc>
          <w:tcPr>
            <w:tcW w:w="1246" w:type="dxa"/>
            <w:vAlign w:val="center"/>
          </w:tcPr>
          <w:p w14:paraId="5CDFD8D0">
            <w:pPr>
              <w:jc w:val="center"/>
              <w:rPr>
                <w:color w:val="auto"/>
                <w:sz w:val="18"/>
                <w:szCs w:val="18"/>
                <w:highlight w:val="none"/>
              </w:rPr>
            </w:pPr>
            <w:r>
              <w:rPr>
                <w:color w:val="auto"/>
                <w:sz w:val="18"/>
                <w:szCs w:val="18"/>
                <w:highlight w:val="none"/>
              </w:rPr>
              <w:t>邮政编码</w:t>
            </w:r>
          </w:p>
        </w:tc>
        <w:tc>
          <w:tcPr>
            <w:tcW w:w="2706" w:type="dxa"/>
            <w:gridSpan w:val="3"/>
            <w:vAlign w:val="center"/>
          </w:tcPr>
          <w:p w14:paraId="128D8559">
            <w:pPr>
              <w:jc w:val="center"/>
              <w:rPr>
                <w:color w:val="auto"/>
                <w:sz w:val="18"/>
                <w:szCs w:val="18"/>
                <w:highlight w:val="none"/>
              </w:rPr>
            </w:pPr>
          </w:p>
        </w:tc>
      </w:tr>
      <w:tr w14:paraId="5FA5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restart"/>
            <w:vAlign w:val="center"/>
          </w:tcPr>
          <w:p w14:paraId="1A39B25F">
            <w:pPr>
              <w:jc w:val="center"/>
              <w:rPr>
                <w:color w:val="auto"/>
                <w:sz w:val="18"/>
                <w:szCs w:val="18"/>
                <w:highlight w:val="none"/>
              </w:rPr>
            </w:pPr>
            <w:r>
              <w:rPr>
                <w:color w:val="auto"/>
                <w:sz w:val="18"/>
                <w:szCs w:val="18"/>
                <w:highlight w:val="none"/>
              </w:rPr>
              <w:t>联系方式</w:t>
            </w:r>
          </w:p>
        </w:tc>
        <w:tc>
          <w:tcPr>
            <w:tcW w:w="897" w:type="dxa"/>
            <w:vAlign w:val="center"/>
          </w:tcPr>
          <w:p w14:paraId="327CA561">
            <w:pPr>
              <w:jc w:val="center"/>
              <w:rPr>
                <w:color w:val="auto"/>
                <w:sz w:val="18"/>
                <w:szCs w:val="18"/>
                <w:highlight w:val="none"/>
              </w:rPr>
            </w:pPr>
            <w:r>
              <w:rPr>
                <w:color w:val="auto"/>
                <w:sz w:val="18"/>
                <w:szCs w:val="18"/>
                <w:highlight w:val="none"/>
              </w:rPr>
              <w:t>联系人</w:t>
            </w:r>
          </w:p>
        </w:tc>
        <w:tc>
          <w:tcPr>
            <w:tcW w:w="2492" w:type="dxa"/>
            <w:gridSpan w:val="3"/>
            <w:vAlign w:val="center"/>
          </w:tcPr>
          <w:p w14:paraId="72E13CEC">
            <w:pPr>
              <w:jc w:val="center"/>
              <w:rPr>
                <w:color w:val="auto"/>
                <w:sz w:val="18"/>
                <w:szCs w:val="18"/>
                <w:highlight w:val="none"/>
              </w:rPr>
            </w:pPr>
          </w:p>
        </w:tc>
        <w:tc>
          <w:tcPr>
            <w:tcW w:w="1246" w:type="dxa"/>
            <w:vAlign w:val="center"/>
          </w:tcPr>
          <w:p w14:paraId="45EB1CE6">
            <w:pPr>
              <w:jc w:val="center"/>
              <w:rPr>
                <w:color w:val="auto"/>
                <w:sz w:val="18"/>
                <w:szCs w:val="18"/>
                <w:highlight w:val="none"/>
              </w:rPr>
            </w:pPr>
            <w:r>
              <w:rPr>
                <w:color w:val="auto"/>
                <w:sz w:val="18"/>
                <w:szCs w:val="18"/>
                <w:highlight w:val="none"/>
              </w:rPr>
              <w:t>电  话</w:t>
            </w:r>
          </w:p>
        </w:tc>
        <w:tc>
          <w:tcPr>
            <w:tcW w:w="2706" w:type="dxa"/>
            <w:gridSpan w:val="3"/>
            <w:vAlign w:val="center"/>
          </w:tcPr>
          <w:p w14:paraId="67C0846F">
            <w:pPr>
              <w:jc w:val="center"/>
              <w:rPr>
                <w:color w:val="auto"/>
                <w:sz w:val="18"/>
                <w:szCs w:val="18"/>
                <w:highlight w:val="none"/>
              </w:rPr>
            </w:pPr>
          </w:p>
        </w:tc>
      </w:tr>
      <w:tr w14:paraId="3946C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continue"/>
            <w:vAlign w:val="center"/>
          </w:tcPr>
          <w:p w14:paraId="6DC073E5">
            <w:pPr>
              <w:jc w:val="center"/>
              <w:rPr>
                <w:color w:val="auto"/>
                <w:sz w:val="18"/>
                <w:szCs w:val="18"/>
                <w:highlight w:val="none"/>
              </w:rPr>
            </w:pPr>
          </w:p>
        </w:tc>
        <w:tc>
          <w:tcPr>
            <w:tcW w:w="897" w:type="dxa"/>
            <w:vAlign w:val="center"/>
          </w:tcPr>
          <w:p w14:paraId="0B2B09A3">
            <w:pPr>
              <w:jc w:val="center"/>
              <w:rPr>
                <w:color w:val="auto"/>
                <w:sz w:val="18"/>
                <w:szCs w:val="18"/>
                <w:highlight w:val="none"/>
              </w:rPr>
            </w:pPr>
            <w:r>
              <w:rPr>
                <w:color w:val="auto"/>
                <w:sz w:val="18"/>
                <w:szCs w:val="18"/>
                <w:highlight w:val="none"/>
              </w:rPr>
              <w:t>传  真</w:t>
            </w:r>
          </w:p>
        </w:tc>
        <w:tc>
          <w:tcPr>
            <w:tcW w:w="2492" w:type="dxa"/>
            <w:gridSpan w:val="3"/>
            <w:vAlign w:val="center"/>
          </w:tcPr>
          <w:p w14:paraId="0D1D65FE">
            <w:pPr>
              <w:jc w:val="center"/>
              <w:rPr>
                <w:color w:val="auto"/>
                <w:sz w:val="18"/>
                <w:szCs w:val="18"/>
                <w:highlight w:val="none"/>
              </w:rPr>
            </w:pPr>
          </w:p>
        </w:tc>
        <w:tc>
          <w:tcPr>
            <w:tcW w:w="1246" w:type="dxa"/>
            <w:vAlign w:val="center"/>
          </w:tcPr>
          <w:p w14:paraId="3BDE8875">
            <w:pPr>
              <w:jc w:val="center"/>
              <w:rPr>
                <w:color w:val="auto"/>
                <w:sz w:val="18"/>
                <w:szCs w:val="18"/>
                <w:highlight w:val="none"/>
              </w:rPr>
            </w:pPr>
            <w:r>
              <w:rPr>
                <w:color w:val="auto"/>
                <w:sz w:val="18"/>
                <w:szCs w:val="18"/>
                <w:highlight w:val="none"/>
              </w:rPr>
              <w:t>网  址</w:t>
            </w:r>
          </w:p>
        </w:tc>
        <w:tc>
          <w:tcPr>
            <w:tcW w:w="2706" w:type="dxa"/>
            <w:gridSpan w:val="3"/>
            <w:vAlign w:val="center"/>
          </w:tcPr>
          <w:p w14:paraId="6325B968">
            <w:pPr>
              <w:jc w:val="center"/>
              <w:rPr>
                <w:color w:val="auto"/>
                <w:sz w:val="18"/>
                <w:szCs w:val="18"/>
                <w:highlight w:val="none"/>
              </w:rPr>
            </w:pPr>
          </w:p>
        </w:tc>
      </w:tr>
      <w:tr w14:paraId="2399C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6A61E8AD">
            <w:pPr>
              <w:jc w:val="center"/>
              <w:rPr>
                <w:color w:val="auto"/>
                <w:sz w:val="18"/>
                <w:szCs w:val="18"/>
                <w:highlight w:val="none"/>
              </w:rPr>
            </w:pPr>
            <w:r>
              <w:rPr>
                <w:color w:val="auto"/>
                <w:sz w:val="18"/>
                <w:szCs w:val="18"/>
                <w:highlight w:val="none"/>
              </w:rPr>
              <w:t>统一社会信用代码</w:t>
            </w:r>
          </w:p>
        </w:tc>
        <w:tc>
          <w:tcPr>
            <w:tcW w:w="7341" w:type="dxa"/>
            <w:gridSpan w:val="8"/>
            <w:vAlign w:val="center"/>
          </w:tcPr>
          <w:p w14:paraId="4928217E">
            <w:pPr>
              <w:jc w:val="center"/>
              <w:rPr>
                <w:color w:val="auto"/>
                <w:sz w:val="18"/>
                <w:szCs w:val="18"/>
                <w:highlight w:val="none"/>
              </w:rPr>
            </w:pPr>
          </w:p>
        </w:tc>
      </w:tr>
      <w:tr w14:paraId="2D7A5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5D79D79E">
            <w:pPr>
              <w:jc w:val="center"/>
              <w:rPr>
                <w:color w:val="auto"/>
                <w:sz w:val="18"/>
                <w:szCs w:val="18"/>
                <w:highlight w:val="none"/>
              </w:rPr>
            </w:pPr>
            <w:r>
              <w:rPr>
                <w:color w:val="auto"/>
                <w:sz w:val="18"/>
                <w:szCs w:val="18"/>
                <w:highlight w:val="none"/>
              </w:rPr>
              <w:t>法定代表人</w:t>
            </w:r>
          </w:p>
        </w:tc>
        <w:tc>
          <w:tcPr>
            <w:tcW w:w="897" w:type="dxa"/>
            <w:vAlign w:val="center"/>
          </w:tcPr>
          <w:p w14:paraId="2651A7EF">
            <w:pPr>
              <w:jc w:val="center"/>
              <w:rPr>
                <w:color w:val="auto"/>
                <w:sz w:val="18"/>
                <w:szCs w:val="18"/>
                <w:highlight w:val="none"/>
              </w:rPr>
            </w:pPr>
            <w:r>
              <w:rPr>
                <w:color w:val="auto"/>
                <w:sz w:val="18"/>
                <w:szCs w:val="18"/>
                <w:highlight w:val="none"/>
              </w:rPr>
              <w:t>姓名</w:t>
            </w:r>
          </w:p>
        </w:tc>
        <w:tc>
          <w:tcPr>
            <w:tcW w:w="1021" w:type="dxa"/>
            <w:vAlign w:val="center"/>
          </w:tcPr>
          <w:p w14:paraId="25A44601">
            <w:pPr>
              <w:jc w:val="center"/>
              <w:rPr>
                <w:color w:val="auto"/>
                <w:sz w:val="18"/>
                <w:szCs w:val="18"/>
                <w:highlight w:val="none"/>
              </w:rPr>
            </w:pPr>
          </w:p>
        </w:tc>
        <w:tc>
          <w:tcPr>
            <w:tcW w:w="1160" w:type="dxa"/>
            <w:vAlign w:val="center"/>
          </w:tcPr>
          <w:p w14:paraId="2A1E6776">
            <w:pPr>
              <w:jc w:val="center"/>
              <w:rPr>
                <w:color w:val="auto"/>
                <w:sz w:val="18"/>
                <w:szCs w:val="18"/>
                <w:highlight w:val="none"/>
              </w:rPr>
            </w:pPr>
            <w:r>
              <w:rPr>
                <w:color w:val="auto"/>
                <w:sz w:val="18"/>
                <w:szCs w:val="18"/>
                <w:highlight w:val="none"/>
              </w:rPr>
              <w:t>技术职称</w:t>
            </w:r>
          </w:p>
        </w:tc>
        <w:tc>
          <w:tcPr>
            <w:tcW w:w="1620" w:type="dxa"/>
            <w:gridSpan w:val="3"/>
            <w:vAlign w:val="center"/>
          </w:tcPr>
          <w:p w14:paraId="6B73DE33">
            <w:pPr>
              <w:jc w:val="center"/>
              <w:rPr>
                <w:color w:val="auto"/>
                <w:sz w:val="18"/>
                <w:szCs w:val="18"/>
                <w:highlight w:val="none"/>
              </w:rPr>
            </w:pPr>
          </w:p>
        </w:tc>
        <w:tc>
          <w:tcPr>
            <w:tcW w:w="720" w:type="dxa"/>
            <w:vAlign w:val="center"/>
          </w:tcPr>
          <w:p w14:paraId="57203D8B">
            <w:pPr>
              <w:jc w:val="center"/>
              <w:rPr>
                <w:color w:val="auto"/>
                <w:sz w:val="18"/>
                <w:szCs w:val="18"/>
                <w:highlight w:val="none"/>
              </w:rPr>
            </w:pPr>
            <w:r>
              <w:rPr>
                <w:color w:val="auto"/>
                <w:sz w:val="18"/>
                <w:szCs w:val="18"/>
                <w:highlight w:val="none"/>
              </w:rPr>
              <w:t>电话</w:t>
            </w:r>
          </w:p>
        </w:tc>
        <w:tc>
          <w:tcPr>
            <w:tcW w:w="1923" w:type="dxa"/>
            <w:vAlign w:val="center"/>
          </w:tcPr>
          <w:p w14:paraId="0AE5D072">
            <w:pPr>
              <w:jc w:val="center"/>
              <w:rPr>
                <w:color w:val="auto"/>
                <w:sz w:val="18"/>
                <w:szCs w:val="18"/>
                <w:highlight w:val="none"/>
              </w:rPr>
            </w:pPr>
          </w:p>
        </w:tc>
      </w:tr>
      <w:tr w14:paraId="5F95B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4A210F75">
            <w:pPr>
              <w:jc w:val="center"/>
              <w:rPr>
                <w:color w:val="auto"/>
                <w:sz w:val="18"/>
                <w:szCs w:val="18"/>
                <w:highlight w:val="none"/>
              </w:rPr>
            </w:pPr>
            <w:r>
              <w:rPr>
                <w:color w:val="auto"/>
                <w:sz w:val="18"/>
                <w:szCs w:val="18"/>
                <w:highlight w:val="none"/>
              </w:rPr>
              <w:t>技术负责人</w:t>
            </w:r>
          </w:p>
        </w:tc>
        <w:tc>
          <w:tcPr>
            <w:tcW w:w="897" w:type="dxa"/>
            <w:vAlign w:val="center"/>
          </w:tcPr>
          <w:p w14:paraId="715ACD9F">
            <w:pPr>
              <w:jc w:val="center"/>
              <w:rPr>
                <w:color w:val="auto"/>
                <w:sz w:val="18"/>
                <w:szCs w:val="18"/>
                <w:highlight w:val="none"/>
              </w:rPr>
            </w:pPr>
            <w:r>
              <w:rPr>
                <w:color w:val="auto"/>
                <w:sz w:val="18"/>
                <w:szCs w:val="18"/>
                <w:highlight w:val="none"/>
              </w:rPr>
              <w:t>姓名</w:t>
            </w:r>
          </w:p>
        </w:tc>
        <w:tc>
          <w:tcPr>
            <w:tcW w:w="1021" w:type="dxa"/>
            <w:vAlign w:val="center"/>
          </w:tcPr>
          <w:p w14:paraId="438F4FF6">
            <w:pPr>
              <w:jc w:val="center"/>
              <w:rPr>
                <w:color w:val="auto"/>
                <w:sz w:val="18"/>
                <w:szCs w:val="18"/>
                <w:highlight w:val="none"/>
              </w:rPr>
            </w:pPr>
          </w:p>
        </w:tc>
        <w:tc>
          <w:tcPr>
            <w:tcW w:w="1160" w:type="dxa"/>
            <w:vAlign w:val="center"/>
          </w:tcPr>
          <w:p w14:paraId="6BFB6C4D">
            <w:pPr>
              <w:jc w:val="center"/>
              <w:rPr>
                <w:color w:val="auto"/>
                <w:sz w:val="18"/>
                <w:szCs w:val="18"/>
                <w:highlight w:val="none"/>
              </w:rPr>
            </w:pPr>
            <w:r>
              <w:rPr>
                <w:color w:val="auto"/>
                <w:sz w:val="18"/>
                <w:szCs w:val="18"/>
                <w:highlight w:val="none"/>
              </w:rPr>
              <w:t>技术职称</w:t>
            </w:r>
          </w:p>
        </w:tc>
        <w:tc>
          <w:tcPr>
            <w:tcW w:w="1620" w:type="dxa"/>
            <w:gridSpan w:val="3"/>
            <w:vAlign w:val="center"/>
          </w:tcPr>
          <w:p w14:paraId="2776C14E">
            <w:pPr>
              <w:jc w:val="center"/>
              <w:rPr>
                <w:color w:val="auto"/>
                <w:sz w:val="18"/>
                <w:szCs w:val="18"/>
                <w:highlight w:val="none"/>
              </w:rPr>
            </w:pPr>
          </w:p>
        </w:tc>
        <w:tc>
          <w:tcPr>
            <w:tcW w:w="720" w:type="dxa"/>
            <w:vAlign w:val="center"/>
          </w:tcPr>
          <w:p w14:paraId="11E2A694">
            <w:pPr>
              <w:jc w:val="center"/>
              <w:rPr>
                <w:color w:val="auto"/>
                <w:sz w:val="18"/>
                <w:szCs w:val="18"/>
                <w:highlight w:val="none"/>
              </w:rPr>
            </w:pPr>
            <w:r>
              <w:rPr>
                <w:color w:val="auto"/>
                <w:sz w:val="18"/>
                <w:szCs w:val="18"/>
                <w:highlight w:val="none"/>
              </w:rPr>
              <w:t>电话</w:t>
            </w:r>
          </w:p>
        </w:tc>
        <w:tc>
          <w:tcPr>
            <w:tcW w:w="1923" w:type="dxa"/>
            <w:vAlign w:val="center"/>
          </w:tcPr>
          <w:p w14:paraId="3F1D3C0E">
            <w:pPr>
              <w:jc w:val="center"/>
              <w:rPr>
                <w:color w:val="auto"/>
                <w:sz w:val="18"/>
                <w:szCs w:val="18"/>
                <w:highlight w:val="none"/>
              </w:rPr>
            </w:pPr>
          </w:p>
        </w:tc>
      </w:tr>
      <w:tr w14:paraId="7084E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0DEA25DC">
            <w:pPr>
              <w:jc w:val="center"/>
              <w:rPr>
                <w:color w:val="auto"/>
                <w:sz w:val="18"/>
                <w:szCs w:val="18"/>
                <w:highlight w:val="none"/>
              </w:rPr>
            </w:pPr>
            <w:r>
              <w:rPr>
                <w:color w:val="auto"/>
                <w:sz w:val="18"/>
                <w:szCs w:val="18"/>
                <w:highlight w:val="none"/>
              </w:rPr>
              <w:t>成立时间</w:t>
            </w:r>
          </w:p>
        </w:tc>
        <w:tc>
          <w:tcPr>
            <w:tcW w:w="1918" w:type="dxa"/>
            <w:gridSpan w:val="2"/>
            <w:vAlign w:val="center"/>
          </w:tcPr>
          <w:p w14:paraId="6ABB2A7B">
            <w:pPr>
              <w:jc w:val="center"/>
              <w:rPr>
                <w:color w:val="auto"/>
                <w:sz w:val="18"/>
                <w:szCs w:val="18"/>
                <w:highlight w:val="none"/>
              </w:rPr>
            </w:pPr>
          </w:p>
        </w:tc>
        <w:tc>
          <w:tcPr>
            <w:tcW w:w="5423" w:type="dxa"/>
            <w:gridSpan w:val="6"/>
            <w:vAlign w:val="center"/>
          </w:tcPr>
          <w:p w14:paraId="2959AE6A">
            <w:pPr>
              <w:jc w:val="center"/>
              <w:rPr>
                <w:color w:val="auto"/>
                <w:sz w:val="18"/>
                <w:szCs w:val="18"/>
                <w:highlight w:val="none"/>
              </w:rPr>
            </w:pPr>
            <w:r>
              <w:rPr>
                <w:color w:val="auto"/>
                <w:sz w:val="18"/>
                <w:szCs w:val="18"/>
                <w:highlight w:val="none"/>
              </w:rPr>
              <w:t>员工总人数：</w:t>
            </w:r>
          </w:p>
        </w:tc>
      </w:tr>
      <w:tr w14:paraId="0B5F5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36215FB7">
            <w:pPr>
              <w:jc w:val="center"/>
              <w:rPr>
                <w:color w:val="auto"/>
                <w:sz w:val="18"/>
                <w:szCs w:val="18"/>
                <w:highlight w:val="none"/>
              </w:rPr>
            </w:pPr>
            <w:r>
              <w:rPr>
                <w:color w:val="auto"/>
                <w:sz w:val="18"/>
                <w:szCs w:val="18"/>
                <w:highlight w:val="none"/>
              </w:rPr>
              <w:t>资质等级</w:t>
            </w:r>
          </w:p>
        </w:tc>
        <w:tc>
          <w:tcPr>
            <w:tcW w:w="1918" w:type="dxa"/>
            <w:gridSpan w:val="2"/>
            <w:vAlign w:val="center"/>
          </w:tcPr>
          <w:p w14:paraId="3961B158">
            <w:pPr>
              <w:jc w:val="center"/>
              <w:rPr>
                <w:color w:val="auto"/>
                <w:sz w:val="18"/>
                <w:szCs w:val="18"/>
                <w:highlight w:val="none"/>
              </w:rPr>
            </w:pPr>
          </w:p>
        </w:tc>
        <w:tc>
          <w:tcPr>
            <w:tcW w:w="1160" w:type="dxa"/>
            <w:vMerge w:val="restart"/>
            <w:vAlign w:val="center"/>
          </w:tcPr>
          <w:p w14:paraId="73DD49D8">
            <w:pPr>
              <w:jc w:val="center"/>
              <w:rPr>
                <w:color w:val="auto"/>
                <w:sz w:val="18"/>
                <w:szCs w:val="18"/>
                <w:highlight w:val="none"/>
              </w:rPr>
            </w:pPr>
            <w:r>
              <w:rPr>
                <w:color w:val="auto"/>
                <w:sz w:val="18"/>
                <w:szCs w:val="18"/>
                <w:highlight w:val="none"/>
              </w:rPr>
              <w:t>其中</w:t>
            </w:r>
          </w:p>
        </w:tc>
        <w:tc>
          <w:tcPr>
            <w:tcW w:w="1620" w:type="dxa"/>
            <w:gridSpan w:val="3"/>
            <w:vAlign w:val="center"/>
          </w:tcPr>
          <w:p w14:paraId="0B66CB3F">
            <w:pPr>
              <w:jc w:val="center"/>
              <w:rPr>
                <w:color w:val="auto"/>
                <w:sz w:val="18"/>
                <w:szCs w:val="18"/>
                <w:highlight w:val="none"/>
              </w:rPr>
            </w:pPr>
            <w:r>
              <w:rPr>
                <w:color w:val="auto"/>
                <w:sz w:val="18"/>
                <w:szCs w:val="18"/>
                <w:highlight w:val="none"/>
              </w:rPr>
              <w:t>项目经理</w:t>
            </w:r>
          </w:p>
        </w:tc>
        <w:tc>
          <w:tcPr>
            <w:tcW w:w="2643" w:type="dxa"/>
            <w:gridSpan w:val="2"/>
            <w:vAlign w:val="center"/>
          </w:tcPr>
          <w:p w14:paraId="018FF965">
            <w:pPr>
              <w:jc w:val="center"/>
              <w:rPr>
                <w:color w:val="auto"/>
                <w:sz w:val="18"/>
                <w:szCs w:val="18"/>
                <w:highlight w:val="none"/>
              </w:rPr>
            </w:pPr>
          </w:p>
        </w:tc>
      </w:tr>
      <w:tr w14:paraId="61331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62EA55BF">
            <w:pPr>
              <w:jc w:val="center"/>
              <w:rPr>
                <w:color w:val="auto"/>
                <w:sz w:val="18"/>
                <w:szCs w:val="18"/>
                <w:highlight w:val="none"/>
              </w:rPr>
            </w:pPr>
            <w:r>
              <w:rPr>
                <w:color w:val="auto"/>
                <w:sz w:val="18"/>
                <w:szCs w:val="18"/>
                <w:highlight w:val="none"/>
              </w:rPr>
              <w:t>安全生产许可证号</w:t>
            </w:r>
          </w:p>
        </w:tc>
        <w:tc>
          <w:tcPr>
            <w:tcW w:w="1918" w:type="dxa"/>
            <w:gridSpan w:val="2"/>
            <w:vAlign w:val="center"/>
          </w:tcPr>
          <w:p w14:paraId="52E87B88">
            <w:pPr>
              <w:jc w:val="center"/>
              <w:rPr>
                <w:color w:val="auto"/>
                <w:sz w:val="18"/>
                <w:szCs w:val="18"/>
                <w:highlight w:val="none"/>
              </w:rPr>
            </w:pPr>
          </w:p>
        </w:tc>
        <w:tc>
          <w:tcPr>
            <w:tcW w:w="1160" w:type="dxa"/>
            <w:vMerge w:val="continue"/>
            <w:vAlign w:val="center"/>
          </w:tcPr>
          <w:p w14:paraId="3BD7EB38">
            <w:pPr>
              <w:jc w:val="center"/>
              <w:rPr>
                <w:color w:val="auto"/>
                <w:sz w:val="18"/>
                <w:szCs w:val="18"/>
                <w:highlight w:val="none"/>
              </w:rPr>
            </w:pPr>
          </w:p>
        </w:tc>
        <w:tc>
          <w:tcPr>
            <w:tcW w:w="1620" w:type="dxa"/>
            <w:gridSpan w:val="3"/>
            <w:vAlign w:val="center"/>
          </w:tcPr>
          <w:p w14:paraId="6567A2E0">
            <w:pPr>
              <w:jc w:val="center"/>
              <w:rPr>
                <w:color w:val="auto"/>
                <w:sz w:val="18"/>
                <w:szCs w:val="18"/>
                <w:highlight w:val="none"/>
              </w:rPr>
            </w:pPr>
            <w:r>
              <w:rPr>
                <w:color w:val="auto"/>
                <w:sz w:val="18"/>
                <w:szCs w:val="18"/>
                <w:highlight w:val="none"/>
              </w:rPr>
              <w:t>高级职称人员</w:t>
            </w:r>
          </w:p>
        </w:tc>
        <w:tc>
          <w:tcPr>
            <w:tcW w:w="2643" w:type="dxa"/>
            <w:gridSpan w:val="2"/>
            <w:vAlign w:val="center"/>
          </w:tcPr>
          <w:p w14:paraId="53E05BEB">
            <w:pPr>
              <w:jc w:val="center"/>
              <w:rPr>
                <w:color w:val="auto"/>
                <w:sz w:val="18"/>
                <w:szCs w:val="18"/>
                <w:highlight w:val="none"/>
              </w:rPr>
            </w:pPr>
          </w:p>
        </w:tc>
      </w:tr>
      <w:tr w14:paraId="678EE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0064D4EF">
            <w:pPr>
              <w:jc w:val="center"/>
              <w:rPr>
                <w:color w:val="auto"/>
                <w:sz w:val="18"/>
                <w:szCs w:val="18"/>
                <w:highlight w:val="none"/>
              </w:rPr>
            </w:pPr>
            <w:r>
              <w:rPr>
                <w:color w:val="auto"/>
                <w:sz w:val="18"/>
                <w:szCs w:val="18"/>
                <w:highlight w:val="none"/>
              </w:rPr>
              <w:t>注册资金</w:t>
            </w:r>
          </w:p>
        </w:tc>
        <w:tc>
          <w:tcPr>
            <w:tcW w:w="1918" w:type="dxa"/>
            <w:gridSpan w:val="2"/>
            <w:vAlign w:val="center"/>
          </w:tcPr>
          <w:p w14:paraId="37497B1D">
            <w:pPr>
              <w:jc w:val="center"/>
              <w:rPr>
                <w:color w:val="auto"/>
                <w:sz w:val="18"/>
                <w:szCs w:val="18"/>
                <w:highlight w:val="none"/>
              </w:rPr>
            </w:pPr>
          </w:p>
        </w:tc>
        <w:tc>
          <w:tcPr>
            <w:tcW w:w="1160" w:type="dxa"/>
            <w:vMerge w:val="continue"/>
            <w:vAlign w:val="center"/>
          </w:tcPr>
          <w:p w14:paraId="1904DA69">
            <w:pPr>
              <w:jc w:val="center"/>
              <w:rPr>
                <w:color w:val="auto"/>
                <w:sz w:val="18"/>
                <w:szCs w:val="18"/>
                <w:highlight w:val="none"/>
              </w:rPr>
            </w:pPr>
          </w:p>
        </w:tc>
        <w:tc>
          <w:tcPr>
            <w:tcW w:w="1620" w:type="dxa"/>
            <w:gridSpan w:val="3"/>
            <w:vAlign w:val="center"/>
          </w:tcPr>
          <w:p w14:paraId="6A3BABF5">
            <w:pPr>
              <w:jc w:val="center"/>
              <w:rPr>
                <w:color w:val="auto"/>
                <w:sz w:val="18"/>
                <w:szCs w:val="18"/>
                <w:highlight w:val="none"/>
              </w:rPr>
            </w:pPr>
            <w:r>
              <w:rPr>
                <w:color w:val="auto"/>
                <w:sz w:val="18"/>
                <w:szCs w:val="18"/>
                <w:highlight w:val="none"/>
              </w:rPr>
              <w:t>中级职称人员</w:t>
            </w:r>
          </w:p>
        </w:tc>
        <w:tc>
          <w:tcPr>
            <w:tcW w:w="2643" w:type="dxa"/>
            <w:gridSpan w:val="2"/>
            <w:vAlign w:val="center"/>
          </w:tcPr>
          <w:p w14:paraId="0E40D097">
            <w:pPr>
              <w:jc w:val="center"/>
              <w:rPr>
                <w:color w:val="auto"/>
                <w:sz w:val="18"/>
                <w:szCs w:val="18"/>
                <w:highlight w:val="none"/>
              </w:rPr>
            </w:pPr>
          </w:p>
        </w:tc>
      </w:tr>
      <w:tr w14:paraId="2490C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70CBD7AF">
            <w:pPr>
              <w:jc w:val="center"/>
              <w:rPr>
                <w:color w:val="auto"/>
                <w:sz w:val="18"/>
                <w:szCs w:val="18"/>
                <w:highlight w:val="none"/>
              </w:rPr>
            </w:pPr>
            <w:r>
              <w:rPr>
                <w:color w:val="auto"/>
                <w:sz w:val="18"/>
                <w:szCs w:val="18"/>
                <w:highlight w:val="none"/>
              </w:rPr>
              <w:t>开户银行</w:t>
            </w:r>
          </w:p>
        </w:tc>
        <w:tc>
          <w:tcPr>
            <w:tcW w:w="1918" w:type="dxa"/>
            <w:gridSpan w:val="2"/>
            <w:vAlign w:val="center"/>
          </w:tcPr>
          <w:p w14:paraId="571E536D">
            <w:pPr>
              <w:jc w:val="center"/>
              <w:rPr>
                <w:color w:val="auto"/>
                <w:sz w:val="18"/>
                <w:szCs w:val="18"/>
                <w:highlight w:val="none"/>
              </w:rPr>
            </w:pPr>
          </w:p>
        </w:tc>
        <w:tc>
          <w:tcPr>
            <w:tcW w:w="1160" w:type="dxa"/>
            <w:vMerge w:val="continue"/>
            <w:vAlign w:val="center"/>
          </w:tcPr>
          <w:p w14:paraId="41736A5E">
            <w:pPr>
              <w:jc w:val="center"/>
              <w:rPr>
                <w:color w:val="auto"/>
                <w:sz w:val="18"/>
                <w:szCs w:val="18"/>
                <w:highlight w:val="none"/>
              </w:rPr>
            </w:pPr>
          </w:p>
        </w:tc>
        <w:tc>
          <w:tcPr>
            <w:tcW w:w="1620" w:type="dxa"/>
            <w:gridSpan w:val="3"/>
            <w:vAlign w:val="center"/>
          </w:tcPr>
          <w:p w14:paraId="03C475F6">
            <w:pPr>
              <w:jc w:val="center"/>
              <w:rPr>
                <w:color w:val="auto"/>
                <w:sz w:val="18"/>
                <w:szCs w:val="18"/>
                <w:highlight w:val="none"/>
              </w:rPr>
            </w:pPr>
            <w:r>
              <w:rPr>
                <w:color w:val="auto"/>
                <w:sz w:val="18"/>
                <w:szCs w:val="18"/>
                <w:highlight w:val="none"/>
              </w:rPr>
              <w:t>初级职称人员</w:t>
            </w:r>
          </w:p>
        </w:tc>
        <w:tc>
          <w:tcPr>
            <w:tcW w:w="2643" w:type="dxa"/>
            <w:gridSpan w:val="2"/>
            <w:vAlign w:val="center"/>
          </w:tcPr>
          <w:p w14:paraId="22EE21BB">
            <w:pPr>
              <w:jc w:val="center"/>
              <w:rPr>
                <w:color w:val="auto"/>
                <w:sz w:val="18"/>
                <w:szCs w:val="18"/>
                <w:highlight w:val="none"/>
              </w:rPr>
            </w:pPr>
          </w:p>
        </w:tc>
      </w:tr>
      <w:tr w14:paraId="5BF47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6064B849">
            <w:pPr>
              <w:jc w:val="center"/>
              <w:rPr>
                <w:color w:val="auto"/>
                <w:sz w:val="18"/>
                <w:szCs w:val="18"/>
                <w:highlight w:val="none"/>
              </w:rPr>
            </w:pPr>
            <w:r>
              <w:rPr>
                <w:color w:val="auto"/>
                <w:sz w:val="18"/>
                <w:szCs w:val="18"/>
                <w:highlight w:val="none"/>
              </w:rPr>
              <w:t>账号</w:t>
            </w:r>
          </w:p>
        </w:tc>
        <w:tc>
          <w:tcPr>
            <w:tcW w:w="1918" w:type="dxa"/>
            <w:gridSpan w:val="2"/>
            <w:vAlign w:val="center"/>
          </w:tcPr>
          <w:p w14:paraId="12FEBFCF">
            <w:pPr>
              <w:jc w:val="center"/>
              <w:rPr>
                <w:color w:val="auto"/>
                <w:sz w:val="18"/>
                <w:szCs w:val="18"/>
                <w:highlight w:val="none"/>
              </w:rPr>
            </w:pPr>
          </w:p>
        </w:tc>
        <w:tc>
          <w:tcPr>
            <w:tcW w:w="1160" w:type="dxa"/>
            <w:vMerge w:val="continue"/>
            <w:vAlign w:val="center"/>
          </w:tcPr>
          <w:p w14:paraId="52112245">
            <w:pPr>
              <w:jc w:val="center"/>
              <w:rPr>
                <w:color w:val="auto"/>
                <w:sz w:val="18"/>
                <w:szCs w:val="18"/>
                <w:highlight w:val="none"/>
              </w:rPr>
            </w:pPr>
          </w:p>
        </w:tc>
        <w:tc>
          <w:tcPr>
            <w:tcW w:w="1620" w:type="dxa"/>
            <w:gridSpan w:val="3"/>
            <w:vAlign w:val="center"/>
          </w:tcPr>
          <w:p w14:paraId="765C8223">
            <w:pPr>
              <w:jc w:val="center"/>
              <w:rPr>
                <w:color w:val="auto"/>
                <w:sz w:val="18"/>
                <w:szCs w:val="18"/>
                <w:highlight w:val="none"/>
              </w:rPr>
            </w:pPr>
            <w:r>
              <w:rPr>
                <w:color w:val="auto"/>
                <w:sz w:val="18"/>
                <w:szCs w:val="18"/>
                <w:highlight w:val="none"/>
              </w:rPr>
              <w:t>技  工</w:t>
            </w:r>
          </w:p>
        </w:tc>
        <w:tc>
          <w:tcPr>
            <w:tcW w:w="2643" w:type="dxa"/>
            <w:gridSpan w:val="2"/>
            <w:vAlign w:val="center"/>
          </w:tcPr>
          <w:p w14:paraId="55F96715">
            <w:pPr>
              <w:jc w:val="center"/>
              <w:rPr>
                <w:color w:val="auto"/>
                <w:sz w:val="18"/>
                <w:szCs w:val="18"/>
                <w:highlight w:val="none"/>
              </w:rPr>
            </w:pPr>
          </w:p>
        </w:tc>
      </w:tr>
      <w:tr w14:paraId="254AA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1" w:hRule="atLeast"/>
          <w:jc w:val="center"/>
        </w:trPr>
        <w:tc>
          <w:tcPr>
            <w:tcW w:w="1626" w:type="dxa"/>
            <w:vAlign w:val="center"/>
          </w:tcPr>
          <w:p w14:paraId="4DDB6A47">
            <w:pPr>
              <w:jc w:val="center"/>
              <w:rPr>
                <w:color w:val="auto"/>
                <w:sz w:val="18"/>
                <w:szCs w:val="18"/>
                <w:highlight w:val="none"/>
              </w:rPr>
            </w:pPr>
            <w:r>
              <w:rPr>
                <w:color w:val="auto"/>
                <w:sz w:val="18"/>
                <w:szCs w:val="18"/>
                <w:highlight w:val="none"/>
              </w:rPr>
              <w:t>经营范围</w:t>
            </w:r>
          </w:p>
        </w:tc>
        <w:tc>
          <w:tcPr>
            <w:tcW w:w="7341" w:type="dxa"/>
            <w:gridSpan w:val="8"/>
            <w:vAlign w:val="center"/>
          </w:tcPr>
          <w:p w14:paraId="758909D2">
            <w:pPr>
              <w:jc w:val="center"/>
              <w:rPr>
                <w:color w:val="auto"/>
                <w:sz w:val="18"/>
                <w:szCs w:val="18"/>
                <w:highlight w:val="none"/>
              </w:rPr>
            </w:pPr>
          </w:p>
        </w:tc>
      </w:tr>
      <w:tr w14:paraId="0B46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3C661E5A">
            <w:pPr>
              <w:jc w:val="center"/>
              <w:rPr>
                <w:color w:val="auto"/>
                <w:sz w:val="18"/>
                <w:szCs w:val="18"/>
                <w:highlight w:val="none"/>
              </w:rPr>
            </w:pPr>
            <w:r>
              <w:rPr>
                <w:color w:val="auto"/>
                <w:sz w:val="18"/>
                <w:szCs w:val="18"/>
                <w:highlight w:val="none"/>
              </w:rPr>
              <w:t>备注</w:t>
            </w:r>
          </w:p>
        </w:tc>
        <w:tc>
          <w:tcPr>
            <w:tcW w:w="7341" w:type="dxa"/>
            <w:gridSpan w:val="8"/>
            <w:vAlign w:val="center"/>
          </w:tcPr>
          <w:p w14:paraId="34A72515">
            <w:pPr>
              <w:jc w:val="center"/>
              <w:rPr>
                <w:color w:val="auto"/>
                <w:sz w:val="18"/>
                <w:szCs w:val="18"/>
                <w:highlight w:val="none"/>
              </w:rPr>
            </w:pPr>
          </w:p>
        </w:tc>
      </w:tr>
    </w:tbl>
    <w:p w14:paraId="27F3C1AA">
      <w:pPr>
        <w:snapToGrid w:val="0"/>
        <w:spacing w:before="50" w:after="120" w:afterLines="50" w:line="440" w:lineRule="exact"/>
        <w:jc w:val="left"/>
        <w:rPr>
          <w:b/>
          <w:color w:val="auto"/>
          <w:sz w:val="18"/>
          <w:szCs w:val="18"/>
          <w:highlight w:val="none"/>
        </w:rPr>
      </w:pPr>
      <w:r>
        <w:rPr>
          <w:color w:val="auto"/>
          <w:sz w:val="18"/>
          <w:szCs w:val="18"/>
          <w:highlight w:val="none"/>
        </w:rPr>
        <w:t>【备注：</w:t>
      </w:r>
      <w:r>
        <w:rPr>
          <w:rFonts w:hint="eastAsia"/>
          <w:color w:val="auto"/>
          <w:sz w:val="18"/>
          <w:szCs w:val="18"/>
          <w:highlight w:val="none"/>
        </w:rPr>
        <w:t>附有效的安全生产许可证副本扫描件</w:t>
      </w:r>
      <w:r>
        <w:rPr>
          <w:color w:val="auto"/>
          <w:sz w:val="18"/>
          <w:szCs w:val="18"/>
          <w:highlight w:val="none"/>
        </w:rPr>
        <w:t>加盖</w:t>
      </w:r>
      <w:bookmarkStart w:id="1093" w:name="_Hlk89190857"/>
      <w:r>
        <w:rPr>
          <w:color w:val="auto"/>
          <w:sz w:val="18"/>
          <w:szCs w:val="18"/>
          <w:highlight w:val="none"/>
        </w:rPr>
        <w:t>供应商</w:t>
      </w:r>
      <w:r>
        <w:rPr>
          <w:rFonts w:hint="eastAsia"/>
          <w:color w:val="auto"/>
          <w:sz w:val="18"/>
          <w:szCs w:val="18"/>
          <w:highlight w:val="none"/>
        </w:rPr>
        <w:t>电子签章</w:t>
      </w:r>
      <w:bookmarkEnd w:id="1093"/>
      <w:r>
        <w:rPr>
          <w:color w:val="auto"/>
          <w:sz w:val="18"/>
          <w:szCs w:val="18"/>
          <w:highlight w:val="none"/>
        </w:rPr>
        <w:t>】</w:t>
      </w:r>
      <w:r>
        <w:rPr>
          <w:color w:val="auto"/>
          <w:sz w:val="18"/>
          <w:szCs w:val="18"/>
          <w:highlight w:val="none"/>
        </w:rPr>
        <w:br w:type="page"/>
      </w:r>
      <w:bookmarkStart w:id="1094" w:name="_Hlk132792497"/>
      <w:r>
        <w:rPr>
          <w:rFonts w:hint="eastAsia"/>
          <w:bCs/>
          <w:color w:val="auto"/>
          <w:sz w:val="18"/>
          <w:szCs w:val="18"/>
          <w:highlight w:val="none"/>
        </w:rPr>
        <w:t>6</w:t>
      </w:r>
      <w:r>
        <w:rPr>
          <w:bCs/>
          <w:color w:val="auto"/>
          <w:sz w:val="18"/>
          <w:szCs w:val="18"/>
          <w:highlight w:val="none"/>
        </w:rPr>
        <w:t>．</w:t>
      </w:r>
      <w:r>
        <w:rPr>
          <w:rFonts w:hint="eastAsia"/>
          <w:bCs/>
          <w:color w:val="auto"/>
          <w:sz w:val="18"/>
          <w:szCs w:val="18"/>
          <w:highlight w:val="none"/>
        </w:rPr>
        <w:t>落实政府采购政策需满足的资格要求</w:t>
      </w:r>
      <w:r>
        <w:rPr>
          <w:bCs/>
          <w:color w:val="auto"/>
          <w:sz w:val="18"/>
          <w:szCs w:val="18"/>
          <w:highlight w:val="none"/>
        </w:rPr>
        <w:t>（按“评审方法及标准” “资格审查表”规定提供）。</w:t>
      </w:r>
      <w:r>
        <w:rPr>
          <w:rFonts w:hint="eastAsia"/>
          <w:bCs/>
          <w:color w:val="auto"/>
          <w:sz w:val="18"/>
          <w:szCs w:val="18"/>
          <w:highlight w:val="none"/>
        </w:rPr>
        <w:t>（</w:t>
      </w:r>
      <w:r>
        <w:rPr>
          <w:rFonts w:hint="eastAsia"/>
          <w:b/>
          <w:color w:val="auto"/>
          <w:sz w:val="18"/>
          <w:szCs w:val="18"/>
          <w:highlight w:val="none"/>
        </w:rPr>
        <w:t>如采购文件有要求时提供</w:t>
      </w:r>
      <w:r>
        <w:rPr>
          <w:rFonts w:hint="eastAsia"/>
          <w:bCs/>
          <w:color w:val="auto"/>
          <w:sz w:val="18"/>
          <w:szCs w:val="18"/>
          <w:highlight w:val="none"/>
        </w:rPr>
        <w:t>）</w:t>
      </w:r>
    </w:p>
    <w:bookmarkEnd w:id="1094"/>
    <w:p w14:paraId="4D5962CF">
      <w:pPr>
        <w:rPr>
          <w:color w:val="auto"/>
          <w:sz w:val="18"/>
          <w:szCs w:val="18"/>
          <w:highlight w:val="none"/>
        </w:rPr>
      </w:pPr>
      <w:r>
        <w:rPr>
          <w:rFonts w:hint="eastAsia"/>
          <w:color w:val="auto"/>
          <w:sz w:val="18"/>
          <w:szCs w:val="18"/>
          <w:highlight w:val="none"/>
        </w:rPr>
        <w:t>6</w:t>
      </w:r>
      <w:r>
        <w:rPr>
          <w:color w:val="auto"/>
          <w:sz w:val="18"/>
          <w:szCs w:val="18"/>
          <w:highlight w:val="none"/>
        </w:rPr>
        <w:t>.1</w:t>
      </w:r>
      <w:r>
        <w:rPr>
          <w:rFonts w:hint="eastAsia"/>
          <w:bCs/>
          <w:color w:val="auto"/>
          <w:sz w:val="18"/>
          <w:szCs w:val="18"/>
          <w:highlight w:val="none"/>
        </w:rPr>
        <w:t>中小企业声明函</w:t>
      </w:r>
      <w:r>
        <w:rPr>
          <w:color w:val="auto"/>
          <w:sz w:val="18"/>
          <w:szCs w:val="18"/>
          <w:highlight w:val="none"/>
        </w:rPr>
        <w:t>。</w:t>
      </w:r>
    </w:p>
    <w:p w14:paraId="7930870C">
      <w:pPr>
        <w:spacing w:line="360" w:lineRule="auto"/>
        <w:ind w:firstLine="3072" w:firstLineChars="1700"/>
        <w:rPr>
          <w:b/>
          <w:color w:val="auto"/>
          <w:sz w:val="18"/>
          <w:szCs w:val="18"/>
          <w:highlight w:val="none"/>
        </w:rPr>
      </w:pPr>
    </w:p>
    <w:p w14:paraId="55B9CE1F">
      <w:pPr>
        <w:spacing w:line="360" w:lineRule="auto"/>
        <w:ind w:firstLine="420"/>
        <w:jc w:val="center"/>
        <w:rPr>
          <w:b/>
          <w:color w:val="auto"/>
          <w:sz w:val="18"/>
          <w:szCs w:val="18"/>
          <w:highlight w:val="none"/>
        </w:rPr>
      </w:pPr>
      <w:r>
        <w:rPr>
          <w:rFonts w:hint="eastAsia"/>
          <w:b/>
          <w:color w:val="auto"/>
          <w:sz w:val="18"/>
          <w:szCs w:val="18"/>
          <w:highlight w:val="none"/>
        </w:rPr>
        <w:t>中小企业声明函（工程）</w:t>
      </w:r>
    </w:p>
    <w:p w14:paraId="5425515A">
      <w:pPr>
        <w:spacing w:line="360" w:lineRule="auto"/>
        <w:ind w:firstLine="420"/>
        <w:rPr>
          <w:bCs/>
          <w:color w:val="auto"/>
          <w:sz w:val="18"/>
          <w:szCs w:val="18"/>
          <w:highlight w:val="none"/>
        </w:rPr>
      </w:pPr>
      <w:r>
        <w:rPr>
          <w:rFonts w:hint="eastAsia"/>
          <w:bCs/>
          <w:color w:val="auto"/>
          <w:sz w:val="18"/>
          <w:szCs w:val="18"/>
          <w:highlight w:val="none"/>
        </w:rPr>
        <w:t>本公司（联合体）郑重声明，根据《政府采购促进中小企业发展管理办法》（财库﹝2020﹞46 号）的规定，本公司（联合体）参加</w:t>
      </w:r>
      <w:r>
        <w:rPr>
          <w:rFonts w:hint="eastAsia"/>
          <w:bCs/>
          <w:color w:val="auto"/>
          <w:sz w:val="18"/>
          <w:szCs w:val="18"/>
          <w:highlight w:val="none"/>
          <w:u w:val="single"/>
        </w:rPr>
        <w:t>（单位名称）</w:t>
      </w:r>
      <w:r>
        <w:rPr>
          <w:rFonts w:hint="eastAsia"/>
          <w:bCs/>
          <w:color w:val="auto"/>
          <w:sz w:val="18"/>
          <w:szCs w:val="18"/>
          <w:highlight w:val="none"/>
        </w:rPr>
        <w:t>的</w:t>
      </w:r>
      <w:r>
        <w:rPr>
          <w:rFonts w:hint="eastAsia"/>
          <w:bCs/>
          <w:color w:val="auto"/>
          <w:sz w:val="18"/>
          <w:szCs w:val="18"/>
          <w:highlight w:val="none"/>
          <w:u w:val="single"/>
        </w:rPr>
        <w:t>（项目名称）</w:t>
      </w:r>
      <w:r>
        <w:rPr>
          <w:rFonts w:hint="eastAsia"/>
          <w:bCs/>
          <w:color w:val="auto"/>
          <w:sz w:val="18"/>
          <w:szCs w:val="18"/>
          <w:highlight w:val="none"/>
        </w:rPr>
        <w:t>采购活动，服务全部由符合政策要求的中小企业承接。相关企业（含联合体中的中小企业、签订分包意向协议的中小企业） 的具体情况如下：</w:t>
      </w:r>
    </w:p>
    <w:p w14:paraId="36AEDE96">
      <w:pPr>
        <w:spacing w:line="360" w:lineRule="auto"/>
        <w:ind w:firstLine="420"/>
        <w:rPr>
          <w:bCs/>
          <w:color w:val="auto"/>
          <w:sz w:val="18"/>
          <w:szCs w:val="18"/>
          <w:highlight w:val="none"/>
        </w:rPr>
      </w:pPr>
      <w:r>
        <w:rPr>
          <w:bCs/>
          <w:color w:val="auto"/>
          <w:sz w:val="18"/>
          <w:szCs w:val="18"/>
          <w:highlight w:val="none"/>
        </w:rPr>
        <w:t>1.</w:t>
      </w:r>
      <w:r>
        <w:rPr>
          <w:rFonts w:hint="eastAsia"/>
          <w:bCs/>
          <w:color w:val="auto"/>
          <w:sz w:val="18"/>
          <w:szCs w:val="18"/>
          <w:highlight w:val="none"/>
          <w:u w:val="single"/>
        </w:rPr>
        <w:t>（标的名称）</w:t>
      </w:r>
      <w:r>
        <w:rPr>
          <w:rFonts w:hint="eastAsia"/>
          <w:bCs/>
          <w:color w:val="auto"/>
          <w:sz w:val="18"/>
          <w:szCs w:val="18"/>
          <w:highlight w:val="none"/>
        </w:rPr>
        <w:t>，属于</w:t>
      </w:r>
      <w:r>
        <w:rPr>
          <w:rFonts w:hint="eastAsia"/>
          <w:bCs/>
          <w:color w:val="auto"/>
          <w:sz w:val="18"/>
          <w:szCs w:val="18"/>
          <w:highlight w:val="none"/>
          <w:u w:val="single"/>
        </w:rPr>
        <w:t>（采购文件中明确的所属行业）</w:t>
      </w:r>
      <w:r>
        <w:rPr>
          <w:rFonts w:hint="eastAsia"/>
          <w:bCs/>
          <w:color w:val="auto"/>
          <w:sz w:val="18"/>
          <w:szCs w:val="18"/>
          <w:highlight w:val="none"/>
        </w:rPr>
        <w:t>行业；承建（承接）企业为</w:t>
      </w:r>
      <w:r>
        <w:rPr>
          <w:rFonts w:hint="eastAsia"/>
          <w:bCs/>
          <w:color w:val="auto"/>
          <w:sz w:val="18"/>
          <w:szCs w:val="18"/>
          <w:highlight w:val="none"/>
          <w:u w:val="single"/>
        </w:rPr>
        <w:t>（企业名称）</w:t>
      </w:r>
      <w:r>
        <w:rPr>
          <w:rFonts w:hint="eastAsia"/>
          <w:bCs/>
          <w:color w:val="auto"/>
          <w:sz w:val="18"/>
          <w:szCs w:val="18"/>
          <w:highlight w:val="none"/>
        </w:rPr>
        <w:t>，从业人员</w:t>
      </w:r>
      <w:r>
        <w:rPr>
          <w:bCs/>
          <w:color w:val="auto"/>
          <w:sz w:val="18"/>
          <w:szCs w:val="18"/>
          <w:highlight w:val="none"/>
          <w:u w:val="single"/>
        </w:rPr>
        <w:t xml:space="preserve">    </w:t>
      </w:r>
      <w:r>
        <w:rPr>
          <w:rFonts w:hint="eastAsia"/>
          <w:bCs/>
          <w:color w:val="auto"/>
          <w:sz w:val="18"/>
          <w:szCs w:val="18"/>
          <w:highlight w:val="none"/>
        </w:rPr>
        <w:t>人，营业收入为</w:t>
      </w:r>
      <w:r>
        <w:rPr>
          <w:rFonts w:hint="eastAsia"/>
          <w:bCs/>
          <w:color w:val="auto"/>
          <w:sz w:val="18"/>
          <w:szCs w:val="18"/>
          <w:highlight w:val="none"/>
          <w:u w:val="single"/>
        </w:rPr>
        <w:t xml:space="preserve"> </w:t>
      </w:r>
      <w:r>
        <w:rPr>
          <w:bCs/>
          <w:color w:val="auto"/>
          <w:sz w:val="18"/>
          <w:szCs w:val="18"/>
          <w:highlight w:val="none"/>
          <w:u w:val="single"/>
        </w:rPr>
        <w:t xml:space="preserve">  </w:t>
      </w:r>
      <w:r>
        <w:rPr>
          <w:rFonts w:hint="eastAsia"/>
          <w:bCs/>
          <w:color w:val="auto"/>
          <w:sz w:val="18"/>
          <w:szCs w:val="18"/>
          <w:highlight w:val="none"/>
          <w:u w:val="single"/>
        </w:rPr>
        <w:t xml:space="preserve"> </w:t>
      </w:r>
      <w:r>
        <w:rPr>
          <w:rFonts w:hint="eastAsia"/>
          <w:bCs/>
          <w:color w:val="auto"/>
          <w:sz w:val="18"/>
          <w:szCs w:val="18"/>
          <w:highlight w:val="none"/>
        </w:rPr>
        <w:t>万元，资产总额为</w:t>
      </w:r>
      <w:r>
        <w:rPr>
          <w:rFonts w:hint="eastAsia"/>
          <w:bCs/>
          <w:color w:val="auto"/>
          <w:sz w:val="18"/>
          <w:szCs w:val="18"/>
          <w:highlight w:val="none"/>
          <w:u w:val="single"/>
        </w:rPr>
        <w:t xml:space="preserve">    </w:t>
      </w:r>
      <w:r>
        <w:rPr>
          <w:rFonts w:hint="eastAsia"/>
          <w:bCs/>
          <w:color w:val="auto"/>
          <w:sz w:val="18"/>
          <w:szCs w:val="18"/>
          <w:highlight w:val="none"/>
        </w:rPr>
        <w:t>万元，属于</w:t>
      </w:r>
      <w:r>
        <w:rPr>
          <w:rFonts w:hint="eastAsia"/>
          <w:bCs/>
          <w:color w:val="auto"/>
          <w:sz w:val="18"/>
          <w:szCs w:val="18"/>
          <w:highlight w:val="none"/>
          <w:u w:val="single"/>
        </w:rPr>
        <w:t>（中型企业、小型企业、微型企业）</w:t>
      </w:r>
      <w:r>
        <w:rPr>
          <w:rFonts w:hint="eastAsia"/>
          <w:bCs/>
          <w:color w:val="auto"/>
          <w:sz w:val="18"/>
          <w:szCs w:val="18"/>
          <w:highlight w:val="none"/>
        </w:rPr>
        <w:t>；</w:t>
      </w:r>
    </w:p>
    <w:p w14:paraId="6D9DE1C1">
      <w:pPr>
        <w:spacing w:line="360" w:lineRule="auto"/>
        <w:ind w:firstLine="420"/>
        <w:rPr>
          <w:bCs/>
          <w:color w:val="auto"/>
          <w:sz w:val="18"/>
          <w:szCs w:val="18"/>
          <w:highlight w:val="none"/>
        </w:rPr>
      </w:pPr>
      <w:r>
        <w:rPr>
          <w:bCs/>
          <w:color w:val="auto"/>
          <w:sz w:val="18"/>
          <w:szCs w:val="18"/>
          <w:highlight w:val="none"/>
        </w:rPr>
        <w:t>2.</w:t>
      </w:r>
      <w:r>
        <w:rPr>
          <w:rFonts w:hint="eastAsia"/>
          <w:bCs/>
          <w:color w:val="auto"/>
          <w:sz w:val="18"/>
          <w:szCs w:val="18"/>
          <w:highlight w:val="none"/>
          <w:u w:val="single"/>
        </w:rPr>
        <w:t>（标的名称）</w:t>
      </w:r>
      <w:r>
        <w:rPr>
          <w:rFonts w:hint="eastAsia"/>
          <w:bCs/>
          <w:color w:val="auto"/>
          <w:sz w:val="18"/>
          <w:szCs w:val="18"/>
          <w:highlight w:val="none"/>
        </w:rPr>
        <w:t>，属于</w:t>
      </w:r>
      <w:r>
        <w:rPr>
          <w:rFonts w:hint="eastAsia"/>
          <w:bCs/>
          <w:color w:val="auto"/>
          <w:sz w:val="18"/>
          <w:szCs w:val="18"/>
          <w:highlight w:val="none"/>
          <w:u w:val="single"/>
        </w:rPr>
        <w:t>（采购文件中明确的所属行业）</w:t>
      </w:r>
      <w:r>
        <w:rPr>
          <w:rFonts w:hint="eastAsia"/>
          <w:bCs/>
          <w:color w:val="auto"/>
          <w:sz w:val="18"/>
          <w:szCs w:val="18"/>
          <w:highlight w:val="none"/>
        </w:rPr>
        <w:t>行业；承建（承接）企业为</w:t>
      </w:r>
      <w:r>
        <w:rPr>
          <w:rFonts w:hint="eastAsia"/>
          <w:bCs/>
          <w:color w:val="auto"/>
          <w:sz w:val="18"/>
          <w:szCs w:val="18"/>
          <w:highlight w:val="none"/>
          <w:u w:val="single"/>
        </w:rPr>
        <w:t>（企业名称）</w:t>
      </w:r>
      <w:r>
        <w:rPr>
          <w:rFonts w:hint="eastAsia"/>
          <w:bCs/>
          <w:color w:val="auto"/>
          <w:sz w:val="18"/>
          <w:szCs w:val="18"/>
          <w:highlight w:val="none"/>
        </w:rPr>
        <w:t>，从业人员</w:t>
      </w:r>
      <w:r>
        <w:rPr>
          <w:rFonts w:hint="eastAsia"/>
          <w:bCs/>
          <w:color w:val="auto"/>
          <w:sz w:val="18"/>
          <w:szCs w:val="18"/>
          <w:highlight w:val="none"/>
          <w:u w:val="single"/>
        </w:rPr>
        <w:t xml:space="preserve">       </w:t>
      </w:r>
      <w:r>
        <w:rPr>
          <w:rFonts w:hint="eastAsia"/>
          <w:bCs/>
          <w:color w:val="auto"/>
          <w:sz w:val="18"/>
          <w:szCs w:val="18"/>
          <w:highlight w:val="none"/>
        </w:rPr>
        <w:t>人，营业收入为</w:t>
      </w:r>
      <w:r>
        <w:rPr>
          <w:rFonts w:hint="eastAsia"/>
          <w:bCs/>
          <w:color w:val="auto"/>
          <w:sz w:val="18"/>
          <w:szCs w:val="18"/>
          <w:highlight w:val="none"/>
          <w:u w:val="single"/>
        </w:rPr>
        <w:t xml:space="preserve">     </w:t>
      </w:r>
      <w:r>
        <w:rPr>
          <w:rFonts w:hint="eastAsia"/>
          <w:bCs/>
          <w:color w:val="auto"/>
          <w:sz w:val="18"/>
          <w:szCs w:val="18"/>
          <w:highlight w:val="none"/>
        </w:rPr>
        <w:t>万元，资产总额为</w:t>
      </w:r>
      <w:r>
        <w:rPr>
          <w:rFonts w:hint="eastAsia"/>
          <w:bCs/>
          <w:color w:val="auto"/>
          <w:sz w:val="18"/>
          <w:szCs w:val="18"/>
          <w:highlight w:val="none"/>
          <w:u w:val="single"/>
        </w:rPr>
        <w:t xml:space="preserve"> </w:t>
      </w:r>
      <w:r>
        <w:rPr>
          <w:bCs/>
          <w:color w:val="auto"/>
          <w:sz w:val="18"/>
          <w:szCs w:val="18"/>
          <w:highlight w:val="none"/>
          <w:u w:val="single"/>
        </w:rPr>
        <w:t xml:space="preserve">     </w:t>
      </w:r>
      <w:r>
        <w:rPr>
          <w:rFonts w:hint="eastAsia"/>
          <w:bCs/>
          <w:color w:val="auto"/>
          <w:sz w:val="18"/>
          <w:szCs w:val="18"/>
          <w:highlight w:val="none"/>
          <w:u w:val="single"/>
        </w:rPr>
        <w:t xml:space="preserve"> </w:t>
      </w:r>
      <w:r>
        <w:rPr>
          <w:rFonts w:hint="eastAsia"/>
          <w:bCs/>
          <w:color w:val="auto"/>
          <w:sz w:val="18"/>
          <w:szCs w:val="18"/>
          <w:highlight w:val="none"/>
        </w:rPr>
        <w:t>万元，属于</w:t>
      </w:r>
      <w:r>
        <w:rPr>
          <w:rFonts w:hint="eastAsia"/>
          <w:bCs/>
          <w:color w:val="auto"/>
          <w:sz w:val="18"/>
          <w:szCs w:val="18"/>
          <w:highlight w:val="none"/>
          <w:u w:val="single"/>
        </w:rPr>
        <w:t>（中型企业、小型企业、微型企业）</w:t>
      </w:r>
      <w:r>
        <w:rPr>
          <w:rFonts w:hint="eastAsia"/>
          <w:bCs/>
          <w:color w:val="auto"/>
          <w:sz w:val="18"/>
          <w:szCs w:val="18"/>
          <w:highlight w:val="none"/>
        </w:rPr>
        <w:t>；</w:t>
      </w:r>
    </w:p>
    <w:p w14:paraId="5CEA8AF8">
      <w:pPr>
        <w:spacing w:line="360" w:lineRule="auto"/>
        <w:ind w:firstLine="420"/>
        <w:rPr>
          <w:bCs/>
          <w:color w:val="auto"/>
          <w:sz w:val="18"/>
          <w:szCs w:val="18"/>
          <w:highlight w:val="none"/>
        </w:rPr>
      </w:pPr>
      <w:r>
        <w:rPr>
          <w:rFonts w:hint="eastAsia"/>
          <w:bCs/>
          <w:color w:val="auto"/>
          <w:sz w:val="18"/>
          <w:szCs w:val="18"/>
          <w:highlight w:val="none"/>
        </w:rPr>
        <w:t>……</w:t>
      </w:r>
    </w:p>
    <w:p w14:paraId="2CE22EA0">
      <w:pPr>
        <w:spacing w:line="360" w:lineRule="auto"/>
        <w:ind w:firstLine="420"/>
        <w:rPr>
          <w:bCs/>
          <w:color w:val="auto"/>
          <w:sz w:val="18"/>
          <w:szCs w:val="18"/>
          <w:highlight w:val="none"/>
        </w:rPr>
      </w:pPr>
      <w:r>
        <w:rPr>
          <w:rFonts w:hint="eastAsia"/>
          <w:bCs/>
          <w:color w:val="auto"/>
          <w:sz w:val="18"/>
          <w:szCs w:val="18"/>
          <w:highlight w:val="none"/>
        </w:rPr>
        <w:t>以上企业，不属于大企业的分支机构，不存在控股股东为大企业的情形，也不存在与大企业的负责人为同一人的情形。</w:t>
      </w:r>
    </w:p>
    <w:p w14:paraId="7C23847E">
      <w:pPr>
        <w:spacing w:line="360" w:lineRule="auto"/>
        <w:ind w:firstLine="420"/>
        <w:rPr>
          <w:bCs/>
          <w:color w:val="auto"/>
          <w:sz w:val="18"/>
          <w:szCs w:val="18"/>
          <w:highlight w:val="none"/>
        </w:rPr>
      </w:pPr>
      <w:r>
        <w:rPr>
          <w:rFonts w:hint="eastAsia"/>
          <w:bCs/>
          <w:color w:val="auto"/>
          <w:sz w:val="18"/>
          <w:szCs w:val="18"/>
          <w:highlight w:val="none"/>
        </w:rPr>
        <w:t>本企业对上述声明内容的真实性负责。如有虚假，将依法承担相应责任。</w:t>
      </w:r>
    </w:p>
    <w:p w14:paraId="799EC3D7">
      <w:pPr>
        <w:spacing w:line="360" w:lineRule="auto"/>
        <w:ind w:firstLine="2700" w:firstLineChars="1500"/>
        <w:rPr>
          <w:bCs/>
          <w:color w:val="auto"/>
          <w:sz w:val="18"/>
          <w:szCs w:val="18"/>
          <w:highlight w:val="none"/>
        </w:rPr>
      </w:pPr>
      <w:r>
        <w:rPr>
          <w:rFonts w:hint="eastAsia"/>
          <w:bCs/>
          <w:color w:val="auto"/>
          <w:sz w:val="18"/>
          <w:szCs w:val="18"/>
          <w:highlight w:val="none"/>
        </w:rPr>
        <w:t>企业名称（</w:t>
      </w:r>
      <w:r>
        <w:rPr>
          <w:rFonts w:hint="eastAsia"/>
          <w:color w:val="auto"/>
          <w:sz w:val="18"/>
          <w:szCs w:val="18"/>
          <w:highlight w:val="none"/>
        </w:rPr>
        <w:t>电子签章</w:t>
      </w:r>
      <w:r>
        <w:rPr>
          <w:rFonts w:hint="eastAsia"/>
          <w:bCs/>
          <w:color w:val="auto"/>
          <w:sz w:val="18"/>
          <w:szCs w:val="18"/>
          <w:highlight w:val="none"/>
        </w:rPr>
        <w:t>）：日期：</w:t>
      </w:r>
    </w:p>
    <w:p w14:paraId="5ACC08DD">
      <w:pPr>
        <w:spacing w:line="360" w:lineRule="auto"/>
        <w:jc w:val="left"/>
        <w:rPr>
          <w:bCs/>
          <w:color w:val="auto"/>
          <w:sz w:val="18"/>
          <w:szCs w:val="18"/>
          <w:highlight w:val="none"/>
        </w:rPr>
      </w:pPr>
      <w:r>
        <w:rPr>
          <w:rFonts w:hint="eastAsia"/>
          <w:bCs/>
          <w:color w:val="auto"/>
          <w:sz w:val="18"/>
          <w:szCs w:val="18"/>
          <w:highlight w:val="none"/>
        </w:rPr>
        <w:t>注：</w:t>
      </w:r>
    </w:p>
    <w:p w14:paraId="607CE691">
      <w:pPr>
        <w:spacing w:line="360" w:lineRule="auto"/>
        <w:jc w:val="left"/>
        <w:rPr>
          <w:bCs/>
          <w:color w:val="auto"/>
          <w:sz w:val="18"/>
          <w:szCs w:val="18"/>
          <w:highlight w:val="none"/>
        </w:rPr>
      </w:pPr>
      <w:r>
        <w:rPr>
          <w:rFonts w:hint="eastAsia"/>
          <w:bCs/>
          <w:color w:val="auto"/>
          <w:sz w:val="18"/>
          <w:szCs w:val="18"/>
          <w:highlight w:val="none"/>
        </w:rPr>
        <w:t>（1）标的名称按照第二章采购需求中的名称填写，</w:t>
      </w:r>
      <w:r>
        <w:rPr>
          <w:color w:val="auto"/>
          <w:sz w:val="18"/>
          <w:szCs w:val="18"/>
          <w:highlight w:val="none"/>
        </w:rPr>
        <w:t>所属行业标明“/”的</w:t>
      </w:r>
      <w:r>
        <w:rPr>
          <w:rFonts w:hint="eastAsia"/>
          <w:bCs/>
          <w:color w:val="auto"/>
          <w:sz w:val="18"/>
          <w:szCs w:val="18"/>
          <w:highlight w:val="none"/>
        </w:rPr>
        <w:t>，无需在上表填写。</w:t>
      </w:r>
    </w:p>
    <w:p w14:paraId="32A6322D">
      <w:pPr>
        <w:spacing w:line="360" w:lineRule="auto"/>
        <w:jc w:val="left"/>
        <w:rPr>
          <w:bCs/>
          <w:color w:val="auto"/>
          <w:sz w:val="18"/>
          <w:szCs w:val="18"/>
          <w:highlight w:val="none"/>
        </w:rPr>
      </w:pPr>
      <w:r>
        <w:rPr>
          <w:rFonts w:hint="eastAsia"/>
          <w:bCs/>
          <w:color w:val="auto"/>
          <w:sz w:val="18"/>
          <w:szCs w:val="18"/>
          <w:highlight w:val="none"/>
        </w:rPr>
        <w:t>（</w:t>
      </w:r>
      <w:r>
        <w:rPr>
          <w:bCs/>
          <w:color w:val="auto"/>
          <w:sz w:val="18"/>
          <w:szCs w:val="18"/>
          <w:highlight w:val="none"/>
        </w:rPr>
        <w:t>2</w:t>
      </w:r>
      <w:r>
        <w:rPr>
          <w:rFonts w:hint="eastAsia"/>
          <w:bCs/>
          <w:color w:val="auto"/>
          <w:sz w:val="18"/>
          <w:szCs w:val="18"/>
          <w:highlight w:val="none"/>
        </w:rPr>
        <w:t>）如供应商为联合体或分包的，声明函中“项目名称”应填写联合体中小微企业承担的具体内容或者小微企业具体分包内容。</w:t>
      </w:r>
    </w:p>
    <w:p w14:paraId="2CDFB899">
      <w:pPr>
        <w:spacing w:line="360" w:lineRule="auto"/>
        <w:jc w:val="left"/>
        <w:rPr>
          <w:bCs/>
          <w:color w:val="auto"/>
          <w:sz w:val="18"/>
          <w:szCs w:val="18"/>
          <w:highlight w:val="none"/>
        </w:rPr>
      </w:pPr>
      <w:r>
        <w:rPr>
          <w:rFonts w:hint="eastAsia"/>
          <w:bCs/>
          <w:color w:val="auto"/>
          <w:sz w:val="18"/>
          <w:szCs w:val="18"/>
          <w:highlight w:val="none"/>
        </w:rPr>
        <w:t>（</w:t>
      </w:r>
      <w:r>
        <w:rPr>
          <w:bCs/>
          <w:color w:val="auto"/>
          <w:sz w:val="18"/>
          <w:szCs w:val="18"/>
          <w:highlight w:val="none"/>
        </w:rPr>
        <w:t>3</w:t>
      </w:r>
      <w:r>
        <w:rPr>
          <w:rFonts w:hint="eastAsia"/>
          <w:bCs/>
          <w:color w:val="auto"/>
          <w:sz w:val="18"/>
          <w:szCs w:val="18"/>
          <w:highlight w:val="none"/>
        </w:rPr>
        <w:t>）从业人员、营业收入、资产总额填报上一年度数据，无上一年度数据的新成立企业参照国务院批准的中小企业划分标准，根据企业自身情况如实判断。</w:t>
      </w:r>
    </w:p>
    <w:p w14:paraId="1DB98DAA">
      <w:pPr>
        <w:spacing w:line="360" w:lineRule="auto"/>
        <w:jc w:val="left"/>
        <w:rPr>
          <w:bCs/>
          <w:color w:val="auto"/>
          <w:sz w:val="18"/>
          <w:szCs w:val="18"/>
          <w:highlight w:val="none"/>
        </w:rPr>
      </w:pPr>
      <w:r>
        <w:rPr>
          <w:rFonts w:hint="eastAsia"/>
          <w:bCs/>
          <w:color w:val="auto"/>
          <w:sz w:val="18"/>
          <w:szCs w:val="18"/>
          <w:highlight w:val="none"/>
        </w:rPr>
        <w:t>（</w:t>
      </w:r>
      <w:r>
        <w:rPr>
          <w:bCs/>
          <w:color w:val="auto"/>
          <w:sz w:val="18"/>
          <w:szCs w:val="18"/>
          <w:highlight w:val="none"/>
        </w:rPr>
        <w:t>4</w:t>
      </w:r>
      <w:r>
        <w:rPr>
          <w:rFonts w:hint="eastAsia"/>
          <w:bCs/>
          <w:color w:val="auto"/>
          <w:sz w:val="18"/>
          <w:szCs w:val="18"/>
          <w:highlight w:val="none"/>
        </w:rPr>
        <w:t>）根据工业和信息化部对“从业人员”定义的答复，《民法典》、《公司法》等法律规定，分公司不具有法人资格，其民事责任由总公司承担。企业划型时，应将分公司的从业人员、营业收入、资产总额等指标数据纳入合并计算。</w:t>
      </w:r>
    </w:p>
    <w:p w14:paraId="727C828E">
      <w:pPr>
        <w:spacing w:line="360" w:lineRule="auto"/>
        <w:jc w:val="left"/>
        <w:rPr>
          <w:bCs/>
          <w:color w:val="auto"/>
          <w:sz w:val="18"/>
          <w:szCs w:val="18"/>
          <w:highlight w:val="none"/>
        </w:rPr>
      </w:pPr>
      <w:r>
        <w:rPr>
          <w:rFonts w:hint="eastAsia"/>
          <w:bCs/>
          <w:color w:val="auto"/>
          <w:sz w:val="18"/>
          <w:szCs w:val="18"/>
          <w:highlight w:val="none"/>
        </w:rPr>
        <w:t>（5）根据国际统计局《劳动工资统计报表制度》，从业人员数是指本单位工作，并取得工资活其他形式劳动报酬的人员数，是在岗职工、劳务派遣人员及其他从业人员之和。</w:t>
      </w:r>
    </w:p>
    <w:p w14:paraId="2DA96C96">
      <w:pPr>
        <w:spacing w:line="360" w:lineRule="auto"/>
        <w:jc w:val="left"/>
        <w:rPr>
          <w:bCs/>
          <w:color w:val="auto"/>
          <w:sz w:val="18"/>
          <w:szCs w:val="18"/>
          <w:highlight w:val="none"/>
        </w:rPr>
      </w:pPr>
      <w:r>
        <w:rPr>
          <w:rFonts w:hint="eastAsia"/>
          <w:bCs/>
          <w:color w:val="auto"/>
          <w:sz w:val="18"/>
          <w:szCs w:val="18"/>
          <w:highlight w:val="none"/>
        </w:rPr>
        <w:t>（</w:t>
      </w:r>
      <w:r>
        <w:rPr>
          <w:bCs/>
          <w:color w:val="auto"/>
          <w:sz w:val="18"/>
          <w:szCs w:val="18"/>
          <w:highlight w:val="none"/>
        </w:rPr>
        <w:t>6</w:t>
      </w:r>
      <w:r>
        <w:rPr>
          <w:rFonts w:hint="eastAsia"/>
          <w:bCs/>
          <w:color w:val="auto"/>
          <w:sz w:val="18"/>
          <w:szCs w:val="18"/>
          <w:highlight w:val="none"/>
        </w:rPr>
        <w:t>）本声明函由供应商填写，供应商应按中小企业划分标准《关于印发中小企业划型标准规定的通知》（工信部联企业〔2011〕300号</w:t>
      </w:r>
      <w:r>
        <w:rPr>
          <w:rFonts w:hint="eastAsia"/>
          <w:color w:val="auto"/>
          <w:sz w:val="18"/>
          <w:szCs w:val="18"/>
          <w:highlight w:val="none"/>
        </w:rPr>
        <w:t>以及《金融业企业划型标准规定》（银发〔2015〕309号）</w:t>
      </w:r>
      <w:r>
        <w:rPr>
          <w:rFonts w:hint="eastAsia"/>
          <w:bCs/>
          <w:color w:val="auto"/>
          <w:sz w:val="18"/>
          <w:szCs w:val="18"/>
          <w:highlight w:val="none"/>
        </w:rPr>
        <w:t>）判断是否为中小企业。</w:t>
      </w:r>
    </w:p>
    <w:p w14:paraId="57B778A7">
      <w:pPr>
        <w:spacing w:line="360" w:lineRule="auto"/>
        <w:jc w:val="left"/>
        <w:rPr>
          <w:bCs/>
          <w:color w:val="auto"/>
          <w:sz w:val="18"/>
          <w:szCs w:val="18"/>
          <w:highlight w:val="none"/>
        </w:rPr>
      </w:pPr>
      <w:r>
        <w:rPr>
          <w:rFonts w:hint="eastAsia"/>
          <w:bCs/>
          <w:color w:val="auto"/>
          <w:sz w:val="18"/>
          <w:szCs w:val="18"/>
          <w:highlight w:val="none"/>
        </w:rPr>
        <w:t>（</w:t>
      </w:r>
      <w:r>
        <w:rPr>
          <w:bCs/>
          <w:color w:val="auto"/>
          <w:sz w:val="18"/>
          <w:szCs w:val="18"/>
          <w:highlight w:val="none"/>
        </w:rPr>
        <w:t>7</w:t>
      </w:r>
      <w:r>
        <w:rPr>
          <w:rFonts w:hint="eastAsia"/>
          <w:bCs/>
          <w:color w:val="auto"/>
          <w:sz w:val="18"/>
          <w:szCs w:val="18"/>
          <w:highlight w:val="none"/>
        </w:rPr>
        <w:t>）供应商对《中小企业声明函》的真实性负责，如有虚假则需承担不利后果。依法享受中小企业优惠政策的，采购人或采购代理机构在公告成交结果时，同时公告其《中小企业声明函》，接受社会监督。</w:t>
      </w:r>
    </w:p>
    <w:p w14:paraId="349C876B">
      <w:pPr>
        <w:spacing w:line="360" w:lineRule="auto"/>
        <w:jc w:val="left"/>
        <w:rPr>
          <w:bCs/>
          <w:color w:val="auto"/>
          <w:sz w:val="18"/>
          <w:szCs w:val="18"/>
          <w:highlight w:val="none"/>
        </w:rPr>
      </w:pPr>
      <w:r>
        <w:rPr>
          <w:rFonts w:hint="eastAsia"/>
          <w:bCs/>
          <w:color w:val="auto"/>
          <w:sz w:val="18"/>
          <w:szCs w:val="18"/>
          <w:highlight w:val="none"/>
        </w:rPr>
        <w:t>（</w:t>
      </w:r>
      <w:r>
        <w:rPr>
          <w:bCs/>
          <w:color w:val="auto"/>
          <w:sz w:val="18"/>
          <w:szCs w:val="18"/>
          <w:highlight w:val="none"/>
        </w:rPr>
        <w:t>8</w:t>
      </w:r>
      <w:r>
        <w:rPr>
          <w:rFonts w:hint="eastAsia"/>
          <w:bCs/>
          <w:color w:val="auto"/>
          <w:sz w:val="18"/>
          <w:szCs w:val="18"/>
          <w:highlight w:val="none"/>
        </w:rPr>
        <w:t>）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7403EB29">
      <w:pPr>
        <w:snapToGrid w:val="0"/>
        <w:spacing w:before="50" w:after="120" w:afterLines="50"/>
        <w:jc w:val="left"/>
        <w:rPr>
          <w:color w:val="auto"/>
          <w:sz w:val="18"/>
          <w:szCs w:val="18"/>
          <w:highlight w:val="none"/>
        </w:rPr>
      </w:pPr>
    </w:p>
    <w:p w14:paraId="5561752F">
      <w:pPr>
        <w:snapToGrid w:val="0"/>
        <w:spacing w:before="50" w:after="120" w:afterLines="50"/>
        <w:jc w:val="left"/>
        <w:rPr>
          <w:color w:val="auto"/>
          <w:sz w:val="18"/>
          <w:szCs w:val="18"/>
          <w:highlight w:val="none"/>
        </w:rPr>
      </w:pPr>
      <w:r>
        <w:rPr>
          <w:rFonts w:hint="eastAsia"/>
          <w:color w:val="auto"/>
          <w:sz w:val="18"/>
          <w:szCs w:val="18"/>
          <w:highlight w:val="none"/>
        </w:rPr>
        <w:t>6</w:t>
      </w:r>
      <w:r>
        <w:rPr>
          <w:color w:val="auto"/>
          <w:sz w:val="18"/>
          <w:szCs w:val="18"/>
          <w:highlight w:val="none"/>
        </w:rPr>
        <w:t>.2监狱企业须提供最新一期《XX省监狱企业产品目录》或其他监狱企业证明材料。（非监狱企业无需提供）</w:t>
      </w:r>
    </w:p>
    <w:p w14:paraId="16D97E7E">
      <w:pPr>
        <w:snapToGrid w:val="0"/>
        <w:spacing w:before="50" w:after="120" w:afterLines="50"/>
        <w:jc w:val="left"/>
        <w:rPr>
          <w:color w:val="auto"/>
          <w:sz w:val="18"/>
          <w:szCs w:val="18"/>
          <w:highlight w:val="none"/>
        </w:rPr>
      </w:pPr>
    </w:p>
    <w:p w14:paraId="30D66943">
      <w:pPr>
        <w:widowControl/>
        <w:jc w:val="left"/>
        <w:rPr>
          <w:color w:val="auto"/>
          <w:sz w:val="18"/>
          <w:szCs w:val="18"/>
          <w:highlight w:val="none"/>
        </w:rPr>
      </w:pPr>
      <w:r>
        <w:rPr>
          <w:rFonts w:hint="eastAsia"/>
          <w:color w:val="auto"/>
          <w:sz w:val="18"/>
          <w:szCs w:val="18"/>
          <w:highlight w:val="none"/>
        </w:rPr>
        <w:t>6</w:t>
      </w:r>
      <w:r>
        <w:rPr>
          <w:color w:val="auto"/>
          <w:sz w:val="18"/>
          <w:szCs w:val="18"/>
          <w:highlight w:val="none"/>
        </w:rPr>
        <w:t>.3残疾人福利性单位须提供《残疾人福利性单位声明函》，格式如下。（非残疾人福利性单位无需提供）</w:t>
      </w:r>
    </w:p>
    <w:p w14:paraId="2C90FFBD">
      <w:pPr>
        <w:spacing w:line="360" w:lineRule="auto"/>
        <w:jc w:val="center"/>
        <w:rPr>
          <w:b/>
          <w:color w:val="auto"/>
          <w:sz w:val="18"/>
          <w:szCs w:val="18"/>
          <w:highlight w:val="none"/>
        </w:rPr>
      </w:pPr>
    </w:p>
    <w:p w14:paraId="51AFCBAD">
      <w:pPr>
        <w:spacing w:line="360" w:lineRule="auto"/>
        <w:jc w:val="center"/>
        <w:rPr>
          <w:b/>
          <w:color w:val="auto"/>
          <w:sz w:val="18"/>
          <w:szCs w:val="18"/>
          <w:highlight w:val="none"/>
        </w:rPr>
      </w:pPr>
      <w:r>
        <w:rPr>
          <w:b/>
          <w:color w:val="auto"/>
          <w:sz w:val="18"/>
          <w:szCs w:val="18"/>
          <w:highlight w:val="none"/>
        </w:rPr>
        <w:t>残疾人福利性单位声明函</w:t>
      </w:r>
    </w:p>
    <w:p w14:paraId="602599C4">
      <w:pPr>
        <w:spacing w:line="360" w:lineRule="auto"/>
        <w:ind w:firstLine="420"/>
        <w:jc w:val="left"/>
        <w:rPr>
          <w:color w:val="auto"/>
          <w:sz w:val="18"/>
          <w:szCs w:val="18"/>
          <w:highlight w:val="none"/>
        </w:rPr>
      </w:pPr>
      <w:r>
        <w:rPr>
          <w:color w:val="auto"/>
          <w:sz w:val="18"/>
          <w:szCs w:val="18"/>
          <w:highlight w:val="none"/>
        </w:rPr>
        <w:t>本单位郑重声明，根据《财政部 民政部 中国残疾人联合会关于促进残疾人就业政府采购政策的通知》（财库〔2017〕141号）的规定，本单位为符合条件的残疾人福利性单位，且本单位参加</w:t>
      </w:r>
      <w:r>
        <w:rPr>
          <w:color w:val="auto"/>
          <w:sz w:val="18"/>
          <w:szCs w:val="18"/>
          <w:highlight w:val="none"/>
          <w:u w:val="single"/>
        </w:rPr>
        <w:t xml:space="preserve">        </w:t>
      </w:r>
      <w:r>
        <w:rPr>
          <w:color w:val="auto"/>
          <w:sz w:val="18"/>
          <w:szCs w:val="18"/>
          <w:highlight w:val="none"/>
        </w:rPr>
        <w:t>单位的</w:t>
      </w:r>
      <w:r>
        <w:rPr>
          <w:color w:val="auto"/>
          <w:sz w:val="18"/>
          <w:szCs w:val="18"/>
          <w:highlight w:val="none"/>
          <w:u w:val="single"/>
        </w:rPr>
        <w:t xml:space="preserve">           </w:t>
      </w:r>
      <w:r>
        <w:rPr>
          <w:color w:val="auto"/>
          <w:sz w:val="18"/>
          <w:szCs w:val="18"/>
          <w:highlight w:val="none"/>
        </w:rPr>
        <w:t>项目采购活动提供本单位制造的货物（由本单位承担工程/提供服务），或者提供其他残疾人福利性单位制造的货物（不包括使用非残疾人福利性单位注册商标的货物）。</w:t>
      </w:r>
    </w:p>
    <w:p w14:paraId="1D88DFF4">
      <w:pPr>
        <w:spacing w:line="360" w:lineRule="auto"/>
        <w:ind w:firstLine="420"/>
        <w:rPr>
          <w:color w:val="auto"/>
          <w:sz w:val="18"/>
          <w:szCs w:val="18"/>
          <w:highlight w:val="none"/>
        </w:rPr>
      </w:pPr>
      <w:r>
        <w:rPr>
          <w:color w:val="auto"/>
          <w:sz w:val="18"/>
          <w:szCs w:val="18"/>
          <w:highlight w:val="none"/>
        </w:rPr>
        <w:t>本单位对上述声明的真实性负责。如有虚假，将依法承担相应责任。</w:t>
      </w:r>
    </w:p>
    <w:p w14:paraId="27044EC3">
      <w:pPr>
        <w:spacing w:line="360" w:lineRule="auto"/>
        <w:ind w:firstLine="420"/>
        <w:jc w:val="right"/>
        <w:rPr>
          <w:color w:val="auto"/>
          <w:spacing w:val="6"/>
          <w:sz w:val="18"/>
          <w:szCs w:val="18"/>
          <w:highlight w:val="none"/>
        </w:rPr>
      </w:pPr>
      <w:r>
        <w:rPr>
          <w:color w:val="auto"/>
          <w:spacing w:val="6"/>
          <w:sz w:val="18"/>
          <w:szCs w:val="18"/>
          <w:highlight w:val="none"/>
        </w:rPr>
        <w:t xml:space="preserve">  </w:t>
      </w:r>
      <w:r>
        <w:rPr>
          <w:rFonts w:hint="eastAsia"/>
          <w:color w:val="auto"/>
          <w:spacing w:val="6"/>
          <w:sz w:val="18"/>
          <w:szCs w:val="18"/>
          <w:highlight w:val="none"/>
        </w:rPr>
        <w:t xml:space="preserve">                                            </w:t>
      </w:r>
      <w:r>
        <w:rPr>
          <w:color w:val="auto"/>
          <w:spacing w:val="6"/>
          <w:sz w:val="18"/>
          <w:szCs w:val="18"/>
          <w:highlight w:val="none"/>
        </w:rPr>
        <w:t>单位名称</w:t>
      </w:r>
      <w:r>
        <w:rPr>
          <w:rFonts w:hint="eastAsia"/>
          <w:color w:val="auto"/>
          <w:sz w:val="18"/>
          <w:szCs w:val="18"/>
          <w:highlight w:val="none"/>
        </w:rPr>
        <w:t>(电子签章</w:t>
      </w:r>
      <w:r>
        <w:rPr>
          <w:color w:val="auto"/>
          <w:sz w:val="18"/>
          <w:szCs w:val="18"/>
          <w:highlight w:val="none"/>
        </w:rPr>
        <w:t>)</w:t>
      </w:r>
      <w:r>
        <w:rPr>
          <w:color w:val="auto"/>
          <w:spacing w:val="6"/>
          <w:sz w:val="18"/>
          <w:szCs w:val="18"/>
          <w:highlight w:val="none"/>
        </w:rPr>
        <w:t xml:space="preserve">：          </w:t>
      </w:r>
    </w:p>
    <w:p w14:paraId="6B4E4E60">
      <w:pPr>
        <w:spacing w:line="360" w:lineRule="auto"/>
        <w:ind w:firstLine="420"/>
        <w:jc w:val="right"/>
        <w:rPr>
          <w:color w:val="auto"/>
          <w:spacing w:val="6"/>
          <w:sz w:val="18"/>
          <w:szCs w:val="18"/>
          <w:highlight w:val="none"/>
        </w:rPr>
      </w:pPr>
      <w:r>
        <w:rPr>
          <w:color w:val="auto"/>
          <w:spacing w:val="6"/>
          <w:sz w:val="18"/>
          <w:szCs w:val="18"/>
          <w:highlight w:val="none"/>
        </w:rPr>
        <w:t xml:space="preserve"> </w:t>
      </w:r>
      <w:r>
        <w:rPr>
          <w:rFonts w:hint="eastAsia"/>
          <w:color w:val="auto"/>
          <w:spacing w:val="6"/>
          <w:sz w:val="18"/>
          <w:szCs w:val="18"/>
          <w:highlight w:val="none"/>
        </w:rPr>
        <w:t xml:space="preserve">                                                      </w:t>
      </w:r>
      <w:r>
        <w:rPr>
          <w:color w:val="auto"/>
          <w:spacing w:val="6"/>
          <w:sz w:val="18"/>
          <w:szCs w:val="18"/>
          <w:highlight w:val="none"/>
        </w:rPr>
        <w:t>日  期：</w:t>
      </w:r>
    </w:p>
    <w:p w14:paraId="3621BA47">
      <w:pPr>
        <w:spacing w:line="360" w:lineRule="auto"/>
        <w:rPr>
          <w:color w:val="auto"/>
          <w:sz w:val="18"/>
          <w:szCs w:val="18"/>
          <w:highlight w:val="none"/>
        </w:rPr>
      </w:pPr>
    </w:p>
    <w:p w14:paraId="46F403F1">
      <w:pPr>
        <w:snapToGrid w:val="0"/>
        <w:spacing w:before="50" w:after="120" w:afterLines="50"/>
        <w:jc w:val="left"/>
        <w:rPr>
          <w:color w:val="auto"/>
          <w:sz w:val="18"/>
          <w:szCs w:val="18"/>
          <w:highlight w:val="none"/>
        </w:rPr>
      </w:pPr>
    </w:p>
    <w:p w14:paraId="1A481FB3">
      <w:pPr>
        <w:pStyle w:val="7"/>
        <w:overflowPunct w:val="0"/>
        <w:ind w:firstLine="315" w:firstLineChars="175"/>
        <w:rPr>
          <w:color w:val="auto"/>
          <w:sz w:val="18"/>
          <w:szCs w:val="18"/>
          <w:highlight w:val="none"/>
        </w:rPr>
      </w:pPr>
    </w:p>
    <w:p w14:paraId="5BF4E620">
      <w:pPr>
        <w:snapToGrid w:val="0"/>
        <w:spacing w:before="50" w:after="120" w:afterLines="50" w:line="440" w:lineRule="exact"/>
        <w:jc w:val="left"/>
        <w:rPr>
          <w:b/>
          <w:color w:val="auto"/>
          <w:sz w:val="18"/>
          <w:szCs w:val="18"/>
          <w:highlight w:val="none"/>
        </w:rPr>
      </w:pPr>
      <w:r>
        <w:rPr>
          <w:b/>
          <w:color w:val="auto"/>
          <w:sz w:val="18"/>
          <w:szCs w:val="18"/>
          <w:highlight w:val="none"/>
        </w:rPr>
        <w:br w:type="page"/>
      </w:r>
      <w:r>
        <w:rPr>
          <w:rFonts w:hint="eastAsia"/>
          <w:color w:val="auto"/>
          <w:sz w:val="18"/>
          <w:szCs w:val="18"/>
          <w:highlight w:val="none"/>
        </w:rPr>
        <w:t>7</w:t>
      </w:r>
      <w:r>
        <w:rPr>
          <w:color w:val="auto"/>
          <w:sz w:val="18"/>
          <w:szCs w:val="18"/>
          <w:highlight w:val="none"/>
        </w:rPr>
        <w:t>．满足供应商特定资格条件的其他证明材料加盖供应商</w:t>
      </w:r>
      <w:r>
        <w:rPr>
          <w:rFonts w:hint="eastAsia"/>
          <w:color w:val="auto"/>
          <w:sz w:val="18"/>
          <w:szCs w:val="18"/>
          <w:highlight w:val="none"/>
        </w:rPr>
        <w:t>电子签章</w:t>
      </w:r>
      <w:r>
        <w:rPr>
          <w:color w:val="auto"/>
          <w:sz w:val="18"/>
          <w:szCs w:val="18"/>
          <w:highlight w:val="none"/>
        </w:rPr>
        <w:t>（按“评审方法及标准” “资格审查表”规定提供）。</w:t>
      </w:r>
      <w:r>
        <w:rPr>
          <w:rFonts w:hint="eastAsia"/>
          <w:b/>
          <w:color w:val="auto"/>
          <w:sz w:val="18"/>
          <w:szCs w:val="18"/>
          <w:highlight w:val="none"/>
        </w:rPr>
        <w:t>（如采购文件有要求时提供）</w:t>
      </w:r>
    </w:p>
    <w:p w14:paraId="5D2D3A22">
      <w:pPr>
        <w:pStyle w:val="197"/>
        <w:jc w:val="left"/>
        <w:rPr>
          <w:rFonts w:ascii="Times New Roman" w:hAnsi="Times New Roman"/>
          <w:color w:val="auto"/>
          <w:sz w:val="18"/>
          <w:szCs w:val="18"/>
          <w:highlight w:val="none"/>
        </w:rPr>
      </w:pPr>
    </w:p>
    <w:p w14:paraId="2B1C0265">
      <w:pPr>
        <w:pStyle w:val="197"/>
        <w:jc w:val="left"/>
        <w:rPr>
          <w:rFonts w:ascii="Times New Roman" w:hAnsi="Times New Roman"/>
          <w:color w:val="auto"/>
          <w:sz w:val="18"/>
          <w:szCs w:val="18"/>
          <w:highlight w:val="none"/>
        </w:rPr>
      </w:pPr>
      <w:r>
        <w:rPr>
          <w:rFonts w:hint="eastAsia" w:ascii="Times New Roman" w:hAnsi="Times New Roman"/>
          <w:color w:val="auto"/>
          <w:sz w:val="18"/>
          <w:szCs w:val="18"/>
          <w:highlight w:val="none"/>
        </w:rPr>
        <w:t>7.1有效的企业资质证书副本</w:t>
      </w:r>
      <w:r>
        <w:rPr>
          <w:rFonts w:hint="eastAsia"/>
          <w:color w:val="auto"/>
          <w:sz w:val="18"/>
          <w:szCs w:val="18"/>
          <w:highlight w:val="none"/>
        </w:rPr>
        <w:t>扫描件</w:t>
      </w:r>
      <w:r>
        <w:rPr>
          <w:rFonts w:ascii="Times New Roman" w:hAnsi="Times New Roman"/>
          <w:color w:val="auto"/>
          <w:sz w:val="18"/>
          <w:szCs w:val="18"/>
          <w:highlight w:val="none"/>
        </w:rPr>
        <w:t>加盖</w:t>
      </w:r>
      <w:r>
        <w:rPr>
          <w:color w:val="auto"/>
          <w:sz w:val="18"/>
          <w:szCs w:val="18"/>
          <w:highlight w:val="none"/>
        </w:rPr>
        <w:t>供应商</w:t>
      </w:r>
      <w:bookmarkStart w:id="1095" w:name="_Hlk89190867"/>
      <w:r>
        <w:rPr>
          <w:rFonts w:hint="eastAsia"/>
          <w:color w:val="auto"/>
          <w:sz w:val="18"/>
          <w:szCs w:val="18"/>
          <w:highlight w:val="none"/>
        </w:rPr>
        <w:t>电子签章</w:t>
      </w:r>
      <w:bookmarkEnd w:id="1095"/>
    </w:p>
    <w:p w14:paraId="023B13C5">
      <w:pPr>
        <w:pStyle w:val="27"/>
        <w:tabs>
          <w:tab w:val="left" w:pos="2127"/>
        </w:tabs>
        <w:spacing w:line="340" w:lineRule="exact"/>
        <w:rPr>
          <w:rFonts w:ascii="Times New Roman" w:hAnsi="Times New Roman"/>
          <w:color w:val="auto"/>
          <w:sz w:val="18"/>
          <w:szCs w:val="18"/>
          <w:highlight w:val="none"/>
        </w:rPr>
      </w:pPr>
      <w:r>
        <w:rPr>
          <w:rFonts w:hint="eastAsia" w:ascii="Times New Roman" w:hAnsi="Times New Roman" w:cs="Times New Roman"/>
          <w:color w:val="auto"/>
          <w:sz w:val="18"/>
          <w:szCs w:val="18"/>
          <w:highlight w:val="none"/>
        </w:rPr>
        <w:t>7</w:t>
      </w:r>
      <w:r>
        <w:rPr>
          <w:rFonts w:ascii="Times New Roman" w:hAnsi="Times New Roman" w:cs="Times New Roman"/>
          <w:color w:val="auto"/>
          <w:sz w:val="18"/>
          <w:szCs w:val="18"/>
          <w:highlight w:val="none"/>
        </w:rPr>
        <w:t>.</w:t>
      </w:r>
      <w:bookmarkStart w:id="1096" w:name="_Toc172364026"/>
      <w:bookmarkStart w:id="1097" w:name="_Toc153274948"/>
      <w:bookmarkStart w:id="1098" w:name="_Toc251052200"/>
      <w:bookmarkStart w:id="1099" w:name="_Toc173579006"/>
      <w:bookmarkStart w:id="1100" w:name="_Toc389065364"/>
      <w:r>
        <w:rPr>
          <w:rFonts w:hint="eastAsia" w:ascii="Times New Roman" w:hAnsi="Times New Roman" w:cs="Times New Roman"/>
          <w:color w:val="auto"/>
          <w:sz w:val="18"/>
          <w:szCs w:val="18"/>
          <w:highlight w:val="none"/>
        </w:rPr>
        <w:t>2</w:t>
      </w:r>
      <w:r>
        <w:rPr>
          <w:rFonts w:ascii="Times New Roman" w:hAnsi="Times New Roman"/>
          <w:color w:val="auto"/>
          <w:sz w:val="18"/>
          <w:szCs w:val="18"/>
          <w:highlight w:val="none"/>
        </w:rPr>
        <w:t>项目经理简历表</w:t>
      </w:r>
      <w:bookmarkEnd w:id="1096"/>
      <w:bookmarkEnd w:id="1097"/>
      <w:bookmarkEnd w:id="1098"/>
      <w:bookmarkEnd w:id="1099"/>
      <w:bookmarkEnd w:id="1100"/>
    </w:p>
    <w:tbl>
      <w:tblPr>
        <w:tblStyle w:val="54"/>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3858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vAlign w:val="center"/>
          </w:tcPr>
          <w:p w14:paraId="2F7220B8">
            <w:pPr>
              <w:jc w:val="center"/>
              <w:rPr>
                <w:color w:val="auto"/>
                <w:sz w:val="18"/>
                <w:szCs w:val="18"/>
                <w:highlight w:val="none"/>
              </w:rPr>
            </w:pPr>
            <w:r>
              <w:rPr>
                <w:color w:val="auto"/>
                <w:sz w:val="18"/>
                <w:szCs w:val="18"/>
                <w:highlight w:val="none"/>
              </w:rPr>
              <w:t>姓名</w:t>
            </w:r>
          </w:p>
        </w:tc>
        <w:tc>
          <w:tcPr>
            <w:tcW w:w="2340" w:type="dxa"/>
            <w:gridSpan w:val="3"/>
            <w:vAlign w:val="center"/>
          </w:tcPr>
          <w:p w14:paraId="485DF682">
            <w:pPr>
              <w:jc w:val="center"/>
              <w:rPr>
                <w:color w:val="auto"/>
                <w:sz w:val="18"/>
                <w:szCs w:val="18"/>
                <w:highlight w:val="none"/>
              </w:rPr>
            </w:pPr>
          </w:p>
        </w:tc>
        <w:tc>
          <w:tcPr>
            <w:tcW w:w="1893" w:type="dxa"/>
            <w:gridSpan w:val="2"/>
            <w:vAlign w:val="center"/>
          </w:tcPr>
          <w:p w14:paraId="57C6A487">
            <w:pPr>
              <w:jc w:val="center"/>
              <w:rPr>
                <w:color w:val="auto"/>
                <w:sz w:val="18"/>
                <w:szCs w:val="18"/>
                <w:highlight w:val="none"/>
              </w:rPr>
            </w:pPr>
            <w:r>
              <w:rPr>
                <w:color w:val="auto"/>
                <w:sz w:val="18"/>
                <w:szCs w:val="18"/>
                <w:highlight w:val="none"/>
              </w:rPr>
              <w:t>性别</w:t>
            </w:r>
          </w:p>
        </w:tc>
        <w:tc>
          <w:tcPr>
            <w:tcW w:w="1585" w:type="dxa"/>
            <w:gridSpan w:val="2"/>
            <w:vAlign w:val="center"/>
          </w:tcPr>
          <w:p w14:paraId="7AA2BDEF">
            <w:pPr>
              <w:jc w:val="center"/>
              <w:rPr>
                <w:color w:val="auto"/>
                <w:sz w:val="18"/>
                <w:szCs w:val="18"/>
                <w:highlight w:val="none"/>
              </w:rPr>
            </w:pPr>
          </w:p>
        </w:tc>
        <w:tc>
          <w:tcPr>
            <w:tcW w:w="1108" w:type="dxa"/>
            <w:gridSpan w:val="2"/>
            <w:vAlign w:val="center"/>
          </w:tcPr>
          <w:p w14:paraId="505D736F">
            <w:pPr>
              <w:jc w:val="center"/>
              <w:rPr>
                <w:color w:val="auto"/>
                <w:sz w:val="18"/>
                <w:szCs w:val="18"/>
                <w:highlight w:val="none"/>
              </w:rPr>
            </w:pPr>
            <w:r>
              <w:rPr>
                <w:color w:val="auto"/>
                <w:sz w:val="18"/>
                <w:szCs w:val="18"/>
                <w:highlight w:val="none"/>
              </w:rPr>
              <w:t>年龄</w:t>
            </w:r>
          </w:p>
        </w:tc>
        <w:tc>
          <w:tcPr>
            <w:tcW w:w="1276" w:type="dxa"/>
            <w:vAlign w:val="center"/>
          </w:tcPr>
          <w:p w14:paraId="2C223BAC">
            <w:pPr>
              <w:jc w:val="center"/>
              <w:rPr>
                <w:color w:val="auto"/>
                <w:sz w:val="18"/>
                <w:szCs w:val="18"/>
                <w:highlight w:val="none"/>
              </w:rPr>
            </w:pPr>
          </w:p>
        </w:tc>
      </w:tr>
      <w:tr w14:paraId="6BAD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vAlign w:val="center"/>
          </w:tcPr>
          <w:p w14:paraId="2325EDC9">
            <w:pPr>
              <w:jc w:val="center"/>
              <w:rPr>
                <w:color w:val="auto"/>
                <w:sz w:val="18"/>
                <w:szCs w:val="18"/>
                <w:highlight w:val="none"/>
              </w:rPr>
            </w:pPr>
            <w:r>
              <w:rPr>
                <w:color w:val="auto"/>
                <w:sz w:val="18"/>
                <w:szCs w:val="18"/>
                <w:highlight w:val="none"/>
              </w:rPr>
              <w:t>职务</w:t>
            </w:r>
          </w:p>
        </w:tc>
        <w:tc>
          <w:tcPr>
            <w:tcW w:w="2340" w:type="dxa"/>
            <w:gridSpan w:val="3"/>
            <w:vAlign w:val="center"/>
          </w:tcPr>
          <w:p w14:paraId="01200726">
            <w:pPr>
              <w:jc w:val="center"/>
              <w:rPr>
                <w:color w:val="auto"/>
                <w:sz w:val="18"/>
                <w:szCs w:val="18"/>
                <w:highlight w:val="none"/>
              </w:rPr>
            </w:pPr>
          </w:p>
        </w:tc>
        <w:tc>
          <w:tcPr>
            <w:tcW w:w="1893" w:type="dxa"/>
            <w:gridSpan w:val="2"/>
            <w:vAlign w:val="center"/>
          </w:tcPr>
          <w:p w14:paraId="44BEE916">
            <w:pPr>
              <w:jc w:val="center"/>
              <w:rPr>
                <w:color w:val="auto"/>
                <w:sz w:val="18"/>
                <w:szCs w:val="18"/>
                <w:highlight w:val="none"/>
              </w:rPr>
            </w:pPr>
            <w:r>
              <w:rPr>
                <w:color w:val="auto"/>
                <w:sz w:val="18"/>
                <w:szCs w:val="18"/>
                <w:highlight w:val="none"/>
              </w:rPr>
              <w:t>职称</w:t>
            </w:r>
          </w:p>
        </w:tc>
        <w:tc>
          <w:tcPr>
            <w:tcW w:w="1585" w:type="dxa"/>
            <w:gridSpan w:val="2"/>
            <w:vAlign w:val="center"/>
          </w:tcPr>
          <w:p w14:paraId="6B00D83E">
            <w:pPr>
              <w:jc w:val="center"/>
              <w:rPr>
                <w:color w:val="auto"/>
                <w:sz w:val="18"/>
                <w:szCs w:val="18"/>
                <w:highlight w:val="none"/>
              </w:rPr>
            </w:pPr>
          </w:p>
        </w:tc>
        <w:tc>
          <w:tcPr>
            <w:tcW w:w="1108" w:type="dxa"/>
            <w:gridSpan w:val="2"/>
            <w:vAlign w:val="center"/>
          </w:tcPr>
          <w:p w14:paraId="1A74B35E">
            <w:pPr>
              <w:jc w:val="center"/>
              <w:rPr>
                <w:color w:val="auto"/>
                <w:sz w:val="18"/>
                <w:szCs w:val="18"/>
                <w:highlight w:val="none"/>
              </w:rPr>
            </w:pPr>
            <w:r>
              <w:rPr>
                <w:color w:val="auto"/>
                <w:sz w:val="18"/>
                <w:szCs w:val="18"/>
                <w:highlight w:val="none"/>
              </w:rPr>
              <w:t>学历</w:t>
            </w:r>
          </w:p>
        </w:tc>
        <w:tc>
          <w:tcPr>
            <w:tcW w:w="1276" w:type="dxa"/>
            <w:vAlign w:val="center"/>
          </w:tcPr>
          <w:p w14:paraId="0A11E5E8">
            <w:pPr>
              <w:jc w:val="center"/>
              <w:rPr>
                <w:color w:val="auto"/>
                <w:sz w:val="18"/>
                <w:szCs w:val="18"/>
                <w:highlight w:val="none"/>
              </w:rPr>
            </w:pPr>
          </w:p>
        </w:tc>
      </w:tr>
      <w:tr w14:paraId="15F65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vAlign w:val="center"/>
          </w:tcPr>
          <w:p w14:paraId="0254F374">
            <w:pPr>
              <w:jc w:val="center"/>
              <w:rPr>
                <w:color w:val="auto"/>
                <w:sz w:val="18"/>
                <w:szCs w:val="18"/>
                <w:highlight w:val="none"/>
              </w:rPr>
            </w:pPr>
            <w:r>
              <w:rPr>
                <w:color w:val="auto"/>
                <w:sz w:val="18"/>
                <w:szCs w:val="18"/>
                <w:highlight w:val="none"/>
              </w:rPr>
              <w:t>参加工作时间</w:t>
            </w:r>
          </w:p>
        </w:tc>
        <w:tc>
          <w:tcPr>
            <w:tcW w:w="1893" w:type="dxa"/>
            <w:gridSpan w:val="2"/>
            <w:vAlign w:val="center"/>
          </w:tcPr>
          <w:p w14:paraId="100C4864">
            <w:pPr>
              <w:jc w:val="center"/>
              <w:rPr>
                <w:color w:val="auto"/>
                <w:sz w:val="18"/>
                <w:szCs w:val="18"/>
                <w:highlight w:val="none"/>
              </w:rPr>
            </w:pPr>
          </w:p>
        </w:tc>
        <w:tc>
          <w:tcPr>
            <w:tcW w:w="2693" w:type="dxa"/>
            <w:gridSpan w:val="4"/>
            <w:vAlign w:val="center"/>
          </w:tcPr>
          <w:p w14:paraId="4241CDFE">
            <w:pPr>
              <w:jc w:val="center"/>
              <w:rPr>
                <w:color w:val="auto"/>
                <w:sz w:val="18"/>
                <w:szCs w:val="18"/>
                <w:highlight w:val="none"/>
              </w:rPr>
            </w:pPr>
            <w:r>
              <w:rPr>
                <w:color w:val="auto"/>
                <w:sz w:val="18"/>
                <w:szCs w:val="18"/>
                <w:highlight w:val="none"/>
              </w:rPr>
              <w:t>担任项目经理年限</w:t>
            </w:r>
          </w:p>
        </w:tc>
        <w:tc>
          <w:tcPr>
            <w:tcW w:w="1276" w:type="dxa"/>
            <w:vAlign w:val="center"/>
          </w:tcPr>
          <w:p w14:paraId="71885373">
            <w:pPr>
              <w:jc w:val="center"/>
              <w:rPr>
                <w:color w:val="auto"/>
                <w:sz w:val="18"/>
                <w:szCs w:val="18"/>
                <w:highlight w:val="none"/>
              </w:rPr>
            </w:pPr>
          </w:p>
        </w:tc>
      </w:tr>
      <w:tr w14:paraId="5FA47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vAlign w:val="center"/>
          </w:tcPr>
          <w:p w14:paraId="273D5492">
            <w:pPr>
              <w:jc w:val="center"/>
              <w:rPr>
                <w:color w:val="auto"/>
                <w:sz w:val="18"/>
                <w:szCs w:val="18"/>
                <w:highlight w:val="none"/>
              </w:rPr>
            </w:pPr>
            <w:r>
              <w:rPr>
                <w:color w:val="auto"/>
                <w:sz w:val="18"/>
                <w:szCs w:val="18"/>
                <w:highlight w:val="none"/>
              </w:rPr>
              <w:t>建造师注册编号</w:t>
            </w:r>
          </w:p>
        </w:tc>
        <w:tc>
          <w:tcPr>
            <w:tcW w:w="5862" w:type="dxa"/>
            <w:gridSpan w:val="7"/>
            <w:vAlign w:val="center"/>
          </w:tcPr>
          <w:p w14:paraId="76E238A8">
            <w:pPr>
              <w:jc w:val="center"/>
              <w:rPr>
                <w:color w:val="auto"/>
                <w:sz w:val="18"/>
                <w:szCs w:val="18"/>
                <w:highlight w:val="none"/>
              </w:rPr>
            </w:pPr>
          </w:p>
        </w:tc>
      </w:tr>
      <w:tr w14:paraId="6316C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vAlign w:val="center"/>
          </w:tcPr>
          <w:p w14:paraId="43EEB3AF">
            <w:pPr>
              <w:jc w:val="center"/>
              <w:rPr>
                <w:color w:val="auto"/>
                <w:sz w:val="18"/>
                <w:szCs w:val="18"/>
                <w:highlight w:val="none"/>
              </w:rPr>
            </w:pPr>
            <w:r>
              <w:rPr>
                <w:color w:val="auto"/>
                <w:sz w:val="18"/>
                <w:szCs w:val="18"/>
                <w:highlight w:val="none"/>
              </w:rPr>
              <w:t>注册专业、等级</w:t>
            </w:r>
          </w:p>
        </w:tc>
        <w:tc>
          <w:tcPr>
            <w:tcW w:w="5862" w:type="dxa"/>
            <w:gridSpan w:val="7"/>
            <w:vAlign w:val="center"/>
          </w:tcPr>
          <w:p w14:paraId="37701D09">
            <w:pPr>
              <w:jc w:val="center"/>
              <w:rPr>
                <w:color w:val="auto"/>
                <w:sz w:val="18"/>
                <w:szCs w:val="18"/>
                <w:highlight w:val="none"/>
              </w:rPr>
            </w:pPr>
          </w:p>
        </w:tc>
      </w:tr>
      <w:tr w14:paraId="30CD8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vAlign w:val="center"/>
          </w:tcPr>
          <w:p w14:paraId="7B100645">
            <w:pPr>
              <w:jc w:val="center"/>
              <w:rPr>
                <w:color w:val="auto"/>
                <w:sz w:val="18"/>
                <w:szCs w:val="18"/>
                <w:highlight w:val="none"/>
              </w:rPr>
            </w:pPr>
            <w:r>
              <w:rPr>
                <w:color w:val="auto"/>
                <w:sz w:val="18"/>
                <w:szCs w:val="18"/>
                <w:highlight w:val="none"/>
              </w:rPr>
              <w:t>在建和已完工程项目情况</w:t>
            </w:r>
          </w:p>
        </w:tc>
      </w:tr>
      <w:tr w14:paraId="4EBD8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vAlign w:val="center"/>
          </w:tcPr>
          <w:p w14:paraId="57B7F73A">
            <w:pPr>
              <w:jc w:val="center"/>
              <w:rPr>
                <w:color w:val="auto"/>
                <w:sz w:val="18"/>
                <w:szCs w:val="18"/>
                <w:highlight w:val="none"/>
              </w:rPr>
            </w:pPr>
            <w:r>
              <w:rPr>
                <w:color w:val="auto"/>
                <w:sz w:val="18"/>
                <w:szCs w:val="18"/>
                <w:highlight w:val="none"/>
              </w:rPr>
              <w:t>建设单位</w:t>
            </w:r>
          </w:p>
        </w:tc>
        <w:tc>
          <w:tcPr>
            <w:tcW w:w="1548" w:type="dxa"/>
            <w:vAlign w:val="center"/>
          </w:tcPr>
          <w:p w14:paraId="479446BC">
            <w:pPr>
              <w:jc w:val="center"/>
              <w:rPr>
                <w:color w:val="auto"/>
                <w:sz w:val="18"/>
                <w:szCs w:val="18"/>
                <w:highlight w:val="none"/>
              </w:rPr>
            </w:pPr>
            <w:r>
              <w:rPr>
                <w:color w:val="auto"/>
                <w:sz w:val="18"/>
                <w:szCs w:val="18"/>
                <w:highlight w:val="none"/>
              </w:rPr>
              <w:t>项目名称</w:t>
            </w:r>
          </w:p>
        </w:tc>
        <w:tc>
          <w:tcPr>
            <w:tcW w:w="1547" w:type="dxa"/>
            <w:gridSpan w:val="2"/>
            <w:vAlign w:val="center"/>
          </w:tcPr>
          <w:p w14:paraId="1E6A6BE5">
            <w:pPr>
              <w:jc w:val="center"/>
              <w:rPr>
                <w:color w:val="auto"/>
                <w:sz w:val="18"/>
                <w:szCs w:val="18"/>
                <w:highlight w:val="none"/>
              </w:rPr>
            </w:pPr>
            <w:r>
              <w:rPr>
                <w:color w:val="auto"/>
                <w:sz w:val="18"/>
                <w:szCs w:val="18"/>
                <w:highlight w:val="none"/>
              </w:rPr>
              <w:t>建设规模</w:t>
            </w:r>
          </w:p>
        </w:tc>
        <w:tc>
          <w:tcPr>
            <w:tcW w:w="1548" w:type="dxa"/>
            <w:gridSpan w:val="2"/>
            <w:vAlign w:val="center"/>
          </w:tcPr>
          <w:p w14:paraId="73BA029C">
            <w:pPr>
              <w:jc w:val="center"/>
              <w:rPr>
                <w:color w:val="auto"/>
                <w:sz w:val="18"/>
                <w:szCs w:val="18"/>
                <w:highlight w:val="none"/>
              </w:rPr>
            </w:pPr>
            <w:r>
              <w:rPr>
                <w:color w:val="auto"/>
                <w:sz w:val="18"/>
                <w:szCs w:val="18"/>
                <w:highlight w:val="none"/>
              </w:rPr>
              <w:t>开、竣工日期</w:t>
            </w:r>
          </w:p>
        </w:tc>
        <w:tc>
          <w:tcPr>
            <w:tcW w:w="1547" w:type="dxa"/>
            <w:gridSpan w:val="2"/>
            <w:vAlign w:val="center"/>
          </w:tcPr>
          <w:p w14:paraId="42031362">
            <w:pPr>
              <w:jc w:val="center"/>
              <w:rPr>
                <w:color w:val="auto"/>
                <w:sz w:val="18"/>
                <w:szCs w:val="18"/>
                <w:highlight w:val="none"/>
              </w:rPr>
            </w:pPr>
            <w:r>
              <w:rPr>
                <w:color w:val="auto"/>
                <w:sz w:val="18"/>
                <w:szCs w:val="18"/>
                <w:highlight w:val="none"/>
              </w:rPr>
              <w:t>在建或已完</w:t>
            </w:r>
          </w:p>
        </w:tc>
        <w:tc>
          <w:tcPr>
            <w:tcW w:w="1548" w:type="dxa"/>
            <w:gridSpan w:val="2"/>
            <w:vAlign w:val="center"/>
          </w:tcPr>
          <w:p w14:paraId="0B0B620F">
            <w:pPr>
              <w:jc w:val="center"/>
              <w:rPr>
                <w:color w:val="auto"/>
                <w:sz w:val="18"/>
                <w:szCs w:val="18"/>
                <w:highlight w:val="none"/>
              </w:rPr>
            </w:pPr>
            <w:r>
              <w:rPr>
                <w:color w:val="auto"/>
                <w:sz w:val="18"/>
                <w:szCs w:val="18"/>
                <w:highlight w:val="none"/>
              </w:rPr>
              <w:t>工程质量</w:t>
            </w:r>
          </w:p>
        </w:tc>
      </w:tr>
      <w:tr w14:paraId="0B04C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5852D797">
            <w:pPr>
              <w:jc w:val="center"/>
              <w:rPr>
                <w:color w:val="auto"/>
                <w:sz w:val="18"/>
                <w:szCs w:val="18"/>
                <w:highlight w:val="none"/>
              </w:rPr>
            </w:pPr>
          </w:p>
        </w:tc>
        <w:tc>
          <w:tcPr>
            <w:tcW w:w="1548" w:type="dxa"/>
            <w:vAlign w:val="center"/>
          </w:tcPr>
          <w:p w14:paraId="7D258EDF">
            <w:pPr>
              <w:jc w:val="center"/>
              <w:rPr>
                <w:color w:val="auto"/>
                <w:sz w:val="18"/>
                <w:szCs w:val="18"/>
                <w:highlight w:val="none"/>
              </w:rPr>
            </w:pPr>
          </w:p>
        </w:tc>
        <w:tc>
          <w:tcPr>
            <w:tcW w:w="1547" w:type="dxa"/>
            <w:gridSpan w:val="2"/>
            <w:vAlign w:val="center"/>
          </w:tcPr>
          <w:p w14:paraId="24E70B1B">
            <w:pPr>
              <w:jc w:val="center"/>
              <w:rPr>
                <w:color w:val="auto"/>
                <w:sz w:val="18"/>
                <w:szCs w:val="18"/>
                <w:highlight w:val="none"/>
              </w:rPr>
            </w:pPr>
          </w:p>
        </w:tc>
        <w:tc>
          <w:tcPr>
            <w:tcW w:w="1548" w:type="dxa"/>
            <w:gridSpan w:val="2"/>
            <w:vAlign w:val="center"/>
          </w:tcPr>
          <w:p w14:paraId="4EA1DBA8">
            <w:pPr>
              <w:jc w:val="center"/>
              <w:rPr>
                <w:color w:val="auto"/>
                <w:sz w:val="18"/>
                <w:szCs w:val="18"/>
                <w:highlight w:val="none"/>
              </w:rPr>
            </w:pPr>
          </w:p>
        </w:tc>
        <w:tc>
          <w:tcPr>
            <w:tcW w:w="1547" w:type="dxa"/>
            <w:gridSpan w:val="2"/>
            <w:vAlign w:val="center"/>
          </w:tcPr>
          <w:p w14:paraId="3274957F">
            <w:pPr>
              <w:jc w:val="center"/>
              <w:rPr>
                <w:color w:val="auto"/>
                <w:sz w:val="18"/>
                <w:szCs w:val="18"/>
                <w:highlight w:val="none"/>
              </w:rPr>
            </w:pPr>
          </w:p>
        </w:tc>
        <w:tc>
          <w:tcPr>
            <w:tcW w:w="1548" w:type="dxa"/>
            <w:gridSpan w:val="2"/>
            <w:vAlign w:val="center"/>
          </w:tcPr>
          <w:p w14:paraId="3D97FE55">
            <w:pPr>
              <w:jc w:val="center"/>
              <w:rPr>
                <w:color w:val="auto"/>
                <w:sz w:val="18"/>
                <w:szCs w:val="18"/>
                <w:highlight w:val="none"/>
              </w:rPr>
            </w:pPr>
          </w:p>
        </w:tc>
      </w:tr>
      <w:tr w14:paraId="5594C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51D9CFF1">
            <w:pPr>
              <w:jc w:val="center"/>
              <w:rPr>
                <w:color w:val="auto"/>
                <w:sz w:val="18"/>
                <w:szCs w:val="18"/>
                <w:highlight w:val="none"/>
              </w:rPr>
            </w:pPr>
          </w:p>
        </w:tc>
        <w:tc>
          <w:tcPr>
            <w:tcW w:w="1548" w:type="dxa"/>
            <w:vAlign w:val="center"/>
          </w:tcPr>
          <w:p w14:paraId="2C0B2DEA">
            <w:pPr>
              <w:jc w:val="center"/>
              <w:rPr>
                <w:color w:val="auto"/>
                <w:sz w:val="18"/>
                <w:szCs w:val="18"/>
                <w:highlight w:val="none"/>
              </w:rPr>
            </w:pPr>
          </w:p>
        </w:tc>
        <w:tc>
          <w:tcPr>
            <w:tcW w:w="1547" w:type="dxa"/>
            <w:gridSpan w:val="2"/>
            <w:vAlign w:val="center"/>
          </w:tcPr>
          <w:p w14:paraId="43ED29EC">
            <w:pPr>
              <w:jc w:val="center"/>
              <w:rPr>
                <w:color w:val="auto"/>
                <w:sz w:val="18"/>
                <w:szCs w:val="18"/>
                <w:highlight w:val="none"/>
              </w:rPr>
            </w:pPr>
          </w:p>
        </w:tc>
        <w:tc>
          <w:tcPr>
            <w:tcW w:w="1548" w:type="dxa"/>
            <w:gridSpan w:val="2"/>
            <w:vAlign w:val="center"/>
          </w:tcPr>
          <w:p w14:paraId="7C6E1A3F">
            <w:pPr>
              <w:jc w:val="center"/>
              <w:rPr>
                <w:color w:val="auto"/>
                <w:sz w:val="18"/>
                <w:szCs w:val="18"/>
                <w:highlight w:val="none"/>
              </w:rPr>
            </w:pPr>
          </w:p>
        </w:tc>
        <w:tc>
          <w:tcPr>
            <w:tcW w:w="1547" w:type="dxa"/>
            <w:gridSpan w:val="2"/>
            <w:vAlign w:val="center"/>
          </w:tcPr>
          <w:p w14:paraId="26F1E916">
            <w:pPr>
              <w:jc w:val="center"/>
              <w:rPr>
                <w:color w:val="auto"/>
                <w:sz w:val="18"/>
                <w:szCs w:val="18"/>
                <w:highlight w:val="none"/>
              </w:rPr>
            </w:pPr>
          </w:p>
        </w:tc>
        <w:tc>
          <w:tcPr>
            <w:tcW w:w="1548" w:type="dxa"/>
            <w:gridSpan w:val="2"/>
            <w:vAlign w:val="center"/>
          </w:tcPr>
          <w:p w14:paraId="2987B0C2">
            <w:pPr>
              <w:jc w:val="center"/>
              <w:rPr>
                <w:color w:val="auto"/>
                <w:sz w:val="18"/>
                <w:szCs w:val="18"/>
                <w:highlight w:val="none"/>
              </w:rPr>
            </w:pPr>
          </w:p>
        </w:tc>
      </w:tr>
      <w:tr w14:paraId="5059A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48651D29">
            <w:pPr>
              <w:jc w:val="center"/>
              <w:rPr>
                <w:color w:val="auto"/>
                <w:sz w:val="18"/>
                <w:szCs w:val="18"/>
                <w:highlight w:val="none"/>
              </w:rPr>
            </w:pPr>
          </w:p>
        </w:tc>
        <w:tc>
          <w:tcPr>
            <w:tcW w:w="1548" w:type="dxa"/>
            <w:vAlign w:val="center"/>
          </w:tcPr>
          <w:p w14:paraId="6A1C9332">
            <w:pPr>
              <w:jc w:val="center"/>
              <w:rPr>
                <w:color w:val="auto"/>
                <w:sz w:val="18"/>
                <w:szCs w:val="18"/>
                <w:highlight w:val="none"/>
              </w:rPr>
            </w:pPr>
          </w:p>
        </w:tc>
        <w:tc>
          <w:tcPr>
            <w:tcW w:w="1547" w:type="dxa"/>
            <w:gridSpan w:val="2"/>
            <w:vAlign w:val="center"/>
          </w:tcPr>
          <w:p w14:paraId="6547D52E">
            <w:pPr>
              <w:jc w:val="center"/>
              <w:rPr>
                <w:color w:val="auto"/>
                <w:sz w:val="18"/>
                <w:szCs w:val="18"/>
                <w:highlight w:val="none"/>
              </w:rPr>
            </w:pPr>
          </w:p>
        </w:tc>
        <w:tc>
          <w:tcPr>
            <w:tcW w:w="1548" w:type="dxa"/>
            <w:gridSpan w:val="2"/>
            <w:vAlign w:val="center"/>
          </w:tcPr>
          <w:p w14:paraId="0FCA34C2">
            <w:pPr>
              <w:jc w:val="center"/>
              <w:rPr>
                <w:color w:val="auto"/>
                <w:sz w:val="18"/>
                <w:szCs w:val="18"/>
                <w:highlight w:val="none"/>
              </w:rPr>
            </w:pPr>
          </w:p>
        </w:tc>
        <w:tc>
          <w:tcPr>
            <w:tcW w:w="1547" w:type="dxa"/>
            <w:gridSpan w:val="2"/>
            <w:vAlign w:val="center"/>
          </w:tcPr>
          <w:p w14:paraId="5B56B14B">
            <w:pPr>
              <w:jc w:val="center"/>
              <w:rPr>
                <w:color w:val="auto"/>
                <w:sz w:val="18"/>
                <w:szCs w:val="18"/>
                <w:highlight w:val="none"/>
              </w:rPr>
            </w:pPr>
          </w:p>
        </w:tc>
        <w:tc>
          <w:tcPr>
            <w:tcW w:w="1548" w:type="dxa"/>
            <w:gridSpan w:val="2"/>
            <w:vAlign w:val="center"/>
          </w:tcPr>
          <w:p w14:paraId="27DC7AA4">
            <w:pPr>
              <w:jc w:val="center"/>
              <w:rPr>
                <w:color w:val="auto"/>
                <w:sz w:val="18"/>
                <w:szCs w:val="18"/>
                <w:highlight w:val="none"/>
              </w:rPr>
            </w:pPr>
          </w:p>
        </w:tc>
      </w:tr>
    </w:tbl>
    <w:p w14:paraId="406418BA">
      <w:pPr>
        <w:pStyle w:val="197"/>
        <w:rPr>
          <w:rFonts w:ascii="Times New Roman" w:hAnsi="Times New Roman"/>
          <w:color w:val="auto"/>
          <w:sz w:val="18"/>
          <w:szCs w:val="18"/>
          <w:highlight w:val="none"/>
        </w:rPr>
      </w:pPr>
      <w:r>
        <w:rPr>
          <w:rFonts w:ascii="Times New Roman" w:hAnsi="Times New Roman"/>
          <w:color w:val="auto"/>
          <w:sz w:val="18"/>
          <w:szCs w:val="18"/>
          <w:highlight w:val="none"/>
        </w:rPr>
        <w:t>备注：附项目经理注册建造师注册证书、安全生产考核合格证书（B证）、响应文件递交截止时间前6个月内</w:t>
      </w:r>
      <w:r>
        <w:rPr>
          <w:color w:val="auto"/>
          <w:sz w:val="18"/>
          <w:szCs w:val="18"/>
          <w:highlight w:val="none"/>
        </w:rPr>
        <w:t>任意</w:t>
      </w:r>
      <w:r>
        <w:rPr>
          <w:rFonts w:hint="eastAsia" w:ascii="Times New Roman" w:hAnsi="Times New Roman"/>
          <w:color w:val="auto"/>
          <w:sz w:val="18"/>
          <w:szCs w:val="18"/>
          <w:highlight w:val="none"/>
        </w:rPr>
        <w:t>1个月</w:t>
      </w:r>
      <w:r>
        <w:rPr>
          <w:rFonts w:ascii="Times New Roman" w:hAnsi="Times New Roman"/>
          <w:color w:val="auto"/>
          <w:sz w:val="18"/>
          <w:szCs w:val="18"/>
          <w:highlight w:val="none"/>
        </w:rPr>
        <w:t>在现任职单位依法缴纳社会保险的凭证和已完工程中标（成交）通知书、工程合同协议书</w:t>
      </w:r>
      <w:r>
        <w:rPr>
          <w:rFonts w:hint="eastAsia" w:ascii="Times New Roman" w:hAnsi="Times New Roman"/>
          <w:color w:val="auto"/>
          <w:sz w:val="18"/>
          <w:szCs w:val="18"/>
          <w:highlight w:val="none"/>
          <w:lang w:val="en-US" w:eastAsia="zh-CN"/>
        </w:rPr>
        <w:t>或</w:t>
      </w:r>
      <w:r>
        <w:rPr>
          <w:rFonts w:ascii="Times New Roman" w:hAnsi="Times New Roman"/>
          <w:color w:val="auto"/>
          <w:sz w:val="18"/>
          <w:szCs w:val="18"/>
          <w:highlight w:val="none"/>
        </w:rPr>
        <w:t>工程竣工验收证明材料，以及供应商认为需要增加的其他证明材料</w:t>
      </w:r>
      <w:r>
        <w:rPr>
          <w:rFonts w:hint="eastAsia"/>
          <w:color w:val="auto"/>
          <w:sz w:val="18"/>
          <w:szCs w:val="18"/>
          <w:highlight w:val="none"/>
        </w:rPr>
        <w:t>扫描件</w:t>
      </w:r>
      <w:r>
        <w:rPr>
          <w:rFonts w:ascii="Times New Roman" w:hAnsi="Times New Roman"/>
          <w:color w:val="auto"/>
          <w:sz w:val="18"/>
          <w:szCs w:val="18"/>
          <w:highlight w:val="none"/>
        </w:rPr>
        <w:t>，以上</w:t>
      </w:r>
      <w:r>
        <w:rPr>
          <w:rFonts w:hint="eastAsia"/>
          <w:color w:val="auto"/>
          <w:sz w:val="18"/>
          <w:szCs w:val="18"/>
          <w:highlight w:val="none"/>
        </w:rPr>
        <w:t>扫描件</w:t>
      </w:r>
      <w:r>
        <w:rPr>
          <w:rFonts w:ascii="Times New Roman" w:hAnsi="Times New Roman"/>
          <w:color w:val="auto"/>
          <w:sz w:val="18"/>
          <w:szCs w:val="18"/>
          <w:highlight w:val="none"/>
        </w:rPr>
        <w:t>须加盖</w:t>
      </w:r>
      <w:r>
        <w:rPr>
          <w:color w:val="auto"/>
          <w:sz w:val="18"/>
          <w:szCs w:val="18"/>
          <w:highlight w:val="none"/>
        </w:rPr>
        <w:t>供应商</w:t>
      </w:r>
      <w:r>
        <w:rPr>
          <w:rFonts w:hint="eastAsia"/>
          <w:color w:val="auto"/>
          <w:sz w:val="18"/>
          <w:szCs w:val="18"/>
          <w:highlight w:val="none"/>
        </w:rPr>
        <w:t>电子签章</w:t>
      </w:r>
      <w:r>
        <w:rPr>
          <w:rFonts w:ascii="Times New Roman" w:hAnsi="Times New Roman"/>
          <w:color w:val="auto"/>
          <w:sz w:val="18"/>
          <w:szCs w:val="18"/>
          <w:highlight w:val="none"/>
        </w:rPr>
        <w:t>。</w:t>
      </w:r>
      <w:bookmarkStart w:id="1101" w:name="_Toc173579007"/>
      <w:bookmarkStart w:id="1102" w:name="_Toc153274949"/>
      <w:bookmarkStart w:id="1103" w:name="_Toc251052219"/>
      <w:bookmarkStart w:id="1104" w:name="_Toc389065365"/>
      <w:bookmarkStart w:id="1105" w:name="_Toc172364027"/>
    </w:p>
    <w:p w14:paraId="5B157036">
      <w:pPr>
        <w:pStyle w:val="197"/>
        <w:rPr>
          <w:rFonts w:ascii="Times New Roman" w:hAnsi="Times New Roman"/>
          <w:color w:val="auto"/>
          <w:sz w:val="18"/>
          <w:szCs w:val="18"/>
          <w:highlight w:val="none"/>
        </w:rPr>
      </w:pPr>
      <w:r>
        <w:rPr>
          <w:rFonts w:hint="eastAsia" w:ascii="Times New Roman" w:hAnsi="Times New Roman"/>
          <w:color w:val="auto"/>
          <w:sz w:val="18"/>
          <w:szCs w:val="18"/>
          <w:highlight w:val="none"/>
        </w:rPr>
        <w:t>7</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3</w:t>
      </w:r>
      <w:r>
        <w:rPr>
          <w:rFonts w:ascii="Times New Roman" w:hAnsi="Times New Roman"/>
          <w:color w:val="auto"/>
          <w:sz w:val="18"/>
          <w:szCs w:val="18"/>
          <w:highlight w:val="none"/>
        </w:rPr>
        <w:t>项目技术负责人简历表</w:t>
      </w:r>
      <w:bookmarkEnd w:id="1101"/>
      <w:bookmarkEnd w:id="1102"/>
      <w:bookmarkEnd w:id="1103"/>
      <w:bookmarkEnd w:id="1104"/>
      <w:bookmarkEnd w:id="1105"/>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453CD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vAlign w:val="center"/>
          </w:tcPr>
          <w:p w14:paraId="607E9CE2">
            <w:pPr>
              <w:jc w:val="center"/>
              <w:rPr>
                <w:color w:val="auto"/>
                <w:sz w:val="18"/>
                <w:szCs w:val="18"/>
                <w:highlight w:val="none"/>
              </w:rPr>
            </w:pPr>
            <w:r>
              <w:rPr>
                <w:color w:val="auto"/>
                <w:sz w:val="18"/>
                <w:szCs w:val="18"/>
                <w:highlight w:val="none"/>
              </w:rPr>
              <w:t>姓名</w:t>
            </w:r>
          </w:p>
        </w:tc>
        <w:tc>
          <w:tcPr>
            <w:tcW w:w="2340" w:type="dxa"/>
            <w:gridSpan w:val="3"/>
            <w:vAlign w:val="center"/>
          </w:tcPr>
          <w:p w14:paraId="74557F10">
            <w:pPr>
              <w:jc w:val="center"/>
              <w:rPr>
                <w:color w:val="auto"/>
                <w:sz w:val="18"/>
                <w:szCs w:val="18"/>
                <w:highlight w:val="none"/>
              </w:rPr>
            </w:pPr>
          </w:p>
        </w:tc>
        <w:tc>
          <w:tcPr>
            <w:tcW w:w="1893" w:type="dxa"/>
            <w:gridSpan w:val="2"/>
            <w:vAlign w:val="center"/>
          </w:tcPr>
          <w:p w14:paraId="0EF87769">
            <w:pPr>
              <w:jc w:val="center"/>
              <w:rPr>
                <w:color w:val="auto"/>
                <w:sz w:val="18"/>
                <w:szCs w:val="18"/>
                <w:highlight w:val="none"/>
              </w:rPr>
            </w:pPr>
            <w:r>
              <w:rPr>
                <w:color w:val="auto"/>
                <w:sz w:val="18"/>
                <w:szCs w:val="18"/>
                <w:highlight w:val="none"/>
              </w:rPr>
              <w:t>性别</w:t>
            </w:r>
          </w:p>
        </w:tc>
        <w:tc>
          <w:tcPr>
            <w:tcW w:w="1585" w:type="dxa"/>
            <w:gridSpan w:val="2"/>
            <w:vAlign w:val="center"/>
          </w:tcPr>
          <w:p w14:paraId="6D09AE84">
            <w:pPr>
              <w:jc w:val="center"/>
              <w:rPr>
                <w:color w:val="auto"/>
                <w:sz w:val="18"/>
                <w:szCs w:val="18"/>
                <w:highlight w:val="none"/>
              </w:rPr>
            </w:pPr>
          </w:p>
        </w:tc>
        <w:tc>
          <w:tcPr>
            <w:tcW w:w="1108" w:type="dxa"/>
            <w:gridSpan w:val="2"/>
            <w:vAlign w:val="center"/>
          </w:tcPr>
          <w:p w14:paraId="2778E0B6">
            <w:pPr>
              <w:jc w:val="center"/>
              <w:rPr>
                <w:color w:val="auto"/>
                <w:sz w:val="18"/>
                <w:szCs w:val="18"/>
                <w:highlight w:val="none"/>
              </w:rPr>
            </w:pPr>
            <w:r>
              <w:rPr>
                <w:color w:val="auto"/>
                <w:sz w:val="18"/>
                <w:szCs w:val="18"/>
                <w:highlight w:val="none"/>
              </w:rPr>
              <w:t>年龄</w:t>
            </w:r>
          </w:p>
        </w:tc>
        <w:tc>
          <w:tcPr>
            <w:tcW w:w="1276" w:type="dxa"/>
            <w:vAlign w:val="center"/>
          </w:tcPr>
          <w:p w14:paraId="6351692D">
            <w:pPr>
              <w:jc w:val="center"/>
              <w:rPr>
                <w:color w:val="auto"/>
                <w:sz w:val="18"/>
                <w:szCs w:val="18"/>
                <w:highlight w:val="none"/>
              </w:rPr>
            </w:pPr>
          </w:p>
        </w:tc>
      </w:tr>
      <w:tr w14:paraId="646B6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vAlign w:val="center"/>
          </w:tcPr>
          <w:p w14:paraId="4977267A">
            <w:pPr>
              <w:jc w:val="center"/>
              <w:rPr>
                <w:color w:val="auto"/>
                <w:sz w:val="18"/>
                <w:szCs w:val="18"/>
                <w:highlight w:val="none"/>
              </w:rPr>
            </w:pPr>
            <w:r>
              <w:rPr>
                <w:color w:val="auto"/>
                <w:sz w:val="18"/>
                <w:szCs w:val="18"/>
                <w:highlight w:val="none"/>
              </w:rPr>
              <w:t>职务</w:t>
            </w:r>
          </w:p>
        </w:tc>
        <w:tc>
          <w:tcPr>
            <w:tcW w:w="2340" w:type="dxa"/>
            <w:gridSpan w:val="3"/>
            <w:vAlign w:val="center"/>
          </w:tcPr>
          <w:p w14:paraId="7B0BE5BE">
            <w:pPr>
              <w:jc w:val="center"/>
              <w:rPr>
                <w:color w:val="auto"/>
                <w:sz w:val="18"/>
                <w:szCs w:val="18"/>
                <w:highlight w:val="none"/>
              </w:rPr>
            </w:pPr>
          </w:p>
        </w:tc>
        <w:tc>
          <w:tcPr>
            <w:tcW w:w="1893" w:type="dxa"/>
            <w:gridSpan w:val="2"/>
            <w:vAlign w:val="center"/>
          </w:tcPr>
          <w:p w14:paraId="1279988C">
            <w:pPr>
              <w:jc w:val="center"/>
              <w:rPr>
                <w:color w:val="auto"/>
                <w:sz w:val="18"/>
                <w:szCs w:val="18"/>
                <w:highlight w:val="none"/>
              </w:rPr>
            </w:pPr>
            <w:r>
              <w:rPr>
                <w:color w:val="auto"/>
                <w:sz w:val="18"/>
                <w:szCs w:val="18"/>
                <w:highlight w:val="none"/>
              </w:rPr>
              <w:t>职称</w:t>
            </w:r>
          </w:p>
        </w:tc>
        <w:tc>
          <w:tcPr>
            <w:tcW w:w="1585" w:type="dxa"/>
            <w:gridSpan w:val="2"/>
            <w:vAlign w:val="center"/>
          </w:tcPr>
          <w:p w14:paraId="5DDDE356">
            <w:pPr>
              <w:jc w:val="center"/>
              <w:rPr>
                <w:color w:val="auto"/>
                <w:sz w:val="18"/>
                <w:szCs w:val="18"/>
                <w:highlight w:val="none"/>
              </w:rPr>
            </w:pPr>
          </w:p>
        </w:tc>
        <w:tc>
          <w:tcPr>
            <w:tcW w:w="1108" w:type="dxa"/>
            <w:gridSpan w:val="2"/>
            <w:vAlign w:val="center"/>
          </w:tcPr>
          <w:p w14:paraId="24674817">
            <w:pPr>
              <w:jc w:val="center"/>
              <w:rPr>
                <w:color w:val="auto"/>
                <w:sz w:val="18"/>
                <w:szCs w:val="18"/>
                <w:highlight w:val="none"/>
              </w:rPr>
            </w:pPr>
            <w:r>
              <w:rPr>
                <w:color w:val="auto"/>
                <w:sz w:val="18"/>
                <w:szCs w:val="18"/>
                <w:highlight w:val="none"/>
              </w:rPr>
              <w:t>学历</w:t>
            </w:r>
          </w:p>
        </w:tc>
        <w:tc>
          <w:tcPr>
            <w:tcW w:w="1276" w:type="dxa"/>
            <w:vAlign w:val="center"/>
          </w:tcPr>
          <w:p w14:paraId="294558C6">
            <w:pPr>
              <w:jc w:val="center"/>
              <w:rPr>
                <w:color w:val="auto"/>
                <w:sz w:val="18"/>
                <w:szCs w:val="18"/>
                <w:highlight w:val="none"/>
              </w:rPr>
            </w:pPr>
          </w:p>
        </w:tc>
      </w:tr>
      <w:tr w14:paraId="60534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vAlign w:val="center"/>
          </w:tcPr>
          <w:p w14:paraId="06C84E27">
            <w:pPr>
              <w:jc w:val="center"/>
              <w:rPr>
                <w:color w:val="auto"/>
                <w:sz w:val="18"/>
                <w:szCs w:val="18"/>
                <w:highlight w:val="none"/>
              </w:rPr>
            </w:pPr>
            <w:r>
              <w:rPr>
                <w:color w:val="auto"/>
                <w:sz w:val="18"/>
                <w:szCs w:val="18"/>
                <w:highlight w:val="none"/>
              </w:rPr>
              <w:t>参加工作时间</w:t>
            </w:r>
          </w:p>
        </w:tc>
        <w:tc>
          <w:tcPr>
            <w:tcW w:w="1893" w:type="dxa"/>
            <w:gridSpan w:val="2"/>
            <w:vAlign w:val="center"/>
          </w:tcPr>
          <w:p w14:paraId="4D6AE65D">
            <w:pPr>
              <w:jc w:val="center"/>
              <w:rPr>
                <w:color w:val="auto"/>
                <w:sz w:val="18"/>
                <w:szCs w:val="18"/>
                <w:highlight w:val="none"/>
              </w:rPr>
            </w:pPr>
          </w:p>
        </w:tc>
        <w:tc>
          <w:tcPr>
            <w:tcW w:w="2693" w:type="dxa"/>
            <w:gridSpan w:val="4"/>
            <w:vAlign w:val="center"/>
          </w:tcPr>
          <w:p w14:paraId="19146078">
            <w:pPr>
              <w:jc w:val="center"/>
              <w:rPr>
                <w:color w:val="auto"/>
                <w:sz w:val="18"/>
                <w:szCs w:val="18"/>
                <w:highlight w:val="none"/>
              </w:rPr>
            </w:pPr>
            <w:r>
              <w:rPr>
                <w:color w:val="auto"/>
                <w:sz w:val="18"/>
                <w:szCs w:val="18"/>
                <w:highlight w:val="none"/>
              </w:rPr>
              <w:t>担任技术负责人年限</w:t>
            </w:r>
          </w:p>
        </w:tc>
        <w:tc>
          <w:tcPr>
            <w:tcW w:w="1276" w:type="dxa"/>
            <w:vAlign w:val="center"/>
          </w:tcPr>
          <w:p w14:paraId="3DC59789">
            <w:pPr>
              <w:jc w:val="center"/>
              <w:rPr>
                <w:color w:val="auto"/>
                <w:sz w:val="18"/>
                <w:szCs w:val="18"/>
                <w:highlight w:val="none"/>
              </w:rPr>
            </w:pPr>
          </w:p>
        </w:tc>
      </w:tr>
      <w:tr w14:paraId="1B54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vAlign w:val="center"/>
          </w:tcPr>
          <w:p w14:paraId="7614E9A6">
            <w:pPr>
              <w:jc w:val="center"/>
              <w:rPr>
                <w:color w:val="auto"/>
                <w:sz w:val="18"/>
                <w:szCs w:val="18"/>
                <w:highlight w:val="none"/>
              </w:rPr>
            </w:pPr>
            <w:r>
              <w:rPr>
                <w:color w:val="auto"/>
                <w:sz w:val="18"/>
                <w:szCs w:val="18"/>
                <w:highlight w:val="none"/>
              </w:rPr>
              <w:t>在建和已完工程项目情况</w:t>
            </w:r>
          </w:p>
        </w:tc>
      </w:tr>
      <w:tr w14:paraId="52EAF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vAlign w:val="center"/>
          </w:tcPr>
          <w:p w14:paraId="136D6B2B">
            <w:pPr>
              <w:jc w:val="center"/>
              <w:rPr>
                <w:color w:val="auto"/>
                <w:sz w:val="18"/>
                <w:szCs w:val="18"/>
                <w:highlight w:val="none"/>
              </w:rPr>
            </w:pPr>
            <w:r>
              <w:rPr>
                <w:color w:val="auto"/>
                <w:sz w:val="18"/>
                <w:szCs w:val="18"/>
                <w:highlight w:val="none"/>
              </w:rPr>
              <w:t>建设单位</w:t>
            </w:r>
          </w:p>
        </w:tc>
        <w:tc>
          <w:tcPr>
            <w:tcW w:w="1548" w:type="dxa"/>
            <w:vAlign w:val="center"/>
          </w:tcPr>
          <w:p w14:paraId="67B508F7">
            <w:pPr>
              <w:jc w:val="center"/>
              <w:rPr>
                <w:color w:val="auto"/>
                <w:sz w:val="18"/>
                <w:szCs w:val="18"/>
                <w:highlight w:val="none"/>
              </w:rPr>
            </w:pPr>
            <w:r>
              <w:rPr>
                <w:color w:val="auto"/>
                <w:sz w:val="18"/>
                <w:szCs w:val="18"/>
                <w:highlight w:val="none"/>
              </w:rPr>
              <w:t>项目名称</w:t>
            </w:r>
          </w:p>
        </w:tc>
        <w:tc>
          <w:tcPr>
            <w:tcW w:w="1547" w:type="dxa"/>
            <w:gridSpan w:val="2"/>
            <w:vAlign w:val="center"/>
          </w:tcPr>
          <w:p w14:paraId="2725DC59">
            <w:pPr>
              <w:jc w:val="center"/>
              <w:rPr>
                <w:color w:val="auto"/>
                <w:sz w:val="18"/>
                <w:szCs w:val="18"/>
                <w:highlight w:val="none"/>
              </w:rPr>
            </w:pPr>
            <w:r>
              <w:rPr>
                <w:color w:val="auto"/>
                <w:sz w:val="18"/>
                <w:szCs w:val="18"/>
                <w:highlight w:val="none"/>
              </w:rPr>
              <w:t>建设规模</w:t>
            </w:r>
          </w:p>
        </w:tc>
        <w:tc>
          <w:tcPr>
            <w:tcW w:w="1548" w:type="dxa"/>
            <w:gridSpan w:val="2"/>
            <w:vAlign w:val="center"/>
          </w:tcPr>
          <w:p w14:paraId="72831C65">
            <w:pPr>
              <w:jc w:val="center"/>
              <w:rPr>
                <w:color w:val="auto"/>
                <w:sz w:val="18"/>
                <w:szCs w:val="18"/>
                <w:highlight w:val="none"/>
              </w:rPr>
            </w:pPr>
            <w:r>
              <w:rPr>
                <w:color w:val="auto"/>
                <w:sz w:val="18"/>
                <w:szCs w:val="18"/>
                <w:highlight w:val="none"/>
              </w:rPr>
              <w:t>开、竣工日期</w:t>
            </w:r>
          </w:p>
        </w:tc>
        <w:tc>
          <w:tcPr>
            <w:tcW w:w="1547" w:type="dxa"/>
            <w:gridSpan w:val="2"/>
            <w:vAlign w:val="center"/>
          </w:tcPr>
          <w:p w14:paraId="2AE53545">
            <w:pPr>
              <w:jc w:val="center"/>
              <w:rPr>
                <w:color w:val="auto"/>
                <w:sz w:val="18"/>
                <w:szCs w:val="18"/>
                <w:highlight w:val="none"/>
              </w:rPr>
            </w:pPr>
            <w:r>
              <w:rPr>
                <w:color w:val="auto"/>
                <w:sz w:val="18"/>
                <w:szCs w:val="18"/>
                <w:highlight w:val="none"/>
              </w:rPr>
              <w:t>在建或已完</w:t>
            </w:r>
          </w:p>
        </w:tc>
        <w:tc>
          <w:tcPr>
            <w:tcW w:w="1548" w:type="dxa"/>
            <w:gridSpan w:val="2"/>
            <w:vAlign w:val="center"/>
          </w:tcPr>
          <w:p w14:paraId="3639652B">
            <w:pPr>
              <w:jc w:val="center"/>
              <w:rPr>
                <w:color w:val="auto"/>
                <w:sz w:val="18"/>
                <w:szCs w:val="18"/>
                <w:highlight w:val="none"/>
              </w:rPr>
            </w:pPr>
            <w:r>
              <w:rPr>
                <w:color w:val="auto"/>
                <w:sz w:val="18"/>
                <w:szCs w:val="18"/>
                <w:highlight w:val="none"/>
              </w:rPr>
              <w:t>工程质量</w:t>
            </w:r>
          </w:p>
        </w:tc>
      </w:tr>
      <w:tr w14:paraId="04416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1B5CF29F">
            <w:pPr>
              <w:jc w:val="center"/>
              <w:rPr>
                <w:color w:val="auto"/>
                <w:sz w:val="18"/>
                <w:szCs w:val="18"/>
                <w:highlight w:val="none"/>
              </w:rPr>
            </w:pPr>
          </w:p>
        </w:tc>
        <w:tc>
          <w:tcPr>
            <w:tcW w:w="1548" w:type="dxa"/>
            <w:vAlign w:val="center"/>
          </w:tcPr>
          <w:p w14:paraId="57D472A9">
            <w:pPr>
              <w:jc w:val="center"/>
              <w:rPr>
                <w:color w:val="auto"/>
                <w:sz w:val="18"/>
                <w:szCs w:val="18"/>
                <w:highlight w:val="none"/>
              </w:rPr>
            </w:pPr>
          </w:p>
        </w:tc>
        <w:tc>
          <w:tcPr>
            <w:tcW w:w="1547" w:type="dxa"/>
            <w:gridSpan w:val="2"/>
            <w:vAlign w:val="center"/>
          </w:tcPr>
          <w:p w14:paraId="0C3FA061">
            <w:pPr>
              <w:jc w:val="center"/>
              <w:rPr>
                <w:color w:val="auto"/>
                <w:sz w:val="18"/>
                <w:szCs w:val="18"/>
                <w:highlight w:val="none"/>
              </w:rPr>
            </w:pPr>
          </w:p>
        </w:tc>
        <w:tc>
          <w:tcPr>
            <w:tcW w:w="1548" w:type="dxa"/>
            <w:gridSpan w:val="2"/>
            <w:vAlign w:val="center"/>
          </w:tcPr>
          <w:p w14:paraId="7FF85AB0">
            <w:pPr>
              <w:jc w:val="center"/>
              <w:rPr>
                <w:color w:val="auto"/>
                <w:sz w:val="18"/>
                <w:szCs w:val="18"/>
                <w:highlight w:val="none"/>
              </w:rPr>
            </w:pPr>
          </w:p>
        </w:tc>
        <w:tc>
          <w:tcPr>
            <w:tcW w:w="1547" w:type="dxa"/>
            <w:gridSpan w:val="2"/>
            <w:vAlign w:val="center"/>
          </w:tcPr>
          <w:p w14:paraId="75BC0DA4">
            <w:pPr>
              <w:jc w:val="center"/>
              <w:rPr>
                <w:color w:val="auto"/>
                <w:sz w:val="18"/>
                <w:szCs w:val="18"/>
                <w:highlight w:val="none"/>
              </w:rPr>
            </w:pPr>
          </w:p>
        </w:tc>
        <w:tc>
          <w:tcPr>
            <w:tcW w:w="1548" w:type="dxa"/>
            <w:gridSpan w:val="2"/>
            <w:vAlign w:val="center"/>
          </w:tcPr>
          <w:p w14:paraId="4A644896">
            <w:pPr>
              <w:jc w:val="center"/>
              <w:rPr>
                <w:color w:val="auto"/>
                <w:sz w:val="18"/>
                <w:szCs w:val="18"/>
                <w:highlight w:val="none"/>
              </w:rPr>
            </w:pPr>
          </w:p>
        </w:tc>
      </w:tr>
      <w:tr w14:paraId="6C7C0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398EBD82">
            <w:pPr>
              <w:jc w:val="center"/>
              <w:rPr>
                <w:color w:val="auto"/>
                <w:sz w:val="18"/>
                <w:szCs w:val="18"/>
                <w:highlight w:val="none"/>
              </w:rPr>
            </w:pPr>
          </w:p>
        </w:tc>
        <w:tc>
          <w:tcPr>
            <w:tcW w:w="1548" w:type="dxa"/>
            <w:vAlign w:val="center"/>
          </w:tcPr>
          <w:p w14:paraId="3408F500">
            <w:pPr>
              <w:jc w:val="center"/>
              <w:rPr>
                <w:color w:val="auto"/>
                <w:sz w:val="18"/>
                <w:szCs w:val="18"/>
                <w:highlight w:val="none"/>
              </w:rPr>
            </w:pPr>
          </w:p>
        </w:tc>
        <w:tc>
          <w:tcPr>
            <w:tcW w:w="1547" w:type="dxa"/>
            <w:gridSpan w:val="2"/>
            <w:vAlign w:val="center"/>
          </w:tcPr>
          <w:p w14:paraId="56ABD37F">
            <w:pPr>
              <w:jc w:val="center"/>
              <w:rPr>
                <w:color w:val="auto"/>
                <w:sz w:val="18"/>
                <w:szCs w:val="18"/>
                <w:highlight w:val="none"/>
              </w:rPr>
            </w:pPr>
          </w:p>
        </w:tc>
        <w:tc>
          <w:tcPr>
            <w:tcW w:w="1548" w:type="dxa"/>
            <w:gridSpan w:val="2"/>
            <w:vAlign w:val="center"/>
          </w:tcPr>
          <w:p w14:paraId="18DD8874">
            <w:pPr>
              <w:jc w:val="center"/>
              <w:rPr>
                <w:color w:val="auto"/>
                <w:sz w:val="18"/>
                <w:szCs w:val="18"/>
                <w:highlight w:val="none"/>
              </w:rPr>
            </w:pPr>
          </w:p>
        </w:tc>
        <w:tc>
          <w:tcPr>
            <w:tcW w:w="1547" w:type="dxa"/>
            <w:gridSpan w:val="2"/>
            <w:vAlign w:val="center"/>
          </w:tcPr>
          <w:p w14:paraId="05C89167">
            <w:pPr>
              <w:jc w:val="center"/>
              <w:rPr>
                <w:color w:val="auto"/>
                <w:sz w:val="18"/>
                <w:szCs w:val="18"/>
                <w:highlight w:val="none"/>
              </w:rPr>
            </w:pPr>
          </w:p>
        </w:tc>
        <w:tc>
          <w:tcPr>
            <w:tcW w:w="1548" w:type="dxa"/>
            <w:gridSpan w:val="2"/>
            <w:vAlign w:val="center"/>
          </w:tcPr>
          <w:p w14:paraId="7A7EC5ED">
            <w:pPr>
              <w:jc w:val="center"/>
              <w:rPr>
                <w:color w:val="auto"/>
                <w:sz w:val="18"/>
                <w:szCs w:val="18"/>
                <w:highlight w:val="none"/>
              </w:rPr>
            </w:pPr>
          </w:p>
        </w:tc>
      </w:tr>
      <w:tr w14:paraId="1AAA3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vAlign w:val="center"/>
          </w:tcPr>
          <w:p w14:paraId="6D27D54A">
            <w:pPr>
              <w:jc w:val="center"/>
              <w:rPr>
                <w:color w:val="auto"/>
                <w:sz w:val="18"/>
                <w:szCs w:val="18"/>
                <w:highlight w:val="none"/>
              </w:rPr>
            </w:pPr>
          </w:p>
        </w:tc>
        <w:tc>
          <w:tcPr>
            <w:tcW w:w="1548" w:type="dxa"/>
            <w:vAlign w:val="center"/>
          </w:tcPr>
          <w:p w14:paraId="2C2E680D">
            <w:pPr>
              <w:jc w:val="center"/>
              <w:rPr>
                <w:color w:val="auto"/>
                <w:sz w:val="18"/>
                <w:szCs w:val="18"/>
                <w:highlight w:val="none"/>
              </w:rPr>
            </w:pPr>
          </w:p>
        </w:tc>
        <w:tc>
          <w:tcPr>
            <w:tcW w:w="1547" w:type="dxa"/>
            <w:gridSpan w:val="2"/>
            <w:vAlign w:val="center"/>
          </w:tcPr>
          <w:p w14:paraId="0B5A916B">
            <w:pPr>
              <w:jc w:val="center"/>
              <w:rPr>
                <w:color w:val="auto"/>
                <w:sz w:val="18"/>
                <w:szCs w:val="18"/>
                <w:highlight w:val="none"/>
              </w:rPr>
            </w:pPr>
          </w:p>
        </w:tc>
        <w:tc>
          <w:tcPr>
            <w:tcW w:w="1548" w:type="dxa"/>
            <w:gridSpan w:val="2"/>
            <w:vAlign w:val="center"/>
          </w:tcPr>
          <w:p w14:paraId="2C896F6B">
            <w:pPr>
              <w:jc w:val="center"/>
              <w:rPr>
                <w:color w:val="auto"/>
                <w:sz w:val="18"/>
                <w:szCs w:val="18"/>
                <w:highlight w:val="none"/>
              </w:rPr>
            </w:pPr>
          </w:p>
        </w:tc>
        <w:tc>
          <w:tcPr>
            <w:tcW w:w="1547" w:type="dxa"/>
            <w:gridSpan w:val="2"/>
            <w:vAlign w:val="center"/>
          </w:tcPr>
          <w:p w14:paraId="2F842288">
            <w:pPr>
              <w:jc w:val="center"/>
              <w:rPr>
                <w:color w:val="auto"/>
                <w:sz w:val="18"/>
                <w:szCs w:val="18"/>
                <w:highlight w:val="none"/>
              </w:rPr>
            </w:pPr>
          </w:p>
        </w:tc>
        <w:tc>
          <w:tcPr>
            <w:tcW w:w="1548" w:type="dxa"/>
            <w:gridSpan w:val="2"/>
            <w:vAlign w:val="center"/>
          </w:tcPr>
          <w:p w14:paraId="7B2D79E5">
            <w:pPr>
              <w:jc w:val="center"/>
              <w:rPr>
                <w:color w:val="auto"/>
                <w:sz w:val="18"/>
                <w:szCs w:val="18"/>
                <w:highlight w:val="none"/>
              </w:rPr>
            </w:pPr>
          </w:p>
        </w:tc>
      </w:tr>
    </w:tbl>
    <w:p w14:paraId="0E6A4453">
      <w:pPr>
        <w:pStyle w:val="197"/>
        <w:rPr>
          <w:rFonts w:ascii="Times New Roman" w:hAnsi="Times New Roman"/>
          <w:color w:val="auto"/>
          <w:sz w:val="18"/>
          <w:szCs w:val="18"/>
          <w:highlight w:val="none"/>
        </w:rPr>
      </w:pPr>
      <w:r>
        <w:rPr>
          <w:rFonts w:ascii="Times New Roman" w:hAnsi="Times New Roman"/>
          <w:color w:val="auto"/>
          <w:sz w:val="18"/>
          <w:szCs w:val="18"/>
          <w:highlight w:val="none"/>
        </w:rPr>
        <w:t>备注：附技术负责人的职称证、资格证、响应文件递交截止时间前6个月内</w:t>
      </w:r>
      <w:r>
        <w:rPr>
          <w:rFonts w:hint="eastAsia" w:ascii="Times New Roman" w:hAnsi="Times New Roman"/>
          <w:color w:val="auto"/>
          <w:sz w:val="18"/>
          <w:szCs w:val="18"/>
          <w:highlight w:val="none"/>
        </w:rPr>
        <w:t>任意1个月</w:t>
      </w:r>
      <w:r>
        <w:rPr>
          <w:rFonts w:ascii="Times New Roman" w:hAnsi="Times New Roman"/>
          <w:color w:val="auto"/>
          <w:sz w:val="18"/>
          <w:szCs w:val="18"/>
          <w:highlight w:val="none"/>
        </w:rPr>
        <w:t>在现任职单位依法缴纳社会保险的凭证和已完工程中标（成交）通知书、工程合同协议书</w:t>
      </w:r>
      <w:r>
        <w:rPr>
          <w:rFonts w:hint="eastAsia" w:ascii="Times New Roman" w:hAnsi="Times New Roman"/>
          <w:color w:val="auto"/>
          <w:sz w:val="18"/>
          <w:szCs w:val="18"/>
          <w:highlight w:val="none"/>
          <w:lang w:val="en-US" w:eastAsia="zh-CN"/>
        </w:rPr>
        <w:t>或</w:t>
      </w:r>
      <w:r>
        <w:rPr>
          <w:rFonts w:ascii="Times New Roman" w:hAnsi="Times New Roman"/>
          <w:color w:val="auto"/>
          <w:sz w:val="18"/>
          <w:szCs w:val="18"/>
          <w:highlight w:val="none"/>
        </w:rPr>
        <w:t>工程竣工验收证明材料，以及供应商认为需要增加的其他证明材料</w:t>
      </w:r>
      <w:r>
        <w:rPr>
          <w:rFonts w:hint="eastAsia"/>
          <w:color w:val="auto"/>
          <w:sz w:val="18"/>
          <w:szCs w:val="18"/>
          <w:highlight w:val="none"/>
        </w:rPr>
        <w:t>扫描件</w:t>
      </w:r>
      <w:r>
        <w:rPr>
          <w:rFonts w:ascii="Times New Roman" w:hAnsi="Times New Roman"/>
          <w:color w:val="auto"/>
          <w:sz w:val="18"/>
          <w:szCs w:val="18"/>
          <w:highlight w:val="none"/>
        </w:rPr>
        <w:t>，以上</w:t>
      </w:r>
      <w:r>
        <w:rPr>
          <w:rFonts w:hint="eastAsia"/>
          <w:color w:val="auto"/>
          <w:sz w:val="18"/>
          <w:szCs w:val="18"/>
          <w:highlight w:val="none"/>
        </w:rPr>
        <w:t>扫描件</w:t>
      </w:r>
      <w:r>
        <w:rPr>
          <w:rFonts w:ascii="Times New Roman" w:hAnsi="Times New Roman"/>
          <w:color w:val="auto"/>
          <w:sz w:val="18"/>
          <w:szCs w:val="18"/>
          <w:highlight w:val="none"/>
        </w:rPr>
        <w:t>均须加盖</w:t>
      </w:r>
      <w:r>
        <w:rPr>
          <w:color w:val="auto"/>
          <w:sz w:val="18"/>
          <w:szCs w:val="18"/>
          <w:highlight w:val="none"/>
        </w:rPr>
        <w:t>供应商</w:t>
      </w:r>
      <w:r>
        <w:rPr>
          <w:rFonts w:hint="eastAsia"/>
          <w:color w:val="auto"/>
          <w:sz w:val="18"/>
          <w:szCs w:val="18"/>
          <w:highlight w:val="none"/>
        </w:rPr>
        <w:t>电子签章</w:t>
      </w:r>
      <w:r>
        <w:rPr>
          <w:rFonts w:ascii="Times New Roman" w:hAnsi="Times New Roman"/>
          <w:color w:val="auto"/>
          <w:sz w:val="18"/>
          <w:szCs w:val="18"/>
          <w:highlight w:val="none"/>
        </w:rPr>
        <w:t>。</w:t>
      </w:r>
    </w:p>
    <w:p w14:paraId="1DCBE3B2">
      <w:pPr>
        <w:pStyle w:val="197"/>
        <w:rPr>
          <w:rFonts w:ascii="Times New Roman" w:hAnsi="Times New Roman"/>
          <w:color w:val="auto"/>
          <w:sz w:val="18"/>
          <w:szCs w:val="18"/>
          <w:highlight w:val="none"/>
        </w:rPr>
      </w:pPr>
    </w:p>
    <w:p w14:paraId="31EAD857">
      <w:pPr>
        <w:pStyle w:val="197"/>
        <w:rPr>
          <w:rFonts w:ascii="Times New Roman" w:hAnsi="Times New Roman"/>
          <w:color w:val="auto"/>
          <w:sz w:val="18"/>
          <w:szCs w:val="18"/>
          <w:highlight w:val="none"/>
        </w:rPr>
      </w:pPr>
    </w:p>
    <w:p w14:paraId="197A4FAF">
      <w:pPr>
        <w:pStyle w:val="197"/>
        <w:jc w:val="left"/>
        <w:rPr>
          <w:rFonts w:ascii="Times New Roman" w:hAnsi="Times New Roman"/>
          <w:color w:val="auto"/>
          <w:sz w:val="18"/>
          <w:szCs w:val="18"/>
          <w:highlight w:val="none"/>
        </w:rPr>
      </w:pPr>
      <w:r>
        <w:rPr>
          <w:rFonts w:hint="eastAsia" w:ascii="Times New Roman" w:hAnsi="Times New Roman"/>
          <w:color w:val="auto"/>
          <w:sz w:val="18"/>
          <w:szCs w:val="18"/>
          <w:highlight w:val="none"/>
        </w:rPr>
        <w:t>7</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4</w:t>
      </w:r>
      <w:r>
        <w:rPr>
          <w:rFonts w:ascii="Times New Roman" w:hAnsi="Times New Roman"/>
          <w:color w:val="auto"/>
          <w:sz w:val="18"/>
          <w:szCs w:val="18"/>
          <w:highlight w:val="none"/>
        </w:rPr>
        <w:t>项目管理机构其他人员配备情况表</w:t>
      </w:r>
    </w:p>
    <w:tbl>
      <w:tblPr>
        <w:tblStyle w:val="54"/>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148"/>
        <w:gridCol w:w="1148"/>
        <w:gridCol w:w="1148"/>
        <w:gridCol w:w="1148"/>
        <w:gridCol w:w="850"/>
        <w:gridCol w:w="1276"/>
      </w:tblGrid>
      <w:tr w14:paraId="5FD92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vAlign w:val="center"/>
          </w:tcPr>
          <w:p w14:paraId="044FAA65">
            <w:pPr>
              <w:ind w:left="223" w:hanging="190" w:hangingChars="106"/>
              <w:jc w:val="center"/>
              <w:rPr>
                <w:color w:val="auto"/>
                <w:sz w:val="18"/>
                <w:szCs w:val="18"/>
                <w:highlight w:val="none"/>
              </w:rPr>
            </w:pPr>
            <w:r>
              <w:rPr>
                <w:color w:val="auto"/>
                <w:sz w:val="18"/>
                <w:szCs w:val="18"/>
                <w:highlight w:val="none"/>
              </w:rPr>
              <w:t>岗位</w:t>
            </w:r>
          </w:p>
        </w:tc>
        <w:tc>
          <w:tcPr>
            <w:tcW w:w="829" w:type="dxa"/>
            <w:vMerge w:val="restart"/>
            <w:vAlign w:val="center"/>
          </w:tcPr>
          <w:p w14:paraId="7F48928B">
            <w:pPr>
              <w:ind w:left="223" w:hanging="190" w:hangingChars="106"/>
              <w:jc w:val="center"/>
              <w:rPr>
                <w:color w:val="auto"/>
                <w:sz w:val="18"/>
                <w:szCs w:val="18"/>
                <w:highlight w:val="none"/>
              </w:rPr>
            </w:pPr>
            <w:bookmarkStart w:id="1106" w:name="_Toc251052187"/>
            <w:r>
              <w:rPr>
                <w:color w:val="auto"/>
                <w:sz w:val="18"/>
                <w:szCs w:val="18"/>
                <w:highlight w:val="none"/>
              </w:rPr>
              <w:t>姓名</w:t>
            </w:r>
            <w:bookmarkEnd w:id="1106"/>
          </w:p>
        </w:tc>
        <w:tc>
          <w:tcPr>
            <w:tcW w:w="816" w:type="dxa"/>
            <w:vMerge w:val="restart"/>
            <w:vAlign w:val="center"/>
          </w:tcPr>
          <w:p w14:paraId="1E2AE4FF">
            <w:pPr>
              <w:ind w:left="223" w:hanging="190" w:hangingChars="106"/>
              <w:jc w:val="center"/>
              <w:rPr>
                <w:color w:val="auto"/>
                <w:sz w:val="18"/>
                <w:szCs w:val="18"/>
                <w:highlight w:val="none"/>
              </w:rPr>
            </w:pPr>
            <w:bookmarkStart w:id="1107" w:name="_Toc251052188"/>
            <w:r>
              <w:rPr>
                <w:color w:val="auto"/>
                <w:sz w:val="18"/>
                <w:szCs w:val="18"/>
                <w:highlight w:val="none"/>
              </w:rPr>
              <w:t>职称</w:t>
            </w:r>
            <w:bookmarkEnd w:id="1107"/>
          </w:p>
        </w:tc>
        <w:tc>
          <w:tcPr>
            <w:tcW w:w="4592" w:type="dxa"/>
            <w:gridSpan w:val="4"/>
            <w:vAlign w:val="center"/>
          </w:tcPr>
          <w:p w14:paraId="6E9FBFE9">
            <w:pPr>
              <w:ind w:left="223" w:hanging="190" w:hangingChars="106"/>
              <w:jc w:val="center"/>
              <w:rPr>
                <w:color w:val="auto"/>
                <w:sz w:val="18"/>
                <w:szCs w:val="18"/>
                <w:highlight w:val="none"/>
              </w:rPr>
            </w:pPr>
            <w:bookmarkStart w:id="1108" w:name="_Toc251052189"/>
            <w:r>
              <w:rPr>
                <w:color w:val="auto"/>
                <w:sz w:val="18"/>
                <w:szCs w:val="18"/>
                <w:highlight w:val="none"/>
              </w:rPr>
              <w:t>执业或职业资格证明</w:t>
            </w:r>
            <w:bookmarkEnd w:id="1108"/>
          </w:p>
        </w:tc>
        <w:tc>
          <w:tcPr>
            <w:tcW w:w="2126" w:type="dxa"/>
            <w:gridSpan w:val="2"/>
            <w:vAlign w:val="center"/>
          </w:tcPr>
          <w:p w14:paraId="01922D1B">
            <w:pPr>
              <w:ind w:left="223" w:hanging="190" w:hangingChars="106"/>
              <w:jc w:val="center"/>
              <w:rPr>
                <w:color w:val="auto"/>
                <w:sz w:val="18"/>
                <w:szCs w:val="18"/>
                <w:highlight w:val="none"/>
              </w:rPr>
            </w:pPr>
            <w:bookmarkStart w:id="1109" w:name="_Toc251052190"/>
            <w:r>
              <w:rPr>
                <w:color w:val="auto"/>
                <w:sz w:val="18"/>
                <w:szCs w:val="18"/>
                <w:highlight w:val="none"/>
              </w:rPr>
              <w:t>承担完工</w:t>
            </w:r>
            <w:bookmarkEnd w:id="1109"/>
            <w:bookmarkStart w:id="1110" w:name="_Toc251052191"/>
            <w:r>
              <w:rPr>
                <w:color w:val="auto"/>
                <w:sz w:val="18"/>
                <w:szCs w:val="18"/>
                <w:highlight w:val="none"/>
              </w:rPr>
              <w:t>工程情况</w:t>
            </w:r>
            <w:bookmarkEnd w:id="1110"/>
          </w:p>
        </w:tc>
      </w:tr>
      <w:tr w14:paraId="1D8E3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vAlign w:val="center"/>
          </w:tcPr>
          <w:p w14:paraId="28E6DEC7">
            <w:pPr>
              <w:ind w:left="223" w:hanging="190" w:hangingChars="106"/>
              <w:jc w:val="center"/>
              <w:rPr>
                <w:color w:val="auto"/>
                <w:sz w:val="18"/>
                <w:szCs w:val="18"/>
                <w:highlight w:val="none"/>
              </w:rPr>
            </w:pPr>
          </w:p>
        </w:tc>
        <w:tc>
          <w:tcPr>
            <w:tcW w:w="829" w:type="dxa"/>
            <w:vMerge w:val="continue"/>
            <w:vAlign w:val="center"/>
          </w:tcPr>
          <w:p w14:paraId="3BFD3F7A">
            <w:pPr>
              <w:ind w:left="223" w:hanging="190" w:hangingChars="106"/>
              <w:jc w:val="center"/>
              <w:rPr>
                <w:color w:val="auto"/>
                <w:sz w:val="18"/>
                <w:szCs w:val="18"/>
                <w:highlight w:val="none"/>
              </w:rPr>
            </w:pPr>
          </w:p>
        </w:tc>
        <w:tc>
          <w:tcPr>
            <w:tcW w:w="816" w:type="dxa"/>
            <w:vMerge w:val="continue"/>
            <w:vAlign w:val="center"/>
          </w:tcPr>
          <w:p w14:paraId="7D78F439">
            <w:pPr>
              <w:ind w:left="223" w:hanging="190" w:hangingChars="106"/>
              <w:jc w:val="center"/>
              <w:rPr>
                <w:color w:val="auto"/>
                <w:sz w:val="18"/>
                <w:szCs w:val="18"/>
                <w:highlight w:val="none"/>
              </w:rPr>
            </w:pPr>
          </w:p>
        </w:tc>
        <w:tc>
          <w:tcPr>
            <w:tcW w:w="1148" w:type="dxa"/>
            <w:vAlign w:val="center"/>
          </w:tcPr>
          <w:p w14:paraId="243E24CC">
            <w:pPr>
              <w:ind w:left="223" w:hanging="190" w:hangingChars="106"/>
              <w:jc w:val="center"/>
              <w:rPr>
                <w:color w:val="auto"/>
                <w:sz w:val="18"/>
                <w:szCs w:val="18"/>
                <w:highlight w:val="none"/>
              </w:rPr>
            </w:pPr>
            <w:bookmarkStart w:id="1111" w:name="_Toc251052192"/>
            <w:r>
              <w:rPr>
                <w:color w:val="auto"/>
                <w:sz w:val="18"/>
                <w:szCs w:val="18"/>
                <w:highlight w:val="none"/>
              </w:rPr>
              <w:t>证书名称</w:t>
            </w:r>
            <w:bookmarkEnd w:id="1111"/>
          </w:p>
        </w:tc>
        <w:tc>
          <w:tcPr>
            <w:tcW w:w="1148" w:type="dxa"/>
            <w:vAlign w:val="center"/>
          </w:tcPr>
          <w:p w14:paraId="7F1663C6">
            <w:pPr>
              <w:ind w:left="223" w:hanging="190" w:hangingChars="106"/>
              <w:jc w:val="center"/>
              <w:rPr>
                <w:color w:val="auto"/>
                <w:sz w:val="18"/>
                <w:szCs w:val="18"/>
                <w:highlight w:val="none"/>
              </w:rPr>
            </w:pPr>
            <w:bookmarkStart w:id="1112" w:name="_Toc251052193"/>
            <w:r>
              <w:rPr>
                <w:color w:val="auto"/>
                <w:sz w:val="18"/>
                <w:szCs w:val="18"/>
                <w:highlight w:val="none"/>
              </w:rPr>
              <w:t>级别</w:t>
            </w:r>
            <w:bookmarkEnd w:id="1112"/>
          </w:p>
        </w:tc>
        <w:tc>
          <w:tcPr>
            <w:tcW w:w="1148" w:type="dxa"/>
            <w:vAlign w:val="center"/>
          </w:tcPr>
          <w:p w14:paraId="18FE8F94">
            <w:pPr>
              <w:ind w:left="223" w:hanging="190" w:hangingChars="106"/>
              <w:jc w:val="center"/>
              <w:rPr>
                <w:color w:val="auto"/>
                <w:sz w:val="18"/>
                <w:szCs w:val="18"/>
                <w:highlight w:val="none"/>
              </w:rPr>
            </w:pPr>
            <w:bookmarkStart w:id="1113" w:name="_Toc251052194"/>
            <w:r>
              <w:rPr>
                <w:color w:val="auto"/>
                <w:sz w:val="18"/>
                <w:szCs w:val="18"/>
                <w:highlight w:val="none"/>
              </w:rPr>
              <w:t>证号</w:t>
            </w:r>
            <w:bookmarkEnd w:id="1113"/>
          </w:p>
        </w:tc>
        <w:tc>
          <w:tcPr>
            <w:tcW w:w="1148" w:type="dxa"/>
            <w:vAlign w:val="center"/>
          </w:tcPr>
          <w:p w14:paraId="78D6E2ED">
            <w:pPr>
              <w:ind w:left="223" w:hanging="190" w:hangingChars="106"/>
              <w:jc w:val="center"/>
              <w:rPr>
                <w:color w:val="auto"/>
                <w:sz w:val="18"/>
                <w:szCs w:val="18"/>
                <w:highlight w:val="none"/>
              </w:rPr>
            </w:pPr>
            <w:bookmarkStart w:id="1114" w:name="_Toc251052195"/>
            <w:r>
              <w:rPr>
                <w:color w:val="auto"/>
                <w:sz w:val="18"/>
                <w:szCs w:val="18"/>
                <w:highlight w:val="none"/>
              </w:rPr>
              <w:t>专业</w:t>
            </w:r>
            <w:bookmarkEnd w:id="1114"/>
          </w:p>
        </w:tc>
        <w:tc>
          <w:tcPr>
            <w:tcW w:w="850" w:type="dxa"/>
            <w:vAlign w:val="center"/>
          </w:tcPr>
          <w:p w14:paraId="66CC86D8">
            <w:pPr>
              <w:ind w:left="223" w:hanging="190" w:hangingChars="106"/>
              <w:jc w:val="center"/>
              <w:rPr>
                <w:color w:val="auto"/>
                <w:sz w:val="18"/>
                <w:szCs w:val="18"/>
                <w:highlight w:val="none"/>
              </w:rPr>
            </w:pPr>
            <w:bookmarkStart w:id="1115" w:name="_Toc251052197"/>
            <w:r>
              <w:rPr>
                <w:color w:val="auto"/>
                <w:sz w:val="18"/>
                <w:szCs w:val="18"/>
                <w:highlight w:val="none"/>
              </w:rPr>
              <w:t>项目数</w:t>
            </w:r>
            <w:bookmarkEnd w:id="1115"/>
          </w:p>
        </w:tc>
        <w:tc>
          <w:tcPr>
            <w:tcW w:w="1276" w:type="dxa"/>
            <w:vAlign w:val="center"/>
          </w:tcPr>
          <w:p w14:paraId="4F5E0A46">
            <w:pPr>
              <w:ind w:left="223" w:hanging="190" w:hangingChars="106"/>
              <w:jc w:val="center"/>
              <w:rPr>
                <w:color w:val="auto"/>
                <w:sz w:val="18"/>
                <w:szCs w:val="18"/>
                <w:highlight w:val="none"/>
              </w:rPr>
            </w:pPr>
            <w:bookmarkStart w:id="1116" w:name="_Toc251052198"/>
            <w:r>
              <w:rPr>
                <w:color w:val="auto"/>
                <w:sz w:val="18"/>
                <w:szCs w:val="18"/>
                <w:highlight w:val="none"/>
              </w:rPr>
              <w:t>主要项目</w:t>
            </w:r>
          </w:p>
          <w:p w14:paraId="65BCF84B">
            <w:pPr>
              <w:ind w:left="223" w:hanging="190" w:hangingChars="106"/>
              <w:jc w:val="center"/>
              <w:rPr>
                <w:color w:val="auto"/>
                <w:sz w:val="18"/>
                <w:szCs w:val="18"/>
                <w:highlight w:val="none"/>
              </w:rPr>
            </w:pPr>
            <w:r>
              <w:rPr>
                <w:color w:val="auto"/>
                <w:sz w:val="18"/>
                <w:szCs w:val="18"/>
                <w:highlight w:val="none"/>
              </w:rPr>
              <w:t>名称</w:t>
            </w:r>
            <w:bookmarkEnd w:id="1116"/>
          </w:p>
        </w:tc>
      </w:tr>
      <w:tr w14:paraId="4994B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7523D478">
            <w:pPr>
              <w:ind w:left="223" w:hanging="190" w:hangingChars="106"/>
              <w:jc w:val="center"/>
              <w:rPr>
                <w:color w:val="auto"/>
                <w:sz w:val="18"/>
                <w:szCs w:val="18"/>
                <w:highlight w:val="none"/>
              </w:rPr>
            </w:pPr>
            <w:r>
              <w:rPr>
                <w:color w:val="auto"/>
                <w:sz w:val="18"/>
                <w:szCs w:val="18"/>
                <w:highlight w:val="none"/>
              </w:rPr>
              <w:t>施工员</w:t>
            </w:r>
          </w:p>
        </w:tc>
        <w:tc>
          <w:tcPr>
            <w:tcW w:w="829" w:type="dxa"/>
            <w:vAlign w:val="center"/>
          </w:tcPr>
          <w:p w14:paraId="7A9AEF4F">
            <w:pPr>
              <w:ind w:left="223" w:hanging="190" w:hangingChars="106"/>
              <w:jc w:val="center"/>
              <w:rPr>
                <w:color w:val="auto"/>
                <w:sz w:val="18"/>
                <w:szCs w:val="18"/>
                <w:highlight w:val="none"/>
              </w:rPr>
            </w:pPr>
          </w:p>
        </w:tc>
        <w:tc>
          <w:tcPr>
            <w:tcW w:w="816" w:type="dxa"/>
            <w:vAlign w:val="center"/>
          </w:tcPr>
          <w:p w14:paraId="24DBA34F">
            <w:pPr>
              <w:ind w:left="223" w:hanging="190" w:hangingChars="106"/>
              <w:jc w:val="center"/>
              <w:rPr>
                <w:color w:val="auto"/>
                <w:sz w:val="18"/>
                <w:szCs w:val="18"/>
                <w:highlight w:val="none"/>
              </w:rPr>
            </w:pPr>
          </w:p>
        </w:tc>
        <w:tc>
          <w:tcPr>
            <w:tcW w:w="1148" w:type="dxa"/>
            <w:vAlign w:val="center"/>
          </w:tcPr>
          <w:p w14:paraId="1914E00C">
            <w:pPr>
              <w:ind w:left="223" w:hanging="190" w:hangingChars="106"/>
              <w:jc w:val="center"/>
              <w:rPr>
                <w:color w:val="auto"/>
                <w:sz w:val="18"/>
                <w:szCs w:val="18"/>
                <w:highlight w:val="none"/>
              </w:rPr>
            </w:pPr>
          </w:p>
        </w:tc>
        <w:tc>
          <w:tcPr>
            <w:tcW w:w="1148" w:type="dxa"/>
            <w:vAlign w:val="center"/>
          </w:tcPr>
          <w:p w14:paraId="50E3F7BD">
            <w:pPr>
              <w:ind w:left="223" w:hanging="190" w:hangingChars="106"/>
              <w:jc w:val="center"/>
              <w:rPr>
                <w:color w:val="auto"/>
                <w:sz w:val="18"/>
                <w:szCs w:val="18"/>
                <w:highlight w:val="none"/>
              </w:rPr>
            </w:pPr>
          </w:p>
        </w:tc>
        <w:tc>
          <w:tcPr>
            <w:tcW w:w="1148" w:type="dxa"/>
            <w:vAlign w:val="center"/>
          </w:tcPr>
          <w:p w14:paraId="54A3DD28">
            <w:pPr>
              <w:ind w:left="223" w:hanging="190" w:hangingChars="106"/>
              <w:jc w:val="center"/>
              <w:rPr>
                <w:color w:val="auto"/>
                <w:sz w:val="18"/>
                <w:szCs w:val="18"/>
                <w:highlight w:val="none"/>
              </w:rPr>
            </w:pPr>
          </w:p>
        </w:tc>
        <w:tc>
          <w:tcPr>
            <w:tcW w:w="1148" w:type="dxa"/>
            <w:vAlign w:val="center"/>
          </w:tcPr>
          <w:p w14:paraId="2D683D05">
            <w:pPr>
              <w:ind w:left="223" w:hanging="190" w:hangingChars="106"/>
              <w:jc w:val="center"/>
              <w:rPr>
                <w:color w:val="auto"/>
                <w:sz w:val="18"/>
                <w:szCs w:val="18"/>
                <w:highlight w:val="none"/>
              </w:rPr>
            </w:pPr>
          </w:p>
        </w:tc>
        <w:tc>
          <w:tcPr>
            <w:tcW w:w="850" w:type="dxa"/>
            <w:vAlign w:val="center"/>
          </w:tcPr>
          <w:p w14:paraId="12F9BB77">
            <w:pPr>
              <w:ind w:left="223" w:hanging="190" w:hangingChars="106"/>
              <w:jc w:val="center"/>
              <w:rPr>
                <w:color w:val="auto"/>
                <w:sz w:val="18"/>
                <w:szCs w:val="18"/>
                <w:highlight w:val="none"/>
              </w:rPr>
            </w:pPr>
          </w:p>
        </w:tc>
        <w:tc>
          <w:tcPr>
            <w:tcW w:w="1276" w:type="dxa"/>
            <w:vAlign w:val="center"/>
          </w:tcPr>
          <w:p w14:paraId="1199851F">
            <w:pPr>
              <w:ind w:left="223" w:hanging="190" w:hangingChars="106"/>
              <w:jc w:val="center"/>
              <w:rPr>
                <w:color w:val="auto"/>
                <w:sz w:val="18"/>
                <w:szCs w:val="18"/>
                <w:highlight w:val="none"/>
              </w:rPr>
            </w:pPr>
          </w:p>
        </w:tc>
      </w:tr>
      <w:tr w14:paraId="7C63A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68FB356A">
            <w:pPr>
              <w:ind w:left="223" w:hanging="190" w:hangingChars="106"/>
              <w:jc w:val="center"/>
              <w:rPr>
                <w:color w:val="auto"/>
                <w:sz w:val="18"/>
                <w:szCs w:val="18"/>
                <w:highlight w:val="none"/>
              </w:rPr>
            </w:pPr>
            <w:r>
              <w:rPr>
                <w:color w:val="auto"/>
                <w:sz w:val="18"/>
                <w:szCs w:val="18"/>
                <w:highlight w:val="none"/>
              </w:rPr>
              <w:t>质量员</w:t>
            </w:r>
          </w:p>
        </w:tc>
        <w:tc>
          <w:tcPr>
            <w:tcW w:w="829" w:type="dxa"/>
            <w:vAlign w:val="center"/>
          </w:tcPr>
          <w:p w14:paraId="083D0E6F">
            <w:pPr>
              <w:ind w:left="223" w:hanging="190" w:hangingChars="106"/>
              <w:jc w:val="center"/>
              <w:rPr>
                <w:color w:val="auto"/>
                <w:sz w:val="18"/>
                <w:szCs w:val="18"/>
                <w:highlight w:val="none"/>
              </w:rPr>
            </w:pPr>
          </w:p>
        </w:tc>
        <w:tc>
          <w:tcPr>
            <w:tcW w:w="816" w:type="dxa"/>
            <w:vAlign w:val="center"/>
          </w:tcPr>
          <w:p w14:paraId="295F7385">
            <w:pPr>
              <w:ind w:left="223" w:hanging="190" w:hangingChars="106"/>
              <w:jc w:val="center"/>
              <w:rPr>
                <w:color w:val="auto"/>
                <w:sz w:val="18"/>
                <w:szCs w:val="18"/>
                <w:highlight w:val="none"/>
              </w:rPr>
            </w:pPr>
          </w:p>
        </w:tc>
        <w:tc>
          <w:tcPr>
            <w:tcW w:w="1148" w:type="dxa"/>
            <w:vAlign w:val="center"/>
          </w:tcPr>
          <w:p w14:paraId="4DDF7BD3">
            <w:pPr>
              <w:ind w:left="223" w:hanging="190" w:hangingChars="106"/>
              <w:jc w:val="center"/>
              <w:rPr>
                <w:color w:val="auto"/>
                <w:sz w:val="18"/>
                <w:szCs w:val="18"/>
                <w:highlight w:val="none"/>
              </w:rPr>
            </w:pPr>
          </w:p>
        </w:tc>
        <w:tc>
          <w:tcPr>
            <w:tcW w:w="1148" w:type="dxa"/>
            <w:vAlign w:val="center"/>
          </w:tcPr>
          <w:p w14:paraId="119E2493">
            <w:pPr>
              <w:ind w:left="223" w:hanging="190" w:hangingChars="106"/>
              <w:jc w:val="center"/>
              <w:rPr>
                <w:color w:val="auto"/>
                <w:sz w:val="18"/>
                <w:szCs w:val="18"/>
                <w:highlight w:val="none"/>
              </w:rPr>
            </w:pPr>
          </w:p>
        </w:tc>
        <w:tc>
          <w:tcPr>
            <w:tcW w:w="1148" w:type="dxa"/>
            <w:vAlign w:val="center"/>
          </w:tcPr>
          <w:p w14:paraId="7AEDC37C">
            <w:pPr>
              <w:ind w:left="223" w:hanging="190" w:hangingChars="106"/>
              <w:jc w:val="center"/>
              <w:rPr>
                <w:color w:val="auto"/>
                <w:sz w:val="18"/>
                <w:szCs w:val="18"/>
                <w:highlight w:val="none"/>
              </w:rPr>
            </w:pPr>
          </w:p>
        </w:tc>
        <w:tc>
          <w:tcPr>
            <w:tcW w:w="1148" w:type="dxa"/>
            <w:vAlign w:val="center"/>
          </w:tcPr>
          <w:p w14:paraId="0E717312">
            <w:pPr>
              <w:ind w:left="223" w:hanging="190" w:hangingChars="106"/>
              <w:jc w:val="center"/>
              <w:rPr>
                <w:color w:val="auto"/>
                <w:sz w:val="18"/>
                <w:szCs w:val="18"/>
                <w:highlight w:val="none"/>
              </w:rPr>
            </w:pPr>
          </w:p>
        </w:tc>
        <w:tc>
          <w:tcPr>
            <w:tcW w:w="850" w:type="dxa"/>
            <w:vAlign w:val="center"/>
          </w:tcPr>
          <w:p w14:paraId="3158394E">
            <w:pPr>
              <w:ind w:left="223" w:hanging="190" w:hangingChars="106"/>
              <w:jc w:val="center"/>
              <w:rPr>
                <w:color w:val="auto"/>
                <w:sz w:val="18"/>
                <w:szCs w:val="18"/>
                <w:highlight w:val="none"/>
              </w:rPr>
            </w:pPr>
          </w:p>
        </w:tc>
        <w:tc>
          <w:tcPr>
            <w:tcW w:w="1276" w:type="dxa"/>
            <w:vAlign w:val="center"/>
          </w:tcPr>
          <w:p w14:paraId="209B2EEB">
            <w:pPr>
              <w:ind w:left="223" w:hanging="190" w:hangingChars="106"/>
              <w:jc w:val="center"/>
              <w:rPr>
                <w:color w:val="auto"/>
                <w:sz w:val="18"/>
                <w:szCs w:val="18"/>
                <w:highlight w:val="none"/>
              </w:rPr>
            </w:pPr>
          </w:p>
        </w:tc>
      </w:tr>
      <w:tr w14:paraId="2B224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restart"/>
            <w:vAlign w:val="center"/>
          </w:tcPr>
          <w:p w14:paraId="17409DEF">
            <w:pPr>
              <w:ind w:left="223" w:hanging="190" w:hangingChars="106"/>
              <w:jc w:val="center"/>
              <w:rPr>
                <w:color w:val="auto"/>
                <w:sz w:val="18"/>
                <w:szCs w:val="18"/>
                <w:highlight w:val="none"/>
              </w:rPr>
            </w:pPr>
            <w:r>
              <w:rPr>
                <w:color w:val="auto"/>
                <w:sz w:val="18"/>
                <w:szCs w:val="18"/>
                <w:highlight w:val="none"/>
              </w:rPr>
              <w:t>安全员</w:t>
            </w:r>
          </w:p>
        </w:tc>
        <w:tc>
          <w:tcPr>
            <w:tcW w:w="829" w:type="dxa"/>
            <w:vAlign w:val="center"/>
          </w:tcPr>
          <w:p w14:paraId="24F7A37B">
            <w:pPr>
              <w:ind w:left="223" w:hanging="190" w:hangingChars="106"/>
              <w:jc w:val="center"/>
              <w:rPr>
                <w:color w:val="auto"/>
                <w:sz w:val="18"/>
                <w:szCs w:val="18"/>
                <w:highlight w:val="none"/>
              </w:rPr>
            </w:pPr>
          </w:p>
        </w:tc>
        <w:tc>
          <w:tcPr>
            <w:tcW w:w="816" w:type="dxa"/>
            <w:vAlign w:val="center"/>
          </w:tcPr>
          <w:p w14:paraId="4B476E5D">
            <w:pPr>
              <w:ind w:left="223" w:hanging="190" w:hangingChars="106"/>
              <w:jc w:val="center"/>
              <w:rPr>
                <w:color w:val="auto"/>
                <w:sz w:val="18"/>
                <w:szCs w:val="18"/>
                <w:highlight w:val="none"/>
              </w:rPr>
            </w:pPr>
          </w:p>
        </w:tc>
        <w:tc>
          <w:tcPr>
            <w:tcW w:w="1148" w:type="dxa"/>
            <w:vAlign w:val="center"/>
          </w:tcPr>
          <w:p w14:paraId="0E61C6F8">
            <w:pPr>
              <w:ind w:left="223" w:hanging="190" w:hangingChars="106"/>
              <w:jc w:val="center"/>
              <w:rPr>
                <w:color w:val="auto"/>
                <w:sz w:val="18"/>
                <w:szCs w:val="18"/>
                <w:highlight w:val="none"/>
              </w:rPr>
            </w:pPr>
          </w:p>
        </w:tc>
        <w:tc>
          <w:tcPr>
            <w:tcW w:w="1148" w:type="dxa"/>
            <w:vAlign w:val="center"/>
          </w:tcPr>
          <w:p w14:paraId="581AE21F">
            <w:pPr>
              <w:ind w:left="223" w:hanging="190" w:hangingChars="106"/>
              <w:jc w:val="center"/>
              <w:rPr>
                <w:color w:val="auto"/>
                <w:sz w:val="18"/>
                <w:szCs w:val="18"/>
                <w:highlight w:val="none"/>
              </w:rPr>
            </w:pPr>
          </w:p>
        </w:tc>
        <w:tc>
          <w:tcPr>
            <w:tcW w:w="1148" w:type="dxa"/>
            <w:vAlign w:val="center"/>
          </w:tcPr>
          <w:p w14:paraId="1A61AAC9">
            <w:pPr>
              <w:ind w:left="223" w:hanging="190" w:hangingChars="106"/>
              <w:jc w:val="center"/>
              <w:rPr>
                <w:color w:val="auto"/>
                <w:sz w:val="18"/>
                <w:szCs w:val="18"/>
                <w:highlight w:val="none"/>
              </w:rPr>
            </w:pPr>
          </w:p>
        </w:tc>
        <w:tc>
          <w:tcPr>
            <w:tcW w:w="1148" w:type="dxa"/>
            <w:vAlign w:val="center"/>
          </w:tcPr>
          <w:p w14:paraId="2FE1AD99">
            <w:pPr>
              <w:ind w:left="223" w:hanging="190" w:hangingChars="106"/>
              <w:jc w:val="center"/>
              <w:rPr>
                <w:color w:val="auto"/>
                <w:sz w:val="18"/>
                <w:szCs w:val="18"/>
                <w:highlight w:val="none"/>
              </w:rPr>
            </w:pPr>
          </w:p>
        </w:tc>
        <w:tc>
          <w:tcPr>
            <w:tcW w:w="850" w:type="dxa"/>
            <w:vAlign w:val="center"/>
          </w:tcPr>
          <w:p w14:paraId="7FCD927B">
            <w:pPr>
              <w:ind w:left="223" w:hanging="190" w:hangingChars="106"/>
              <w:jc w:val="center"/>
              <w:rPr>
                <w:color w:val="auto"/>
                <w:sz w:val="18"/>
                <w:szCs w:val="18"/>
                <w:highlight w:val="none"/>
              </w:rPr>
            </w:pPr>
          </w:p>
        </w:tc>
        <w:tc>
          <w:tcPr>
            <w:tcW w:w="1276" w:type="dxa"/>
            <w:vAlign w:val="center"/>
          </w:tcPr>
          <w:p w14:paraId="0C7978F7">
            <w:pPr>
              <w:ind w:left="223" w:hanging="190" w:hangingChars="106"/>
              <w:jc w:val="center"/>
              <w:rPr>
                <w:color w:val="auto"/>
                <w:sz w:val="18"/>
                <w:szCs w:val="18"/>
                <w:highlight w:val="none"/>
              </w:rPr>
            </w:pPr>
          </w:p>
        </w:tc>
      </w:tr>
      <w:tr w14:paraId="16278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continue"/>
            <w:vAlign w:val="center"/>
          </w:tcPr>
          <w:p w14:paraId="5E1777FE">
            <w:pPr>
              <w:ind w:left="223" w:hanging="190" w:hangingChars="106"/>
              <w:jc w:val="center"/>
              <w:rPr>
                <w:color w:val="auto"/>
                <w:sz w:val="18"/>
                <w:szCs w:val="18"/>
                <w:highlight w:val="none"/>
              </w:rPr>
            </w:pPr>
          </w:p>
        </w:tc>
        <w:tc>
          <w:tcPr>
            <w:tcW w:w="829" w:type="dxa"/>
            <w:vAlign w:val="center"/>
          </w:tcPr>
          <w:p w14:paraId="4563403D">
            <w:pPr>
              <w:ind w:left="223" w:hanging="190" w:hangingChars="106"/>
              <w:jc w:val="center"/>
              <w:rPr>
                <w:color w:val="auto"/>
                <w:sz w:val="18"/>
                <w:szCs w:val="18"/>
                <w:highlight w:val="none"/>
              </w:rPr>
            </w:pPr>
          </w:p>
        </w:tc>
        <w:tc>
          <w:tcPr>
            <w:tcW w:w="816" w:type="dxa"/>
            <w:vAlign w:val="center"/>
          </w:tcPr>
          <w:p w14:paraId="0BA42C65">
            <w:pPr>
              <w:ind w:left="223" w:hanging="190" w:hangingChars="106"/>
              <w:jc w:val="center"/>
              <w:rPr>
                <w:color w:val="auto"/>
                <w:sz w:val="18"/>
                <w:szCs w:val="18"/>
                <w:highlight w:val="none"/>
              </w:rPr>
            </w:pPr>
          </w:p>
        </w:tc>
        <w:tc>
          <w:tcPr>
            <w:tcW w:w="1148" w:type="dxa"/>
            <w:vAlign w:val="center"/>
          </w:tcPr>
          <w:p w14:paraId="3447D611">
            <w:pPr>
              <w:ind w:left="223" w:hanging="190" w:hangingChars="106"/>
              <w:jc w:val="center"/>
              <w:rPr>
                <w:color w:val="auto"/>
                <w:sz w:val="18"/>
                <w:szCs w:val="18"/>
                <w:highlight w:val="none"/>
              </w:rPr>
            </w:pPr>
          </w:p>
        </w:tc>
        <w:tc>
          <w:tcPr>
            <w:tcW w:w="1148" w:type="dxa"/>
            <w:vAlign w:val="center"/>
          </w:tcPr>
          <w:p w14:paraId="42EC0691">
            <w:pPr>
              <w:ind w:left="223" w:hanging="190" w:hangingChars="106"/>
              <w:jc w:val="center"/>
              <w:rPr>
                <w:color w:val="auto"/>
                <w:sz w:val="18"/>
                <w:szCs w:val="18"/>
                <w:highlight w:val="none"/>
              </w:rPr>
            </w:pPr>
          </w:p>
        </w:tc>
        <w:tc>
          <w:tcPr>
            <w:tcW w:w="1148" w:type="dxa"/>
            <w:vAlign w:val="center"/>
          </w:tcPr>
          <w:p w14:paraId="73C4D1F2">
            <w:pPr>
              <w:ind w:left="223" w:hanging="190" w:hangingChars="106"/>
              <w:jc w:val="center"/>
              <w:rPr>
                <w:color w:val="auto"/>
                <w:sz w:val="18"/>
                <w:szCs w:val="18"/>
                <w:highlight w:val="none"/>
              </w:rPr>
            </w:pPr>
          </w:p>
        </w:tc>
        <w:tc>
          <w:tcPr>
            <w:tcW w:w="1148" w:type="dxa"/>
            <w:vAlign w:val="center"/>
          </w:tcPr>
          <w:p w14:paraId="60B738FB">
            <w:pPr>
              <w:ind w:left="223" w:hanging="190" w:hangingChars="106"/>
              <w:jc w:val="center"/>
              <w:rPr>
                <w:color w:val="auto"/>
                <w:sz w:val="18"/>
                <w:szCs w:val="18"/>
                <w:highlight w:val="none"/>
              </w:rPr>
            </w:pPr>
          </w:p>
        </w:tc>
        <w:tc>
          <w:tcPr>
            <w:tcW w:w="850" w:type="dxa"/>
            <w:vAlign w:val="center"/>
          </w:tcPr>
          <w:p w14:paraId="7011EFFD">
            <w:pPr>
              <w:ind w:left="223" w:hanging="190" w:hangingChars="106"/>
              <w:jc w:val="center"/>
              <w:rPr>
                <w:color w:val="auto"/>
                <w:sz w:val="18"/>
                <w:szCs w:val="18"/>
                <w:highlight w:val="none"/>
              </w:rPr>
            </w:pPr>
          </w:p>
        </w:tc>
        <w:tc>
          <w:tcPr>
            <w:tcW w:w="1276" w:type="dxa"/>
            <w:vAlign w:val="center"/>
          </w:tcPr>
          <w:p w14:paraId="7B30B1F2">
            <w:pPr>
              <w:ind w:left="223" w:hanging="190" w:hangingChars="106"/>
              <w:jc w:val="center"/>
              <w:rPr>
                <w:color w:val="auto"/>
                <w:sz w:val="18"/>
                <w:szCs w:val="18"/>
                <w:highlight w:val="none"/>
              </w:rPr>
            </w:pPr>
          </w:p>
        </w:tc>
      </w:tr>
      <w:tr w14:paraId="4C492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continue"/>
            <w:vAlign w:val="center"/>
          </w:tcPr>
          <w:p w14:paraId="05648FC1">
            <w:pPr>
              <w:ind w:left="223" w:hanging="190" w:hangingChars="106"/>
              <w:jc w:val="center"/>
              <w:rPr>
                <w:color w:val="auto"/>
                <w:sz w:val="18"/>
                <w:szCs w:val="18"/>
                <w:highlight w:val="none"/>
              </w:rPr>
            </w:pPr>
          </w:p>
        </w:tc>
        <w:tc>
          <w:tcPr>
            <w:tcW w:w="829" w:type="dxa"/>
            <w:vAlign w:val="center"/>
          </w:tcPr>
          <w:p w14:paraId="7DEB9A9A">
            <w:pPr>
              <w:ind w:left="223" w:hanging="190" w:hangingChars="106"/>
              <w:jc w:val="center"/>
              <w:rPr>
                <w:color w:val="auto"/>
                <w:sz w:val="18"/>
                <w:szCs w:val="18"/>
                <w:highlight w:val="none"/>
              </w:rPr>
            </w:pPr>
          </w:p>
        </w:tc>
        <w:tc>
          <w:tcPr>
            <w:tcW w:w="816" w:type="dxa"/>
            <w:vAlign w:val="center"/>
          </w:tcPr>
          <w:p w14:paraId="52970EB0">
            <w:pPr>
              <w:ind w:left="223" w:hanging="190" w:hangingChars="106"/>
              <w:jc w:val="center"/>
              <w:rPr>
                <w:color w:val="auto"/>
                <w:sz w:val="18"/>
                <w:szCs w:val="18"/>
                <w:highlight w:val="none"/>
              </w:rPr>
            </w:pPr>
          </w:p>
        </w:tc>
        <w:tc>
          <w:tcPr>
            <w:tcW w:w="1148" w:type="dxa"/>
            <w:vAlign w:val="center"/>
          </w:tcPr>
          <w:p w14:paraId="081B62D0">
            <w:pPr>
              <w:ind w:left="223" w:hanging="190" w:hangingChars="106"/>
              <w:jc w:val="center"/>
              <w:rPr>
                <w:color w:val="auto"/>
                <w:sz w:val="18"/>
                <w:szCs w:val="18"/>
                <w:highlight w:val="none"/>
              </w:rPr>
            </w:pPr>
          </w:p>
        </w:tc>
        <w:tc>
          <w:tcPr>
            <w:tcW w:w="1148" w:type="dxa"/>
            <w:vAlign w:val="center"/>
          </w:tcPr>
          <w:p w14:paraId="1DAA761E">
            <w:pPr>
              <w:ind w:left="223" w:hanging="190" w:hangingChars="106"/>
              <w:jc w:val="center"/>
              <w:rPr>
                <w:color w:val="auto"/>
                <w:sz w:val="18"/>
                <w:szCs w:val="18"/>
                <w:highlight w:val="none"/>
              </w:rPr>
            </w:pPr>
          </w:p>
        </w:tc>
        <w:tc>
          <w:tcPr>
            <w:tcW w:w="1148" w:type="dxa"/>
            <w:vAlign w:val="center"/>
          </w:tcPr>
          <w:p w14:paraId="2F822B5A">
            <w:pPr>
              <w:ind w:left="223" w:hanging="190" w:hangingChars="106"/>
              <w:jc w:val="center"/>
              <w:rPr>
                <w:color w:val="auto"/>
                <w:sz w:val="18"/>
                <w:szCs w:val="18"/>
                <w:highlight w:val="none"/>
              </w:rPr>
            </w:pPr>
          </w:p>
        </w:tc>
        <w:tc>
          <w:tcPr>
            <w:tcW w:w="1148" w:type="dxa"/>
            <w:vAlign w:val="center"/>
          </w:tcPr>
          <w:p w14:paraId="2FC5D5FE">
            <w:pPr>
              <w:ind w:left="223" w:hanging="190" w:hangingChars="106"/>
              <w:jc w:val="center"/>
              <w:rPr>
                <w:color w:val="auto"/>
                <w:sz w:val="18"/>
                <w:szCs w:val="18"/>
                <w:highlight w:val="none"/>
              </w:rPr>
            </w:pPr>
          </w:p>
        </w:tc>
        <w:tc>
          <w:tcPr>
            <w:tcW w:w="850" w:type="dxa"/>
            <w:vAlign w:val="center"/>
          </w:tcPr>
          <w:p w14:paraId="53AF30E3">
            <w:pPr>
              <w:ind w:left="223" w:hanging="190" w:hangingChars="106"/>
              <w:jc w:val="center"/>
              <w:rPr>
                <w:color w:val="auto"/>
                <w:sz w:val="18"/>
                <w:szCs w:val="18"/>
                <w:highlight w:val="none"/>
              </w:rPr>
            </w:pPr>
          </w:p>
        </w:tc>
        <w:tc>
          <w:tcPr>
            <w:tcW w:w="1276" w:type="dxa"/>
            <w:vAlign w:val="center"/>
          </w:tcPr>
          <w:p w14:paraId="02F3567A">
            <w:pPr>
              <w:ind w:left="223" w:hanging="190" w:hangingChars="106"/>
              <w:jc w:val="center"/>
              <w:rPr>
                <w:color w:val="auto"/>
                <w:sz w:val="18"/>
                <w:szCs w:val="18"/>
                <w:highlight w:val="none"/>
              </w:rPr>
            </w:pPr>
          </w:p>
        </w:tc>
      </w:tr>
      <w:tr w14:paraId="0E904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2DD9B434">
            <w:pPr>
              <w:ind w:left="223" w:hanging="190" w:hangingChars="106"/>
              <w:jc w:val="center"/>
              <w:rPr>
                <w:color w:val="auto"/>
                <w:sz w:val="18"/>
                <w:szCs w:val="18"/>
                <w:highlight w:val="none"/>
              </w:rPr>
            </w:pPr>
            <w:r>
              <w:rPr>
                <w:color w:val="auto"/>
                <w:sz w:val="18"/>
                <w:szCs w:val="18"/>
                <w:highlight w:val="none"/>
              </w:rPr>
              <w:t>材料员</w:t>
            </w:r>
          </w:p>
        </w:tc>
        <w:tc>
          <w:tcPr>
            <w:tcW w:w="829" w:type="dxa"/>
            <w:vAlign w:val="center"/>
          </w:tcPr>
          <w:p w14:paraId="13E2F03B">
            <w:pPr>
              <w:ind w:left="223" w:hanging="190" w:hangingChars="106"/>
              <w:jc w:val="center"/>
              <w:rPr>
                <w:color w:val="auto"/>
                <w:sz w:val="18"/>
                <w:szCs w:val="18"/>
                <w:highlight w:val="none"/>
              </w:rPr>
            </w:pPr>
          </w:p>
        </w:tc>
        <w:tc>
          <w:tcPr>
            <w:tcW w:w="816" w:type="dxa"/>
            <w:vAlign w:val="center"/>
          </w:tcPr>
          <w:p w14:paraId="0426C9E6">
            <w:pPr>
              <w:ind w:left="223" w:hanging="190" w:hangingChars="106"/>
              <w:jc w:val="center"/>
              <w:rPr>
                <w:color w:val="auto"/>
                <w:sz w:val="18"/>
                <w:szCs w:val="18"/>
                <w:highlight w:val="none"/>
              </w:rPr>
            </w:pPr>
          </w:p>
        </w:tc>
        <w:tc>
          <w:tcPr>
            <w:tcW w:w="1148" w:type="dxa"/>
            <w:vAlign w:val="center"/>
          </w:tcPr>
          <w:p w14:paraId="5F1C3473">
            <w:pPr>
              <w:ind w:left="223" w:hanging="190" w:hangingChars="106"/>
              <w:jc w:val="center"/>
              <w:rPr>
                <w:color w:val="auto"/>
                <w:sz w:val="18"/>
                <w:szCs w:val="18"/>
                <w:highlight w:val="none"/>
              </w:rPr>
            </w:pPr>
          </w:p>
        </w:tc>
        <w:tc>
          <w:tcPr>
            <w:tcW w:w="1148" w:type="dxa"/>
            <w:vAlign w:val="center"/>
          </w:tcPr>
          <w:p w14:paraId="58150CF2">
            <w:pPr>
              <w:ind w:left="223" w:hanging="190" w:hangingChars="106"/>
              <w:jc w:val="center"/>
              <w:rPr>
                <w:color w:val="auto"/>
                <w:sz w:val="18"/>
                <w:szCs w:val="18"/>
                <w:highlight w:val="none"/>
              </w:rPr>
            </w:pPr>
          </w:p>
        </w:tc>
        <w:tc>
          <w:tcPr>
            <w:tcW w:w="1148" w:type="dxa"/>
            <w:vAlign w:val="center"/>
          </w:tcPr>
          <w:p w14:paraId="3A9E92B4">
            <w:pPr>
              <w:ind w:left="223" w:hanging="190" w:hangingChars="106"/>
              <w:jc w:val="center"/>
              <w:rPr>
                <w:color w:val="auto"/>
                <w:sz w:val="18"/>
                <w:szCs w:val="18"/>
                <w:highlight w:val="none"/>
              </w:rPr>
            </w:pPr>
          </w:p>
        </w:tc>
        <w:tc>
          <w:tcPr>
            <w:tcW w:w="1148" w:type="dxa"/>
            <w:vAlign w:val="center"/>
          </w:tcPr>
          <w:p w14:paraId="706EE7B8">
            <w:pPr>
              <w:ind w:left="223" w:hanging="190" w:hangingChars="106"/>
              <w:jc w:val="center"/>
              <w:rPr>
                <w:color w:val="auto"/>
                <w:sz w:val="18"/>
                <w:szCs w:val="18"/>
                <w:highlight w:val="none"/>
              </w:rPr>
            </w:pPr>
          </w:p>
        </w:tc>
        <w:tc>
          <w:tcPr>
            <w:tcW w:w="850" w:type="dxa"/>
            <w:vAlign w:val="center"/>
          </w:tcPr>
          <w:p w14:paraId="69BC5FFF">
            <w:pPr>
              <w:ind w:left="223" w:hanging="190" w:hangingChars="106"/>
              <w:jc w:val="center"/>
              <w:rPr>
                <w:color w:val="auto"/>
                <w:sz w:val="18"/>
                <w:szCs w:val="18"/>
                <w:highlight w:val="none"/>
              </w:rPr>
            </w:pPr>
          </w:p>
        </w:tc>
        <w:tc>
          <w:tcPr>
            <w:tcW w:w="1276" w:type="dxa"/>
            <w:vAlign w:val="center"/>
          </w:tcPr>
          <w:p w14:paraId="7ABBB80A">
            <w:pPr>
              <w:ind w:left="223" w:hanging="190" w:hangingChars="106"/>
              <w:jc w:val="center"/>
              <w:rPr>
                <w:color w:val="auto"/>
                <w:sz w:val="18"/>
                <w:szCs w:val="18"/>
                <w:highlight w:val="none"/>
              </w:rPr>
            </w:pPr>
          </w:p>
        </w:tc>
      </w:tr>
      <w:tr w14:paraId="6ADB0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F3C4475">
            <w:pPr>
              <w:ind w:left="223" w:hanging="190" w:hangingChars="106"/>
              <w:jc w:val="center"/>
              <w:rPr>
                <w:color w:val="auto"/>
                <w:sz w:val="18"/>
                <w:szCs w:val="18"/>
                <w:highlight w:val="none"/>
              </w:rPr>
            </w:pPr>
          </w:p>
        </w:tc>
        <w:tc>
          <w:tcPr>
            <w:tcW w:w="829" w:type="dxa"/>
            <w:vAlign w:val="center"/>
          </w:tcPr>
          <w:p w14:paraId="561B0FAC">
            <w:pPr>
              <w:ind w:left="223" w:hanging="190" w:hangingChars="106"/>
              <w:jc w:val="center"/>
              <w:rPr>
                <w:color w:val="auto"/>
                <w:sz w:val="18"/>
                <w:szCs w:val="18"/>
                <w:highlight w:val="none"/>
              </w:rPr>
            </w:pPr>
          </w:p>
        </w:tc>
        <w:tc>
          <w:tcPr>
            <w:tcW w:w="816" w:type="dxa"/>
            <w:vAlign w:val="center"/>
          </w:tcPr>
          <w:p w14:paraId="67352B26">
            <w:pPr>
              <w:ind w:left="223" w:hanging="190" w:hangingChars="106"/>
              <w:jc w:val="center"/>
              <w:rPr>
                <w:color w:val="auto"/>
                <w:sz w:val="18"/>
                <w:szCs w:val="18"/>
                <w:highlight w:val="none"/>
              </w:rPr>
            </w:pPr>
          </w:p>
        </w:tc>
        <w:tc>
          <w:tcPr>
            <w:tcW w:w="1148" w:type="dxa"/>
            <w:vAlign w:val="center"/>
          </w:tcPr>
          <w:p w14:paraId="7DC53FB2">
            <w:pPr>
              <w:ind w:left="223" w:hanging="190" w:hangingChars="106"/>
              <w:jc w:val="center"/>
              <w:rPr>
                <w:color w:val="auto"/>
                <w:sz w:val="18"/>
                <w:szCs w:val="18"/>
                <w:highlight w:val="none"/>
              </w:rPr>
            </w:pPr>
          </w:p>
        </w:tc>
        <w:tc>
          <w:tcPr>
            <w:tcW w:w="1148" w:type="dxa"/>
            <w:vAlign w:val="center"/>
          </w:tcPr>
          <w:p w14:paraId="13298947">
            <w:pPr>
              <w:ind w:left="223" w:hanging="190" w:hangingChars="106"/>
              <w:jc w:val="center"/>
              <w:rPr>
                <w:color w:val="auto"/>
                <w:sz w:val="18"/>
                <w:szCs w:val="18"/>
                <w:highlight w:val="none"/>
              </w:rPr>
            </w:pPr>
          </w:p>
        </w:tc>
        <w:tc>
          <w:tcPr>
            <w:tcW w:w="1148" w:type="dxa"/>
            <w:vAlign w:val="center"/>
          </w:tcPr>
          <w:p w14:paraId="3B8414C7">
            <w:pPr>
              <w:ind w:left="223" w:hanging="190" w:hangingChars="106"/>
              <w:jc w:val="center"/>
              <w:rPr>
                <w:color w:val="auto"/>
                <w:sz w:val="18"/>
                <w:szCs w:val="18"/>
                <w:highlight w:val="none"/>
              </w:rPr>
            </w:pPr>
          </w:p>
        </w:tc>
        <w:tc>
          <w:tcPr>
            <w:tcW w:w="1148" w:type="dxa"/>
            <w:vAlign w:val="center"/>
          </w:tcPr>
          <w:p w14:paraId="551DE1AB">
            <w:pPr>
              <w:ind w:left="223" w:hanging="190" w:hangingChars="106"/>
              <w:jc w:val="center"/>
              <w:rPr>
                <w:color w:val="auto"/>
                <w:sz w:val="18"/>
                <w:szCs w:val="18"/>
                <w:highlight w:val="none"/>
              </w:rPr>
            </w:pPr>
          </w:p>
        </w:tc>
        <w:tc>
          <w:tcPr>
            <w:tcW w:w="850" w:type="dxa"/>
            <w:vAlign w:val="center"/>
          </w:tcPr>
          <w:p w14:paraId="766752FB">
            <w:pPr>
              <w:ind w:left="223" w:hanging="190" w:hangingChars="106"/>
              <w:jc w:val="center"/>
              <w:rPr>
                <w:color w:val="auto"/>
                <w:sz w:val="18"/>
                <w:szCs w:val="18"/>
                <w:highlight w:val="none"/>
              </w:rPr>
            </w:pPr>
          </w:p>
        </w:tc>
        <w:tc>
          <w:tcPr>
            <w:tcW w:w="1276" w:type="dxa"/>
            <w:vAlign w:val="center"/>
          </w:tcPr>
          <w:p w14:paraId="74E75CAB">
            <w:pPr>
              <w:ind w:left="223" w:hanging="190" w:hangingChars="106"/>
              <w:jc w:val="center"/>
              <w:rPr>
                <w:color w:val="auto"/>
                <w:sz w:val="18"/>
                <w:szCs w:val="18"/>
                <w:highlight w:val="none"/>
              </w:rPr>
            </w:pPr>
          </w:p>
        </w:tc>
      </w:tr>
      <w:tr w14:paraId="216A4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6F60AA50">
            <w:pPr>
              <w:ind w:left="223" w:hanging="190" w:hangingChars="106"/>
              <w:jc w:val="center"/>
              <w:rPr>
                <w:color w:val="auto"/>
                <w:sz w:val="18"/>
                <w:szCs w:val="18"/>
                <w:highlight w:val="none"/>
              </w:rPr>
            </w:pPr>
            <w:r>
              <w:rPr>
                <w:color w:val="auto"/>
                <w:sz w:val="18"/>
                <w:szCs w:val="18"/>
                <w:highlight w:val="none"/>
              </w:rPr>
              <w:t>……</w:t>
            </w:r>
          </w:p>
        </w:tc>
        <w:tc>
          <w:tcPr>
            <w:tcW w:w="829" w:type="dxa"/>
            <w:vAlign w:val="center"/>
          </w:tcPr>
          <w:p w14:paraId="6A72AB7B">
            <w:pPr>
              <w:ind w:left="223" w:hanging="190" w:hangingChars="106"/>
              <w:jc w:val="center"/>
              <w:rPr>
                <w:color w:val="auto"/>
                <w:sz w:val="18"/>
                <w:szCs w:val="18"/>
                <w:highlight w:val="none"/>
              </w:rPr>
            </w:pPr>
          </w:p>
        </w:tc>
        <w:tc>
          <w:tcPr>
            <w:tcW w:w="816" w:type="dxa"/>
            <w:vAlign w:val="center"/>
          </w:tcPr>
          <w:p w14:paraId="4C298797">
            <w:pPr>
              <w:ind w:left="223" w:hanging="190" w:hangingChars="106"/>
              <w:jc w:val="center"/>
              <w:rPr>
                <w:color w:val="auto"/>
                <w:sz w:val="18"/>
                <w:szCs w:val="18"/>
                <w:highlight w:val="none"/>
              </w:rPr>
            </w:pPr>
          </w:p>
        </w:tc>
        <w:tc>
          <w:tcPr>
            <w:tcW w:w="1148" w:type="dxa"/>
            <w:vAlign w:val="center"/>
          </w:tcPr>
          <w:p w14:paraId="704399FF">
            <w:pPr>
              <w:ind w:left="223" w:hanging="190" w:hangingChars="106"/>
              <w:jc w:val="center"/>
              <w:rPr>
                <w:color w:val="auto"/>
                <w:sz w:val="18"/>
                <w:szCs w:val="18"/>
                <w:highlight w:val="none"/>
              </w:rPr>
            </w:pPr>
          </w:p>
        </w:tc>
        <w:tc>
          <w:tcPr>
            <w:tcW w:w="1148" w:type="dxa"/>
            <w:vAlign w:val="center"/>
          </w:tcPr>
          <w:p w14:paraId="6C77CC49">
            <w:pPr>
              <w:ind w:left="223" w:hanging="190" w:hangingChars="106"/>
              <w:jc w:val="center"/>
              <w:rPr>
                <w:color w:val="auto"/>
                <w:sz w:val="18"/>
                <w:szCs w:val="18"/>
                <w:highlight w:val="none"/>
              </w:rPr>
            </w:pPr>
          </w:p>
        </w:tc>
        <w:tc>
          <w:tcPr>
            <w:tcW w:w="1148" w:type="dxa"/>
            <w:vAlign w:val="center"/>
          </w:tcPr>
          <w:p w14:paraId="4AE50813">
            <w:pPr>
              <w:ind w:left="223" w:hanging="190" w:hangingChars="106"/>
              <w:jc w:val="center"/>
              <w:rPr>
                <w:color w:val="auto"/>
                <w:sz w:val="18"/>
                <w:szCs w:val="18"/>
                <w:highlight w:val="none"/>
              </w:rPr>
            </w:pPr>
          </w:p>
        </w:tc>
        <w:tc>
          <w:tcPr>
            <w:tcW w:w="1148" w:type="dxa"/>
            <w:vAlign w:val="center"/>
          </w:tcPr>
          <w:p w14:paraId="4F73AEF9">
            <w:pPr>
              <w:ind w:left="223" w:hanging="190" w:hangingChars="106"/>
              <w:jc w:val="center"/>
              <w:rPr>
                <w:color w:val="auto"/>
                <w:sz w:val="18"/>
                <w:szCs w:val="18"/>
                <w:highlight w:val="none"/>
              </w:rPr>
            </w:pPr>
          </w:p>
        </w:tc>
        <w:tc>
          <w:tcPr>
            <w:tcW w:w="850" w:type="dxa"/>
            <w:vAlign w:val="center"/>
          </w:tcPr>
          <w:p w14:paraId="240C59C8">
            <w:pPr>
              <w:ind w:left="223" w:hanging="190" w:hangingChars="106"/>
              <w:jc w:val="center"/>
              <w:rPr>
                <w:color w:val="auto"/>
                <w:sz w:val="18"/>
                <w:szCs w:val="18"/>
                <w:highlight w:val="none"/>
              </w:rPr>
            </w:pPr>
          </w:p>
        </w:tc>
        <w:tc>
          <w:tcPr>
            <w:tcW w:w="1276" w:type="dxa"/>
            <w:vAlign w:val="center"/>
          </w:tcPr>
          <w:p w14:paraId="08DD0089">
            <w:pPr>
              <w:ind w:left="223" w:hanging="190" w:hangingChars="106"/>
              <w:jc w:val="center"/>
              <w:rPr>
                <w:color w:val="auto"/>
                <w:sz w:val="18"/>
                <w:szCs w:val="18"/>
                <w:highlight w:val="none"/>
              </w:rPr>
            </w:pPr>
          </w:p>
        </w:tc>
      </w:tr>
      <w:tr w14:paraId="18044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9"/>
            <w:vAlign w:val="center"/>
          </w:tcPr>
          <w:p w14:paraId="055B3B73">
            <w:pPr>
              <w:spacing w:line="360" w:lineRule="auto"/>
              <w:rPr>
                <w:color w:val="auto"/>
                <w:sz w:val="18"/>
                <w:szCs w:val="18"/>
                <w:highlight w:val="none"/>
              </w:rPr>
            </w:pPr>
            <w:bookmarkStart w:id="1117" w:name="_Toc251052199"/>
            <w:r>
              <w:rPr>
                <w:color w:val="auto"/>
                <w:sz w:val="18"/>
                <w:szCs w:val="18"/>
                <w:highlight w:val="none"/>
              </w:rPr>
              <w:t>一旦我单位成交，将实行项目经理负责制，我方保证并配备上述项目管理机构。上述填报内容真实，若不真实，愿按有关规定接受处理。项目管理班子机构设置、职责分工等情况另附资料说明</w:t>
            </w:r>
            <w:bookmarkEnd w:id="1117"/>
          </w:p>
        </w:tc>
      </w:tr>
    </w:tbl>
    <w:p w14:paraId="78702E80">
      <w:pPr>
        <w:pStyle w:val="27"/>
        <w:tabs>
          <w:tab w:val="left" w:pos="2127"/>
        </w:tabs>
        <w:spacing w:line="3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【备注：附</w:t>
      </w:r>
      <w:r>
        <w:rPr>
          <w:rFonts w:hint="eastAsia" w:ascii="Times New Roman" w:hAnsi="Times New Roman" w:cs="Times New Roman"/>
          <w:color w:val="auto"/>
          <w:sz w:val="18"/>
          <w:szCs w:val="18"/>
          <w:highlight w:val="none"/>
        </w:rPr>
        <w:t>安全</w:t>
      </w:r>
      <w:r>
        <w:rPr>
          <w:rFonts w:ascii="Times New Roman" w:hAnsi="Times New Roman" w:cs="Times New Roman"/>
          <w:color w:val="auto"/>
          <w:sz w:val="18"/>
          <w:szCs w:val="18"/>
          <w:highlight w:val="none"/>
        </w:rPr>
        <w:t>员证件、响应文件递交截止时间前6个月内</w:t>
      </w:r>
      <w:r>
        <w:rPr>
          <w:color w:val="auto"/>
          <w:sz w:val="18"/>
          <w:szCs w:val="18"/>
          <w:highlight w:val="none"/>
        </w:rPr>
        <w:t>任意</w:t>
      </w:r>
      <w:r>
        <w:rPr>
          <w:rFonts w:hint="eastAsia" w:ascii="Times New Roman" w:hAnsi="Times New Roman" w:cs="Times New Roman"/>
          <w:color w:val="auto"/>
          <w:sz w:val="18"/>
          <w:szCs w:val="18"/>
          <w:highlight w:val="none"/>
        </w:rPr>
        <w:t>1个月</w:t>
      </w:r>
      <w:r>
        <w:rPr>
          <w:rFonts w:ascii="Times New Roman" w:hAnsi="Times New Roman" w:cs="Times New Roman"/>
          <w:color w:val="auto"/>
          <w:sz w:val="18"/>
          <w:szCs w:val="18"/>
          <w:highlight w:val="none"/>
        </w:rPr>
        <w:t>在现任职单位依法缴纳社会保险的凭证等相关证明材料的</w:t>
      </w:r>
      <w:r>
        <w:rPr>
          <w:rFonts w:hint="eastAsia"/>
          <w:color w:val="auto"/>
          <w:sz w:val="18"/>
          <w:szCs w:val="18"/>
          <w:highlight w:val="none"/>
        </w:rPr>
        <w:t>扫描件</w:t>
      </w:r>
      <w:r>
        <w:rPr>
          <w:rFonts w:ascii="Times New Roman" w:hAnsi="Times New Roman" w:cs="Times New Roman"/>
          <w:color w:val="auto"/>
          <w:sz w:val="18"/>
          <w:szCs w:val="18"/>
          <w:highlight w:val="none"/>
        </w:rPr>
        <w:t>，以及供应商认为需要增加的其他证明材料</w:t>
      </w:r>
      <w:r>
        <w:rPr>
          <w:rFonts w:hint="eastAsia"/>
          <w:color w:val="auto"/>
          <w:sz w:val="18"/>
          <w:szCs w:val="18"/>
          <w:highlight w:val="none"/>
        </w:rPr>
        <w:t>扫描件</w:t>
      </w:r>
      <w:r>
        <w:rPr>
          <w:rFonts w:ascii="Times New Roman" w:hAnsi="Times New Roman" w:cs="Times New Roman"/>
          <w:color w:val="auto"/>
          <w:sz w:val="18"/>
          <w:szCs w:val="18"/>
          <w:highlight w:val="none"/>
        </w:rPr>
        <w:t>，以上</w:t>
      </w:r>
      <w:r>
        <w:rPr>
          <w:rFonts w:hint="eastAsia"/>
          <w:color w:val="auto"/>
          <w:sz w:val="18"/>
          <w:szCs w:val="18"/>
          <w:highlight w:val="none"/>
        </w:rPr>
        <w:t>扫描件</w:t>
      </w:r>
      <w:r>
        <w:rPr>
          <w:rFonts w:ascii="Times New Roman" w:hAnsi="Times New Roman" w:cs="Times New Roman"/>
          <w:color w:val="auto"/>
          <w:sz w:val="18"/>
          <w:szCs w:val="18"/>
          <w:highlight w:val="none"/>
        </w:rPr>
        <w:t>须加盖</w:t>
      </w:r>
      <w:r>
        <w:rPr>
          <w:color w:val="auto"/>
          <w:sz w:val="18"/>
          <w:szCs w:val="18"/>
          <w:highlight w:val="none"/>
        </w:rPr>
        <w:t>供应商</w:t>
      </w:r>
      <w:r>
        <w:rPr>
          <w:rFonts w:hint="eastAsia"/>
          <w:color w:val="auto"/>
          <w:sz w:val="18"/>
          <w:szCs w:val="18"/>
          <w:highlight w:val="none"/>
        </w:rPr>
        <w:t>电子签章</w:t>
      </w:r>
      <w:r>
        <w:rPr>
          <w:rFonts w:ascii="Times New Roman" w:hAnsi="Times New Roman" w:cs="Times New Roman"/>
          <w:color w:val="auto"/>
          <w:sz w:val="18"/>
          <w:szCs w:val="18"/>
          <w:highlight w:val="none"/>
        </w:rPr>
        <w:t>。】</w:t>
      </w:r>
    </w:p>
    <w:p w14:paraId="02B4E23C">
      <w:pPr>
        <w:pStyle w:val="197"/>
        <w:rPr>
          <w:rFonts w:ascii="Times New Roman" w:hAnsi="Times New Roman"/>
          <w:color w:val="auto"/>
          <w:sz w:val="18"/>
          <w:szCs w:val="18"/>
          <w:highlight w:val="none"/>
        </w:rPr>
      </w:pPr>
    </w:p>
    <w:p w14:paraId="7057C37A">
      <w:pPr>
        <w:snapToGrid w:val="0"/>
        <w:spacing w:before="50" w:after="120" w:afterLines="50" w:line="440" w:lineRule="exact"/>
        <w:jc w:val="left"/>
        <w:rPr>
          <w:color w:val="auto"/>
          <w:sz w:val="18"/>
          <w:szCs w:val="18"/>
          <w:highlight w:val="none"/>
        </w:rPr>
      </w:pPr>
      <w:r>
        <w:rPr>
          <w:color w:val="auto"/>
          <w:sz w:val="18"/>
          <w:szCs w:val="18"/>
          <w:highlight w:val="none"/>
        </w:rPr>
        <w:br w:type="page"/>
      </w:r>
      <w:r>
        <w:rPr>
          <w:rFonts w:hint="eastAsia"/>
          <w:color w:val="auto"/>
          <w:sz w:val="18"/>
          <w:szCs w:val="18"/>
          <w:highlight w:val="none"/>
        </w:rPr>
        <w:t>7</w:t>
      </w:r>
      <w:r>
        <w:rPr>
          <w:color w:val="auto"/>
          <w:sz w:val="18"/>
          <w:szCs w:val="18"/>
          <w:highlight w:val="none"/>
        </w:rPr>
        <w:t>.</w:t>
      </w:r>
      <w:r>
        <w:rPr>
          <w:rFonts w:hint="eastAsia"/>
          <w:color w:val="auto"/>
          <w:sz w:val="18"/>
          <w:szCs w:val="18"/>
          <w:highlight w:val="none"/>
        </w:rPr>
        <w:t>5</w:t>
      </w:r>
      <w:r>
        <w:rPr>
          <w:color w:val="auto"/>
          <w:sz w:val="18"/>
          <w:szCs w:val="18"/>
          <w:highlight w:val="none"/>
        </w:rPr>
        <w:t>满足本项目特定资格条件其他要求的证明材料。</w:t>
      </w:r>
    </w:p>
    <w:p w14:paraId="71F31B8D">
      <w:pPr>
        <w:snapToGrid w:val="0"/>
        <w:spacing w:before="50" w:after="120" w:afterLines="50" w:line="360" w:lineRule="auto"/>
        <w:jc w:val="left"/>
        <w:rPr>
          <w:color w:val="auto"/>
          <w:sz w:val="18"/>
          <w:szCs w:val="18"/>
          <w:highlight w:val="none"/>
        </w:rPr>
      </w:pPr>
      <w:r>
        <w:rPr>
          <w:rFonts w:hint="eastAsia"/>
          <w:color w:val="auto"/>
          <w:sz w:val="18"/>
          <w:szCs w:val="18"/>
          <w:highlight w:val="none"/>
        </w:rPr>
        <w:t>7</w:t>
      </w:r>
      <w:r>
        <w:rPr>
          <w:color w:val="auto"/>
          <w:sz w:val="18"/>
          <w:szCs w:val="18"/>
          <w:highlight w:val="none"/>
        </w:rPr>
        <w:t>.5.1</w:t>
      </w:r>
      <w:r>
        <w:rPr>
          <w:rFonts w:hint="eastAsia"/>
          <w:color w:val="auto"/>
          <w:sz w:val="18"/>
          <w:szCs w:val="18"/>
          <w:highlight w:val="none"/>
        </w:rPr>
        <w:t>供应商直接控股股东信息表</w:t>
      </w:r>
    </w:p>
    <w:tbl>
      <w:tblPr>
        <w:tblStyle w:val="54"/>
        <w:tblW w:w="0" w:type="auto"/>
        <w:tblInd w:w="125" w:type="dxa"/>
        <w:tblLayout w:type="fixed"/>
        <w:tblCellMar>
          <w:top w:w="0" w:type="dxa"/>
          <w:left w:w="0" w:type="dxa"/>
          <w:bottom w:w="0" w:type="dxa"/>
          <w:right w:w="0" w:type="dxa"/>
        </w:tblCellMar>
      </w:tblPr>
      <w:tblGrid>
        <w:gridCol w:w="828"/>
        <w:gridCol w:w="2269"/>
        <w:gridCol w:w="1239"/>
        <w:gridCol w:w="3722"/>
        <w:gridCol w:w="1418"/>
      </w:tblGrid>
      <w:tr w14:paraId="25298AB3">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674E749">
            <w:pPr>
              <w:spacing w:line="360" w:lineRule="auto"/>
              <w:jc w:val="center"/>
              <w:rPr>
                <w:color w:val="auto"/>
                <w:sz w:val="18"/>
                <w:szCs w:val="18"/>
                <w:highlight w:val="none"/>
              </w:rPr>
            </w:pPr>
            <w:r>
              <w:rPr>
                <w:rFonts w:hint="eastAsia"/>
                <w:color w:val="auto"/>
                <w:sz w:val="18"/>
                <w:szCs w:val="18"/>
                <w:highlight w:val="none"/>
              </w:rPr>
              <w:t>序号</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DD9A720">
            <w:pPr>
              <w:spacing w:line="360" w:lineRule="auto"/>
              <w:jc w:val="center"/>
              <w:rPr>
                <w:color w:val="auto"/>
                <w:sz w:val="18"/>
                <w:szCs w:val="18"/>
                <w:highlight w:val="none"/>
              </w:rPr>
            </w:pPr>
            <w:r>
              <w:rPr>
                <w:rFonts w:hint="eastAsia"/>
                <w:color w:val="auto"/>
                <w:sz w:val="18"/>
                <w:szCs w:val="18"/>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1ED34AA">
            <w:pPr>
              <w:spacing w:line="360" w:lineRule="auto"/>
              <w:jc w:val="center"/>
              <w:rPr>
                <w:color w:val="auto"/>
                <w:sz w:val="18"/>
                <w:szCs w:val="18"/>
                <w:highlight w:val="none"/>
              </w:rPr>
            </w:pPr>
            <w:r>
              <w:rPr>
                <w:rFonts w:hint="eastAsia"/>
                <w:color w:val="auto"/>
                <w:sz w:val="18"/>
                <w:szCs w:val="18"/>
                <w:highlight w:val="none"/>
              </w:rPr>
              <w:t>出资比例</w:t>
            </w: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40A46E2">
            <w:pPr>
              <w:spacing w:line="360" w:lineRule="auto"/>
              <w:jc w:val="center"/>
              <w:rPr>
                <w:color w:val="auto"/>
                <w:sz w:val="18"/>
                <w:szCs w:val="18"/>
                <w:highlight w:val="none"/>
              </w:rPr>
            </w:pPr>
            <w:r>
              <w:rPr>
                <w:rFonts w:hint="eastAsia"/>
                <w:color w:val="auto"/>
                <w:sz w:val="18"/>
                <w:szCs w:val="18"/>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94E1FDF">
            <w:pPr>
              <w:spacing w:line="360" w:lineRule="auto"/>
              <w:jc w:val="center"/>
              <w:rPr>
                <w:color w:val="auto"/>
                <w:sz w:val="18"/>
                <w:szCs w:val="18"/>
                <w:highlight w:val="none"/>
              </w:rPr>
            </w:pPr>
            <w:r>
              <w:rPr>
                <w:rFonts w:hint="eastAsia"/>
                <w:color w:val="auto"/>
                <w:sz w:val="18"/>
                <w:szCs w:val="18"/>
                <w:highlight w:val="none"/>
              </w:rPr>
              <w:t>备注</w:t>
            </w:r>
          </w:p>
        </w:tc>
      </w:tr>
      <w:tr w14:paraId="1C98F268">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5BAC2F4">
            <w:pPr>
              <w:spacing w:line="360" w:lineRule="auto"/>
              <w:jc w:val="center"/>
              <w:rPr>
                <w:color w:val="auto"/>
                <w:sz w:val="18"/>
                <w:szCs w:val="18"/>
                <w:highlight w:val="none"/>
              </w:rPr>
            </w:pPr>
            <w:r>
              <w:rPr>
                <w:rFonts w:hint="eastAsia"/>
                <w:color w:val="auto"/>
                <w:sz w:val="18"/>
                <w:szCs w:val="18"/>
                <w:highlight w:val="none"/>
              </w:rPr>
              <w:t>1</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8D5E0E3">
            <w:pPr>
              <w:spacing w:line="360" w:lineRule="auto"/>
              <w:jc w:val="center"/>
              <w:rPr>
                <w:color w:val="auto"/>
                <w:sz w:val="18"/>
                <w:szCs w:val="18"/>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0211A90">
            <w:pPr>
              <w:spacing w:line="360" w:lineRule="auto"/>
              <w:jc w:val="center"/>
              <w:rPr>
                <w:color w:val="auto"/>
                <w:sz w:val="18"/>
                <w:szCs w:val="18"/>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104E5B3">
            <w:pPr>
              <w:spacing w:line="360" w:lineRule="auto"/>
              <w:jc w:val="center"/>
              <w:rPr>
                <w:color w:val="auto"/>
                <w:sz w:val="18"/>
                <w:szCs w:val="18"/>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3ECC045">
            <w:pPr>
              <w:spacing w:line="360" w:lineRule="auto"/>
              <w:jc w:val="center"/>
              <w:rPr>
                <w:color w:val="auto"/>
                <w:sz w:val="18"/>
                <w:szCs w:val="18"/>
                <w:highlight w:val="none"/>
              </w:rPr>
            </w:pPr>
          </w:p>
        </w:tc>
      </w:tr>
      <w:tr w14:paraId="49F73021">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2984EDF">
            <w:pPr>
              <w:spacing w:line="360" w:lineRule="auto"/>
              <w:jc w:val="center"/>
              <w:rPr>
                <w:color w:val="auto"/>
                <w:sz w:val="18"/>
                <w:szCs w:val="18"/>
                <w:highlight w:val="none"/>
              </w:rPr>
            </w:pPr>
            <w:r>
              <w:rPr>
                <w:rFonts w:hint="eastAsia"/>
                <w:color w:val="auto"/>
                <w:sz w:val="18"/>
                <w:szCs w:val="18"/>
                <w:highlight w:val="none"/>
              </w:rPr>
              <w:t>2</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8167CFF">
            <w:pPr>
              <w:spacing w:line="360" w:lineRule="auto"/>
              <w:jc w:val="center"/>
              <w:rPr>
                <w:color w:val="auto"/>
                <w:sz w:val="18"/>
                <w:szCs w:val="18"/>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1C5F268">
            <w:pPr>
              <w:spacing w:line="360" w:lineRule="auto"/>
              <w:jc w:val="center"/>
              <w:rPr>
                <w:color w:val="auto"/>
                <w:sz w:val="18"/>
                <w:szCs w:val="18"/>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1F13E9D">
            <w:pPr>
              <w:spacing w:line="360" w:lineRule="auto"/>
              <w:jc w:val="center"/>
              <w:rPr>
                <w:color w:val="auto"/>
                <w:sz w:val="18"/>
                <w:szCs w:val="18"/>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EFBB90E">
            <w:pPr>
              <w:spacing w:line="360" w:lineRule="auto"/>
              <w:jc w:val="center"/>
              <w:rPr>
                <w:color w:val="auto"/>
                <w:sz w:val="18"/>
                <w:szCs w:val="18"/>
                <w:highlight w:val="none"/>
              </w:rPr>
            </w:pPr>
          </w:p>
        </w:tc>
      </w:tr>
      <w:tr w14:paraId="4FC77D8E">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AFE42B9">
            <w:pPr>
              <w:spacing w:line="360" w:lineRule="auto"/>
              <w:jc w:val="center"/>
              <w:rPr>
                <w:color w:val="auto"/>
                <w:sz w:val="18"/>
                <w:szCs w:val="18"/>
                <w:highlight w:val="none"/>
              </w:rPr>
            </w:pPr>
            <w:r>
              <w:rPr>
                <w:rFonts w:hint="eastAsia"/>
                <w:color w:val="auto"/>
                <w:sz w:val="18"/>
                <w:szCs w:val="18"/>
                <w:highlight w:val="none"/>
              </w:rPr>
              <w:t>3</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75279C9">
            <w:pPr>
              <w:spacing w:line="360" w:lineRule="auto"/>
              <w:jc w:val="center"/>
              <w:rPr>
                <w:color w:val="auto"/>
                <w:sz w:val="18"/>
                <w:szCs w:val="18"/>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2171845">
            <w:pPr>
              <w:spacing w:line="360" w:lineRule="auto"/>
              <w:jc w:val="center"/>
              <w:rPr>
                <w:color w:val="auto"/>
                <w:sz w:val="18"/>
                <w:szCs w:val="18"/>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B0AD979">
            <w:pPr>
              <w:spacing w:line="360" w:lineRule="auto"/>
              <w:jc w:val="center"/>
              <w:rPr>
                <w:color w:val="auto"/>
                <w:sz w:val="18"/>
                <w:szCs w:val="18"/>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A45B899">
            <w:pPr>
              <w:spacing w:line="360" w:lineRule="auto"/>
              <w:jc w:val="center"/>
              <w:rPr>
                <w:color w:val="auto"/>
                <w:sz w:val="18"/>
                <w:szCs w:val="18"/>
                <w:highlight w:val="none"/>
              </w:rPr>
            </w:pPr>
          </w:p>
        </w:tc>
      </w:tr>
      <w:tr w14:paraId="3A54F3D9">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3287E5D">
            <w:pPr>
              <w:spacing w:line="360" w:lineRule="auto"/>
              <w:jc w:val="center"/>
              <w:rPr>
                <w:color w:val="auto"/>
                <w:sz w:val="18"/>
                <w:szCs w:val="18"/>
                <w:highlight w:val="none"/>
              </w:rPr>
            </w:pPr>
            <w:r>
              <w:rPr>
                <w:rFonts w:hint="eastAsia"/>
                <w:color w:val="auto"/>
                <w:sz w:val="18"/>
                <w:szCs w:val="18"/>
                <w:highlight w:val="none"/>
              </w:rPr>
              <w:t>……</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3847E18">
            <w:pPr>
              <w:spacing w:line="360" w:lineRule="auto"/>
              <w:jc w:val="center"/>
              <w:rPr>
                <w:color w:val="auto"/>
                <w:sz w:val="18"/>
                <w:szCs w:val="18"/>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CE61D0E">
            <w:pPr>
              <w:spacing w:line="360" w:lineRule="auto"/>
              <w:jc w:val="center"/>
              <w:rPr>
                <w:color w:val="auto"/>
                <w:sz w:val="18"/>
                <w:szCs w:val="18"/>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2F5A716">
            <w:pPr>
              <w:spacing w:line="360" w:lineRule="auto"/>
              <w:jc w:val="center"/>
              <w:rPr>
                <w:color w:val="auto"/>
                <w:sz w:val="18"/>
                <w:szCs w:val="18"/>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517BA5A">
            <w:pPr>
              <w:spacing w:line="360" w:lineRule="auto"/>
              <w:jc w:val="center"/>
              <w:rPr>
                <w:color w:val="auto"/>
                <w:sz w:val="18"/>
                <w:szCs w:val="18"/>
                <w:highlight w:val="none"/>
              </w:rPr>
            </w:pPr>
          </w:p>
        </w:tc>
      </w:tr>
    </w:tbl>
    <w:p w14:paraId="681BADE9">
      <w:pPr>
        <w:snapToGrid w:val="0"/>
        <w:spacing w:line="360" w:lineRule="auto"/>
        <w:jc w:val="left"/>
        <w:rPr>
          <w:color w:val="auto"/>
          <w:sz w:val="18"/>
          <w:szCs w:val="18"/>
          <w:highlight w:val="none"/>
        </w:rPr>
      </w:pPr>
      <w:r>
        <w:rPr>
          <w:rFonts w:hint="eastAsia"/>
          <w:color w:val="auto"/>
          <w:sz w:val="18"/>
          <w:szCs w:val="18"/>
          <w:highlight w:val="none"/>
        </w:rPr>
        <w:t>注：</w:t>
      </w:r>
    </w:p>
    <w:p w14:paraId="08EBBAEF">
      <w:pPr>
        <w:snapToGrid w:val="0"/>
        <w:spacing w:line="360" w:lineRule="auto"/>
        <w:jc w:val="left"/>
        <w:rPr>
          <w:color w:val="auto"/>
          <w:sz w:val="18"/>
          <w:szCs w:val="18"/>
          <w:highlight w:val="none"/>
        </w:rPr>
      </w:pPr>
      <w:r>
        <w:rPr>
          <w:rFonts w:hint="eastAsia"/>
          <w:color w:val="auto"/>
          <w:sz w:val="18"/>
          <w:szCs w:val="18"/>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66F1CE5">
      <w:pPr>
        <w:snapToGrid w:val="0"/>
        <w:spacing w:line="360" w:lineRule="auto"/>
        <w:jc w:val="left"/>
        <w:rPr>
          <w:color w:val="auto"/>
          <w:sz w:val="18"/>
          <w:szCs w:val="18"/>
          <w:highlight w:val="none"/>
        </w:rPr>
      </w:pPr>
      <w:r>
        <w:rPr>
          <w:rFonts w:hint="eastAsia"/>
          <w:color w:val="auto"/>
          <w:sz w:val="18"/>
          <w:szCs w:val="18"/>
          <w:highlight w:val="none"/>
        </w:rPr>
        <w:t>2.本表所指的控股关系仅限于直接控股关系，不包括间接的控股关系。公司实际控制人与公司之间的关系不属于本表所指的直接控股关系。</w:t>
      </w:r>
    </w:p>
    <w:p w14:paraId="7FB44E43">
      <w:pPr>
        <w:snapToGrid w:val="0"/>
        <w:spacing w:line="360" w:lineRule="auto"/>
        <w:jc w:val="left"/>
        <w:rPr>
          <w:color w:val="auto"/>
          <w:sz w:val="18"/>
          <w:szCs w:val="18"/>
          <w:highlight w:val="none"/>
        </w:rPr>
      </w:pPr>
      <w:r>
        <w:rPr>
          <w:rFonts w:hint="eastAsia"/>
          <w:color w:val="auto"/>
          <w:sz w:val="18"/>
          <w:szCs w:val="18"/>
          <w:highlight w:val="none"/>
        </w:rPr>
        <w:t>3.供应商不存在直接控股股东的，则填“无”。</w:t>
      </w:r>
    </w:p>
    <w:p w14:paraId="432B4EB6">
      <w:pPr>
        <w:snapToGrid w:val="0"/>
        <w:spacing w:line="360" w:lineRule="auto"/>
        <w:jc w:val="left"/>
        <w:rPr>
          <w:color w:val="auto"/>
          <w:sz w:val="18"/>
          <w:szCs w:val="18"/>
          <w:highlight w:val="none"/>
        </w:rPr>
      </w:pPr>
    </w:p>
    <w:p w14:paraId="6F776505">
      <w:pPr>
        <w:snapToGrid w:val="0"/>
        <w:spacing w:line="360" w:lineRule="auto"/>
        <w:jc w:val="left"/>
        <w:rPr>
          <w:color w:val="auto"/>
          <w:sz w:val="18"/>
          <w:szCs w:val="18"/>
          <w:highlight w:val="none"/>
        </w:rPr>
      </w:pPr>
    </w:p>
    <w:p w14:paraId="526B66E7">
      <w:pPr>
        <w:snapToGrid w:val="0"/>
        <w:spacing w:line="360" w:lineRule="auto"/>
        <w:jc w:val="left"/>
        <w:rPr>
          <w:color w:val="auto"/>
          <w:sz w:val="18"/>
          <w:szCs w:val="18"/>
          <w:highlight w:val="none"/>
        </w:rPr>
      </w:pPr>
    </w:p>
    <w:p w14:paraId="7D578FF2">
      <w:pPr>
        <w:snapToGrid w:val="0"/>
        <w:spacing w:line="360" w:lineRule="auto"/>
        <w:jc w:val="left"/>
        <w:rPr>
          <w:color w:val="auto"/>
          <w:sz w:val="18"/>
          <w:szCs w:val="18"/>
          <w:highlight w:val="none"/>
        </w:rPr>
      </w:pPr>
    </w:p>
    <w:p w14:paraId="233A2390">
      <w:pPr>
        <w:snapToGrid w:val="0"/>
        <w:spacing w:line="360" w:lineRule="auto"/>
        <w:jc w:val="left"/>
        <w:rPr>
          <w:color w:val="auto"/>
          <w:sz w:val="18"/>
          <w:szCs w:val="18"/>
          <w:highlight w:val="none"/>
        </w:rPr>
      </w:pPr>
    </w:p>
    <w:p w14:paraId="08730D7A">
      <w:pPr>
        <w:snapToGrid w:val="0"/>
        <w:spacing w:line="360" w:lineRule="auto"/>
        <w:ind w:firstLine="3780" w:firstLineChars="2100"/>
        <w:rPr>
          <w:color w:val="auto"/>
          <w:sz w:val="18"/>
          <w:szCs w:val="18"/>
          <w:highlight w:val="none"/>
        </w:rPr>
      </w:pPr>
      <w:r>
        <w:rPr>
          <w:rFonts w:hint="eastAsia"/>
          <w:color w:val="auto"/>
          <w:sz w:val="18"/>
          <w:szCs w:val="18"/>
          <w:highlight w:val="none"/>
        </w:rPr>
        <w:t>供应商名称(电子签章)：</w:t>
      </w:r>
    </w:p>
    <w:p w14:paraId="40D8C3B5">
      <w:pPr>
        <w:snapToGrid w:val="0"/>
        <w:spacing w:line="360" w:lineRule="auto"/>
        <w:ind w:firstLine="3870" w:firstLineChars="2150"/>
        <w:rPr>
          <w:color w:val="auto"/>
          <w:sz w:val="18"/>
          <w:szCs w:val="18"/>
          <w:highlight w:val="none"/>
        </w:rPr>
      </w:pPr>
      <w:r>
        <w:rPr>
          <w:rFonts w:hint="eastAsia"/>
          <w:color w:val="auto"/>
          <w:sz w:val="18"/>
          <w:szCs w:val="18"/>
          <w:highlight w:val="none"/>
        </w:rPr>
        <w:t>日期：  年  月   日</w:t>
      </w:r>
    </w:p>
    <w:p w14:paraId="56D8CE0B">
      <w:pPr>
        <w:snapToGrid w:val="0"/>
        <w:jc w:val="center"/>
        <w:rPr>
          <w:rFonts w:ascii="宋体" w:hAnsi="宋体"/>
          <w:b/>
          <w:color w:val="auto"/>
          <w:sz w:val="18"/>
          <w:szCs w:val="18"/>
          <w:highlight w:val="none"/>
        </w:rPr>
      </w:pPr>
      <w:r>
        <w:rPr>
          <w:rFonts w:ascii="宋体" w:hAnsi="宋体"/>
          <w:b/>
          <w:color w:val="auto"/>
          <w:sz w:val="18"/>
          <w:szCs w:val="18"/>
          <w:highlight w:val="none"/>
        </w:rPr>
        <w:br w:type="page"/>
      </w:r>
    </w:p>
    <w:p w14:paraId="56656D49">
      <w:pPr>
        <w:snapToGrid w:val="0"/>
        <w:spacing w:line="360" w:lineRule="auto"/>
        <w:jc w:val="left"/>
        <w:rPr>
          <w:color w:val="auto"/>
          <w:sz w:val="18"/>
          <w:szCs w:val="18"/>
          <w:highlight w:val="none"/>
        </w:rPr>
      </w:pPr>
      <w:r>
        <w:rPr>
          <w:rFonts w:hint="eastAsia"/>
          <w:color w:val="auto"/>
          <w:sz w:val="18"/>
          <w:szCs w:val="18"/>
          <w:highlight w:val="none"/>
        </w:rPr>
        <w:t>7</w:t>
      </w:r>
      <w:r>
        <w:rPr>
          <w:color w:val="auto"/>
          <w:sz w:val="18"/>
          <w:szCs w:val="18"/>
          <w:highlight w:val="none"/>
        </w:rPr>
        <w:t>.5.2</w:t>
      </w:r>
      <w:r>
        <w:rPr>
          <w:rFonts w:hint="eastAsia"/>
          <w:color w:val="auto"/>
          <w:sz w:val="18"/>
          <w:szCs w:val="18"/>
          <w:highlight w:val="none"/>
        </w:rPr>
        <w:t>供应商直接管理关系信息表</w:t>
      </w:r>
    </w:p>
    <w:tbl>
      <w:tblPr>
        <w:tblStyle w:val="54"/>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76B161D6">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C1E7BF0">
            <w:pPr>
              <w:spacing w:line="360" w:lineRule="auto"/>
              <w:jc w:val="center"/>
              <w:rPr>
                <w:color w:val="auto"/>
                <w:sz w:val="18"/>
                <w:szCs w:val="18"/>
                <w:highlight w:val="none"/>
              </w:rPr>
            </w:pPr>
            <w:r>
              <w:rPr>
                <w:rFonts w:hint="eastAsia"/>
                <w:color w:val="auto"/>
                <w:sz w:val="18"/>
                <w:szCs w:val="18"/>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88567AE">
            <w:pPr>
              <w:spacing w:line="360" w:lineRule="auto"/>
              <w:jc w:val="center"/>
              <w:rPr>
                <w:color w:val="auto"/>
                <w:sz w:val="18"/>
                <w:szCs w:val="18"/>
                <w:highlight w:val="none"/>
              </w:rPr>
            </w:pPr>
            <w:r>
              <w:rPr>
                <w:rFonts w:hint="eastAsia"/>
                <w:color w:val="auto"/>
                <w:sz w:val="18"/>
                <w:szCs w:val="18"/>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0E72840">
            <w:pPr>
              <w:spacing w:line="360" w:lineRule="auto"/>
              <w:jc w:val="center"/>
              <w:rPr>
                <w:color w:val="auto"/>
                <w:sz w:val="18"/>
                <w:szCs w:val="18"/>
                <w:highlight w:val="none"/>
              </w:rPr>
            </w:pPr>
            <w:r>
              <w:rPr>
                <w:rFonts w:hint="eastAsia"/>
                <w:color w:val="auto"/>
                <w:sz w:val="18"/>
                <w:szCs w:val="18"/>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EFFCEE8">
            <w:pPr>
              <w:spacing w:line="360" w:lineRule="auto"/>
              <w:jc w:val="center"/>
              <w:rPr>
                <w:color w:val="auto"/>
                <w:sz w:val="18"/>
                <w:szCs w:val="18"/>
                <w:highlight w:val="none"/>
              </w:rPr>
            </w:pPr>
            <w:r>
              <w:rPr>
                <w:rFonts w:hint="eastAsia"/>
                <w:color w:val="auto"/>
                <w:sz w:val="18"/>
                <w:szCs w:val="18"/>
                <w:highlight w:val="none"/>
              </w:rPr>
              <w:t>备注</w:t>
            </w:r>
          </w:p>
        </w:tc>
      </w:tr>
      <w:tr w14:paraId="54F27C31">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E0345F5">
            <w:pPr>
              <w:spacing w:line="360" w:lineRule="auto"/>
              <w:jc w:val="center"/>
              <w:rPr>
                <w:color w:val="auto"/>
                <w:sz w:val="18"/>
                <w:szCs w:val="18"/>
                <w:highlight w:val="none"/>
              </w:rPr>
            </w:pPr>
            <w:r>
              <w:rPr>
                <w:rFonts w:hint="eastAsia"/>
                <w:color w:val="auto"/>
                <w:sz w:val="18"/>
                <w:szCs w:val="18"/>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E9F7B2E">
            <w:pPr>
              <w:spacing w:line="360" w:lineRule="auto"/>
              <w:jc w:val="center"/>
              <w:rPr>
                <w:color w:val="auto"/>
                <w:sz w:val="18"/>
                <w:szCs w:val="18"/>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7456FE0">
            <w:pPr>
              <w:spacing w:line="360" w:lineRule="auto"/>
              <w:jc w:val="center"/>
              <w:rPr>
                <w:color w:val="auto"/>
                <w:sz w:val="18"/>
                <w:szCs w:val="18"/>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DE1A7E2">
            <w:pPr>
              <w:spacing w:line="360" w:lineRule="auto"/>
              <w:jc w:val="center"/>
              <w:rPr>
                <w:color w:val="auto"/>
                <w:sz w:val="18"/>
                <w:szCs w:val="18"/>
                <w:highlight w:val="none"/>
              </w:rPr>
            </w:pPr>
          </w:p>
        </w:tc>
      </w:tr>
      <w:tr w14:paraId="1E63715F">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5933DA3">
            <w:pPr>
              <w:spacing w:line="360" w:lineRule="auto"/>
              <w:jc w:val="center"/>
              <w:rPr>
                <w:color w:val="auto"/>
                <w:sz w:val="18"/>
                <w:szCs w:val="18"/>
                <w:highlight w:val="none"/>
              </w:rPr>
            </w:pPr>
            <w:r>
              <w:rPr>
                <w:rFonts w:hint="eastAsia"/>
                <w:color w:val="auto"/>
                <w:sz w:val="18"/>
                <w:szCs w:val="18"/>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CB08E40">
            <w:pPr>
              <w:spacing w:line="360" w:lineRule="auto"/>
              <w:jc w:val="center"/>
              <w:rPr>
                <w:color w:val="auto"/>
                <w:sz w:val="18"/>
                <w:szCs w:val="18"/>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C4E06CB">
            <w:pPr>
              <w:spacing w:line="360" w:lineRule="auto"/>
              <w:jc w:val="center"/>
              <w:rPr>
                <w:color w:val="auto"/>
                <w:sz w:val="18"/>
                <w:szCs w:val="18"/>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8674F8C">
            <w:pPr>
              <w:spacing w:line="360" w:lineRule="auto"/>
              <w:jc w:val="center"/>
              <w:rPr>
                <w:color w:val="auto"/>
                <w:sz w:val="18"/>
                <w:szCs w:val="18"/>
                <w:highlight w:val="none"/>
              </w:rPr>
            </w:pPr>
          </w:p>
        </w:tc>
      </w:tr>
      <w:tr w14:paraId="7EC82799">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801163C">
            <w:pPr>
              <w:spacing w:line="360" w:lineRule="auto"/>
              <w:jc w:val="center"/>
              <w:rPr>
                <w:color w:val="auto"/>
                <w:sz w:val="18"/>
                <w:szCs w:val="18"/>
                <w:highlight w:val="none"/>
              </w:rPr>
            </w:pPr>
            <w:r>
              <w:rPr>
                <w:rFonts w:hint="eastAsia"/>
                <w:color w:val="auto"/>
                <w:sz w:val="18"/>
                <w:szCs w:val="18"/>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CBEFC01">
            <w:pPr>
              <w:spacing w:line="360" w:lineRule="auto"/>
              <w:jc w:val="center"/>
              <w:rPr>
                <w:color w:val="auto"/>
                <w:sz w:val="18"/>
                <w:szCs w:val="18"/>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5D65DAD">
            <w:pPr>
              <w:spacing w:line="360" w:lineRule="auto"/>
              <w:jc w:val="center"/>
              <w:rPr>
                <w:color w:val="auto"/>
                <w:sz w:val="18"/>
                <w:szCs w:val="18"/>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D468DF">
            <w:pPr>
              <w:spacing w:line="360" w:lineRule="auto"/>
              <w:jc w:val="center"/>
              <w:rPr>
                <w:color w:val="auto"/>
                <w:sz w:val="18"/>
                <w:szCs w:val="18"/>
                <w:highlight w:val="none"/>
              </w:rPr>
            </w:pPr>
          </w:p>
        </w:tc>
      </w:tr>
      <w:tr w14:paraId="361390A1">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FA40AB2">
            <w:pPr>
              <w:spacing w:line="360" w:lineRule="auto"/>
              <w:jc w:val="center"/>
              <w:rPr>
                <w:color w:val="auto"/>
                <w:sz w:val="18"/>
                <w:szCs w:val="18"/>
                <w:highlight w:val="none"/>
              </w:rPr>
            </w:pPr>
            <w:r>
              <w:rPr>
                <w:rFonts w:hint="eastAsia"/>
                <w:color w:val="auto"/>
                <w:sz w:val="18"/>
                <w:szCs w:val="18"/>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33B4115">
            <w:pPr>
              <w:spacing w:line="360" w:lineRule="auto"/>
              <w:jc w:val="center"/>
              <w:rPr>
                <w:color w:val="auto"/>
                <w:sz w:val="18"/>
                <w:szCs w:val="18"/>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33C841F">
            <w:pPr>
              <w:spacing w:line="360" w:lineRule="auto"/>
              <w:jc w:val="center"/>
              <w:rPr>
                <w:color w:val="auto"/>
                <w:sz w:val="18"/>
                <w:szCs w:val="18"/>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3A5434C">
            <w:pPr>
              <w:spacing w:line="360" w:lineRule="auto"/>
              <w:jc w:val="center"/>
              <w:rPr>
                <w:color w:val="auto"/>
                <w:sz w:val="18"/>
                <w:szCs w:val="18"/>
                <w:highlight w:val="none"/>
              </w:rPr>
            </w:pPr>
          </w:p>
        </w:tc>
      </w:tr>
    </w:tbl>
    <w:p w14:paraId="27A04F0D">
      <w:pPr>
        <w:snapToGrid w:val="0"/>
        <w:spacing w:line="360" w:lineRule="auto"/>
        <w:jc w:val="left"/>
        <w:rPr>
          <w:color w:val="auto"/>
          <w:sz w:val="18"/>
          <w:szCs w:val="18"/>
          <w:highlight w:val="none"/>
        </w:rPr>
      </w:pPr>
      <w:r>
        <w:rPr>
          <w:rFonts w:hint="eastAsia"/>
          <w:color w:val="auto"/>
          <w:sz w:val="18"/>
          <w:szCs w:val="18"/>
          <w:highlight w:val="none"/>
        </w:rPr>
        <w:t>注：</w:t>
      </w:r>
    </w:p>
    <w:p w14:paraId="4C05620A">
      <w:pPr>
        <w:snapToGrid w:val="0"/>
        <w:spacing w:line="360" w:lineRule="auto"/>
        <w:ind w:firstLine="360" w:firstLineChars="200"/>
        <w:jc w:val="left"/>
        <w:rPr>
          <w:color w:val="auto"/>
          <w:sz w:val="18"/>
          <w:szCs w:val="18"/>
          <w:highlight w:val="none"/>
        </w:rPr>
      </w:pPr>
      <w:r>
        <w:rPr>
          <w:rFonts w:hint="eastAsia"/>
          <w:color w:val="auto"/>
          <w:sz w:val="18"/>
          <w:szCs w:val="18"/>
          <w:highlight w:val="none"/>
        </w:rPr>
        <w:t>1.管理关系：是指不具有出资持股关系的其他单位之间存在的管理与被管理关系，如一些上下级关系的事业单位和团体组织。</w:t>
      </w:r>
    </w:p>
    <w:p w14:paraId="058EFBF1">
      <w:pPr>
        <w:snapToGrid w:val="0"/>
        <w:spacing w:line="360" w:lineRule="auto"/>
        <w:ind w:firstLine="360" w:firstLineChars="200"/>
        <w:jc w:val="left"/>
        <w:rPr>
          <w:color w:val="auto"/>
          <w:sz w:val="18"/>
          <w:szCs w:val="18"/>
          <w:highlight w:val="none"/>
        </w:rPr>
      </w:pPr>
      <w:r>
        <w:rPr>
          <w:rFonts w:hint="eastAsia"/>
          <w:color w:val="auto"/>
          <w:sz w:val="18"/>
          <w:szCs w:val="18"/>
          <w:highlight w:val="none"/>
        </w:rPr>
        <w:t>2.本表所指的管理关系仅限于直接管理关系，不包括间接的管理关系。</w:t>
      </w:r>
    </w:p>
    <w:p w14:paraId="59640C04">
      <w:pPr>
        <w:snapToGrid w:val="0"/>
        <w:spacing w:line="360" w:lineRule="auto"/>
        <w:ind w:firstLine="360" w:firstLineChars="200"/>
        <w:jc w:val="left"/>
        <w:rPr>
          <w:color w:val="auto"/>
          <w:sz w:val="18"/>
          <w:szCs w:val="18"/>
          <w:highlight w:val="none"/>
        </w:rPr>
      </w:pPr>
      <w:r>
        <w:rPr>
          <w:rFonts w:hint="eastAsia"/>
          <w:color w:val="auto"/>
          <w:sz w:val="18"/>
          <w:szCs w:val="18"/>
          <w:highlight w:val="none"/>
        </w:rPr>
        <w:t>3.供应商不存在直接管理关系的，则填“无”。</w:t>
      </w:r>
    </w:p>
    <w:p w14:paraId="6E2DC985">
      <w:pPr>
        <w:snapToGrid w:val="0"/>
        <w:spacing w:line="360" w:lineRule="auto"/>
        <w:jc w:val="left"/>
        <w:rPr>
          <w:color w:val="auto"/>
          <w:sz w:val="18"/>
          <w:szCs w:val="18"/>
          <w:highlight w:val="none"/>
        </w:rPr>
      </w:pPr>
    </w:p>
    <w:p w14:paraId="6D98EBE0">
      <w:pPr>
        <w:snapToGrid w:val="0"/>
        <w:spacing w:line="360" w:lineRule="auto"/>
        <w:jc w:val="left"/>
        <w:rPr>
          <w:color w:val="auto"/>
          <w:sz w:val="18"/>
          <w:szCs w:val="18"/>
          <w:highlight w:val="none"/>
        </w:rPr>
      </w:pPr>
    </w:p>
    <w:p w14:paraId="1E9DD442">
      <w:pPr>
        <w:snapToGrid w:val="0"/>
        <w:spacing w:line="360" w:lineRule="auto"/>
        <w:jc w:val="left"/>
        <w:rPr>
          <w:color w:val="auto"/>
          <w:sz w:val="18"/>
          <w:szCs w:val="18"/>
          <w:highlight w:val="none"/>
        </w:rPr>
      </w:pPr>
    </w:p>
    <w:p w14:paraId="27E4A066">
      <w:pPr>
        <w:snapToGrid w:val="0"/>
        <w:spacing w:line="360" w:lineRule="auto"/>
        <w:jc w:val="left"/>
        <w:rPr>
          <w:color w:val="auto"/>
          <w:sz w:val="18"/>
          <w:szCs w:val="18"/>
          <w:highlight w:val="none"/>
        </w:rPr>
      </w:pPr>
    </w:p>
    <w:p w14:paraId="08EA3A48">
      <w:pPr>
        <w:snapToGrid w:val="0"/>
        <w:spacing w:line="360" w:lineRule="auto"/>
        <w:jc w:val="left"/>
        <w:rPr>
          <w:color w:val="auto"/>
          <w:sz w:val="18"/>
          <w:szCs w:val="18"/>
          <w:highlight w:val="none"/>
        </w:rPr>
      </w:pPr>
    </w:p>
    <w:p w14:paraId="1CCA8BBD">
      <w:pPr>
        <w:snapToGrid w:val="0"/>
        <w:spacing w:line="360" w:lineRule="auto"/>
        <w:jc w:val="left"/>
        <w:rPr>
          <w:color w:val="auto"/>
          <w:sz w:val="18"/>
          <w:szCs w:val="18"/>
          <w:highlight w:val="none"/>
        </w:rPr>
      </w:pPr>
    </w:p>
    <w:p w14:paraId="215F9240">
      <w:pPr>
        <w:snapToGrid w:val="0"/>
        <w:spacing w:line="360" w:lineRule="auto"/>
        <w:jc w:val="left"/>
        <w:rPr>
          <w:color w:val="auto"/>
          <w:sz w:val="18"/>
          <w:szCs w:val="18"/>
          <w:highlight w:val="none"/>
        </w:rPr>
      </w:pPr>
    </w:p>
    <w:p w14:paraId="6A7A6AC1">
      <w:pPr>
        <w:snapToGrid w:val="0"/>
        <w:spacing w:line="360" w:lineRule="auto"/>
        <w:jc w:val="left"/>
        <w:rPr>
          <w:color w:val="auto"/>
          <w:sz w:val="18"/>
          <w:szCs w:val="18"/>
          <w:highlight w:val="none"/>
        </w:rPr>
      </w:pPr>
    </w:p>
    <w:p w14:paraId="755E4F38">
      <w:pPr>
        <w:snapToGrid w:val="0"/>
        <w:spacing w:line="360" w:lineRule="auto"/>
        <w:ind w:firstLine="3780" w:firstLineChars="2100"/>
        <w:rPr>
          <w:color w:val="auto"/>
          <w:sz w:val="18"/>
          <w:szCs w:val="18"/>
          <w:highlight w:val="none"/>
        </w:rPr>
      </w:pPr>
      <w:r>
        <w:rPr>
          <w:rFonts w:hint="eastAsia"/>
          <w:color w:val="auto"/>
          <w:sz w:val="18"/>
          <w:szCs w:val="18"/>
          <w:highlight w:val="none"/>
        </w:rPr>
        <w:t>供应商名称(电子签章)：</w:t>
      </w:r>
    </w:p>
    <w:p w14:paraId="3E1200C5">
      <w:pPr>
        <w:snapToGrid w:val="0"/>
        <w:spacing w:line="360" w:lineRule="auto"/>
        <w:ind w:firstLine="3870" w:firstLineChars="2150"/>
        <w:rPr>
          <w:color w:val="auto"/>
          <w:sz w:val="18"/>
          <w:szCs w:val="18"/>
          <w:highlight w:val="none"/>
        </w:rPr>
      </w:pPr>
      <w:r>
        <w:rPr>
          <w:rFonts w:hint="eastAsia"/>
          <w:color w:val="auto"/>
          <w:sz w:val="18"/>
          <w:szCs w:val="18"/>
          <w:highlight w:val="none"/>
        </w:rPr>
        <w:t>日期：  年  月   日</w:t>
      </w:r>
    </w:p>
    <w:p w14:paraId="53B44EEC">
      <w:pPr>
        <w:pStyle w:val="27"/>
        <w:tabs>
          <w:tab w:val="left" w:pos="2127"/>
        </w:tabs>
        <w:spacing w:line="340" w:lineRule="exact"/>
        <w:rPr>
          <w:rFonts w:ascii="Times New Roman" w:hAnsi="Times New Roman" w:cs="Times New Roman"/>
          <w:color w:val="auto"/>
          <w:sz w:val="18"/>
          <w:szCs w:val="18"/>
          <w:highlight w:val="none"/>
        </w:rPr>
      </w:pPr>
    </w:p>
    <w:p w14:paraId="474486E8">
      <w:pPr>
        <w:snapToGrid w:val="0"/>
        <w:spacing w:before="50" w:after="120" w:afterLines="50" w:line="440" w:lineRule="exact"/>
        <w:jc w:val="left"/>
        <w:rPr>
          <w:color w:val="auto"/>
          <w:sz w:val="18"/>
          <w:szCs w:val="18"/>
          <w:highlight w:val="none"/>
        </w:rPr>
      </w:pPr>
    </w:p>
    <w:p w14:paraId="2AF83D96">
      <w:pPr>
        <w:snapToGrid w:val="0"/>
        <w:spacing w:before="50" w:after="120" w:afterLines="50" w:line="400" w:lineRule="exact"/>
        <w:jc w:val="left"/>
        <w:rPr>
          <w:bCs/>
          <w:color w:val="auto"/>
          <w:sz w:val="18"/>
          <w:szCs w:val="18"/>
          <w:highlight w:val="none"/>
        </w:rPr>
      </w:pPr>
      <w:r>
        <w:rPr>
          <w:color w:val="auto"/>
          <w:sz w:val="18"/>
          <w:szCs w:val="18"/>
          <w:highlight w:val="none"/>
        </w:rPr>
        <w:br w:type="page"/>
      </w:r>
      <w:r>
        <w:rPr>
          <w:rFonts w:hint="eastAsia"/>
          <w:color w:val="auto"/>
          <w:sz w:val="18"/>
          <w:szCs w:val="18"/>
          <w:highlight w:val="none"/>
        </w:rPr>
        <w:t>8</w:t>
      </w:r>
      <w:r>
        <w:rPr>
          <w:color w:val="auto"/>
          <w:sz w:val="18"/>
          <w:szCs w:val="18"/>
          <w:highlight w:val="none"/>
        </w:rPr>
        <w:t>．建设工程项目管理承诺书</w:t>
      </w:r>
    </w:p>
    <w:p w14:paraId="105F6C07">
      <w:pPr>
        <w:pStyle w:val="197"/>
        <w:jc w:val="center"/>
        <w:rPr>
          <w:rFonts w:ascii="Times New Roman" w:hAnsi="Times New Roman"/>
          <w:color w:val="auto"/>
          <w:sz w:val="18"/>
          <w:szCs w:val="18"/>
          <w:highlight w:val="none"/>
        </w:rPr>
      </w:pPr>
      <w:r>
        <w:rPr>
          <w:rFonts w:ascii="Times New Roman" w:hAnsi="Times New Roman"/>
          <w:color w:val="auto"/>
          <w:sz w:val="18"/>
          <w:szCs w:val="18"/>
          <w:highlight w:val="none"/>
        </w:rPr>
        <w:t>建设工程项目管理承诺书</w:t>
      </w:r>
    </w:p>
    <w:p w14:paraId="37BFF56D">
      <w:pPr>
        <w:spacing w:line="360" w:lineRule="auto"/>
        <w:jc w:val="center"/>
        <w:rPr>
          <w:b/>
          <w:bCs/>
          <w:color w:val="auto"/>
          <w:sz w:val="18"/>
          <w:szCs w:val="18"/>
          <w:highlight w:val="none"/>
        </w:rPr>
      </w:pPr>
    </w:p>
    <w:p w14:paraId="5A3728DE">
      <w:pPr>
        <w:spacing w:line="360" w:lineRule="auto"/>
        <w:jc w:val="center"/>
        <w:rPr>
          <w:b/>
          <w:bCs/>
          <w:color w:val="auto"/>
          <w:sz w:val="18"/>
          <w:szCs w:val="18"/>
          <w:highlight w:val="none"/>
        </w:rPr>
      </w:pPr>
    </w:p>
    <w:p w14:paraId="1127B76D">
      <w:pPr>
        <w:pStyle w:val="27"/>
        <w:tabs>
          <w:tab w:val="left" w:pos="2127"/>
        </w:tabs>
        <w:spacing w:line="3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致</w:t>
      </w:r>
      <w:r>
        <w:rPr>
          <w:i/>
          <w:iCs/>
          <w:color w:val="auto"/>
          <w:sz w:val="18"/>
          <w:szCs w:val="18"/>
          <w:highlight w:val="none"/>
          <w:u w:val="single"/>
        </w:rPr>
        <w:t>（采购</w:t>
      </w:r>
      <w:r>
        <w:rPr>
          <w:rFonts w:hint="eastAsia"/>
          <w:i/>
          <w:iCs/>
          <w:color w:val="auto"/>
          <w:sz w:val="18"/>
          <w:szCs w:val="18"/>
          <w:highlight w:val="none"/>
          <w:u w:val="single"/>
        </w:rPr>
        <w:t>人</w:t>
      </w:r>
      <w:r>
        <w:rPr>
          <w:i/>
          <w:iCs/>
          <w:color w:val="auto"/>
          <w:sz w:val="18"/>
          <w:szCs w:val="18"/>
          <w:highlight w:val="none"/>
          <w:u w:val="single"/>
        </w:rPr>
        <w:t>名称）</w:t>
      </w:r>
      <w:r>
        <w:rPr>
          <w:color w:val="auto"/>
          <w:sz w:val="18"/>
          <w:szCs w:val="18"/>
          <w:highlight w:val="none"/>
        </w:rPr>
        <w:t>：</w:t>
      </w:r>
    </w:p>
    <w:p w14:paraId="3BB47DDB">
      <w:pPr>
        <w:snapToGrid w:val="0"/>
        <w:spacing w:before="120" w:beforeLines="50" w:line="360" w:lineRule="exact"/>
        <w:ind w:firstLine="360" w:firstLineChars="200"/>
        <w:rPr>
          <w:color w:val="auto"/>
          <w:sz w:val="18"/>
          <w:szCs w:val="18"/>
          <w:highlight w:val="none"/>
        </w:rPr>
      </w:pPr>
      <w:r>
        <w:rPr>
          <w:color w:val="auto"/>
          <w:sz w:val="18"/>
          <w:szCs w:val="18"/>
          <w:highlight w:val="none"/>
        </w:rPr>
        <w:t>作为参与</w:t>
      </w:r>
      <w:r>
        <w:rPr>
          <w:color w:val="auto"/>
          <w:sz w:val="18"/>
          <w:szCs w:val="18"/>
          <w:highlight w:val="none"/>
          <w:u w:val="single"/>
        </w:rPr>
        <w:t></w:t>
      </w:r>
      <w:r>
        <w:rPr>
          <w:i/>
          <w:iCs/>
          <w:color w:val="auto"/>
          <w:sz w:val="18"/>
          <w:szCs w:val="18"/>
          <w:highlight w:val="none"/>
          <w:u w:val="single"/>
        </w:rPr>
        <w:t>（工程名称）</w:t>
      </w:r>
      <w:r>
        <w:rPr>
          <w:color w:val="auto"/>
          <w:sz w:val="18"/>
          <w:szCs w:val="18"/>
          <w:highlight w:val="none"/>
        </w:rPr>
        <w:t>项目的供应商，根据国家、自治区相关文件规定，我方在此承诺：</w:t>
      </w:r>
    </w:p>
    <w:p w14:paraId="164D0950">
      <w:pPr>
        <w:spacing w:line="520" w:lineRule="exact"/>
        <w:ind w:left="-2" w:leftChars="-1" w:firstLine="385" w:firstLineChars="214"/>
        <w:jc w:val="left"/>
        <w:rPr>
          <w:color w:val="auto"/>
          <w:sz w:val="18"/>
          <w:szCs w:val="18"/>
          <w:highlight w:val="none"/>
        </w:rPr>
      </w:pPr>
      <w:r>
        <w:rPr>
          <w:rFonts w:hint="eastAsia"/>
          <w:color w:val="auto"/>
          <w:sz w:val="18"/>
          <w:szCs w:val="18"/>
          <w:highlight w:val="none"/>
        </w:rPr>
        <w:t>1、一旦成交，</w:t>
      </w:r>
      <w:r>
        <w:rPr>
          <w:color w:val="auto"/>
          <w:sz w:val="18"/>
          <w:szCs w:val="18"/>
          <w:highlight w:val="none"/>
        </w:rPr>
        <w:t>我方保证按照政府相关部门的规定，</w:t>
      </w:r>
      <w:r>
        <w:rPr>
          <w:rFonts w:hint="eastAsia" w:ascii="宋体" w:hAnsi="宋体"/>
          <w:color w:val="auto"/>
          <w:sz w:val="18"/>
          <w:szCs w:val="18"/>
          <w:highlight w:val="none"/>
        </w:rPr>
        <w:t>在</w:t>
      </w:r>
      <w:r>
        <w:rPr>
          <w:rFonts w:hint="eastAsia"/>
          <w:color w:val="auto"/>
          <w:sz w:val="18"/>
          <w:szCs w:val="18"/>
          <w:highlight w:val="none"/>
        </w:rPr>
        <w:t>成交</w:t>
      </w:r>
      <w:r>
        <w:rPr>
          <w:rFonts w:hint="eastAsia" w:ascii="宋体" w:hAnsi="宋体"/>
          <w:color w:val="auto"/>
          <w:sz w:val="18"/>
          <w:szCs w:val="18"/>
          <w:highlight w:val="none"/>
        </w:rPr>
        <w:t>后7个工作日内，按照《保障农民工工资支付条例》规定及广西壮族自治区有关规定开设农民工工资专用账户，并按</w:t>
      </w:r>
      <w:r>
        <w:rPr>
          <w:rFonts w:hint="eastAsia" w:ascii="宋体" w:hAnsi="宋体"/>
          <w:color w:val="auto"/>
          <w:sz w:val="18"/>
          <w:szCs w:val="18"/>
          <w:highlight w:val="none"/>
          <w:u w:val="single"/>
        </w:rPr>
        <w:t>要求</w:t>
      </w:r>
      <w:r>
        <w:rPr>
          <w:rFonts w:hint="eastAsia" w:ascii="宋体" w:hAnsi="宋体"/>
          <w:color w:val="auto"/>
          <w:sz w:val="18"/>
          <w:szCs w:val="18"/>
          <w:highlight w:val="none"/>
        </w:rPr>
        <w:t>比例将农民工工资保证金存入帐户</w:t>
      </w:r>
      <w:r>
        <w:rPr>
          <w:rFonts w:hint="eastAsia"/>
          <w:color w:val="auto"/>
          <w:sz w:val="18"/>
          <w:szCs w:val="18"/>
          <w:highlight w:val="none"/>
        </w:rPr>
        <w:t>，专项用于支付本工程提供劳动的农民工被拖欠的工资。</w:t>
      </w:r>
      <w:r>
        <w:rPr>
          <w:color w:val="auto"/>
          <w:sz w:val="18"/>
          <w:szCs w:val="18"/>
          <w:highlight w:val="none"/>
        </w:rPr>
        <w:t>按照与农民工依法约定的工资支付周期和具体支付日期支付工资</w:t>
      </w:r>
      <w:r>
        <w:rPr>
          <w:rFonts w:hint="eastAsia"/>
          <w:color w:val="auto"/>
          <w:sz w:val="18"/>
          <w:szCs w:val="18"/>
          <w:highlight w:val="none"/>
        </w:rPr>
        <w:t>，保证</w:t>
      </w:r>
      <w:r>
        <w:rPr>
          <w:color w:val="auto"/>
          <w:sz w:val="18"/>
          <w:szCs w:val="18"/>
          <w:highlight w:val="none"/>
        </w:rPr>
        <w:t>每月至少向农民工足额支付一次工资。</w:t>
      </w:r>
    </w:p>
    <w:p w14:paraId="246AF1DE">
      <w:pPr>
        <w:spacing w:line="520" w:lineRule="exact"/>
        <w:ind w:left="-2" w:leftChars="-1" w:firstLine="385" w:firstLineChars="214"/>
        <w:jc w:val="left"/>
        <w:rPr>
          <w:color w:val="auto"/>
          <w:sz w:val="18"/>
          <w:szCs w:val="18"/>
          <w:highlight w:val="none"/>
        </w:rPr>
      </w:pPr>
      <w:r>
        <w:rPr>
          <w:rFonts w:hint="eastAsia"/>
          <w:color w:val="auto"/>
          <w:sz w:val="18"/>
          <w:szCs w:val="18"/>
          <w:highlight w:val="none"/>
        </w:rPr>
        <w:t>2、一旦成交，我方保证在施工过程中，严格执行《广西壮族自治区建筑工程安全文明施工费使用管理细则》（桂建质〔2015〕16号）的有关规定，确保建设工程各项安全防护、文明施工措施落实到位。如我方在该项目的承包中出现未按桂建质〔2015〕16号文附件一规定执行的情形，我方愿意按照相关规定接受建设单位及有关主管部门的处罚。</w:t>
      </w:r>
    </w:p>
    <w:p w14:paraId="35CDA724">
      <w:pPr>
        <w:spacing w:line="520" w:lineRule="exact"/>
        <w:ind w:left="-2" w:leftChars="-1" w:firstLine="385" w:firstLineChars="214"/>
        <w:jc w:val="left"/>
        <w:rPr>
          <w:color w:val="auto"/>
          <w:sz w:val="18"/>
          <w:szCs w:val="18"/>
          <w:highlight w:val="none"/>
        </w:rPr>
      </w:pPr>
      <w:r>
        <w:rPr>
          <w:rFonts w:hint="eastAsia"/>
          <w:color w:val="auto"/>
          <w:sz w:val="18"/>
          <w:szCs w:val="18"/>
          <w:highlight w:val="none"/>
        </w:rPr>
        <w:t>3、一旦成交，我方保证在施工过程中，严格执行散装水泥和预拌混凝土管理的有关规定，确保建设工程按规定使用散装水泥和预拌混凝土。如我方在该项目的承包中出现未按规定执行的情形，我方愿意按照相关规定接受建设单位及有关主管部门的处罚。</w:t>
      </w:r>
    </w:p>
    <w:p w14:paraId="2D91F396">
      <w:pPr>
        <w:spacing w:line="520" w:lineRule="exact"/>
        <w:ind w:left="-2" w:leftChars="-1" w:firstLine="385" w:firstLineChars="214"/>
        <w:jc w:val="left"/>
        <w:rPr>
          <w:color w:val="auto"/>
          <w:sz w:val="18"/>
          <w:szCs w:val="18"/>
          <w:highlight w:val="none"/>
        </w:rPr>
      </w:pPr>
      <w:r>
        <w:rPr>
          <w:rFonts w:hint="eastAsia"/>
          <w:color w:val="auto"/>
          <w:sz w:val="18"/>
          <w:szCs w:val="18"/>
          <w:highlight w:val="none"/>
        </w:rPr>
        <w:t>4、一旦成交，我方保证在施工过程中，严格执行《关于禁止使用不符合规范要求的竹脚手架的通知》（桂建管字〔2003〕40号）的有关规定，不使用竹脚手架。如我方在该项目的承包中出现未按规定执行的情形，我方愿意按照相关规定接受建设单位及有关主管部门的处罚。</w:t>
      </w:r>
    </w:p>
    <w:p w14:paraId="533A7D5C">
      <w:pPr>
        <w:spacing w:line="520" w:lineRule="exact"/>
        <w:ind w:left="-2" w:leftChars="-1" w:firstLine="385" w:firstLineChars="214"/>
        <w:jc w:val="left"/>
        <w:rPr>
          <w:color w:val="auto"/>
          <w:sz w:val="18"/>
          <w:szCs w:val="18"/>
          <w:highlight w:val="none"/>
        </w:rPr>
      </w:pPr>
      <w:r>
        <w:rPr>
          <w:rFonts w:hint="eastAsia"/>
          <w:color w:val="auto"/>
          <w:sz w:val="18"/>
          <w:szCs w:val="18"/>
          <w:highlight w:val="none"/>
        </w:rPr>
        <w:t>5、一旦成交，我方保证严格执行《危险性较大的分部分项工程安全管理规定》（建办质〔2018〕31号）的规定，强化对深基坑、高切坡、高大模板、人工挖孔桩、起重吊装、临时活动板房等重大危险源的专项施工方案的编制、论证、审批、实施、检测的风险管理。</w:t>
      </w:r>
    </w:p>
    <w:p w14:paraId="05E81149">
      <w:pPr>
        <w:spacing w:line="360" w:lineRule="auto"/>
        <w:jc w:val="left"/>
        <w:rPr>
          <w:color w:val="auto"/>
          <w:sz w:val="18"/>
          <w:szCs w:val="18"/>
          <w:highlight w:val="none"/>
        </w:rPr>
      </w:pPr>
    </w:p>
    <w:p w14:paraId="32EBCF59">
      <w:pPr>
        <w:spacing w:line="360" w:lineRule="auto"/>
        <w:jc w:val="left"/>
        <w:rPr>
          <w:color w:val="auto"/>
          <w:sz w:val="18"/>
          <w:szCs w:val="18"/>
          <w:highlight w:val="none"/>
        </w:rPr>
      </w:pPr>
    </w:p>
    <w:p w14:paraId="1B7E5B28">
      <w:pPr>
        <w:snapToGrid w:val="0"/>
        <w:spacing w:before="120" w:beforeLines="50" w:after="50" w:line="360" w:lineRule="exact"/>
        <w:ind w:firstLine="3780" w:firstLineChars="2100"/>
        <w:rPr>
          <w:color w:val="auto"/>
          <w:sz w:val="18"/>
          <w:szCs w:val="18"/>
          <w:highlight w:val="none"/>
        </w:rPr>
      </w:pPr>
      <w:bookmarkStart w:id="1118" w:name="_Hlk89190944"/>
      <w:r>
        <w:rPr>
          <w:color w:val="auto"/>
          <w:sz w:val="18"/>
          <w:szCs w:val="18"/>
          <w:highlight w:val="none"/>
        </w:rPr>
        <w:t>供应商</w:t>
      </w:r>
      <w:r>
        <w:rPr>
          <w:rFonts w:hint="eastAsia"/>
          <w:color w:val="auto"/>
          <w:sz w:val="18"/>
          <w:szCs w:val="18"/>
          <w:highlight w:val="none"/>
        </w:rPr>
        <w:t>名称（电子签章）</w:t>
      </w:r>
      <w:r>
        <w:rPr>
          <w:color w:val="auto"/>
          <w:sz w:val="18"/>
          <w:szCs w:val="18"/>
          <w:highlight w:val="none"/>
        </w:rPr>
        <w:t>：</w:t>
      </w:r>
      <w:r>
        <w:rPr>
          <w:color w:val="auto"/>
          <w:sz w:val="18"/>
          <w:szCs w:val="18"/>
          <w:highlight w:val="none"/>
          <w:u w:val="single"/>
        </w:rPr>
        <w:t xml:space="preserve">                </w:t>
      </w:r>
    </w:p>
    <w:bookmarkEnd w:id="1118"/>
    <w:p w14:paraId="597BCE7E">
      <w:pPr>
        <w:spacing w:line="360" w:lineRule="auto"/>
        <w:ind w:firstLine="1080" w:firstLineChars="600"/>
        <w:jc w:val="left"/>
        <w:rPr>
          <w:color w:val="auto"/>
          <w:sz w:val="18"/>
          <w:szCs w:val="18"/>
          <w:highlight w:val="none"/>
        </w:rPr>
      </w:pPr>
    </w:p>
    <w:p w14:paraId="7DADA41E">
      <w:pPr>
        <w:spacing w:line="360" w:lineRule="auto"/>
        <w:ind w:firstLine="3870" w:firstLineChars="2150"/>
        <w:jc w:val="left"/>
        <w:rPr>
          <w:color w:val="auto"/>
          <w:sz w:val="18"/>
          <w:szCs w:val="18"/>
          <w:highlight w:val="none"/>
        </w:rPr>
      </w:pPr>
      <w:r>
        <w:rPr>
          <w:color w:val="auto"/>
          <w:sz w:val="18"/>
          <w:szCs w:val="18"/>
          <w:highlight w:val="none"/>
        </w:rPr>
        <w:t>日期：</w:t>
      </w:r>
      <w:r>
        <w:rPr>
          <w:color w:val="auto"/>
          <w:sz w:val="18"/>
          <w:szCs w:val="18"/>
          <w:highlight w:val="none"/>
          <w:u w:val="single"/>
        </w:rPr>
        <w:t xml:space="preserve">         </w:t>
      </w:r>
      <w:r>
        <w:rPr>
          <w:color w:val="auto"/>
          <w:sz w:val="18"/>
          <w:szCs w:val="18"/>
          <w:highlight w:val="none"/>
        </w:rPr>
        <w:t>年</w:t>
      </w:r>
      <w:r>
        <w:rPr>
          <w:color w:val="auto"/>
          <w:sz w:val="18"/>
          <w:szCs w:val="18"/>
          <w:highlight w:val="none"/>
          <w:u w:val="single"/>
        </w:rPr>
        <w:t xml:space="preserve">        </w:t>
      </w:r>
      <w:r>
        <w:rPr>
          <w:color w:val="auto"/>
          <w:sz w:val="18"/>
          <w:szCs w:val="18"/>
          <w:highlight w:val="none"/>
        </w:rPr>
        <w:t>月</w:t>
      </w:r>
      <w:r>
        <w:rPr>
          <w:color w:val="auto"/>
          <w:sz w:val="18"/>
          <w:szCs w:val="18"/>
          <w:highlight w:val="none"/>
          <w:u w:val="single"/>
        </w:rPr>
        <w:t xml:space="preserve">        </w:t>
      </w:r>
      <w:r>
        <w:rPr>
          <w:color w:val="auto"/>
          <w:sz w:val="18"/>
          <w:szCs w:val="18"/>
          <w:highlight w:val="none"/>
        </w:rPr>
        <w:t>日</w:t>
      </w:r>
    </w:p>
    <w:p w14:paraId="097E05C4">
      <w:pPr>
        <w:spacing w:line="360" w:lineRule="auto"/>
        <w:ind w:firstLine="450" w:firstLineChars="250"/>
        <w:jc w:val="center"/>
        <w:rPr>
          <w:b/>
          <w:color w:val="auto"/>
          <w:sz w:val="18"/>
          <w:szCs w:val="18"/>
          <w:highlight w:val="none"/>
        </w:rPr>
      </w:pPr>
      <w:r>
        <w:rPr>
          <w:color w:val="auto"/>
          <w:sz w:val="18"/>
          <w:szCs w:val="18"/>
          <w:highlight w:val="none"/>
        </w:rPr>
        <w:br w:type="page"/>
      </w:r>
      <w:r>
        <w:rPr>
          <w:b/>
          <w:color w:val="auto"/>
          <w:sz w:val="18"/>
          <w:szCs w:val="18"/>
          <w:highlight w:val="none"/>
        </w:rPr>
        <w:t>广西壮族自治区建筑工程安全文明施工措施项目清单内容</w:t>
      </w:r>
    </w:p>
    <w:p w14:paraId="42AFF536">
      <w:pPr>
        <w:pStyle w:val="255"/>
        <w:spacing w:line="360" w:lineRule="auto"/>
        <w:jc w:val="center"/>
        <w:rPr>
          <w:color w:val="auto"/>
          <w:sz w:val="18"/>
          <w:szCs w:val="18"/>
          <w:highlight w:val="none"/>
        </w:rPr>
      </w:pPr>
      <w:r>
        <w:rPr>
          <w:color w:val="auto"/>
          <w:sz w:val="18"/>
          <w:szCs w:val="18"/>
          <w:highlight w:val="none"/>
        </w:rPr>
        <w:t>（桂建质【2015】16号文附件一）</w:t>
      </w:r>
    </w:p>
    <w:p w14:paraId="735EFD9E">
      <w:pPr>
        <w:pStyle w:val="256"/>
        <w:spacing w:line="0" w:lineRule="atLeast"/>
        <w:jc w:val="center"/>
        <w:rPr>
          <w:b/>
          <w:bCs/>
          <w:color w:val="auto"/>
          <w:sz w:val="18"/>
          <w:szCs w:val="18"/>
          <w:highlight w:val="none"/>
        </w:rPr>
      </w:pPr>
      <w:r>
        <w:rPr>
          <w:b/>
          <w:bCs/>
          <w:color w:val="auto"/>
          <w:sz w:val="18"/>
          <w:szCs w:val="18"/>
          <w:highlight w:val="none"/>
        </w:rPr>
        <w:t>广西壮族自治区</w:t>
      </w:r>
    </w:p>
    <w:p w14:paraId="1E3490E9">
      <w:pPr>
        <w:pStyle w:val="256"/>
        <w:spacing w:line="0" w:lineRule="atLeast"/>
        <w:jc w:val="center"/>
        <w:rPr>
          <w:b/>
          <w:bCs/>
          <w:color w:val="auto"/>
          <w:w w:val="90"/>
          <w:sz w:val="18"/>
          <w:szCs w:val="18"/>
          <w:highlight w:val="none"/>
        </w:rPr>
      </w:pPr>
      <w:r>
        <w:rPr>
          <w:b/>
          <w:bCs/>
          <w:color w:val="auto"/>
          <w:w w:val="90"/>
          <w:sz w:val="18"/>
          <w:szCs w:val="18"/>
          <w:highlight w:val="none"/>
        </w:rPr>
        <w:t>建设工程安全文明施工措施项目清单内容</w:t>
      </w:r>
    </w:p>
    <w:tbl>
      <w:tblPr>
        <w:tblStyle w:val="54"/>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8"/>
        <w:gridCol w:w="525"/>
        <w:gridCol w:w="1545"/>
        <w:gridCol w:w="6645"/>
      </w:tblGrid>
      <w:tr w14:paraId="0DA798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738" w:type="dxa"/>
            <w:vAlign w:val="center"/>
          </w:tcPr>
          <w:p w14:paraId="61A7ED85">
            <w:pPr>
              <w:pStyle w:val="256"/>
              <w:spacing w:line="300" w:lineRule="exact"/>
              <w:jc w:val="center"/>
              <w:rPr>
                <w:rFonts w:eastAsia="方正仿宋_GBK"/>
                <w:b/>
                <w:bCs/>
                <w:color w:val="auto"/>
                <w:sz w:val="18"/>
                <w:szCs w:val="18"/>
                <w:highlight w:val="none"/>
              </w:rPr>
            </w:pPr>
            <w:r>
              <w:rPr>
                <w:rFonts w:eastAsia="方正仿宋_GBK"/>
                <w:b/>
                <w:bCs/>
                <w:color w:val="auto"/>
                <w:sz w:val="18"/>
                <w:szCs w:val="18"/>
                <w:highlight w:val="none"/>
              </w:rPr>
              <w:t>类别</w:t>
            </w:r>
          </w:p>
        </w:tc>
        <w:tc>
          <w:tcPr>
            <w:tcW w:w="2070" w:type="dxa"/>
            <w:gridSpan w:val="2"/>
            <w:vAlign w:val="center"/>
          </w:tcPr>
          <w:p w14:paraId="024FEDF9">
            <w:pPr>
              <w:pStyle w:val="256"/>
              <w:spacing w:line="300" w:lineRule="exact"/>
              <w:jc w:val="center"/>
              <w:rPr>
                <w:rFonts w:eastAsia="方正仿宋_GBK"/>
                <w:b/>
                <w:bCs/>
                <w:color w:val="auto"/>
                <w:sz w:val="18"/>
                <w:szCs w:val="18"/>
                <w:highlight w:val="none"/>
              </w:rPr>
            </w:pPr>
            <w:r>
              <w:rPr>
                <w:rFonts w:eastAsia="方正仿宋_GBK"/>
                <w:b/>
                <w:bCs/>
                <w:color w:val="auto"/>
                <w:sz w:val="18"/>
                <w:szCs w:val="18"/>
                <w:highlight w:val="none"/>
              </w:rPr>
              <w:t>项目名称</w:t>
            </w:r>
          </w:p>
        </w:tc>
        <w:tc>
          <w:tcPr>
            <w:tcW w:w="6645" w:type="dxa"/>
            <w:vAlign w:val="center"/>
          </w:tcPr>
          <w:p w14:paraId="4F691716">
            <w:pPr>
              <w:pStyle w:val="256"/>
              <w:spacing w:line="300" w:lineRule="exact"/>
              <w:jc w:val="center"/>
              <w:rPr>
                <w:rFonts w:eastAsia="方正仿宋_GBK"/>
                <w:b/>
                <w:bCs/>
                <w:color w:val="auto"/>
                <w:sz w:val="18"/>
                <w:szCs w:val="18"/>
                <w:highlight w:val="none"/>
              </w:rPr>
            </w:pPr>
            <w:r>
              <w:rPr>
                <w:rFonts w:eastAsia="方正仿宋_GBK"/>
                <w:b/>
                <w:bCs/>
                <w:color w:val="auto"/>
                <w:sz w:val="18"/>
                <w:szCs w:val="18"/>
                <w:highlight w:val="none"/>
              </w:rPr>
              <w:t>主要内容和要求</w:t>
            </w:r>
          </w:p>
        </w:tc>
      </w:tr>
      <w:tr w14:paraId="7CF652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vAlign w:val="center"/>
          </w:tcPr>
          <w:p w14:paraId="71958B0E">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文明</w:t>
            </w:r>
          </w:p>
          <w:p w14:paraId="11048CC1">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施工</w:t>
            </w:r>
          </w:p>
          <w:p w14:paraId="7698748B">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与</w:t>
            </w:r>
          </w:p>
          <w:p w14:paraId="51BBEDAF">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环境</w:t>
            </w:r>
          </w:p>
          <w:p w14:paraId="319A2FB6">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保护</w:t>
            </w:r>
          </w:p>
        </w:tc>
        <w:tc>
          <w:tcPr>
            <w:tcW w:w="2070" w:type="dxa"/>
            <w:gridSpan w:val="2"/>
            <w:vAlign w:val="center"/>
          </w:tcPr>
          <w:p w14:paraId="03252A7E">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安全警示</w:t>
            </w:r>
          </w:p>
          <w:p w14:paraId="43DBE14A">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标志牌</w:t>
            </w:r>
          </w:p>
        </w:tc>
        <w:tc>
          <w:tcPr>
            <w:tcW w:w="6645" w:type="dxa"/>
            <w:vAlign w:val="center"/>
          </w:tcPr>
          <w:p w14:paraId="655EB298">
            <w:pPr>
              <w:pStyle w:val="256"/>
              <w:spacing w:line="300" w:lineRule="exact"/>
              <w:rPr>
                <w:rFonts w:eastAsia="方正仿宋_GBK"/>
                <w:color w:val="auto"/>
                <w:sz w:val="18"/>
                <w:szCs w:val="18"/>
                <w:highlight w:val="none"/>
              </w:rPr>
            </w:pPr>
            <w:r>
              <w:rPr>
                <w:rFonts w:eastAsia="方正仿宋_GBK"/>
                <w:color w:val="auto"/>
                <w:sz w:val="18"/>
                <w:szCs w:val="18"/>
                <w:highlight w:val="none"/>
              </w:rPr>
              <w:t>在易发伤亡事故（或危险）处设置明显的、符合国家标准要求的安全警示标志牌。</w:t>
            </w:r>
          </w:p>
        </w:tc>
      </w:tr>
      <w:tr w14:paraId="4288A5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10C6E352">
            <w:pPr>
              <w:pStyle w:val="256"/>
              <w:spacing w:line="300" w:lineRule="exact"/>
              <w:jc w:val="center"/>
              <w:rPr>
                <w:rFonts w:eastAsia="方正仿宋_GBK"/>
                <w:color w:val="auto"/>
                <w:sz w:val="18"/>
                <w:szCs w:val="18"/>
                <w:highlight w:val="none"/>
              </w:rPr>
            </w:pPr>
          </w:p>
        </w:tc>
        <w:tc>
          <w:tcPr>
            <w:tcW w:w="2070" w:type="dxa"/>
            <w:gridSpan w:val="2"/>
            <w:vAlign w:val="center"/>
          </w:tcPr>
          <w:p w14:paraId="390B81E7">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现场围挡</w:t>
            </w:r>
          </w:p>
        </w:tc>
        <w:tc>
          <w:tcPr>
            <w:tcW w:w="6645" w:type="dxa"/>
            <w:vAlign w:val="center"/>
          </w:tcPr>
          <w:p w14:paraId="09834ED7">
            <w:pPr>
              <w:pStyle w:val="256"/>
              <w:spacing w:line="300" w:lineRule="exact"/>
              <w:rPr>
                <w:rFonts w:eastAsia="方正仿宋_GBK"/>
                <w:color w:val="auto"/>
                <w:sz w:val="18"/>
                <w:szCs w:val="18"/>
                <w:highlight w:val="none"/>
              </w:rPr>
            </w:pPr>
            <w:r>
              <w:rPr>
                <w:rFonts w:eastAsia="方正仿宋_GBK"/>
                <w:color w:val="auto"/>
                <w:sz w:val="18"/>
                <w:szCs w:val="18"/>
                <w:highlight w:val="none"/>
              </w:rPr>
              <w:t>1. 现场采用封闭围挡，高度不小于1.8m。</w:t>
            </w:r>
          </w:p>
          <w:p w14:paraId="0D74525E">
            <w:pPr>
              <w:pStyle w:val="256"/>
              <w:spacing w:line="300" w:lineRule="exact"/>
              <w:rPr>
                <w:rFonts w:eastAsia="方正仿宋_GBK"/>
                <w:color w:val="auto"/>
                <w:sz w:val="18"/>
                <w:szCs w:val="18"/>
                <w:highlight w:val="none"/>
              </w:rPr>
            </w:pPr>
            <w:r>
              <w:rPr>
                <w:rFonts w:eastAsia="方正仿宋_GBK"/>
                <w:color w:val="auto"/>
                <w:sz w:val="18"/>
                <w:szCs w:val="18"/>
                <w:highlight w:val="none"/>
              </w:rPr>
              <w:t>2. 围挡材料可用彩色、定型钢板，砌块等墙体。</w:t>
            </w:r>
          </w:p>
        </w:tc>
      </w:tr>
      <w:tr w14:paraId="73E6A2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0F4EB360">
            <w:pPr>
              <w:pStyle w:val="256"/>
              <w:spacing w:line="300" w:lineRule="exact"/>
              <w:jc w:val="center"/>
              <w:rPr>
                <w:rFonts w:eastAsia="方正仿宋_GBK"/>
                <w:color w:val="auto"/>
                <w:sz w:val="18"/>
                <w:szCs w:val="18"/>
                <w:highlight w:val="none"/>
              </w:rPr>
            </w:pPr>
          </w:p>
        </w:tc>
        <w:tc>
          <w:tcPr>
            <w:tcW w:w="2070" w:type="dxa"/>
            <w:gridSpan w:val="2"/>
            <w:vAlign w:val="center"/>
          </w:tcPr>
          <w:p w14:paraId="594418EE">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七牌二图</w:t>
            </w:r>
          </w:p>
        </w:tc>
        <w:tc>
          <w:tcPr>
            <w:tcW w:w="6645" w:type="dxa"/>
            <w:vAlign w:val="center"/>
          </w:tcPr>
          <w:p w14:paraId="247D3F00">
            <w:pPr>
              <w:pStyle w:val="256"/>
              <w:spacing w:line="300" w:lineRule="exact"/>
              <w:rPr>
                <w:rFonts w:eastAsia="方正仿宋_GBK"/>
                <w:color w:val="auto"/>
                <w:sz w:val="18"/>
                <w:szCs w:val="18"/>
                <w:highlight w:val="none"/>
              </w:rPr>
            </w:pPr>
            <w:r>
              <w:rPr>
                <w:rFonts w:eastAsia="方正仿宋_GBK"/>
                <w:color w:val="auto"/>
                <w:sz w:val="18"/>
                <w:szCs w:val="18"/>
                <w:highlight w:val="none"/>
              </w:rPr>
              <w:t>在进门处悬挂工程概况、现场出入制度、管理人员名单及监督电话、安全生产规定、文明施工、消防保卫、节能公示等七牌以及施工现场总平面图、工程效果图。</w:t>
            </w:r>
          </w:p>
        </w:tc>
      </w:tr>
      <w:tr w14:paraId="439606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38" w:type="dxa"/>
            <w:vMerge w:val="continue"/>
            <w:vAlign w:val="center"/>
          </w:tcPr>
          <w:p w14:paraId="7207A264">
            <w:pPr>
              <w:pStyle w:val="256"/>
              <w:spacing w:line="300" w:lineRule="exact"/>
              <w:jc w:val="center"/>
              <w:rPr>
                <w:rFonts w:eastAsia="方正仿宋_GBK"/>
                <w:color w:val="auto"/>
                <w:sz w:val="18"/>
                <w:szCs w:val="18"/>
                <w:highlight w:val="none"/>
              </w:rPr>
            </w:pPr>
          </w:p>
        </w:tc>
        <w:tc>
          <w:tcPr>
            <w:tcW w:w="2070" w:type="dxa"/>
            <w:gridSpan w:val="2"/>
            <w:vAlign w:val="center"/>
          </w:tcPr>
          <w:p w14:paraId="29EDD87B">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企业标志</w:t>
            </w:r>
          </w:p>
        </w:tc>
        <w:tc>
          <w:tcPr>
            <w:tcW w:w="6645" w:type="dxa"/>
            <w:vAlign w:val="center"/>
          </w:tcPr>
          <w:p w14:paraId="2496ADCB">
            <w:pPr>
              <w:pStyle w:val="256"/>
              <w:spacing w:line="300" w:lineRule="exact"/>
              <w:rPr>
                <w:rFonts w:eastAsia="方正仿宋_GBK"/>
                <w:color w:val="auto"/>
                <w:sz w:val="18"/>
                <w:szCs w:val="18"/>
                <w:highlight w:val="none"/>
              </w:rPr>
            </w:pPr>
            <w:r>
              <w:rPr>
                <w:rFonts w:eastAsia="方正仿宋_GBK"/>
                <w:color w:val="auto"/>
                <w:sz w:val="18"/>
                <w:szCs w:val="18"/>
                <w:highlight w:val="none"/>
              </w:rPr>
              <w:t>现场出入的大门应设有本企业标志或企业标识。</w:t>
            </w:r>
          </w:p>
        </w:tc>
      </w:tr>
      <w:tr w14:paraId="520114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6D8B3B6B">
            <w:pPr>
              <w:pStyle w:val="256"/>
              <w:spacing w:line="300" w:lineRule="exact"/>
              <w:jc w:val="center"/>
              <w:rPr>
                <w:rFonts w:eastAsia="方正仿宋_GBK"/>
                <w:color w:val="auto"/>
                <w:sz w:val="18"/>
                <w:szCs w:val="18"/>
                <w:highlight w:val="none"/>
              </w:rPr>
            </w:pPr>
          </w:p>
        </w:tc>
        <w:tc>
          <w:tcPr>
            <w:tcW w:w="2070" w:type="dxa"/>
            <w:gridSpan w:val="2"/>
            <w:vAlign w:val="center"/>
          </w:tcPr>
          <w:p w14:paraId="11735B87">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场容场貌</w:t>
            </w:r>
          </w:p>
        </w:tc>
        <w:tc>
          <w:tcPr>
            <w:tcW w:w="6645" w:type="dxa"/>
            <w:vAlign w:val="center"/>
          </w:tcPr>
          <w:p w14:paraId="118B1400">
            <w:pPr>
              <w:pStyle w:val="256"/>
              <w:spacing w:line="300" w:lineRule="exact"/>
              <w:rPr>
                <w:rFonts w:eastAsia="方正仿宋_GBK"/>
                <w:color w:val="auto"/>
                <w:sz w:val="18"/>
                <w:szCs w:val="18"/>
                <w:highlight w:val="none"/>
              </w:rPr>
            </w:pPr>
            <w:r>
              <w:rPr>
                <w:rFonts w:eastAsia="方正仿宋_GBK"/>
                <w:color w:val="auto"/>
                <w:sz w:val="18"/>
                <w:szCs w:val="18"/>
                <w:highlight w:val="none"/>
              </w:rPr>
              <w:t>1. 道路畅通。</w:t>
            </w:r>
          </w:p>
          <w:p w14:paraId="1F8B0231">
            <w:pPr>
              <w:pStyle w:val="256"/>
              <w:spacing w:line="300" w:lineRule="exact"/>
              <w:rPr>
                <w:rFonts w:eastAsia="方正仿宋_GBK"/>
                <w:color w:val="auto"/>
                <w:sz w:val="18"/>
                <w:szCs w:val="18"/>
                <w:highlight w:val="none"/>
              </w:rPr>
            </w:pPr>
            <w:r>
              <w:rPr>
                <w:rFonts w:eastAsia="方正仿宋_GBK"/>
                <w:color w:val="auto"/>
                <w:sz w:val="18"/>
                <w:szCs w:val="18"/>
                <w:highlight w:val="none"/>
              </w:rPr>
              <w:t>2. 排水设施齐全畅通。</w:t>
            </w:r>
          </w:p>
          <w:p w14:paraId="32DFE280">
            <w:pPr>
              <w:pStyle w:val="256"/>
              <w:spacing w:line="300" w:lineRule="exact"/>
              <w:rPr>
                <w:rFonts w:eastAsia="方正仿宋_GBK"/>
                <w:color w:val="auto"/>
                <w:sz w:val="18"/>
                <w:szCs w:val="18"/>
                <w:highlight w:val="none"/>
              </w:rPr>
            </w:pPr>
            <w:r>
              <w:rPr>
                <w:rFonts w:eastAsia="方正仿宋_GBK"/>
                <w:color w:val="auto"/>
                <w:sz w:val="18"/>
                <w:szCs w:val="18"/>
                <w:highlight w:val="none"/>
              </w:rPr>
              <w:t>3. 工地地面硬化处理（办公区、生活区、现场道路、材料堆放、混凝土搅拌、砂浆搅拌、钢筋加工等场地和外脚手架基础等）。</w:t>
            </w:r>
          </w:p>
        </w:tc>
      </w:tr>
      <w:tr w14:paraId="708DB5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0E6A2DFB">
            <w:pPr>
              <w:pStyle w:val="256"/>
              <w:spacing w:line="300" w:lineRule="exact"/>
              <w:jc w:val="center"/>
              <w:rPr>
                <w:rFonts w:eastAsia="方正仿宋_GBK"/>
                <w:color w:val="auto"/>
                <w:sz w:val="18"/>
                <w:szCs w:val="18"/>
                <w:highlight w:val="none"/>
              </w:rPr>
            </w:pPr>
          </w:p>
        </w:tc>
        <w:tc>
          <w:tcPr>
            <w:tcW w:w="2070" w:type="dxa"/>
            <w:gridSpan w:val="2"/>
            <w:vAlign w:val="center"/>
          </w:tcPr>
          <w:p w14:paraId="1A72BD12">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材料堆放</w:t>
            </w:r>
          </w:p>
        </w:tc>
        <w:tc>
          <w:tcPr>
            <w:tcW w:w="6645" w:type="dxa"/>
            <w:vAlign w:val="center"/>
          </w:tcPr>
          <w:p w14:paraId="3ECC0892">
            <w:pPr>
              <w:pStyle w:val="256"/>
              <w:numPr>
                <w:ilvl w:val="0"/>
                <w:numId w:val="4"/>
              </w:numPr>
              <w:spacing w:line="300" w:lineRule="exact"/>
              <w:rPr>
                <w:rFonts w:eastAsia="方正仿宋_GBK"/>
                <w:color w:val="auto"/>
                <w:sz w:val="18"/>
                <w:szCs w:val="18"/>
                <w:highlight w:val="none"/>
              </w:rPr>
            </w:pPr>
            <w:r>
              <w:rPr>
                <w:rFonts w:eastAsia="方正仿宋_GBK"/>
                <w:color w:val="auto"/>
                <w:sz w:val="18"/>
                <w:szCs w:val="18"/>
                <w:highlight w:val="none"/>
              </w:rPr>
              <w:t>材料、构件、料具等堆放时，应有名称、品种、规格等标牌。</w:t>
            </w:r>
          </w:p>
          <w:p w14:paraId="3471A93F">
            <w:pPr>
              <w:pStyle w:val="256"/>
              <w:spacing w:line="300" w:lineRule="exact"/>
              <w:rPr>
                <w:rFonts w:eastAsia="方正仿宋_GBK"/>
                <w:color w:val="auto"/>
                <w:sz w:val="18"/>
                <w:szCs w:val="18"/>
                <w:highlight w:val="none"/>
              </w:rPr>
            </w:pPr>
            <w:r>
              <w:rPr>
                <w:rFonts w:eastAsia="方正仿宋_GBK"/>
                <w:color w:val="auto"/>
                <w:sz w:val="18"/>
                <w:szCs w:val="18"/>
                <w:highlight w:val="none"/>
              </w:rPr>
              <w:t>2. 水泥和其它易飞扬细颗粒建筑材料应封闭存放或采取覆盖等措施。</w:t>
            </w:r>
          </w:p>
          <w:p w14:paraId="0776B86C">
            <w:pPr>
              <w:pStyle w:val="256"/>
              <w:spacing w:line="300" w:lineRule="exact"/>
              <w:rPr>
                <w:rFonts w:eastAsia="方正仿宋_GBK"/>
                <w:color w:val="auto"/>
                <w:sz w:val="18"/>
                <w:szCs w:val="18"/>
                <w:highlight w:val="none"/>
              </w:rPr>
            </w:pPr>
            <w:r>
              <w:rPr>
                <w:rFonts w:eastAsia="方正仿宋_GBK"/>
                <w:color w:val="auto"/>
                <w:sz w:val="18"/>
                <w:szCs w:val="18"/>
                <w:highlight w:val="none"/>
              </w:rPr>
              <w:t>3. 易燃、易爆和有毒有害物品分类存放。</w:t>
            </w:r>
          </w:p>
        </w:tc>
      </w:tr>
      <w:tr w14:paraId="5651F7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vAlign w:val="center"/>
          </w:tcPr>
          <w:p w14:paraId="076ED33C">
            <w:pPr>
              <w:pStyle w:val="256"/>
              <w:spacing w:line="300" w:lineRule="exact"/>
              <w:jc w:val="center"/>
              <w:rPr>
                <w:rFonts w:eastAsia="方正仿宋_GBK"/>
                <w:color w:val="auto"/>
                <w:sz w:val="18"/>
                <w:szCs w:val="18"/>
                <w:highlight w:val="none"/>
              </w:rPr>
            </w:pPr>
          </w:p>
        </w:tc>
        <w:tc>
          <w:tcPr>
            <w:tcW w:w="2070" w:type="dxa"/>
            <w:gridSpan w:val="2"/>
            <w:vAlign w:val="center"/>
          </w:tcPr>
          <w:p w14:paraId="41AA51D4">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现场防火</w:t>
            </w:r>
          </w:p>
        </w:tc>
        <w:tc>
          <w:tcPr>
            <w:tcW w:w="6645" w:type="dxa"/>
            <w:vAlign w:val="center"/>
          </w:tcPr>
          <w:p w14:paraId="3E121239">
            <w:pPr>
              <w:pStyle w:val="256"/>
              <w:spacing w:line="300" w:lineRule="exact"/>
              <w:rPr>
                <w:rFonts w:eastAsia="方正仿宋_GBK"/>
                <w:color w:val="auto"/>
                <w:sz w:val="18"/>
                <w:szCs w:val="18"/>
                <w:highlight w:val="none"/>
              </w:rPr>
            </w:pPr>
            <w:r>
              <w:rPr>
                <w:rFonts w:eastAsia="方正仿宋_GBK"/>
                <w:color w:val="auto"/>
                <w:sz w:val="18"/>
                <w:szCs w:val="18"/>
                <w:highlight w:val="none"/>
              </w:rPr>
              <w:t>消防器材配置合理，符合消防要求。</w:t>
            </w:r>
          </w:p>
        </w:tc>
      </w:tr>
      <w:tr w14:paraId="6FE2ED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2186B388">
            <w:pPr>
              <w:pStyle w:val="256"/>
              <w:spacing w:line="300" w:lineRule="exact"/>
              <w:jc w:val="center"/>
              <w:rPr>
                <w:rFonts w:eastAsia="方正仿宋_GBK"/>
                <w:color w:val="auto"/>
                <w:sz w:val="18"/>
                <w:szCs w:val="18"/>
                <w:highlight w:val="none"/>
              </w:rPr>
            </w:pPr>
          </w:p>
        </w:tc>
        <w:tc>
          <w:tcPr>
            <w:tcW w:w="2070" w:type="dxa"/>
            <w:gridSpan w:val="2"/>
            <w:vAlign w:val="center"/>
          </w:tcPr>
          <w:p w14:paraId="47A2301D">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垃圾清运</w:t>
            </w:r>
          </w:p>
        </w:tc>
        <w:tc>
          <w:tcPr>
            <w:tcW w:w="6645" w:type="dxa"/>
            <w:vAlign w:val="center"/>
          </w:tcPr>
          <w:p w14:paraId="341C9BDB">
            <w:pPr>
              <w:pStyle w:val="256"/>
              <w:spacing w:line="300" w:lineRule="exact"/>
              <w:rPr>
                <w:rFonts w:eastAsia="方正仿宋_GBK"/>
                <w:color w:val="auto"/>
                <w:sz w:val="18"/>
                <w:szCs w:val="18"/>
                <w:highlight w:val="none"/>
              </w:rPr>
            </w:pPr>
            <w:r>
              <w:rPr>
                <w:rFonts w:eastAsia="方正仿宋_GBK"/>
                <w:color w:val="auto"/>
                <w:sz w:val="18"/>
                <w:szCs w:val="18"/>
                <w:highlight w:val="none"/>
              </w:rPr>
              <w:t>1. 施工现场应设置密闭式垃圾站，施工垃圾、生活垃圾应分类存放。</w:t>
            </w:r>
          </w:p>
          <w:p w14:paraId="4893F9CC">
            <w:pPr>
              <w:pStyle w:val="256"/>
              <w:spacing w:line="300" w:lineRule="exact"/>
              <w:rPr>
                <w:rFonts w:eastAsia="方正仿宋_GBK"/>
                <w:color w:val="auto"/>
                <w:sz w:val="18"/>
                <w:szCs w:val="18"/>
                <w:highlight w:val="none"/>
              </w:rPr>
            </w:pPr>
            <w:r>
              <w:rPr>
                <w:rFonts w:eastAsia="方正仿宋_GBK"/>
                <w:color w:val="auto"/>
                <w:sz w:val="18"/>
                <w:szCs w:val="18"/>
                <w:highlight w:val="none"/>
              </w:rPr>
              <w:t>2. 施工垃圾必须采用相应容器或管道运输。</w:t>
            </w:r>
          </w:p>
        </w:tc>
      </w:tr>
      <w:tr w14:paraId="7CA8E0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6FC825D5">
            <w:pPr>
              <w:pStyle w:val="256"/>
              <w:spacing w:line="300" w:lineRule="exact"/>
              <w:jc w:val="center"/>
              <w:rPr>
                <w:rFonts w:eastAsia="方正仿宋_GBK"/>
                <w:color w:val="auto"/>
                <w:sz w:val="18"/>
                <w:szCs w:val="18"/>
                <w:highlight w:val="none"/>
              </w:rPr>
            </w:pPr>
          </w:p>
        </w:tc>
        <w:tc>
          <w:tcPr>
            <w:tcW w:w="2070" w:type="dxa"/>
            <w:gridSpan w:val="2"/>
            <w:vAlign w:val="center"/>
          </w:tcPr>
          <w:p w14:paraId="6C604E0B">
            <w:pPr>
              <w:pStyle w:val="256"/>
              <w:spacing w:line="300" w:lineRule="exact"/>
              <w:rPr>
                <w:rFonts w:eastAsia="方正仿宋_GBK"/>
                <w:color w:val="auto"/>
                <w:sz w:val="18"/>
                <w:szCs w:val="18"/>
                <w:highlight w:val="none"/>
              </w:rPr>
            </w:pPr>
            <w:r>
              <w:rPr>
                <w:rFonts w:eastAsia="方正仿宋_GBK"/>
                <w:color w:val="auto"/>
                <w:sz w:val="18"/>
                <w:szCs w:val="18"/>
                <w:highlight w:val="none"/>
              </w:rPr>
              <w:t>宣传栏、环保及不扰民措施</w:t>
            </w:r>
          </w:p>
        </w:tc>
        <w:tc>
          <w:tcPr>
            <w:tcW w:w="6645" w:type="dxa"/>
            <w:vAlign w:val="center"/>
          </w:tcPr>
          <w:p w14:paraId="459EEAF7">
            <w:pPr>
              <w:pStyle w:val="256"/>
              <w:spacing w:line="300" w:lineRule="exact"/>
              <w:rPr>
                <w:rFonts w:eastAsia="方正仿宋_GBK"/>
                <w:color w:val="auto"/>
                <w:sz w:val="18"/>
                <w:szCs w:val="18"/>
                <w:highlight w:val="none"/>
              </w:rPr>
            </w:pPr>
            <w:r>
              <w:rPr>
                <w:rFonts w:eastAsia="方正仿宋_GBK"/>
                <w:color w:val="auto"/>
                <w:sz w:val="18"/>
                <w:szCs w:val="18"/>
                <w:highlight w:val="none"/>
              </w:rPr>
              <w:t>宣传栏、安全宣传标语等，洗车（防止污染市区道路）、粉尘、噪声控制和排污（污水、废气）措施等。</w:t>
            </w:r>
          </w:p>
        </w:tc>
      </w:tr>
      <w:tr w14:paraId="729A4E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vAlign w:val="center"/>
          </w:tcPr>
          <w:p w14:paraId="75A6F4EF">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临时设施</w:t>
            </w:r>
          </w:p>
        </w:tc>
        <w:tc>
          <w:tcPr>
            <w:tcW w:w="2070" w:type="dxa"/>
            <w:gridSpan w:val="2"/>
            <w:vAlign w:val="center"/>
          </w:tcPr>
          <w:p w14:paraId="210F5BDA">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现场办公</w:t>
            </w:r>
          </w:p>
          <w:p w14:paraId="65438ABE">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生活设施</w:t>
            </w:r>
          </w:p>
        </w:tc>
        <w:tc>
          <w:tcPr>
            <w:tcW w:w="6645" w:type="dxa"/>
            <w:vAlign w:val="center"/>
          </w:tcPr>
          <w:p w14:paraId="6B2E7EFA">
            <w:pPr>
              <w:pStyle w:val="256"/>
              <w:spacing w:line="300" w:lineRule="exact"/>
              <w:rPr>
                <w:rFonts w:eastAsia="方正仿宋_GBK"/>
                <w:color w:val="auto"/>
                <w:sz w:val="18"/>
                <w:szCs w:val="18"/>
                <w:highlight w:val="none"/>
              </w:rPr>
            </w:pPr>
            <w:r>
              <w:rPr>
                <w:rFonts w:eastAsia="方正仿宋_GBK"/>
                <w:color w:val="auto"/>
                <w:sz w:val="18"/>
                <w:szCs w:val="18"/>
                <w:highlight w:val="none"/>
              </w:rPr>
              <w:t>1. 施工现场办公、生活区与作业区分开设置，保持安全距离。</w:t>
            </w:r>
          </w:p>
          <w:p w14:paraId="71CA227F">
            <w:pPr>
              <w:pStyle w:val="256"/>
              <w:spacing w:line="300" w:lineRule="exact"/>
              <w:rPr>
                <w:rFonts w:eastAsia="方正仿宋_GBK"/>
                <w:color w:val="auto"/>
                <w:sz w:val="18"/>
                <w:szCs w:val="18"/>
                <w:highlight w:val="none"/>
              </w:rPr>
            </w:pPr>
            <w:r>
              <w:rPr>
                <w:rFonts w:eastAsia="方正仿宋_GBK"/>
                <w:color w:val="auto"/>
                <w:sz w:val="18"/>
                <w:szCs w:val="18"/>
                <w:highlight w:val="none"/>
              </w:rPr>
              <w:t>2. 工地办公室、现场宿舍、食堂、厕所、饮水、沐浴、休息场所等符合卫生、消防安全要求。</w:t>
            </w:r>
          </w:p>
        </w:tc>
      </w:tr>
      <w:tr w14:paraId="4D0832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24CA573D">
            <w:pPr>
              <w:pStyle w:val="256"/>
              <w:spacing w:line="300" w:lineRule="exact"/>
              <w:jc w:val="center"/>
              <w:rPr>
                <w:rFonts w:eastAsia="方正仿宋_GBK"/>
                <w:color w:val="auto"/>
                <w:sz w:val="18"/>
                <w:szCs w:val="18"/>
                <w:highlight w:val="none"/>
              </w:rPr>
            </w:pPr>
          </w:p>
        </w:tc>
        <w:tc>
          <w:tcPr>
            <w:tcW w:w="525" w:type="dxa"/>
            <w:vMerge w:val="restart"/>
            <w:vAlign w:val="center"/>
          </w:tcPr>
          <w:p w14:paraId="01817EC7">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施工现场</w:t>
            </w:r>
          </w:p>
          <w:p w14:paraId="5FE953EF">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临时用电</w:t>
            </w:r>
          </w:p>
        </w:tc>
        <w:tc>
          <w:tcPr>
            <w:tcW w:w="1545" w:type="dxa"/>
            <w:vAlign w:val="center"/>
          </w:tcPr>
          <w:p w14:paraId="1545E825">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配电线路</w:t>
            </w:r>
          </w:p>
        </w:tc>
        <w:tc>
          <w:tcPr>
            <w:tcW w:w="6645" w:type="dxa"/>
            <w:vAlign w:val="center"/>
          </w:tcPr>
          <w:p w14:paraId="35E79D19">
            <w:pPr>
              <w:pStyle w:val="256"/>
              <w:spacing w:line="300" w:lineRule="exact"/>
              <w:rPr>
                <w:rFonts w:eastAsia="方正仿宋_GBK"/>
                <w:color w:val="auto"/>
                <w:sz w:val="18"/>
                <w:szCs w:val="18"/>
                <w:highlight w:val="none"/>
              </w:rPr>
            </w:pPr>
            <w:r>
              <w:rPr>
                <w:rFonts w:eastAsia="方正仿宋_GBK"/>
                <w:color w:val="auto"/>
                <w:sz w:val="18"/>
                <w:szCs w:val="18"/>
                <w:highlight w:val="none"/>
              </w:rPr>
              <w:t>1. 按照TN-S系统要求配备五芯电缆、四芯电缆和三芯电缆。</w:t>
            </w:r>
          </w:p>
          <w:p w14:paraId="118290C4">
            <w:pPr>
              <w:pStyle w:val="256"/>
              <w:spacing w:line="300" w:lineRule="exact"/>
              <w:rPr>
                <w:rFonts w:eastAsia="方正仿宋_GBK"/>
                <w:color w:val="auto"/>
                <w:sz w:val="18"/>
                <w:szCs w:val="18"/>
                <w:highlight w:val="none"/>
              </w:rPr>
            </w:pPr>
            <w:r>
              <w:rPr>
                <w:rFonts w:eastAsia="方正仿宋_GBK"/>
                <w:color w:val="auto"/>
                <w:sz w:val="18"/>
                <w:szCs w:val="18"/>
                <w:highlight w:val="none"/>
              </w:rPr>
              <w:t>2. 按要求架设临时用电线路的电杆、横担、瓷夹、瓷瓶等，或电缆埋地的地沟。</w:t>
            </w:r>
          </w:p>
          <w:p w14:paraId="58F86A05">
            <w:pPr>
              <w:pStyle w:val="256"/>
              <w:spacing w:line="300" w:lineRule="exact"/>
              <w:rPr>
                <w:rFonts w:eastAsia="方正仿宋_GBK"/>
                <w:color w:val="auto"/>
                <w:sz w:val="18"/>
                <w:szCs w:val="18"/>
                <w:highlight w:val="none"/>
              </w:rPr>
            </w:pPr>
            <w:r>
              <w:rPr>
                <w:rFonts w:eastAsia="方正仿宋_GBK"/>
                <w:color w:val="auto"/>
                <w:sz w:val="18"/>
                <w:szCs w:val="18"/>
                <w:highlight w:val="none"/>
              </w:rPr>
              <w:t>3. 对靠近施工现场的外电线路，设置木质、塑料等绝缘体的防护设施。</w:t>
            </w:r>
          </w:p>
        </w:tc>
      </w:tr>
      <w:tr w14:paraId="521C1A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4E7B06C7">
            <w:pPr>
              <w:pStyle w:val="256"/>
              <w:spacing w:line="300" w:lineRule="exact"/>
              <w:jc w:val="center"/>
              <w:rPr>
                <w:rFonts w:eastAsia="方正仿宋_GBK"/>
                <w:color w:val="auto"/>
                <w:sz w:val="18"/>
                <w:szCs w:val="18"/>
                <w:highlight w:val="none"/>
              </w:rPr>
            </w:pPr>
          </w:p>
        </w:tc>
        <w:tc>
          <w:tcPr>
            <w:tcW w:w="525" w:type="dxa"/>
            <w:vMerge w:val="continue"/>
            <w:vAlign w:val="center"/>
          </w:tcPr>
          <w:p w14:paraId="60BFCCDE">
            <w:pPr>
              <w:pStyle w:val="256"/>
              <w:spacing w:line="300" w:lineRule="exact"/>
              <w:jc w:val="center"/>
              <w:rPr>
                <w:rFonts w:eastAsia="方正仿宋_GBK"/>
                <w:color w:val="auto"/>
                <w:sz w:val="18"/>
                <w:szCs w:val="18"/>
                <w:highlight w:val="none"/>
              </w:rPr>
            </w:pPr>
          </w:p>
        </w:tc>
        <w:tc>
          <w:tcPr>
            <w:tcW w:w="1545" w:type="dxa"/>
            <w:vAlign w:val="center"/>
          </w:tcPr>
          <w:p w14:paraId="392352EA">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配电箱</w:t>
            </w:r>
          </w:p>
          <w:p w14:paraId="1B30B4ED">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开关箱</w:t>
            </w:r>
          </w:p>
        </w:tc>
        <w:tc>
          <w:tcPr>
            <w:tcW w:w="6645" w:type="dxa"/>
            <w:vAlign w:val="center"/>
          </w:tcPr>
          <w:p w14:paraId="36999A60">
            <w:pPr>
              <w:pStyle w:val="256"/>
              <w:spacing w:line="300" w:lineRule="exact"/>
              <w:rPr>
                <w:rFonts w:eastAsia="方正仿宋_GBK"/>
                <w:color w:val="auto"/>
                <w:sz w:val="18"/>
                <w:szCs w:val="18"/>
                <w:highlight w:val="none"/>
              </w:rPr>
            </w:pPr>
            <w:r>
              <w:rPr>
                <w:rFonts w:eastAsia="方正仿宋_GBK"/>
                <w:color w:val="auto"/>
                <w:sz w:val="18"/>
                <w:szCs w:val="18"/>
                <w:highlight w:val="none"/>
              </w:rPr>
              <w:t>1. 按三级配电要求，配备总配电箱、分配电箱、开关箱三类（铁质）标准电箱，开关箱应符合“一机、一箱、一闸、一漏”，三类电箱中的各类电器应是合格品。</w:t>
            </w:r>
          </w:p>
          <w:p w14:paraId="3DC42A25">
            <w:pPr>
              <w:pStyle w:val="256"/>
              <w:spacing w:line="300" w:lineRule="exact"/>
              <w:rPr>
                <w:rFonts w:eastAsia="方正仿宋_GBK"/>
                <w:color w:val="auto"/>
                <w:sz w:val="18"/>
                <w:szCs w:val="18"/>
                <w:highlight w:val="none"/>
              </w:rPr>
            </w:pPr>
            <w:r>
              <w:rPr>
                <w:rFonts w:eastAsia="方正仿宋_GBK"/>
                <w:color w:val="auto"/>
                <w:sz w:val="18"/>
                <w:szCs w:val="18"/>
                <w:highlight w:val="none"/>
              </w:rPr>
              <w:t>2. 按两级保护的要求，选取符合容量要求和质量合格的总配电箱和开关箱中的漏电保护器。</w:t>
            </w:r>
          </w:p>
          <w:p w14:paraId="29919C0B">
            <w:pPr>
              <w:pStyle w:val="256"/>
              <w:spacing w:line="300" w:lineRule="exact"/>
              <w:rPr>
                <w:rFonts w:eastAsia="方正仿宋_GBK"/>
                <w:color w:val="auto"/>
                <w:sz w:val="18"/>
                <w:szCs w:val="18"/>
                <w:highlight w:val="none"/>
              </w:rPr>
            </w:pPr>
            <w:r>
              <w:rPr>
                <w:rFonts w:eastAsia="方正仿宋_GBK"/>
                <w:color w:val="auto"/>
                <w:sz w:val="18"/>
                <w:szCs w:val="18"/>
                <w:highlight w:val="none"/>
              </w:rPr>
              <w:t>3. 对大型、落地式分配电箱、开关箱设置防护棚和通透式围挡。</w:t>
            </w:r>
          </w:p>
        </w:tc>
      </w:tr>
      <w:tr w14:paraId="3D3647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75" w:hRule="atLeast"/>
        </w:trPr>
        <w:tc>
          <w:tcPr>
            <w:tcW w:w="738" w:type="dxa"/>
            <w:vMerge w:val="continue"/>
            <w:vAlign w:val="center"/>
          </w:tcPr>
          <w:p w14:paraId="1B2700CF">
            <w:pPr>
              <w:pStyle w:val="256"/>
              <w:spacing w:line="300" w:lineRule="exact"/>
              <w:jc w:val="center"/>
              <w:rPr>
                <w:rFonts w:eastAsia="方正仿宋_GBK"/>
                <w:color w:val="auto"/>
                <w:sz w:val="18"/>
                <w:szCs w:val="18"/>
                <w:highlight w:val="none"/>
              </w:rPr>
            </w:pPr>
          </w:p>
        </w:tc>
        <w:tc>
          <w:tcPr>
            <w:tcW w:w="525" w:type="dxa"/>
            <w:vMerge w:val="continue"/>
            <w:vAlign w:val="center"/>
          </w:tcPr>
          <w:p w14:paraId="4256C197">
            <w:pPr>
              <w:pStyle w:val="256"/>
              <w:spacing w:line="300" w:lineRule="exact"/>
              <w:jc w:val="center"/>
              <w:rPr>
                <w:rFonts w:eastAsia="方正仿宋_GBK"/>
                <w:color w:val="auto"/>
                <w:sz w:val="18"/>
                <w:szCs w:val="18"/>
                <w:highlight w:val="none"/>
              </w:rPr>
            </w:pPr>
          </w:p>
        </w:tc>
        <w:tc>
          <w:tcPr>
            <w:tcW w:w="1545" w:type="dxa"/>
            <w:vAlign w:val="center"/>
          </w:tcPr>
          <w:p w14:paraId="154DA722">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接地装置</w:t>
            </w:r>
          </w:p>
        </w:tc>
        <w:tc>
          <w:tcPr>
            <w:tcW w:w="6645" w:type="dxa"/>
            <w:vAlign w:val="center"/>
          </w:tcPr>
          <w:p w14:paraId="5F117EB1">
            <w:pPr>
              <w:pStyle w:val="256"/>
              <w:spacing w:line="300" w:lineRule="exact"/>
              <w:rPr>
                <w:rFonts w:eastAsia="方正仿宋_GBK"/>
                <w:color w:val="auto"/>
                <w:sz w:val="18"/>
                <w:szCs w:val="18"/>
                <w:highlight w:val="none"/>
              </w:rPr>
            </w:pPr>
            <w:r>
              <w:rPr>
                <w:rFonts w:eastAsia="方正仿宋_GBK"/>
                <w:color w:val="auto"/>
                <w:sz w:val="18"/>
                <w:szCs w:val="18"/>
                <w:highlight w:val="none"/>
              </w:rPr>
              <w:t>施工现场应设置不少于三处的重复接地装置。</w:t>
            </w:r>
          </w:p>
        </w:tc>
      </w:tr>
      <w:tr w14:paraId="4CBAB3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6" w:hRule="atLeast"/>
        </w:trPr>
        <w:tc>
          <w:tcPr>
            <w:tcW w:w="738" w:type="dxa"/>
            <w:vMerge w:val="continue"/>
            <w:vAlign w:val="center"/>
          </w:tcPr>
          <w:p w14:paraId="6652CBD8">
            <w:pPr>
              <w:pStyle w:val="256"/>
              <w:spacing w:line="300" w:lineRule="exact"/>
              <w:jc w:val="center"/>
              <w:rPr>
                <w:rFonts w:eastAsia="方正仿宋_GBK"/>
                <w:color w:val="auto"/>
                <w:sz w:val="18"/>
                <w:szCs w:val="18"/>
                <w:highlight w:val="none"/>
              </w:rPr>
            </w:pPr>
          </w:p>
        </w:tc>
        <w:tc>
          <w:tcPr>
            <w:tcW w:w="525" w:type="dxa"/>
            <w:vMerge w:val="continue"/>
            <w:vAlign w:val="center"/>
          </w:tcPr>
          <w:p w14:paraId="11631309">
            <w:pPr>
              <w:pStyle w:val="256"/>
              <w:spacing w:line="300" w:lineRule="exact"/>
              <w:jc w:val="center"/>
              <w:rPr>
                <w:rFonts w:eastAsia="方正仿宋_GBK"/>
                <w:color w:val="auto"/>
                <w:sz w:val="18"/>
                <w:szCs w:val="18"/>
                <w:highlight w:val="none"/>
              </w:rPr>
            </w:pPr>
          </w:p>
        </w:tc>
        <w:tc>
          <w:tcPr>
            <w:tcW w:w="1545" w:type="dxa"/>
            <w:vAlign w:val="center"/>
          </w:tcPr>
          <w:p w14:paraId="20DDF386">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现场变配电装置</w:t>
            </w:r>
          </w:p>
        </w:tc>
        <w:tc>
          <w:tcPr>
            <w:tcW w:w="6645" w:type="dxa"/>
            <w:vAlign w:val="center"/>
          </w:tcPr>
          <w:p w14:paraId="7DD41871">
            <w:pPr>
              <w:pStyle w:val="256"/>
              <w:spacing w:line="300" w:lineRule="exact"/>
              <w:rPr>
                <w:rFonts w:eastAsia="方正仿宋_GBK"/>
                <w:color w:val="auto"/>
                <w:sz w:val="18"/>
                <w:szCs w:val="18"/>
                <w:highlight w:val="none"/>
              </w:rPr>
            </w:pPr>
            <w:r>
              <w:rPr>
                <w:rFonts w:eastAsia="方正仿宋_GBK"/>
                <w:color w:val="auto"/>
                <w:sz w:val="18"/>
                <w:szCs w:val="18"/>
                <w:highlight w:val="none"/>
              </w:rPr>
              <w:t>总配电房建筑材料必须达到消防防火要求，室内做硬地坪、电缆沟。</w:t>
            </w:r>
          </w:p>
        </w:tc>
      </w:tr>
      <w:tr w14:paraId="232065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6" w:hRule="atLeast"/>
        </w:trPr>
        <w:tc>
          <w:tcPr>
            <w:tcW w:w="738" w:type="dxa"/>
            <w:vAlign w:val="center"/>
          </w:tcPr>
          <w:p w14:paraId="317845E0">
            <w:pPr>
              <w:pStyle w:val="256"/>
              <w:spacing w:line="300" w:lineRule="exact"/>
              <w:jc w:val="center"/>
              <w:rPr>
                <w:rFonts w:eastAsia="方正仿宋_GBK"/>
                <w:b/>
                <w:bCs/>
                <w:color w:val="auto"/>
                <w:sz w:val="18"/>
                <w:szCs w:val="18"/>
                <w:highlight w:val="none"/>
              </w:rPr>
            </w:pPr>
            <w:r>
              <w:rPr>
                <w:rFonts w:eastAsia="方正仿宋_GBK"/>
                <w:b/>
                <w:bCs/>
                <w:color w:val="auto"/>
                <w:sz w:val="18"/>
                <w:szCs w:val="18"/>
                <w:highlight w:val="none"/>
              </w:rPr>
              <w:t>类别</w:t>
            </w:r>
          </w:p>
        </w:tc>
        <w:tc>
          <w:tcPr>
            <w:tcW w:w="2070" w:type="dxa"/>
            <w:gridSpan w:val="2"/>
            <w:vAlign w:val="center"/>
          </w:tcPr>
          <w:p w14:paraId="6E1D6043">
            <w:pPr>
              <w:pStyle w:val="256"/>
              <w:spacing w:line="300" w:lineRule="exact"/>
              <w:jc w:val="center"/>
              <w:rPr>
                <w:rFonts w:eastAsia="方正仿宋_GBK"/>
                <w:b/>
                <w:bCs/>
                <w:color w:val="auto"/>
                <w:sz w:val="18"/>
                <w:szCs w:val="18"/>
                <w:highlight w:val="none"/>
              </w:rPr>
            </w:pPr>
            <w:r>
              <w:rPr>
                <w:rFonts w:eastAsia="方正仿宋_GBK"/>
                <w:b/>
                <w:bCs/>
                <w:color w:val="auto"/>
                <w:sz w:val="18"/>
                <w:szCs w:val="18"/>
                <w:highlight w:val="none"/>
              </w:rPr>
              <w:t>项目名称</w:t>
            </w:r>
          </w:p>
        </w:tc>
        <w:tc>
          <w:tcPr>
            <w:tcW w:w="6645" w:type="dxa"/>
            <w:vAlign w:val="center"/>
          </w:tcPr>
          <w:p w14:paraId="7802EBE3">
            <w:pPr>
              <w:pStyle w:val="256"/>
              <w:spacing w:line="300" w:lineRule="exact"/>
              <w:jc w:val="center"/>
              <w:rPr>
                <w:rFonts w:eastAsia="方正仿宋_GBK"/>
                <w:b/>
                <w:bCs/>
                <w:color w:val="auto"/>
                <w:sz w:val="18"/>
                <w:szCs w:val="18"/>
                <w:highlight w:val="none"/>
              </w:rPr>
            </w:pPr>
            <w:r>
              <w:rPr>
                <w:rFonts w:eastAsia="方正仿宋_GBK"/>
                <w:b/>
                <w:bCs/>
                <w:color w:val="auto"/>
                <w:sz w:val="18"/>
                <w:szCs w:val="18"/>
                <w:highlight w:val="none"/>
              </w:rPr>
              <w:t>主要内容和要求</w:t>
            </w:r>
          </w:p>
        </w:tc>
      </w:tr>
      <w:tr w14:paraId="57635C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vAlign w:val="center"/>
          </w:tcPr>
          <w:p w14:paraId="2CF2A4FD">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安全施工</w:t>
            </w:r>
          </w:p>
        </w:tc>
        <w:tc>
          <w:tcPr>
            <w:tcW w:w="525" w:type="dxa"/>
            <w:vMerge w:val="restart"/>
            <w:vAlign w:val="center"/>
          </w:tcPr>
          <w:p w14:paraId="73B055B9">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高处作业防护</w:t>
            </w:r>
          </w:p>
        </w:tc>
        <w:tc>
          <w:tcPr>
            <w:tcW w:w="1545" w:type="dxa"/>
            <w:vAlign w:val="center"/>
          </w:tcPr>
          <w:p w14:paraId="4ED595EA">
            <w:pPr>
              <w:pStyle w:val="256"/>
              <w:spacing w:line="300" w:lineRule="exact"/>
              <w:rPr>
                <w:rFonts w:eastAsia="方正仿宋_GBK"/>
                <w:color w:val="auto"/>
                <w:sz w:val="18"/>
                <w:szCs w:val="18"/>
                <w:highlight w:val="none"/>
              </w:rPr>
            </w:pPr>
            <w:r>
              <w:rPr>
                <w:rFonts w:eastAsia="方正仿宋_GBK"/>
                <w:color w:val="auto"/>
                <w:sz w:val="18"/>
                <w:szCs w:val="18"/>
                <w:highlight w:val="none"/>
              </w:rPr>
              <w:t>楼层、屋面、阳台等临边</w:t>
            </w:r>
          </w:p>
        </w:tc>
        <w:tc>
          <w:tcPr>
            <w:tcW w:w="6645" w:type="dxa"/>
            <w:vAlign w:val="center"/>
          </w:tcPr>
          <w:p w14:paraId="72E507A6">
            <w:pPr>
              <w:pStyle w:val="256"/>
              <w:spacing w:line="300" w:lineRule="exact"/>
              <w:rPr>
                <w:rFonts w:eastAsia="方正仿宋_GBK"/>
                <w:color w:val="auto"/>
                <w:sz w:val="18"/>
                <w:szCs w:val="18"/>
                <w:highlight w:val="none"/>
              </w:rPr>
            </w:pPr>
            <w:r>
              <w:rPr>
                <w:rFonts w:eastAsia="方正仿宋_GBK"/>
                <w:color w:val="auto"/>
                <w:sz w:val="18"/>
                <w:szCs w:val="18"/>
                <w:highlight w:val="none"/>
              </w:rPr>
              <w:t>设两道防护栏杆和18cm高的踢脚板，用密目式安全立网全封闭。</w:t>
            </w:r>
          </w:p>
        </w:tc>
      </w:tr>
      <w:tr w14:paraId="324626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19E9E587">
            <w:pPr>
              <w:pStyle w:val="256"/>
              <w:spacing w:line="300" w:lineRule="exact"/>
              <w:jc w:val="center"/>
              <w:rPr>
                <w:rFonts w:eastAsia="方正仿宋_GBK"/>
                <w:color w:val="auto"/>
                <w:sz w:val="18"/>
                <w:szCs w:val="18"/>
                <w:highlight w:val="none"/>
              </w:rPr>
            </w:pPr>
          </w:p>
        </w:tc>
        <w:tc>
          <w:tcPr>
            <w:tcW w:w="525" w:type="dxa"/>
            <w:vMerge w:val="continue"/>
            <w:vAlign w:val="center"/>
          </w:tcPr>
          <w:p w14:paraId="3D17333A">
            <w:pPr>
              <w:pStyle w:val="256"/>
              <w:spacing w:line="300" w:lineRule="exact"/>
              <w:jc w:val="center"/>
              <w:rPr>
                <w:rFonts w:eastAsia="方正仿宋_GBK"/>
                <w:color w:val="auto"/>
                <w:sz w:val="18"/>
                <w:szCs w:val="18"/>
                <w:highlight w:val="none"/>
              </w:rPr>
            </w:pPr>
          </w:p>
        </w:tc>
        <w:tc>
          <w:tcPr>
            <w:tcW w:w="1545" w:type="dxa"/>
            <w:vAlign w:val="center"/>
          </w:tcPr>
          <w:p w14:paraId="3E1500FA">
            <w:pPr>
              <w:pStyle w:val="256"/>
              <w:spacing w:line="300" w:lineRule="exact"/>
              <w:rPr>
                <w:rFonts w:eastAsia="方正仿宋_GBK"/>
                <w:color w:val="auto"/>
                <w:sz w:val="18"/>
                <w:szCs w:val="18"/>
                <w:highlight w:val="none"/>
              </w:rPr>
            </w:pPr>
            <w:r>
              <w:rPr>
                <w:rFonts w:eastAsia="方正仿宋_GBK"/>
                <w:color w:val="auto"/>
                <w:sz w:val="18"/>
                <w:szCs w:val="18"/>
                <w:highlight w:val="none"/>
              </w:rPr>
              <w:t>通道口</w:t>
            </w:r>
          </w:p>
        </w:tc>
        <w:tc>
          <w:tcPr>
            <w:tcW w:w="6645" w:type="dxa"/>
            <w:vAlign w:val="center"/>
          </w:tcPr>
          <w:p w14:paraId="46D3468B">
            <w:pPr>
              <w:pStyle w:val="256"/>
              <w:spacing w:line="300" w:lineRule="exact"/>
              <w:rPr>
                <w:rFonts w:eastAsia="方正仿宋_GBK"/>
                <w:color w:val="auto"/>
                <w:sz w:val="18"/>
                <w:szCs w:val="18"/>
                <w:highlight w:val="none"/>
              </w:rPr>
            </w:pPr>
            <w:r>
              <w:rPr>
                <w:rFonts w:eastAsia="方正仿宋_GBK"/>
                <w:color w:val="auto"/>
                <w:sz w:val="18"/>
                <w:szCs w:val="18"/>
                <w:highlight w:val="none"/>
              </w:rPr>
              <w:t>设防护棚，防护棚应为不小于5cm厚的木板或两道相距50cm的竹笆。两侧应沿栏杆架用密目式安全网封闭。</w:t>
            </w:r>
          </w:p>
        </w:tc>
      </w:tr>
      <w:tr w14:paraId="73DAE3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4840CF53">
            <w:pPr>
              <w:pStyle w:val="256"/>
              <w:spacing w:line="300" w:lineRule="exact"/>
              <w:jc w:val="center"/>
              <w:rPr>
                <w:rFonts w:eastAsia="方正仿宋_GBK"/>
                <w:color w:val="auto"/>
                <w:sz w:val="18"/>
                <w:szCs w:val="18"/>
                <w:highlight w:val="none"/>
              </w:rPr>
            </w:pPr>
          </w:p>
        </w:tc>
        <w:tc>
          <w:tcPr>
            <w:tcW w:w="525" w:type="dxa"/>
            <w:vMerge w:val="continue"/>
            <w:vAlign w:val="center"/>
          </w:tcPr>
          <w:p w14:paraId="795E8B86">
            <w:pPr>
              <w:pStyle w:val="256"/>
              <w:spacing w:line="300" w:lineRule="exact"/>
              <w:jc w:val="center"/>
              <w:rPr>
                <w:rFonts w:eastAsia="方正仿宋_GBK"/>
                <w:color w:val="auto"/>
                <w:sz w:val="18"/>
                <w:szCs w:val="18"/>
                <w:highlight w:val="none"/>
              </w:rPr>
            </w:pPr>
          </w:p>
        </w:tc>
        <w:tc>
          <w:tcPr>
            <w:tcW w:w="1545" w:type="dxa"/>
            <w:vAlign w:val="center"/>
          </w:tcPr>
          <w:p w14:paraId="3B1B94DB">
            <w:pPr>
              <w:pStyle w:val="256"/>
              <w:spacing w:line="300" w:lineRule="exact"/>
              <w:rPr>
                <w:rFonts w:eastAsia="方正仿宋_GBK"/>
                <w:color w:val="auto"/>
                <w:sz w:val="18"/>
                <w:szCs w:val="18"/>
                <w:highlight w:val="none"/>
              </w:rPr>
            </w:pPr>
            <w:r>
              <w:rPr>
                <w:rFonts w:eastAsia="方正仿宋_GBK"/>
                <w:color w:val="auto"/>
                <w:sz w:val="18"/>
                <w:szCs w:val="18"/>
                <w:highlight w:val="none"/>
              </w:rPr>
              <w:t>预留洞口</w:t>
            </w:r>
          </w:p>
        </w:tc>
        <w:tc>
          <w:tcPr>
            <w:tcW w:w="6645" w:type="dxa"/>
            <w:vAlign w:val="center"/>
          </w:tcPr>
          <w:p w14:paraId="2C2A7518">
            <w:pPr>
              <w:pStyle w:val="256"/>
              <w:spacing w:line="300" w:lineRule="exact"/>
              <w:rPr>
                <w:rFonts w:eastAsia="方正仿宋_GBK"/>
                <w:color w:val="auto"/>
                <w:sz w:val="18"/>
                <w:szCs w:val="18"/>
                <w:highlight w:val="none"/>
              </w:rPr>
            </w:pPr>
            <w:r>
              <w:rPr>
                <w:rFonts w:eastAsia="方正仿宋_GBK"/>
                <w:color w:val="auto"/>
                <w:sz w:val="18"/>
                <w:szCs w:val="18"/>
                <w:highlight w:val="none"/>
              </w:rPr>
              <w:t>用硬质材料全封闭，短边超过1.5m长的洞口，除封闭外四周还应设有防护栏杆。</w:t>
            </w:r>
          </w:p>
        </w:tc>
      </w:tr>
      <w:tr w14:paraId="2BEE25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738" w:type="dxa"/>
            <w:vMerge w:val="continue"/>
            <w:vAlign w:val="center"/>
          </w:tcPr>
          <w:p w14:paraId="2F65C1A7">
            <w:pPr>
              <w:pStyle w:val="256"/>
              <w:spacing w:line="300" w:lineRule="exact"/>
              <w:jc w:val="center"/>
              <w:rPr>
                <w:rFonts w:eastAsia="方正仿宋_GBK"/>
                <w:color w:val="auto"/>
                <w:sz w:val="18"/>
                <w:szCs w:val="18"/>
                <w:highlight w:val="none"/>
              </w:rPr>
            </w:pPr>
          </w:p>
        </w:tc>
        <w:tc>
          <w:tcPr>
            <w:tcW w:w="525" w:type="dxa"/>
            <w:vMerge w:val="continue"/>
            <w:vAlign w:val="center"/>
          </w:tcPr>
          <w:p w14:paraId="6DC2E813">
            <w:pPr>
              <w:pStyle w:val="256"/>
              <w:spacing w:line="300" w:lineRule="exact"/>
              <w:jc w:val="center"/>
              <w:rPr>
                <w:rFonts w:eastAsia="方正仿宋_GBK"/>
                <w:color w:val="auto"/>
                <w:sz w:val="18"/>
                <w:szCs w:val="18"/>
                <w:highlight w:val="none"/>
              </w:rPr>
            </w:pPr>
          </w:p>
        </w:tc>
        <w:tc>
          <w:tcPr>
            <w:tcW w:w="1545" w:type="dxa"/>
            <w:vAlign w:val="center"/>
          </w:tcPr>
          <w:p w14:paraId="694E1AE2">
            <w:pPr>
              <w:pStyle w:val="256"/>
              <w:spacing w:line="300" w:lineRule="exact"/>
              <w:rPr>
                <w:rFonts w:eastAsia="方正仿宋_GBK"/>
                <w:color w:val="auto"/>
                <w:sz w:val="18"/>
                <w:szCs w:val="18"/>
                <w:highlight w:val="none"/>
              </w:rPr>
            </w:pPr>
            <w:r>
              <w:rPr>
                <w:rFonts w:eastAsia="方正仿宋_GBK"/>
                <w:color w:val="auto"/>
                <w:sz w:val="18"/>
                <w:szCs w:val="18"/>
                <w:highlight w:val="none"/>
              </w:rPr>
              <w:t>电梯井口</w:t>
            </w:r>
          </w:p>
        </w:tc>
        <w:tc>
          <w:tcPr>
            <w:tcW w:w="6645" w:type="dxa"/>
            <w:vAlign w:val="center"/>
          </w:tcPr>
          <w:p w14:paraId="746A4536">
            <w:pPr>
              <w:pStyle w:val="256"/>
              <w:spacing w:line="300" w:lineRule="exact"/>
              <w:rPr>
                <w:rFonts w:eastAsia="方正仿宋_GBK"/>
                <w:color w:val="auto"/>
                <w:sz w:val="18"/>
                <w:szCs w:val="18"/>
                <w:highlight w:val="none"/>
              </w:rPr>
            </w:pPr>
            <w:r>
              <w:rPr>
                <w:rFonts w:eastAsia="方正仿宋_GBK"/>
                <w:color w:val="auto"/>
                <w:sz w:val="18"/>
                <w:szCs w:val="18"/>
                <w:highlight w:val="none"/>
              </w:rPr>
              <w:t>设置定型化、工具化的防护门，在电梯井内每隔2层（不大于10m）设置一道水平防护。</w:t>
            </w:r>
          </w:p>
        </w:tc>
      </w:tr>
      <w:tr w14:paraId="313CD7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6A13F872">
            <w:pPr>
              <w:pStyle w:val="256"/>
              <w:spacing w:line="300" w:lineRule="exact"/>
              <w:jc w:val="center"/>
              <w:rPr>
                <w:rFonts w:eastAsia="方正仿宋_GBK"/>
                <w:color w:val="auto"/>
                <w:sz w:val="18"/>
                <w:szCs w:val="18"/>
                <w:highlight w:val="none"/>
              </w:rPr>
            </w:pPr>
          </w:p>
        </w:tc>
        <w:tc>
          <w:tcPr>
            <w:tcW w:w="525" w:type="dxa"/>
            <w:vMerge w:val="continue"/>
            <w:vAlign w:val="center"/>
          </w:tcPr>
          <w:p w14:paraId="1B2F1EDC">
            <w:pPr>
              <w:pStyle w:val="256"/>
              <w:spacing w:line="300" w:lineRule="exact"/>
              <w:jc w:val="center"/>
              <w:rPr>
                <w:rFonts w:eastAsia="方正仿宋_GBK"/>
                <w:color w:val="auto"/>
                <w:sz w:val="18"/>
                <w:szCs w:val="18"/>
                <w:highlight w:val="none"/>
              </w:rPr>
            </w:pPr>
          </w:p>
        </w:tc>
        <w:tc>
          <w:tcPr>
            <w:tcW w:w="1545" w:type="dxa"/>
            <w:vAlign w:val="center"/>
          </w:tcPr>
          <w:p w14:paraId="79BF918B">
            <w:pPr>
              <w:pStyle w:val="256"/>
              <w:spacing w:line="300" w:lineRule="exact"/>
              <w:rPr>
                <w:rFonts w:eastAsia="方正仿宋_GBK"/>
                <w:color w:val="auto"/>
                <w:sz w:val="18"/>
                <w:szCs w:val="18"/>
                <w:highlight w:val="none"/>
              </w:rPr>
            </w:pPr>
            <w:r>
              <w:rPr>
                <w:rFonts w:eastAsia="方正仿宋_GBK"/>
                <w:color w:val="auto"/>
                <w:sz w:val="18"/>
                <w:szCs w:val="18"/>
                <w:highlight w:val="none"/>
              </w:rPr>
              <w:t>楼梯边</w:t>
            </w:r>
          </w:p>
        </w:tc>
        <w:tc>
          <w:tcPr>
            <w:tcW w:w="6645" w:type="dxa"/>
            <w:vAlign w:val="center"/>
          </w:tcPr>
          <w:p w14:paraId="453F8778">
            <w:pPr>
              <w:pStyle w:val="256"/>
              <w:spacing w:line="300" w:lineRule="exact"/>
              <w:rPr>
                <w:rFonts w:eastAsia="方正仿宋_GBK"/>
                <w:color w:val="auto"/>
                <w:sz w:val="18"/>
                <w:szCs w:val="18"/>
                <w:highlight w:val="none"/>
              </w:rPr>
            </w:pPr>
            <w:r>
              <w:rPr>
                <w:rFonts w:eastAsia="方正仿宋_GBK"/>
                <w:color w:val="auto"/>
                <w:sz w:val="18"/>
                <w:szCs w:val="18"/>
                <w:highlight w:val="none"/>
              </w:rPr>
              <w:t>设1.2m高的定型化、工具化的防护栏，18cm高的踢脚板。</w:t>
            </w:r>
          </w:p>
        </w:tc>
      </w:tr>
      <w:tr w14:paraId="13A4EE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062D6300">
            <w:pPr>
              <w:pStyle w:val="256"/>
              <w:spacing w:line="300" w:lineRule="exact"/>
              <w:jc w:val="center"/>
              <w:rPr>
                <w:rFonts w:eastAsia="方正仿宋_GBK"/>
                <w:color w:val="auto"/>
                <w:sz w:val="18"/>
                <w:szCs w:val="18"/>
                <w:highlight w:val="none"/>
              </w:rPr>
            </w:pPr>
          </w:p>
        </w:tc>
        <w:tc>
          <w:tcPr>
            <w:tcW w:w="525" w:type="dxa"/>
            <w:vMerge w:val="continue"/>
            <w:vAlign w:val="center"/>
          </w:tcPr>
          <w:p w14:paraId="163BBBB6">
            <w:pPr>
              <w:pStyle w:val="256"/>
              <w:spacing w:line="300" w:lineRule="exact"/>
              <w:jc w:val="center"/>
              <w:rPr>
                <w:rFonts w:eastAsia="方正仿宋_GBK"/>
                <w:color w:val="auto"/>
                <w:sz w:val="18"/>
                <w:szCs w:val="18"/>
                <w:highlight w:val="none"/>
              </w:rPr>
            </w:pPr>
          </w:p>
        </w:tc>
        <w:tc>
          <w:tcPr>
            <w:tcW w:w="1545" w:type="dxa"/>
            <w:vAlign w:val="center"/>
          </w:tcPr>
          <w:p w14:paraId="0C9CFE40">
            <w:pPr>
              <w:pStyle w:val="256"/>
              <w:spacing w:line="300" w:lineRule="exact"/>
              <w:rPr>
                <w:rFonts w:eastAsia="方正仿宋_GBK"/>
                <w:color w:val="auto"/>
                <w:sz w:val="18"/>
                <w:szCs w:val="18"/>
                <w:highlight w:val="none"/>
              </w:rPr>
            </w:pPr>
            <w:r>
              <w:rPr>
                <w:rFonts w:eastAsia="方正仿宋_GBK"/>
                <w:color w:val="auto"/>
                <w:sz w:val="18"/>
                <w:szCs w:val="18"/>
                <w:highlight w:val="none"/>
              </w:rPr>
              <w:t>垂直方向交叉作业</w:t>
            </w:r>
          </w:p>
        </w:tc>
        <w:tc>
          <w:tcPr>
            <w:tcW w:w="6645" w:type="dxa"/>
            <w:vAlign w:val="center"/>
          </w:tcPr>
          <w:p w14:paraId="7DD29B83">
            <w:pPr>
              <w:pStyle w:val="256"/>
              <w:spacing w:line="300" w:lineRule="exact"/>
              <w:rPr>
                <w:rFonts w:eastAsia="方正仿宋_GBK"/>
                <w:color w:val="auto"/>
                <w:sz w:val="18"/>
                <w:szCs w:val="18"/>
                <w:highlight w:val="none"/>
              </w:rPr>
            </w:pPr>
            <w:r>
              <w:rPr>
                <w:rFonts w:eastAsia="方正仿宋_GBK"/>
                <w:color w:val="auto"/>
                <w:sz w:val="18"/>
                <w:szCs w:val="18"/>
                <w:highlight w:val="none"/>
              </w:rPr>
              <w:t>设置防护隔离棚或其它设施。</w:t>
            </w:r>
          </w:p>
        </w:tc>
      </w:tr>
      <w:tr w14:paraId="3C8A0F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39631152">
            <w:pPr>
              <w:pStyle w:val="256"/>
              <w:spacing w:line="300" w:lineRule="exact"/>
              <w:jc w:val="center"/>
              <w:rPr>
                <w:rFonts w:eastAsia="方正仿宋_GBK"/>
                <w:color w:val="auto"/>
                <w:sz w:val="18"/>
                <w:szCs w:val="18"/>
                <w:highlight w:val="none"/>
              </w:rPr>
            </w:pPr>
          </w:p>
        </w:tc>
        <w:tc>
          <w:tcPr>
            <w:tcW w:w="525" w:type="dxa"/>
            <w:vMerge w:val="continue"/>
            <w:vAlign w:val="center"/>
          </w:tcPr>
          <w:p w14:paraId="289C3C2D">
            <w:pPr>
              <w:pStyle w:val="256"/>
              <w:spacing w:line="300" w:lineRule="exact"/>
              <w:jc w:val="center"/>
              <w:rPr>
                <w:rFonts w:eastAsia="方正仿宋_GBK"/>
                <w:color w:val="auto"/>
                <w:sz w:val="18"/>
                <w:szCs w:val="18"/>
                <w:highlight w:val="none"/>
              </w:rPr>
            </w:pPr>
          </w:p>
        </w:tc>
        <w:tc>
          <w:tcPr>
            <w:tcW w:w="1545" w:type="dxa"/>
            <w:vAlign w:val="center"/>
          </w:tcPr>
          <w:p w14:paraId="0CBD4578">
            <w:pPr>
              <w:pStyle w:val="256"/>
              <w:spacing w:line="300" w:lineRule="exact"/>
              <w:rPr>
                <w:rFonts w:eastAsia="方正仿宋_GBK"/>
                <w:color w:val="auto"/>
                <w:sz w:val="18"/>
                <w:szCs w:val="18"/>
                <w:highlight w:val="none"/>
              </w:rPr>
            </w:pPr>
            <w:r>
              <w:rPr>
                <w:rFonts w:eastAsia="方正仿宋_GBK"/>
                <w:color w:val="auto"/>
                <w:sz w:val="18"/>
                <w:szCs w:val="18"/>
                <w:highlight w:val="none"/>
              </w:rPr>
              <w:t>高处作业</w:t>
            </w:r>
          </w:p>
        </w:tc>
        <w:tc>
          <w:tcPr>
            <w:tcW w:w="6645" w:type="dxa"/>
            <w:vAlign w:val="center"/>
          </w:tcPr>
          <w:p w14:paraId="541ECC22">
            <w:pPr>
              <w:pStyle w:val="256"/>
              <w:spacing w:line="300" w:lineRule="exact"/>
              <w:rPr>
                <w:rFonts w:eastAsia="方正仿宋_GBK"/>
                <w:color w:val="auto"/>
                <w:sz w:val="18"/>
                <w:szCs w:val="18"/>
                <w:highlight w:val="none"/>
              </w:rPr>
            </w:pPr>
            <w:r>
              <w:rPr>
                <w:rFonts w:eastAsia="方正仿宋_GBK"/>
                <w:color w:val="auto"/>
                <w:sz w:val="18"/>
                <w:szCs w:val="18"/>
                <w:highlight w:val="none"/>
              </w:rPr>
              <w:t>有悬挂安全带的悬索或其它设施，有操作平台，有上下的梯子或其它形式的通道。</w:t>
            </w:r>
          </w:p>
        </w:tc>
      </w:tr>
      <w:tr w14:paraId="684942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177D3D68">
            <w:pPr>
              <w:pStyle w:val="256"/>
              <w:spacing w:line="300" w:lineRule="exact"/>
              <w:jc w:val="center"/>
              <w:rPr>
                <w:rFonts w:eastAsia="方正仿宋_GBK"/>
                <w:color w:val="auto"/>
                <w:sz w:val="18"/>
                <w:szCs w:val="18"/>
                <w:highlight w:val="none"/>
              </w:rPr>
            </w:pPr>
          </w:p>
        </w:tc>
        <w:tc>
          <w:tcPr>
            <w:tcW w:w="525" w:type="dxa"/>
            <w:vMerge w:val="continue"/>
            <w:vAlign w:val="center"/>
          </w:tcPr>
          <w:p w14:paraId="3AA97C99">
            <w:pPr>
              <w:pStyle w:val="256"/>
              <w:spacing w:line="300" w:lineRule="exact"/>
              <w:jc w:val="center"/>
              <w:rPr>
                <w:rFonts w:eastAsia="方正仿宋_GBK"/>
                <w:color w:val="auto"/>
                <w:sz w:val="18"/>
                <w:szCs w:val="18"/>
                <w:highlight w:val="none"/>
              </w:rPr>
            </w:pPr>
          </w:p>
        </w:tc>
        <w:tc>
          <w:tcPr>
            <w:tcW w:w="1545" w:type="dxa"/>
            <w:vAlign w:val="center"/>
          </w:tcPr>
          <w:p w14:paraId="131DCDCE">
            <w:pPr>
              <w:pStyle w:val="256"/>
              <w:spacing w:line="300" w:lineRule="exact"/>
              <w:rPr>
                <w:rFonts w:eastAsia="方正仿宋_GBK"/>
                <w:color w:val="auto"/>
                <w:sz w:val="18"/>
                <w:szCs w:val="18"/>
                <w:highlight w:val="none"/>
              </w:rPr>
            </w:pPr>
            <w:r>
              <w:rPr>
                <w:rFonts w:eastAsia="方正仿宋_GBK"/>
                <w:color w:val="auto"/>
                <w:sz w:val="18"/>
                <w:szCs w:val="18"/>
                <w:highlight w:val="none"/>
              </w:rPr>
              <w:t>基坑、物料平台</w:t>
            </w:r>
          </w:p>
        </w:tc>
        <w:tc>
          <w:tcPr>
            <w:tcW w:w="6645" w:type="dxa"/>
            <w:vAlign w:val="center"/>
          </w:tcPr>
          <w:p w14:paraId="796D119A">
            <w:pPr>
              <w:pStyle w:val="256"/>
              <w:spacing w:line="300" w:lineRule="exact"/>
              <w:rPr>
                <w:rFonts w:eastAsia="方正仿宋_GBK"/>
                <w:color w:val="auto"/>
                <w:sz w:val="18"/>
                <w:szCs w:val="18"/>
                <w:highlight w:val="none"/>
              </w:rPr>
            </w:pPr>
            <w:r>
              <w:rPr>
                <w:rFonts w:eastAsia="方正仿宋_GBK"/>
                <w:color w:val="auto"/>
                <w:sz w:val="18"/>
                <w:szCs w:val="18"/>
                <w:highlight w:val="none"/>
              </w:rPr>
              <w:t>设1.2m高标准化的防护栏，用密目式安全立网封闭，悬挂标识。</w:t>
            </w:r>
          </w:p>
        </w:tc>
      </w:tr>
      <w:tr w14:paraId="2424C2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5D973DA7">
            <w:pPr>
              <w:pStyle w:val="256"/>
              <w:spacing w:line="300" w:lineRule="exact"/>
              <w:jc w:val="center"/>
              <w:rPr>
                <w:rFonts w:eastAsia="方正仿宋_GBK"/>
                <w:color w:val="auto"/>
                <w:sz w:val="18"/>
                <w:szCs w:val="18"/>
                <w:highlight w:val="none"/>
              </w:rPr>
            </w:pPr>
          </w:p>
        </w:tc>
        <w:tc>
          <w:tcPr>
            <w:tcW w:w="2070" w:type="dxa"/>
            <w:gridSpan w:val="2"/>
            <w:vAlign w:val="center"/>
          </w:tcPr>
          <w:p w14:paraId="0E2504F1">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安全防护用品</w:t>
            </w:r>
          </w:p>
        </w:tc>
        <w:tc>
          <w:tcPr>
            <w:tcW w:w="6645" w:type="dxa"/>
            <w:vAlign w:val="center"/>
          </w:tcPr>
          <w:p w14:paraId="3D3B39CA">
            <w:pPr>
              <w:pStyle w:val="256"/>
              <w:spacing w:line="300" w:lineRule="exact"/>
              <w:rPr>
                <w:rFonts w:eastAsia="方正仿宋_GBK"/>
                <w:color w:val="auto"/>
                <w:sz w:val="18"/>
                <w:szCs w:val="18"/>
                <w:highlight w:val="none"/>
              </w:rPr>
            </w:pPr>
            <w:r>
              <w:rPr>
                <w:rFonts w:eastAsia="方正仿宋_GBK"/>
                <w:color w:val="auto"/>
                <w:sz w:val="18"/>
                <w:szCs w:val="18"/>
                <w:highlight w:val="none"/>
              </w:rPr>
              <w:t>安全帽、安全带、特种作业人员（电工、焊工、架子工等）防护服装、用品等。</w:t>
            </w:r>
          </w:p>
        </w:tc>
      </w:tr>
      <w:tr w14:paraId="212CDE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738" w:type="dxa"/>
            <w:vMerge w:val="restart"/>
            <w:vAlign w:val="center"/>
          </w:tcPr>
          <w:p w14:paraId="314ADEC6">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其它</w:t>
            </w:r>
          </w:p>
        </w:tc>
        <w:tc>
          <w:tcPr>
            <w:tcW w:w="525" w:type="dxa"/>
            <w:vMerge w:val="restart"/>
            <w:vAlign w:val="center"/>
          </w:tcPr>
          <w:p w14:paraId="20510E53">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机械设备防护</w:t>
            </w:r>
          </w:p>
        </w:tc>
        <w:tc>
          <w:tcPr>
            <w:tcW w:w="1545" w:type="dxa"/>
            <w:vAlign w:val="center"/>
          </w:tcPr>
          <w:p w14:paraId="609F4910">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中小型机械</w:t>
            </w:r>
          </w:p>
        </w:tc>
        <w:tc>
          <w:tcPr>
            <w:tcW w:w="6645" w:type="dxa"/>
            <w:vAlign w:val="center"/>
          </w:tcPr>
          <w:p w14:paraId="59C2CC85">
            <w:pPr>
              <w:pStyle w:val="256"/>
              <w:spacing w:line="300" w:lineRule="exact"/>
              <w:rPr>
                <w:rFonts w:eastAsia="方正仿宋_GBK"/>
                <w:color w:val="auto"/>
                <w:sz w:val="18"/>
                <w:szCs w:val="18"/>
                <w:highlight w:val="none"/>
              </w:rPr>
            </w:pPr>
            <w:r>
              <w:rPr>
                <w:rFonts w:eastAsia="方正仿宋_GBK"/>
                <w:color w:val="auto"/>
                <w:sz w:val="18"/>
                <w:szCs w:val="18"/>
                <w:highlight w:val="none"/>
              </w:rPr>
              <w:t>设防护棚（同通道口防护并有防雨措施）。</w:t>
            </w:r>
          </w:p>
        </w:tc>
      </w:tr>
      <w:tr w14:paraId="2D87C5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516AAD84">
            <w:pPr>
              <w:pStyle w:val="256"/>
              <w:spacing w:line="300" w:lineRule="exact"/>
              <w:jc w:val="center"/>
              <w:rPr>
                <w:rFonts w:eastAsia="方正仿宋_GBK"/>
                <w:color w:val="auto"/>
                <w:sz w:val="18"/>
                <w:szCs w:val="18"/>
                <w:highlight w:val="none"/>
              </w:rPr>
            </w:pPr>
          </w:p>
        </w:tc>
        <w:tc>
          <w:tcPr>
            <w:tcW w:w="525" w:type="dxa"/>
            <w:vMerge w:val="continue"/>
            <w:vAlign w:val="center"/>
          </w:tcPr>
          <w:p w14:paraId="048F7028">
            <w:pPr>
              <w:pStyle w:val="256"/>
              <w:spacing w:line="300" w:lineRule="exact"/>
              <w:jc w:val="center"/>
              <w:rPr>
                <w:rFonts w:eastAsia="方正仿宋_GBK"/>
                <w:color w:val="auto"/>
                <w:sz w:val="18"/>
                <w:szCs w:val="18"/>
                <w:highlight w:val="none"/>
              </w:rPr>
            </w:pPr>
          </w:p>
        </w:tc>
        <w:tc>
          <w:tcPr>
            <w:tcW w:w="1545" w:type="dxa"/>
            <w:vAlign w:val="center"/>
          </w:tcPr>
          <w:p w14:paraId="0DCE61C9">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垂直运输设备</w:t>
            </w:r>
          </w:p>
        </w:tc>
        <w:tc>
          <w:tcPr>
            <w:tcW w:w="6645" w:type="dxa"/>
            <w:vAlign w:val="center"/>
          </w:tcPr>
          <w:p w14:paraId="418A18C9">
            <w:pPr>
              <w:pStyle w:val="256"/>
              <w:spacing w:line="300" w:lineRule="exact"/>
              <w:rPr>
                <w:rFonts w:eastAsia="方正仿宋_GBK"/>
                <w:color w:val="auto"/>
                <w:sz w:val="18"/>
                <w:szCs w:val="18"/>
                <w:highlight w:val="none"/>
              </w:rPr>
            </w:pPr>
            <w:r>
              <w:rPr>
                <w:rFonts w:eastAsia="方正仿宋_GBK"/>
                <w:color w:val="auto"/>
                <w:sz w:val="18"/>
                <w:szCs w:val="18"/>
                <w:highlight w:val="none"/>
              </w:rPr>
              <w:t>1. 垂直运输设备检测、检验、日常维护、保养等。</w:t>
            </w:r>
          </w:p>
          <w:p w14:paraId="69E5BCC5">
            <w:pPr>
              <w:pStyle w:val="256"/>
              <w:spacing w:line="300" w:lineRule="exact"/>
              <w:rPr>
                <w:rFonts w:eastAsia="方正仿宋_GBK"/>
                <w:color w:val="auto"/>
                <w:sz w:val="18"/>
                <w:szCs w:val="18"/>
                <w:highlight w:val="none"/>
              </w:rPr>
            </w:pPr>
            <w:r>
              <w:rPr>
                <w:rFonts w:eastAsia="方正仿宋_GBK"/>
                <w:color w:val="auto"/>
                <w:sz w:val="18"/>
                <w:szCs w:val="18"/>
                <w:highlight w:val="none"/>
              </w:rPr>
              <w:t>2. 物料提升机、施工电梯等物料平台搭设、外侧用密目式安全立网全封闭，有安全通道、安全防护门、防护棚等。</w:t>
            </w:r>
          </w:p>
        </w:tc>
      </w:tr>
      <w:tr w14:paraId="1DEDCE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vAlign w:val="center"/>
          </w:tcPr>
          <w:p w14:paraId="4C9E9A39">
            <w:pPr>
              <w:pStyle w:val="256"/>
              <w:spacing w:line="300" w:lineRule="exact"/>
              <w:jc w:val="center"/>
              <w:rPr>
                <w:rFonts w:eastAsia="方正仿宋_GBK"/>
                <w:color w:val="auto"/>
                <w:sz w:val="18"/>
                <w:szCs w:val="18"/>
                <w:highlight w:val="none"/>
              </w:rPr>
            </w:pPr>
          </w:p>
        </w:tc>
        <w:tc>
          <w:tcPr>
            <w:tcW w:w="2070" w:type="dxa"/>
            <w:gridSpan w:val="2"/>
            <w:vAlign w:val="center"/>
          </w:tcPr>
          <w:p w14:paraId="7B8F6022">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专家论证审查</w:t>
            </w:r>
          </w:p>
        </w:tc>
        <w:tc>
          <w:tcPr>
            <w:tcW w:w="6645" w:type="dxa"/>
            <w:vAlign w:val="center"/>
          </w:tcPr>
          <w:p w14:paraId="4667F9FA">
            <w:pPr>
              <w:pStyle w:val="256"/>
              <w:spacing w:line="300" w:lineRule="exact"/>
              <w:rPr>
                <w:rFonts w:eastAsia="方正仿宋_GBK"/>
                <w:color w:val="auto"/>
                <w:sz w:val="18"/>
                <w:szCs w:val="18"/>
                <w:highlight w:val="none"/>
              </w:rPr>
            </w:pPr>
            <w:r>
              <w:rPr>
                <w:rFonts w:eastAsia="方正仿宋_GBK"/>
                <w:color w:val="auto"/>
                <w:sz w:val="18"/>
                <w:szCs w:val="18"/>
                <w:highlight w:val="none"/>
              </w:rPr>
              <w:t>超过一定规模的危险性较大分部分项工程专家论证审查。</w:t>
            </w:r>
          </w:p>
        </w:tc>
      </w:tr>
      <w:tr w14:paraId="5181FE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vAlign w:val="center"/>
          </w:tcPr>
          <w:p w14:paraId="47292608">
            <w:pPr>
              <w:pStyle w:val="256"/>
              <w:spacing w:line="300" w:lineRule="exact"/>
              <w:jc w:val="center"/>
              <w:rPr>
                <w:rFonts w:eastAsia="方正仿宋_GBK"/>
                <w:color w:val="auto"/>
                <w:sz w:val="18"/>
                <w:szCs w:val="18"/>
                <w:highlight w:val="none"/>
              </w:rPr>
            </w:pPr>
          </w:p>
        </w:tc>
        <w:tc>
          <w:tcPr>
            <w:tcW w:w="2070" w:type="dxa"/>
            <w:gridSpan w:val="2"/>
            <w:vAlign w:val="center"/>
          </w:tcPr>
          <w:p w14:paraId="10A4CE03">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应急救援预案</w:t>
            </w:r>
          </w:p>
        </w:tc>
        <w:tc>
          <w:tcPr>
            <w:tcW w:w="6645" w:type="dxa"/>
            <w:vAlign w:val="center"/>
          </w:tcPr>
          <w:p w14:paraId="1D7FF90C">
            <w:pPr>
              <w:pStyle w:val="256"/>
              <w:spacing w:line="300" w:lineRule="exact"/>
              <w:rPr>
                <w:rFonts w:eastAsia="方正仿宋_GBK"/>
                <w:color w:val="auto"/>
                <w:sz w:val="18"/>
                <w:szCs w:val="18"/>
                <w:highlight w:val="none"/>
              </w:rPr>
            </w:pPr>
            <w:r>
              <w:rPr>
                <w:rFonts w:eastAsia="方正仿宋_GBK"/>
                <w:color w:val="auto"/>
                <w:sz w:val="18"/>
                <w:szCs w:val="18"/>
                <w:highlight w:val="none"/>
              </w:rPr>
              <w:t>救援器材准备及演练等。</w:t>
            </w:r>
          </w:p>
        </w:tc>
      </w:tr>
      <w:tr w14:paraId="5B1B11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030A76DD">
            <w:pPr>
              <w:pStyle w:val="256"/>
              <w:spacing w:line="300" w:lineRule="exact"/>
              <w:jc w:val="center"/>
              <w:rPr>
                <w:rFonts w:eastAsia="方正仿宋_GBK"/>
                <w:color w:val="auto"/>
                <w:sz w:val="18"/>
                <w:szCs w:val="18"/>
                <w:highlight w:val="none"/>
              </w:rPr>
            </w:pPr>
          </w:p>
        </w:tc>
        <w:tc>
          <w:tcPr>
            <w:tcW w:w="2070" w:type="dxa"/>
            <w:gridSpan w:val="2"/>
            <w:vAlign w:val="center"/>
          </w:tcPr>
          <w:p w14:paraId="437EB8E7">
            <w:pPr>
              <w:pStyle w:val="256"/>
              <w:spacing w:line="300" w:lineRule="exact"/>
              <w:jc w:val="center"/>
              <w:rPr>
                <w:rFonts w:eastAsia="方正仿宋_GBK"/>
                <w:color w:val="auto"/>
                <w:sz w:val="18"/>
                <w:szCs w:val="18"/>
                <w:highlight w:val="none"/>
              </w:rPr>
            </w:pPr>
            <w:r>
              <w:rPr>
                <w:rFonts w:eastAsia="方正仿宋_GBK"/>
                <w:color w:val="auto"/>
                <w:sz w:val="18"/>
                <w:szCs w:val="18"/>
                <w:highlight w:val="none"/>
              </w:rPr>
              <w:t>非正常情况施工</w:t>
            </w:r>
          </w:p>
        </w:tc>
        <w:tc>
          <w:tcPr>
            <w:tcW w:w="6645" w:type="dxa"/>
            <w:vAlign w:val="center"/>
          </w:tcPr>
          <w:p w14:paraId="6F884DBC">
            <w:pPr>
              <w:pStyle w:val="256"/>
              <w:spacing w:line="300" w:lineRule="exact"/>
              <w:rPr>
                <w:rFonts w:eastAsia="方正仿宋_GBK"/>
                <w:color w:val="auto"/>
                <w:sz w:val="18"/>
                <w:szCs w:val="18"/>
                <w:highlight w:val="none"/>
              </w:rPr>
            </w:pPr>
            <w:r>
              <w:rPr>
                <w:rFonts w:eastAsia="方正仿宋_GBK"/>
                <w:color w:val="auto"/>
                <w:sz w:val="18"/>
                <w:szCs w:val="18"/>
                <w:highlight w:val="none"/>
              </w:rPr>
              <w:t>其它特殊情况下的防护费用，如：城市主干道、人流密集、河边等处施工及文物、古建筑、古树保护等。</w:t>
            </w:r>
          </w:p>
        </w:tc>
      </w:tr>
    </w:tbl>
    <w:p w14:paraId="3880B398">
      <w:pPr>
        <w:pStyle w:val="27"/>
        <w:tabs>
          <w:tab w:val="left" w:pos="2127"/>
        </w:tabs>
        <w:spacing w:line="340" w:lineRule="exact"/>
        <w:rPr>
          <w:rFonts w:ascii="Times New Roman" w:hAnsi="Times New Roman" w:cs="Times New Roman"/>
          <w:color w:val="auto"/>
          <w:sz w:val="18"/>
          <w:szCs w:val="18"/>
          <w:highlight w:val="none"/>
        </w:rPr>
      </w:pPr>
      <w:r>
        <w:rPr>
          <w:rFonts w:ascii="Times New Roman" w:hAnsi="Times New Roman" w:eastAsia="方正仿宋_GBK" w:cs="Times New Roman"/>
          <w:color w:val="auto"/>
          <w:sz w:val="18"/>
          <w:szCs w:val="18"/>
          <w:highlight w:val="none"/>
        </w:rPr>
        <w:t>注：本表所列建设工程安全文明施工费，是依据现行法律法规及标准、规范确定的。如法律法规和标准、规范修订，本表所列项目应按照修订后的法律法规和标准规范进行调整。</w:t>
      </w:r>
    </w:p>
    <w:p w14:paraId="3C76A117">
      <w:pPr>
        <w:snapToGrid w:val="0"/>
        <w:spacing w:before="50" w:after="120" w:afterLines="50"/>
        <w:jc w:val="left"/>
        <w:rPr>
          <w:color w:val="auto"/>
          <w:sz w:val="18"/>
          <w:szCs w:val="18"/>
          <w:highlight w:val="none"/>
        </w:rPr>
      </w:pPr>
      <w:r>
        <w:rPr>
          <w:color w:val="auto"/>
          <w:sz w:val="18"/>
          <w:szCs w:val="18"/>
          <w:highlight w:val="none"/>
        </w:rPr>
        <w:br w:type="page"/>
      </w:r>
    </w:p>
    <w:p w14:paraId="2E0EC526">
      <w:pPr>
        <w:snapToGrid w:val="0"/>
        <w:spacing w:before="50" w:after="120" w:afterLines="50"/>
        <w:jc w:val="left"/>
        <w:rPr>
          <w:color w:val="auto"/>
          <w:sz w:val="18"/>
          <w:szCs w:val="18"/>
          <w:highlight w:val="none"/>
        </w:rPr>
      </w:pPr>
      <w:r>
        <w:rPr>
          <w:rFonts w:hint="eastAsia"/>
          <w:color w:val="auto"/>
          <w:sz w:val="18"/>
          <w:szCs w:val="18"/>
          <w:highlight w:val="none"/>
        </w:rPr>
        <w:t>9</w:t>
      </w:r>
      <w:r>
        <w:rPr>
          <w:color w:val="auto"/>
          <w:sz w:val="18"/>
          <w:szCs w:val="18"/>
          <w:highlight w:val="none"/>
        </w:rPr>
        <w:t>.本工程拟投入列入</w:t>
      </w:r>
      <w:r>
        <w:rPr>
          <w:rFonts w:hint="eastAsia"/>
          <w:color w:val="auto"/>
          <w:sz w:val="18"/>
          <w:szCs w:val="18"/>
          <w:highlight w:val="none"/>
        </w:rPr>
        <w:t>节能产品政府采购品目清单及环境标志产品政府采购品目清单的货物清单</w:t>
      </w:r>
      <w:r>
        <w:rPr>
          <w:color w:val="auto"/>
          <w:sz w:val="18"/>
          <w:szCs w:val="18"/>
          <w:highlight w:val="none"/>
        </w:rPr>
        <w:t>。</w:t>
      </w:r>
      <w:r>
        <w:rPr>
          <w:rFonts w:hint="eastAsia"/>
          <w:b/>
          <w:color w:val="auto"/>
          <w:sz w:val="18"/>
          <w:szCs w:val="18"/>
          <w:highlight w:val="none"/>
        </w:rPr>
        <w:t>（如有，须提供）</w:t>
      </w:r>
    </w:p>
    <w:p w14:paraId="07AE1BD3">
      <w:pPr>
        <w:snapToGrid w:val="0"/>
        <w:spacing w:before="50" w:after="120" w:afterLines="50"/>
        <w:jc w:val="left"/>
        <w:rPr>
          <w:color w:val="auto"/>
          <w:sz w:val="18"/>
          <w:szCs w:val="18"/>
          <w:highlight w:val="none"/>
        </w:rPr>
      </w:pPr>
      <w:bookmarkStart w:id="1119" w:name="_Hlk89190963"/>
      <w:r>
        <w:rPr>
          <w:rFonts w:hint="eastAsia"/>
          <w:color w:val="auto"/>
          <w:sz w:val="18"/>
          <w:szCs w:val="18"/>
          <w:highlight w:val="none"/>
        </w:rPr>
        <w:t>9</w:t>
      </w:r>
      <w:r>
        <w:rPr>
          <w:color w:val="auto"/>
          <w:sz w:val="18"/>
          <w:szCs w:val="18"/>
          <w:highlight w:val="none"/>
        </w:rPr>
        <w:t>.1</w:t>
      </w:r>
      <w:r>
        <w:rPr>
          <w:rFonts w:hint="eastAsia"/>
          <w:color w:val="auto"/>
          <w:sz w:val="18"/>
          <w:szCs w:val="18"/>
          <w:highlight w:val="none"/>
        </w:rPr>
        <w:t>建筑材料和设备节能环保要求承诺书</w:t>
      </w:r>
    </w:p>
    <w:p w14:paraId="3D6E1909">
      <w:pPr>
        <w:spacing w:line="520" w:lineRule="exact"/>
        <w:ind w:left="-10" w:firstLine="390" w:firstLineChars="217"/>
        <w:jc w:val="left"/>
        <w:rPr>
          <w:color w:val="auto"/>
          <w:sz w:val="18"/>
          <w:szCs w:val="18"/>
          <w:highlight w:val="none"/>
        </w:rPr>
      </w:pPr>
      <w:r>
        <w:rPr>
          <w:rFonts w:hint="eastAsia"/>
          <w:color w:val="auto"/>
          <w:sz w:val="18"/>
          <w:szCs w:val="18"/>
          <w:highlight w:val="none"/>
        </w:rPr>
        <w:t>我方承诺，一旦中标，我方保证严格执行</w:t>
      </w:r>
      <w:r>
        <w:rPr>
          <w:rFonts w:hint="eastAsia" w:cs="宋体"/>
          <w:color w:val="auto"/>
          <w:sz w:val="18"/>
          <w:szCs w:val="18"/>
          <w:highlight w:val="none"/>
        </w:rPr>
        <w:t>《</w:t>
      </w:r>
      <w:r>
        <w:rPr>
          <w:rFonts w:hint="eastAsia" w:ascii="宋体" w:hAnsi="宋体"/>
          <w:color w:val="auto"/>
          <w:sz w:val="18"/>
          <w:szCs w:val="18"/>
          <w:highlight w:val="none"/>
        </w:rPr>
        <w:t>财政部 国家发展改革委关于印发《节能产品政府采购实施意见》的通知</w:t>
      </w:r>
      <w:r>
        <w:rPr>
          <w:rFonts w:hint="eastAsia" w:cs="宋体"/>
          <w:color w:val="auto"/>
          <w:sz w:val="18"/>
          <w:szCs w:val="18"/>
          <w:highlight w:val="none"/>
        </w:rPr>
        <w:t>》</w:t>
      </w:r>
      <w:r>
        <w:rPr>
          <w:rFonts w:hint="eastAsia" w:ascii="宋体" w:hAnsi="宋体"/>
          <w:color w:val="auto"/>
          <w:sz w:val="18"/>
          <w:szCs w:val="18"/>
          <w:highlight w:val="none"/>
        </w:rPr>
        <w:t>（财库〔2004〕185号）、</w:t>
      </w:r>
      <w:r>
        <w:rPr>
          <w:rFonts w:hint="eastAsia" w:cs="宋体"/>
          <w:color w:val="auto"/>
          <w:sz w:val="18"/>
          <w:szCs w:val="18"/>
          <w:highlight w:val="none"/>
        </w:rPr>
        <w:t>《财政部 发展改革委 生态环境部 市场监管总局关于调整优化节能产品、环境标志产品政府采购执行机制的通知》（财库〔2019〕9号）和《关于印发节能产品政府采购品目清单的通知》（财库〔2019〕19号）的规定，所有工程中涉及的建筑材料和设备如属于财库〔2019〕19号文中《节能产品政府采购品目清单》内标注“★”的产品，都使用政府强制采购的节能产品。</w:t>
      </w:r>
      <w:r>
        <w:rPr>
          <w:color w:val="auto"/>
          <w:sz w:val="18"/>
          <w:szCs w:val="18"/>
          <w:highlight w:val="none"/>
        </w:rPr>
        <w:t>如我方在该项目的承包中出现未按规定执行的情形，我方愿意按照相关规定接受建设单位及有关主管部门的处罚。</w:t>
      </w:r>
    </w:p>
    <w:p w14:paraId="43C34EA1">
      <w:pPr>
        <w:spacing w:line="520" w:lineRule="exact"/>
        <w:ind w:left="-10" w:firstLine="390" w:firstLineChars="217"/>
        <w:jc w:val="left"/>
        <w:rPr>
          <w:color w:val="auto"/>
          <w:sz w:val="18"/>
          <w:szCs w:val="18"/>
          <w:highlight w:val="none"/>
        </w:rPr>
      </w:pPr>
    </w:p>
    <w:p w14:paraId="36AC4098">
      <w:pPr>
        <w:tabs>
          <w:tab w:val="left" w:pos="4860"/>
        </w:tabs>
        <w:spacing w:line="360" w:lineRule="auto"/>
        <w:ind w:right="1560" w:firstLine="384" w:firstLineChars="200"/>
        <w:contextualSpacing/>
        <w:jc w:val="right"/>
        <w:rPr>
          <w:rFonts w:ascii="宋体" w:hAnsi="宋体"/>
          <w:color w:val="auto"/>
          <w:spacing w:val="6"/>
          <w:sz w:val="18"/>
          <w:szCs w:val="18"/>
          <w:highlight w:val="none"/>
        </w:rPr>
      </w:pPr>
      <w:r>
        <w:rPr>
          <w:rFonts w:hint="eastAsia" w:ascii="宋体" w:hAnsi="宋体"/>
          <w:color w:val="auto"/>
          <w:spacing w:val="6"/>
          <w:sz w:val="18"/>
          <w:szCs w:val="18"/>
          <w:highlight w:val="none"/>
        </w:rPr>
        <w:t xml:space="preserve">                        单位名称（盖法人单位电子印章）：</w:t>
      </w:r>
    </w:p>
    <w:p w14:paraId="0936D359">
      <w:pPr>
        <w:wordWrap w:val="0"/>
        <w:ind w:firstLine="384" w:firstLineChars="200"/>
        <w:jc w:val="right"/>
        <w:rPr>
          <w:rFonts w:ascii="宋体" w:hAnsi="宋体"/>
          <w:color w:val="auto"/>
          <w:spacing w:val="6"/>
          <w:sz w:val="18"/>
          <w:szCs w:val="18"/>
          <w:highlight w:val="none"/>
        </w:rPr>
      </w:pPr>
      <w:r>
        <w:rPr>
          <w:rFonts w:hint="eastAsia" w:ascii="宋体" w:hAnsi="宋体"/>
          <w:color w:val="auto"/>
          <w:spacing w:val="6"/>
          <w:sz w:val="18"/>
          <w:szCs w:val="18"/>
          <w:highlight w:val="none"/>
        </w:rPr>
        <w:t xml:space="preserve">                                     日  期： </w:t>
      </w:r>
      <w:r>
        <w:rPr>
          <w:rFonts w:ascii="宋体" w:hAnsi="宋体"/>
          <w:color w:val="auto"/>
          <w:spacing w:val="6"/>
          <w:sz w:val="18"/>
          <w:szCs w:val="18"/>
          <w:highlight w:val="none"/>
        </w:rPr>
        <w:t xml:space="preserve">            </w:t>
      </w:r>
    </w:p>
    <w:p w14:paraId="1756C5CA">
      <w:pPr>
        <w:snapToGrid w:val="0"/>
        <w:spacing w:before="50" w:after="120" w:afterLines="50"/>
        <w:jc w:val="left"/>
        <w:rPr>
          <w:color w:val="auto"/>
          <w:sz w:val="18"/>
          <w:szCs w:val="18"/>
          <w:highlight w:val="none"/>
        </w:rPr>
      </w:pPr>
    </w:p>
    <w:p w14:paraId="76EEA2A8">
      <w:pPr>
        <w:snapToGrid w:val="0"/>
        <w:spacing w:before="50" w:after="120" w:afterLines="50"/>
        <w:jc w:val="left"/>
        <w:rPr>
          <w:color w:val="auto"/>
          <w:sz w:val="18"/>
          <w:szCs w:val="18"/>
          <w:highlight w:val="none"/>
        </w:rPr>
      </w:pPr>
      <w:r>
        <w:rPr>
          <w:rFonts w:hint="eastAsia"/>
          <w:color w:val="auto"/>
          <w:sz w:val="18"/>
          <w:szCs w:val="18"/>
          <w:highlight w:val="none"/>
        </w:rPr>
        <w:t>9</w:t>
      </w:r>
      <w:r>
        <w:rPr>
          <w:color w:val="auto"/>
          <w:sz w:val="18"/>
          <w:szCs w:val="18"/>
          <w:highlight w:val="none"/>
        </w:rPr>
        <w:t>.2</w:t>
      </w:r>
      <w:r>
        <w:rPr>
          <w:rFonts w:hint="eastAsia"/>
          <w:color w:val="auto"/>
          <w:sz w:val="18"/>
          <w:szCs w:val="18"/>
          <w:highlight w:val="none"/>
        </w:rPr>
        <w:t>响应产品中如有列入节能产品政府采购品目清单及环境标志产品政府采购品目清单的货物，应按下表提供清单。</w:t>
      </w:r>
    </w:p>
    <w:p w14:paraId="3BE303CA">
      <w:pPr>
        <w:spacing w:line="360" w:lineRule="auto"/>
        <w:jc w:val="center"/>
        <w:rPr>
          <w:color w:val="auto"/>
          <w:sz w:val="18"/>
          <w:szCs w:val="18"/>
          <w:highlight w:val="none"/>
        </w:rPr>
      </w:pPr>
      <w:r>
        <w:rPr>
          <w:rFonts w:hint="eastAsia"/>
          <w:b/>
          <w:color w:val="auto"/>
          <w:sz w:val="18"/>
          <w:szCs w:val="18"/>
          <w:highlight w:val="none"/>
        </w:rPr>
        <w:t>节能产品及环境标志产品清单</w:t>
      </w:r>
    </w:p>
    <w:tbl>
      <w:tblPr>
        <w:tblStyle w:val="54"/>
        <w:tblW w:w="9328"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767"/>
        <w:gridCol w:w="1134"/>
        <w:gridCol w:w="897"/>
        <w:gridCol w:w="1088"/>
        <w:gridCol w:w="1409"/>
        <w:gridCol w:w="1851"/>
        <w:gridCol w:w="1412"/>
        <w:gridCol w:w="770"/>
      </w:tblGrid>
      <w:tr w14:paraId="04F853A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767" w:type="dxa"/>
            <w:tcBorders>
              <w:top w:val="single" w:color="auto" w:sz="12" w:space="0"/>
              <w:left w:val="single" w:color="auto" w:sz="12" w:space="0"/>
              <w:bottom w:val="single" w:color="auto" w:sz="8" w:space="0"/>
              <w:right w:val="single" w:color="auto" w:sz="8" w:space="0"/>
            </w:tcBorders>
            <w:tcMar>
              <w:top w:w="0" w:type="dxa"/>
              <w:left w:w="57" w:type="dxa"/>
              <w:bottom w:w="0" w:type="dxa"/>
              <w:right w:w="57" w:type="dxa"/>
            </w:tcMar>
            <w:vAlign w:val="center"/>
          </w:tcPr>
          <w:p w14:paraId="0F15207F">
            <w:pPr>
              <w:widowControl/>
              <w:spacing w:before="100" w:beforeAutospacing="1" w:after="100" w:afterAutospacing="1" w:line="376" w:lineRule="atLeast"/>
              <w:jc w:val="center"/>
              <w:rPr>
                <w:color w:val="auto"/>
                <w:kern w:val="0"/>
                <w:sz w:val="18"/>
                <w:szCs w:val="18"/>
                <w:highlight w:val="none"/>
              </w:rPr>
            </w:pPr>
            <w:r>
              <w:rPr>
                <w:color w:val="auto"/>
                <w:kern w:val="0"/>
                <w:sz w:val="18"/>
                <w:szCs w:val="18"/>
                <w:highlight w:val="none"/>
              </w:rPr>
              <w:t>序号</w:t>
            </w:r>
          </w:p>
        </w:tc>
        <w:tc>
          <w:tcPr>
            <w:tcW w:w="1134" w:type="dxa"/>
            <w:tcBorders>
              <w:top w:val="single" w:color="auto" w:sz="12" w:space="0"/>
              <w:left w:val="nil"/>
              <w:bottom w:val="single" w:color="auto" w:sz="8" w:space="0"/>
              <w:right w:val="single" w:color="auto" w:sz="4" w:space="0"/>
            </w:tcBorders>
            <w:tcMar>
              <w:top w:w="0" w:type="dxa"/>
              <w:left w:w="57" w:type="dxa"/>
              <w:bottom w:w="0" w:type="dxa"/>
              <w:right w:w="57" w:type="dxa"/>
            </w:tcMar>
            <w:vAlign w:val="center"/>
          </w:tcPr>
          <w:p w14:paraId="388C5FE2">
            <w:pPr>
              <w:widowControl/>
              <w:spacing w:before="100" w:beforeAutospacing="1" w:after="100" w:afterAutospacing="1" w:line="376" w:lineRule="atLeast"/>
              <w:jc w:val="center"/>
              <w:rPr>
                <w:color w:val="auto"/>
                <w:kern w:val="0"/>
                <w:sz w:val="18"/>
                <w:szCs w:val="18"/>
                <w:highlight w:val="none"/>
              </w:rPr>
            </w:pPr>
            <w:r>
              <w:rPr>
                <w:rFonts w:hint="eastAsia"/>
                <w:color w:val="auto"/>
                <w:kern w:val="0"/>
                <w:sz w:val="18"/>
                <w:szCs w:val="18"/>
                <w:highlight w:val="none"/>
              </w:rPr>
              <w:t>类别</w:t>
            </w:r>
          </w:p>
        </w:tc>
        <w:tc>
          <w:tcPr>
            <w:tcW w:w="897" w:type="dxa"/>
            <w:tcBorders>
              <w:top w:val="single" w:color="auto" w:sz="12" w:space="0"/>
              <w:left w:val="single" w:color="auto" w:sz="4" w:space="0"/>
              <w:bottom w:val="single" w:color="auto" w:sz="8" w:space="0"/>
              <w:right w:val="single" w:color="auto" w:sz="8" w:space="0"/>
            </w:tcBorders>
            <w:vAlign w:val="center"/>
          </w:tcPr>
          <w:p w14:paraId="7C474055">
            <w:pPr>
              <w:widowControl/>
              <w:spacing w:before="100" w:beforeAutospacing="1" w:after="100" w:afterAutospacing="1" w:line="376" w:lineRule="atLeast"/>
              <w:jc w:val="center"/>
              <w:rPr>
                <w:color w:val="auto"/>
                <w:kern w:val="0"/>
                <w:sz w:val="18"/>
                <w:szCs w:val="18"/>
                <w:highlight w:val="none"/>
              </w:rPr>
            </w:pPr>
            <w:r>
              <w:rPr>
                <w:rFonts w:hint="eastAsia"/>
                <w:color w:val="auto"/>
                <w:kern w:val="0"/>
                <w:sz w:val="18"/>
                <w:szCs w:val="18"/>
                <w:highlight w:val="none"/>
              </w:rPr>
              <w:t>品目</w:t>
            </w:r>
          </w:p>
        </w:tc>
        <w:tc>
          <w:tcPr>
            <w:tcW w:w="1088" w:type="dxa"/>
            <w:tcBorders>
              <w:top w:val="single" w:color="auto" w:sz="12" w:space="0"/>
              <w:left w:val="nil"/>
              <w:bottom w:val="single" w:color="auto" w:sz="8" w:space="0"/>
              <w:right w:val="single" w:color="auto" w:sz="4" w:space="0"/>
            </w:tcBorders>
            <w:tcMar>
              <w:top w:w="0" w:type="dxa"/>
              <w:left w:w="57" w:type="dxa"/>
              <w:bottom w:w="0" w:type="dxa"/>
              <w:right w:w="57" w:type="dxa"/>
            </w:tcMar>
            <w:vAlign w:val="center"/>
          </w:tcPr>
          <w:p w14:paraId="547BF7E9">
            <w:pPr>
              <w:widowControl/>
              <w:spacing w:before="100" w:beforeAutospacing="1" w:after="100" w:afterAutospacing="1" w:line="376" w:lineRule="atLeast"/>
              <w:jc w:val="center"/>
              <w:rPr>
                <w:color w:val="auto"/>
                <w:kern w:val="0"/>
                <w:sz w:val="18"/>
                <w:szCs w:val="18"/>
                <w:highlight w:val="none"/>
              </w:rPr>
            </w:pPr>
            <w:r>
              <w:rPr>
                <w:rFonts w:hint="eastAsia"/>
                <w:color w:val="auto"/>
                <w:kern w:val="0"/>
                <w:sz w:val="18"/>
                <w:szCs w:val="18"/>
                <w:highlight w:val="none"/>
              </w:rPr>
              <w:t>品牌</w:t>
            </w:r>
          </w:p>
        </w:tc>
        <w:tc>
          <w:tcPr>
            <w:tcW w:w="1409" w:type="dxa"/>
            <w:tcBorders>
              <w:top w:val="single" w:color="auto" w:sz="12" w:space="0"/>
              <w:left w:val="single" w:color="auto" w:sz="4" w:space="0"/>
              <w:bottom w:val="single" w:color="auto" w:sz="8" w:space="0"/>
              <w:right w:val="single" w:color="auto" w:sz="8" w:space="0"/>
            </w:tcBorders>
            <w:vAlign w:val="center"/>
          </w:tcPr>
          <w:p w14:paraId="32E28960">
            <w:pPr>
              <w:widowControl/>
              <w:spacing w:before="100" w:beforeAutospacing="1" w:after="100" w:afterAutospacing="1" w:line="376" w:lineRule="atLeast"/>
              <w:jc w:val="center"/>
              <w:rPr>
                <w:color w:val="auto"/>
                <w:kern w:val="0"/>
                <w:sz w:val="18"/>
                <w:szCs w:val="18"/>
                <w:highlight w:val="none"/>
              </w:rPr>
            </w:pPr>
            <w:r>
              <w:rPr>
                <w:color w:val="auto"/>
                <w:kern w:val="0"/>
                <w:sz w:val="18"/>
                <w:szCs w:val="18"/>
                <w:highlight w:val="none"/>
              </w:rPr>
              <w:t>规格型号</w:t>
            </w:r>
          </w:p>
        </w:tc>
        <w:tc>
          <w:tcPr>
            <w:tcW w:w="1851" w:type="dxa"/>
            <w:tcBorders>
              <w:top w:val="single" w:color="auto" w:sz="12" w:space="0"/>
              <w:left w:val="nil"/>
              <w:bottom w:val="single" w:color="auto" w:sz="8" w:space="0"/>
              <w:right w:val="single" w:color="auto" w:sz="8" w:space="0"/>
            </w:tcBorders>
            <w:tcMar>
              <w:top w:w="0" w:type="dxa"/>
              <w:left w:w="57" w:type="dxa"/>
              <w:bottom w:w="0" w:type="dxa"/>
              <w:right w:w="57" w:type="dxa"/>
            </w:tcMar>
            <w:vAlign w:val="center"/>
          </w:tcPr>
          <w:p w14:paraId="37BCF8A6">
            <w:pPr>
              <w:widowControl/>
              <w:spacing w:before="100" w:beforeAutospacing="1" w:after="100" w:afterAutospacing="1" w:line="376" w:lineRule="atLeast"/>
              <w:jc w:val="center"/>
              <w:rPr>
                <w:color w:val="auto"/>
                <w:kern w:val="0"/>
                <w:sz w:val="18"/>
                <w:szCs w:val="18"/>
                <w:highlight w:val="none"/>
              </w:rPr>
            </w:pPr>
            <w:r>
              <w:rPr>
                <w:rFonts w:ascii="Helvetica" w:hAnsi="Helvetica" w:cs="Helvetica"/>
                <w:color w:val="auto"/>
                <w:sz w:val="18"/>
                <w:szCs w:val="18"/>
                <w:highlight w:val="none"/>
                <w:shd w:val="clear" w:color="auto" w:fill="FFFFFF"/>
              </w:rPr>
              <w:t>生产者（制造商）</w:t>
            </w:r>
          </w:p>
        </w:tc>
        <w:tc>
          <w:tcPr>
            <w:tcW w:w="1412" w:type="dxa"/>
            <w:tcBorders>
              <w:top w:val="single" w:color="auto" w:sz="12" w:space="0"/>
              <w:left w:val="nil"/>
              <w:bottom w:val="single" w:color="auto" w:sz="8" w:space="0"/>
              <w:right w:val="single" w:color="auto" w:sz="8" w:space="0"/>
            </w:tcBorders>
            <w:tcMar>
              <w:top w:w="0" w:type="dxa"/>
              <w:left w:w="57" w:type="dxa"/>
              <w:bottom w:w="0" w:type="dxa"/>
              <w:right w:w="57" w:type="dxa"/>
            </w:tcMar>
            <w:vAlign w:val="center"/>
          </w:tcPr>
          <w:p w14:paraId="679BCACC">
            <w:pPr>
              <w:widowControl/>
              <w:spacing w:before="100" w:beforeAutospacing="1" w:after="100" w:afterAutospacing="1" w:line="376" w:lineRule="atLeast"/>
              <w:jc w:val="center"/>
              <w:rPr>
                <w:color w:val="auto"/>
                <w:kern w:val="0"/>
                <w:sz w:val="18"/>
                <w:szCs w:val="18"/>
                <w:highlight w:val="none"/>
              </w:rPr>
            </w:pPr>
            <w:r>
              <w:rPr>
                <w:rFonts w:hint="eastAsia"/>
                <w:color w:val="auto"/>
                <w:kern w:val="0"/>
                <w:sz w:val="18"/>
                <w:szCs w:val="18"/>
                <w:highlight w:val="none"/>
              </w:rPr>
              <w:t>证书编号及证书到期日期</w:t>
            </w:r>
          </w:p>
        </w:tc>
        <w:tc>
          <w:tcPr>
            <w:tcW w:w="770" w:type="dxa"/>
            <w:tcBorders>
              <w:top w:val="single" w:color="auto" w:sz="12" w:space="0"/>
              <w:left w:val="nil"/>
              <w:bottom w:val="single" w:color="auto" w:sz="8" w:space="0"/>
              <w:right w:val="single" w:color="auto" w:sz="12" w:space="0"/>
            </w:tcBorders>
            <w:tcMar>
              <w:top w:w="0" w:type="dxa"/>
              <w:left w:w="57" w:type="dxa"/>
              <w:bottom w:w="0" w:type="dxa"/>
              <w:right w:w="57" w:type="dxa"/>
            </w:tcMar>
            <w:vAlign w:val="center"/>
          </w:tcPr>
          <w:p w14:paraId="5EBFF3C9">
            <w:pPr>
              <w:widowControl/>
              <w:spacing w:before="100" w:beforeAutospacing="1" w:after="100" w:afterAutospacing="1" w:line="376" w:lineRule="atLeast"/>
              <w:jc w:val="center"/>
              <w:rPr>
                <w:color w:val="auto"/>
                <w:kern w:val="0"/>
                <w:sz w:val="18"/>
                <w:szCs w:val="18"/>
                <w:highlight w:val="none"/>
              </w:rPr>
            </w:pPr>
            <w:r>
              <w:rPr>
                <w:color w:val="auto"/>
                <w:kern w:val="0"/>
                <w:sz w:val="18"/>
                <w:szCs w:val="18"/>
                <w:highlight w:val="none"/>
              </w:rPr>
              <w:t>备注</w:t>
            </w:r>
          </w:p>
        </w:tc>
      </w:tr>
      <w:tr w14:paraId="21F7A11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33" w:hRule="atLeast"/>
          <w:jc w:val="center"/>
        </w:trPr>
        <w:tc>
          <w:tcPr>
            <w:tcW w:w="767" w:type="dxa"/>
            <w:tcBorders>
              <w:top w:val="nil"/>
              <w:left w:val="single" w:color="auto" w:sz="12" w:space="0"/>
              <w:bottom w:val="single" w:color="auto" w:sz="8" w:space="0"/>
              <w:right w:val="single" w:color="auto" w:sz="8" w:space="0"/>
            </w:tcBorders>
            <w:tcMar>
              <w:top w:w="0" w:type="dxa"/>
              <w:left w:w="57" w:type="dxa"/>
              <w:bottom w:w="0" w:type="dxa"/>
              <w:right w:w="57" w:type="dxa"/>
            </w:tcMar>
            <w:vAlign w:val="center"/>
          </w:tcPr>
          <w:p w14:paraId="45AD8A74">
            <w:pPr>
              <w:widowControl/>
              <w:spacing w:before="100" w:beforeAutospacing="1" w:after="100" w:afterAutospacing="1" w:line="376" w:lineRule="atLeast"/>
              <w:jc w:val="center"/>
              <w:rPr>
                <w:color w:val="auto"/>
                <w:kern w:val="0"/>
                <w:sz w:val="18"/>
                <w:szCs w:val="18"/>
                <w:highlight w:val="none"/>
              </w:rPr>
            </w:pPr>
            <w:r>
              <w:rPr>
                <w:color w:val="auto"/>
                <w:kern w:val="0"/>
                <w:sz w:val="18"/>
                <w:szCs w:val="18"/>
                <w:highlight w:val="none"/>
              </w:rPr>
              <w:t>1</w:t>
            </w:r>
          </w:p>
        </w:tc>
        <w:tc>
          <w:tcPr>
            <w:tcW w:w="1134" w:type="dxa"/>
            <w:tcBorders>
              <w:top w:val="nil"/>
              <w:left w:val="nil"/>
              <w:bottom w:val="single" w:color="auto" w:sz="8" w:space="0"/>
              <w:right w:val="single" w:color="auto" w:sz="4" w:space="0"/>
            </w:tcBorders>
            <w:tcMar>
              <w:top w:w="0" w:type="dxa"/>
              <w:left w:w="57" w:type="dxa"/>
              <w:bottom w:w="0" w:type="dxa"/>
              <w:right w:w="57" w:type="dxa"/>
            </w:tcMar>
            <w:vAlign w:val="center"/>
          </w:tcPr>
          <w:p w14:paraId="2DA54FBF">
            <w:pPr>
              <w:widowControl/>
              <w:spacing w:before="100" w:beforeAutospacing="1" w:after="100" w:afterAutospacing="1" w:line="376" w:lineRule="atLeast"/>
              <w:jc w:val="center"/>
              <w:rPr>
                <w:color w:val="auto"/>
                <w:kern w:val="0"/>
                <w:sz w:val="18"/>
                <w:szCs w:val="18"/>
                <w:highlight w:val="none"/>
              </w:rPr>
            </w:pPr>
          </w:p>
        </w:tc>
        <w:tc>
          <w:tcPr>
            <w:tcW w:w="897" w:type="dxa"/>
            <w:tcBorders>
              <w:top w:val="nil"/>
              <w:left w:val="single" w:color="auto" w:sz="4" w:space="0"/>
              <w:bottom w:val="single" w:color="auto" w:sz="8" w:space="0"/>
              <w:right w:val="single" w:color="auto" w:sz="8" w:space="0"/>
            </w:tcBorders>
            <w:vAlign w:val="center"/>
          </w:tcPr>
          <w:p w14:paraId="39F1106E">
            <w:pPr>
              <w:widowControl/>
              <w:spacing w:before="100" w:beforeAutospacing="1" w:after="100" w:afterAutospacing="1" w:line="376" w:lineRule="atLeast"/>
              <w:jc w:val="center"/>
              <w:rPr>
                <w:color w:val="auto"/>
                <w:kern w:val="0"/>
                <w:sz w:val="18"/>
                <w:szCs w:val="18"/>
                <w:highlight w:val="none"/>
              </w:rPr>
            </w:pPr>
          </w:p>
        </w:tc>
        <w:tc>
          <w:tcPr>
            <w:tcW w:w="1088" w:type="dxa"/>
            <w:tcBorders>
              <w:top w:val="nil"/>
              <w:left w:val="nil"/>
              <w:bottom w:val="single" w:color="auto" w:sz="8" w:space="0"/>
              <w:right w:val="single" w:color="auto" w:sz="4" w:space="0"/>
            </w:tcBorders>
            <w:tcMar>
              <w:top w:w="0" w:type="dxa"/>
              <w:left w:w="57" w:type="dxa"/>
              <w:bottom w:w="0" w:type="dxa"/>
              <w:right w:w="57" w:type="dxa"/>
            </w:tcMar>
            <w:vAlign w:val="center"/>
          </w:tcPr>
          <w:p w14:paraId="70100EB8">
            <w:pPr>
              <w:widowControl/>
              <w:spacing w:before="100" w:beforeAutospacing="1" w:after="100" w:afterAutospacing="1" w:line="376" w:lineRule="atLeast"/>
              <w:jc w:val="center"/>
              <w:rPr>
                <w:color w:val="auto"/>
                <w:kern w:val="0"/>
                <w:sz w:val="18"/>
                <w:szCs w:val="18"/>
                <w:highlight w:val="none"/>
              </w:rPr>
            </w:pPr>
          </w:p>
        </w:tc>
        <w:tc>
          <w:tcPr>
            <w:tcW w:w="1409" w:type="dxa"/>
            <w:tcBorders>
              <w:top w:val="nil"/>
              <w:left w:val="single" w:color="auto" w:sz="4" w:space="0"/>
              <w:bottom w:val="single" w:color="auto" w:sz="8" w:space="0"/>
              <w:right w:val="single" w:color="auto" w:sz="8" w:space="0"/>
            </w:tcBorders>
            <w:vAlign w:val="center"/>
          </w:tcPr>
          <w:p w14:paraId="3311A2FA">
            <w:pPr>
              <w:widowControl/>
              <w:spacing w:before="100" w:beforeAutospacing="1" w:after="100" w:afterAutospacing="1" w:line="376" w:lineRule="atLeast"/>
              <w:jc w:val="center"/>
              <w:rPr>
                <w:color w:val="auto"/>
                <w:kern w:val="0"/>
                <w:sz w:val="18"/>
                <w:szCs w:val="18"/>
                <w:highlight w:val="none"/>
              </w:rPr>
            </w:pPr>
          </w:p>
        </w:tc>
        <w:tc>
          <w:tcPr>
            <w:tcW w:w="1851" w:type="dxa"/>
            <w:tcBorders>
              <w:top w:val="nil"/>
              <w:left w:val="nil"/>
              <w:bottom w:val="single" w:color="auto" w:sz="8" w:space="0"/>
              <w:right w:val="single" w:color="auto" w:sz="8" w:space="0"/>
            </w:tcBorders>
            <w:tcMar>
              <w:top w:w="0" w:type="dxa"/>
              <w:left w:w="57" w:type="dxa"/>
              <w:bottom w:w="0" w:type="dxa"/>
              <w:right w:w="57" w:type="dxa"/>
            </w:tcMar>
            <w:vAlign w:val="center"/>
          </w:tcPr>
          <w:p w14:paraId="46A62DA8">
            <w:pPr>
              <w:widowControl/>
              <w:spacing w:before="100" w:beforeAutospacing="1" w:after="100" w:afterAutospacing="1" w:line="376" w:lineRule="atLeast"/>
              <w:jc w:val="center"/>
              <w:rPr>
                <w:color w:val="auto"/>
                <w:kern w:val="0"/>
                <w:sz w:val="18"/>
                <w:szCs w:val="18"/>
                <w:highlight w:val="none"/>
              </w:rPr>
            </w:pPr>
          </w:p>
        </w:tc>
        <w:tc>
          <w:tcPr>
            <w:tcW w:w="1412" w:type="dxa"/>
            <w:tcBorders>
              <w:top w:val="nil"/>
              <w:left w:val="nil"/>
              <w:bottom w:val="single" w:color="auto" w:sz="8" w:space="0"/>
              <w:right w:val="single" w:color="auto" w:sz="8" w:space="0"/>
            </w:tcBorders>
            <w:tcMar>
              <w:top w:w="0" w:type="dxa"/>
              <w:left w:w="57" w:type="dxa"/>
              <w:bottom w:w="0" w:type="dxa"/>
              <w:right w:w="57" w:type="dxa"/>
            </w:tcMar>
            <w:vAlign w:val="center"/>
          </w:tcPr>
          <w:p w14:paraId="703261E4">
            <w:pPr>
              <w:widowControl/>
              <w:spacing w:before="100" w:beforeAutospacing="1" w:after="100" w:afterAutospacing="1" w:line="376" w:lineRule="atLeast"/>
              <w:jc w:val="center"/>
              <w:rPr>
                <w:color w:val="auto"/>
                <w:kern w:val="0"/>
                <w:sz w:val="18"/>
                <w:szCs w:val="18"/>
                <w:highlight w:val="none"/>
              </w:rPr>
            </w:pPr>
          </w:p>
        </w:tc>
        <w:tc>
          <w:tcPr>
            <w:tcW w:w="770" w:type="dxa"/>
            <w:tcBorders>
              <w:top w:val="nil"/>
              <w:left w:val="nil"/>
              <w:bottom w:val="single" w:color="auto" w:sz="8" w:space="0"/>
              <w:right w:val="single" w:color="auto" w:sz="12" w:space="0"/>
            </w:tcBorders>
            <w:tcMar>
              <w:top w:w="0" w:type="dxa"/>
              <w:left w:w="57" w:type="dxa"/>
              <w:bottom w:w="0" w:type="dxa"/>
              <w:right w:w="57" w:type="dxa"/>
            </w:tcMar>
            <w:vAlign w:val="center"/>
          </w:tcPr>
          <w:p w14:paraId="57E25C31">
            <w:pPr>
              <w:widowControl/>
              <w:spacing w:before="100" w:beforeAutospacing="1" w:after="100" w:afterAutospacing="1" w:line="376" w:lineRule="atLeast"/>
              <w:jc w:val="center"/>
              <w:rPr>
                <w:color w:val="auto"/>
                <w:kern w:val="0"/>
                <w:sz w:val="18"/>
                <w:szCs w:val="18"/>
                <w:highlight w:val="none"/>
              </w:rPr>
            </w:pPr>
          </w:p>
        </w:tc>
      </w:tr>
      <w:tr w14:paraId="3F3D5B5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1" w:hRule="atLeast"/>
          <w:jc w:val="center"/>
        </w:trPr>
        <w:tc>
          <w:tcPr>
            <w:tcW w:w="767" w:type="dxa"/>
            <w:tcBorders>
              <w:top w:val="nil"/>
              <w:left w:val="single" w:color="auto" w:sz="12" w:space="0"/>
              <w:bottom w:val="single" w:color="auto" w:sz="8" w:space="0"/>
              <w:right w:val="single" w:color="auto" w:sz="8" w:space="0"/>
            </w:tcBorders>
            <w:tcMar>
              <w:top w:w="0" w:type="dxa"/>
              <w:left w:w="57" w:type="dxa"/>
              <w:bottom w:w="0" w:type="dxa"/>
              <w:right w:w="57" w:type="dxa"/>
            </w:tcMar>
            <w:vAlign w:val="center"/>
          </w:tcPr>
          <w:p w14:paraId="33EBA84D">
            <w:pPr>
              <w:widowControl/>
              <w:spacing w:before="100" w:beforeAutospacing="1" w:after="100" w:afterAutospacing="1" w:line="376" w:lineRule="atLeast"/>
              <w:jc w:val="center"/>
              <w:rPr>
                <w:color w:val="auto"/>
                <w:kern w:val="0"/>
                <w:sz w:val="18"/>
                <w:szCs w:val="18"/>
                <w:highlight w:val="none"/>
              </w:rPr>
            </w:pPr>
            <w:r>
              <w:rPr>
                <w:color w:val="auto"/>
                <w:kern w:val="0"/>
                <w:sz w:val="18"/>
                <w:szCs w:val="18"/>
                <w:highlight w:val="none"/>
              </w:rPr>
              <w:t>2</w:t>
            </w:r>
          </w:p>
        </w:tc>
        <w:tc>
          <w:tcPr>
            <w:tcW w:w="1134" w:type="dxa"/>
            <w:tcBorders>
              <w:top w:val="nil"/>
              <w:left w:val="nil"/>
              <w:bottom w:val="single" w:color="auto" w:sz="8" w:space="0"/>
              <w:right w:val="single" w:color="auto" w:sz="4" w:space="0"/>
            </w:tcBorders>
            <w:tcMar>
              <w:top w:w="0" w:type="dxa"/>
              <w:left w:w="57" w:type="dxa"/>
              <w:bottom w:w="0" w:type="dxa"/>
              <w:right w:w="57" w:type="dxa"/>
            </w:tcMar>
            <w:vAlign w:val="center"/>
          </w:tcPr>
          <w:p w14:paraId="72A46D9B">
            <w:pPr>
              <w:widowControl/>
              <w:spacing w:before="100" w:beforeAutospacing="1" w:after="100" w:afterAutospacing="1" w:line="376" w:lineRule="atLeast"/>
              <w:jc w:val="center"/>
              <w:rPr>
                <w:color w:val="auto"/>
                <w:kern w:val="0"/>
                <w:sz w:val="18"/>
                <w:szCs w:val="18"/>
                <w:highlight w:val="none"/>
              </w:rPr>
            </w:pPr>
          </w:p>
        </w:tc>
        <w:tc>
          <w:tcPr>
            <w:tcW w:w="897" w:type="dxa"/>
            <w:tcBorders>
              <w:top w:val="nil"/>
              <w:left w:val="single" w:color="auto" w:sz="4" w:space="0"/>
              <w:bottom w:val="single" w:color="auto" w:sz="8" w:space="0"/>
              <w:right w:val="single" w:color="auto" w:sz="8" w:space="0"/>
            </w:tcBorders>
            <w:vAlign w:val="center"/>
          </w:tcPr>
          <w:p w14:paraId="290DD922">
            <w:pPr>
              <w:widowControl/>
              <w:spacing w:before="100" w:beforeAutospacing="1" w:after="100" w:afterAutospacing="1" w:line="376" w:lineRule="atLeast"/>
              <w:jc w:val="center"/>
              <w:rPr>
                <w:color w:val="auto"/>
                <w:kern w:val="0"/>
                <w:sz w:val="18"/>
                <w:szCs w:val="18"/>
                <w:highlight w:val="none"/>
              </w:rPr>
            </w:pPr>
          </w:p>
        </w:tc>
        <w:tc>
          <w:tcPr>
            <w:tcW w:w="1088" w:type="dxa"/>
            <w:tcBorders>
              <w:top w:val="nil"/>
              <w:left w:val="nil"/>
              <w:bottom w:val="single" w:color="auto" w:sz="8" w:space="0"/>
              <w:right w:val="single" w:color="auto" w:sz="4" w:space="0"/>
            </w:tcBorders>
            <w:tcMar>
              <w:top w:w="0" w:type="dxa"/>
              <w:left w:w="57" w:type="dxa"/>
              <w:bottom w:w="0" w:type="dxa"/>
              <w:right w:w="57" w:type="dxa"/>
            </w:tcMar>
            <w:vAlign w:val="center"/>
          </w:tcPr>
          <w:p w14:paraId="134FB0B7">
            <w:pPr>
              <w:widowControl/>
              <w:spacing w:before="100" w:beforeAutospacing="1" w:after="100" w:afterAutospacing="1" w:line="376" w:lineRule="atLeast"/>
              <w:jc w:val="center"/>
              <w:rPr>
                <w:color w:val="auto"/>
                <w:kern w:val="0"/>
                <w:sz w:val="18"/>
                <w:szCs w:val="18"/>
                <w:highlight w:val="none"/>
              </w:rPr>
            </w:pPr>
          </w:p>
        </w:tc>
        <w:tc>
          <w:tcPr>
            <w:tcW w:w="1409" w:type="dxa"/>
            <w:tcBorders>
              <w:top w:val="nil"/>
              <w:left w:val="single" w:color="auto" w:sz="4" w:space="0"/>
              <w:bottom w:val="single" w:color="auto" w:sz="8" w:space="0"/>
              <w:right w:val="single" w:color="auto" w:sz="8" w:space="0"/>
            </w:tcBorders>
            <w:vAlign w:val="center"/>
          </w:tcPr>
          <w:p w14:paraId="733B1B45">
            <w:pPr>
              <w:widowControl/>
              <w:spacing w:before="100" w:beforeAutospacing="1" w:after="100" w:afterAutospacing="1" w:line="376" w:lineRule="atLeast"/>
              <w:jc w:val="center"/>
              <w:rPr>
                <w:color w:val="auto"/>
                <w:kern w:val="0"/>
                <w:sz w:val="18"/>
                <w:szCs w:val="18"/>
                <w:highlight w:val="none"/>
              </w:rPr>
            </w:pPr>
          </w:p>
        </w:tc>
        <w:tc>
          <w:tcPr>
            <w:tcW w:w="1851" w:type="dxa"/>
            <w:tcBorders>
              <w:top w:val="nil"/>
              <w:left w:val="nil"/>
              <w:bottom w:val="single" w:color="auto" w:sz="8" w:space="0"/>
              <w:right w:val="single" w:color="auto" w:sz="8" w:space="0"/>
            </w:tcBorders>
            <w:tcMar>
              <w:top w:w="0" w:type="dxa"/>
              <w:left w:w="57" w:type="dxa"/>
              <w:bottom w:w="0" w:type="dxa"/>
              <w:right w:w="57" w:type="dxa"/>
            </w:tcMar>
            <w:vAlign w:val="center"/>
          </w:tcPr>
          <w:p w14:paraId="3D920826">
            <w:pPr>
              <w:widowControl/>
              <w:spacing w:before="100" w:beforeAutospacing="1" w:after="100" w:afterAutospacing="1" w:line="376" w:lineRule="atLeast"/>
              <w:jc w:val="center"/>
              <w:rPr>
                <w:color w:val="auto"/>
                <w:kern w:val="0"/>
                <w:sz w:val="18"/>
                <w:szCs w:val="18"/>
                <w:highlight w:val="none"/>
              </w:rPr>
            </w:pPr>
          </w:p>
        </w:tc>
        <w:tc>
          <w:tcPr>
            <w:tcW w:w="1412" w:type="dxa"/>
            <w:tcBorders>
              <w:top w:val="nil"/>
              <w:left w:val="nil"/>
              <w:bottom w:val="single" w:color="auto" w:sz="8" w:space="0"/>
              <w:right w:val="single" w:color="auto" w:sz="8" w:space="0"/>
            </w:tcBorders>
            <w:tcMar>
              <w:top w:w="0" w:type="dxa"/>
              <w:left w:w="57" w:type="dxa"/>
              <w:bottom w:w="0" w:type="dxa"/>
              <w:right w:w="57" w:type="dxa"/>
            </w:tcMar>
            <w:vAlign w:val="center"/>
          </w:tcPr>
          <w:p w14:paraId="264F6ACE">
            <w:pPr>
              <w:widowControl/>
              <w:spacing w:before="100" w:beforeAutospacing="1" w:after="100" w:afterAutospacing="1" w:line="376" w:lineRule="atLeast"/>
              <w:jc w:val="center"/>
              <w:rPr>
                <w:color w:val="auto"/>
                <w:kern w:val="0"/>
                <w:sz w:val="18"/>
                <w:szCs w:val="18"/>
                <w:highlight w:val="none"/>
              </w:rPr>
            </w:pPr>
          </w:p>
        </w:tc>
        <w:tc>
          <w:tcPr>
            <w:tcW w:w="770" w:type="dxa"/>
            <w:tcBorders>
              <w:top w:val="nil"/>
              <w:left w:val="nil"/>
              <w:bottom w:val="single" w:color="auto" w:sz="8" w:space="0"/>
              <w:right w:val="single" w:color="auto" w:sz="12" w:space="0"/>
            </w:tcBorders>
            <w:tcMar>
              <w:top w:w="0" w:type="dxa"/>
              <w:left w:w="57" w:type="dxa"/>
              <w:bottom w:w="0" w:type="dxa"/>
              <w:right w:w="57" w:type="dxa"/>
            </w:tcMar>
            <w:vAlign w:val="center"/>
          </w:tcPr>
          <w:p w14:paraId="4FC121E0">
            <w:pPr>
              <w:widowControl/>
              <w:spacing w:before="100" w:beforeAutospacing="1" w:after="100" w:afterAutospacing="1" w:line="376" w:lineRule="atLeast"/>
              <w:jc w:val="center"/>
              <w:rPr>
                <w:color w:val="auto"/>
                <w:kern w:val="0"/>
                <w:sz w:val="18"/>
                <w:szCs w:val="18"/>
                <w:highlight w:val="none"/>
              </w:rPr>
            </w:pPr>
          </w:p>
        </w:tc>
      </w:tr>
      <w:tr w14:paraId="4FEA7DD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67" w:type="dxa"/>
            <w:tcBorders>
              <w:top w:val="nil"/>
              <w:left w:val="single" w:color="auto" w:sz="12" w:space="0"/>
              <w:bottom w:val="single" w:color="auto" w:sz="8" w:space="0"/>
              <w:right w:val="single" w:color="auto" w:sz="8" w:space="0"/>
            </w:tcBorders>
            <w:tcMar>
              <w:top w:w="0" w:type="dxa"/>
              <w:left w:w="57" w:type="dxa"/>
              <w:bottom w:w="0" w:type="dxa"/>
              <w:right w:w="57" w:type="dxa"/>
            </w:tcMar>
            <w:vAlign w:val="center"/>
          </w:tcPr>
          <w:p w14:paraId="2FE56DE6">
            <w:pPr>
              <w:widowControl/>
              <w:spacing w:before="100" w:beforeAutospacing="1" w:after="100" w:afterAutospacing="1" w:line="376" w:lineRule="atLeast"/>
              <w:jc w:val="center"/>
              <w:rPr>
                <w:color w:val="auto"/>
                <w:kern w:val="0"/>
                <w:sz w:val="18"/>
                <w:szCs w:val="18"/>
                <w:highlight w:val="none"/>
              </w:rPr>
            </w:pPr>
            <w:r>
              <w:rPr>
                <w:color w:val="auto"/>
                <w:kern w:val="0"/>
                <w:sz w:val="18"/>
                <w:szCs w:val="18"/>
                <w:highlight w:val="none"/>
              </w:rPr>
              <w:t>……</w:t>
            </w:r>
          </w:p>
        </w:tc>
        <w:tc>
          <w:tcPr>
            <w:tcW w:w="1134" w:type="dxa"/>
            <w:tcBorders>
              <w:top w:val="nil"/>
              <w:left w:val="nil"/>
              <w:bottom w:val="single" w:color="auto" w:sz="8" w:space="0"/>
              <w:right w:val="single" w:color="auto" w:sz="4" w:space="0"/>
            </w:tcBorders>
            <w:tcMar>
              <w:top w:w="0" w:type="dxa"/>
              <w:left w:w="57" w:type="dxa"/>
              <w:bottom w:w="0" w:type="dxa"/>
              <w:right w:w="57" w:type="dxa"/>
            </w:tcMar>
            <w:vAlign w:val="center"/>
          </w:tcPr>
          <w:p w14:paraId="0FB5D5DE">
            <w:pPr>
              <w:widowControl/>
              <w:spacing w:before="100" w:beforeAutospacing="1" w:after="100" w:afterAutospacing="1" w:line="376" w:lineRule="atLeast"/>
              <w:jc w:val="center"/>
              <w:rPr>
                <w:color w:val="auto"/>
                <w:kern w:val="0"/>
                <w:sz w:val="18"/>
                <w:szCs w:val="18"/>
                <w:highlight w:val="none"/>
              </w:rPr>
            </w:pPr>
          </w:p>
        </w:tc>
        <w:tc>
          <w:tcPr>
            <w:tcW w:w="897" w:type="dxa"/>
            <w:tcBorders>
              <w:top w:val="nil"/>
              <w:left w:val="single" w:color="auto" w:sz="4" w:space="0"/>
              <w:bottom w:val="single" w:color="auto" w:sz="8" w:space="0"/>
              <w:right w:val="single" w:color="auto" w:sz="8" w:space="0"/>
            </w:tcBorders>
            <w:vAlign w:val="center"/>
          </w:tcPr>
          <w:p w14:paraId="4DDA59CC">
            <w:pPr>
              <w:widowControl/>
              <w:spacing w:before="100" w:beforeAutospacing="1" w:after="100" w:afterAutospacing="1" w:line="376" w:lineRule="atLeast"/>
              <w:jc w:val="center"/>
              <w:rPr>
                <w:color w:val="auto"/>
                <w:kern w:val="0"/>
                <w:sz w:val="18"/>
                <w:szCs w:val="18"/>
                <w:highlight w:val="none"/>
              </w:rPr>
            </w:pPr>
          </w:p>
        </w:tc>
        <w:tc>
          <w:tcPr>
            <w:tcW w:w="1088" w:type="dxa"/>
            <w:tcBorders>
              <w:top w:val="nil"/>
              <w:left w:val="nil"/>
              <w:bottom w:val="single" w:color="auto" w:sz="8" w:space="0"/>
              <w:right w:val="single" w:color="auto" w:sz="4" w:space="0"/>
            </w:tcBorders>
            <w:tcMar>
              <w:top w:w="0" w:type="dxa"/>
              <w:left w:w="57" w:type="dxa"/>
              <w:bottom w:w="0" w:type="dxa"/>
              <w:right w:w="57" w:type="dxa"/>
            </w:tcMar>
            <w:vAlign w:val="center"/>
          </w:tcPr>
          <w:p w14:paraId="4CB3D122">
            <w:pPr>
              <w:widowControl/>
              <w:spacing w:before="100" w:beforeAutospacing="1" w:after="100" w:afterAutospacing="1" w:line="376" w:lineRule="atLeast"/>
              <w:jc w:val="center"/>
              <w:rPr>
                <w:color w:val="auto"/>
                <w:kern w:val="0"/>
                <w:sz w:val="18"/>
                <w:szCs w:val="18"/>
                <w:highlight w:val="none"/>
              </w:rPr>
            </w:pPr>
          </w:p>
        </w:tc>
        <w:tc>
          <w:tcPr>
            <w:tcW w:w="1409" w:type="dxa"/>
            <w:tcBorders>
              <w:top w:val="nil"/>
              <w:left w:val="single" w:color="auto" w:sz="4" w:space="0"/>
              <w:bottom w:val="single" w:color="auto" w:sz="8" w:space="0"/>
              <w:right w:val="single" w:color="auto" w:sz="8" w:space="0"/>
            </w:tcBorders>
            <w:vAlign w:val="center"/>
          </w:tcPr>
          <w:p w14:paraId="296AE004">
            <w:pPr>
              <w:widowControl/>
              <w:spacing w:before="100" w:beforeAutospacing="1" w:after="100" w:afterAutospacing="1" w:line="376" w:lineRule="atLeast"/>
              <w:jc w:val="center"/>
              <w:rPr>
                <w:color w:val="auto"/>
                <w:kern w:val="0"/>
                <w:sz w:val="18"/>
                <w:szCs w:val="18"/>
                <w:highlight w:val="none"/>
              </w:rPr>
            </w:pPr>
          </w:p>
        </w:tc>
        <w:tc>
          <w:tcPr>
            <w:tcW w:w="1851" w:type="dxa"/>
            <w:tcBorders>
              <w:top w:val="nil"/>
              <w:left w:val="nil"/>
              <w:bottom w:val="single" w:color="auto" w:sz="8" w:space="0"/>
              <w:right w:val="single" w:color="auto" w:sz="8" w:space="0"/>
            </w:tcBorders>
            <w:tcMar>
              <w:top w:w="0" w:type="dxa"/>
              <w:left w:w="57" w:type="dxa"/>
              <w:bottom w:w="0" w:type="dxa"/>
              <w:right w:w="57" w:type="dxa"/>
            </w:tcMar>
            <w:vAlign w:val="center"/>
          </w:tcPr>
          <w:p w14:paraId="0420CB0E">
            <w:pPr>
              <w:widowControl/>
              <w:spacing w:before="100" w:beforeAutospacing="1" w:after="100" w:afterAutospacing="1" w:line="376" w:lineRule="atLeast"/>
              <w:jc w:val="center"/>
              <w:rPr>
                <w:color w:val="auto"/>
                <w:kern w:val="0"/>
                <w:sz w:val="18"/>
                <w:szCs w:val="18"/>
                <w:highlight w:val="none"/>
              </w:rPr>
            </w:pPr>
          </w:p>
        </w:tc>
        <w:tc>
          <w:tcPr>
            <w:tcW w:w="1412" w:type="dxa"/>
            <w:tcBorders>
              <w:top w:val="nil"/>
              <w:left w:val="nil"/>
              <w:bottom w:val="single" w:color="auto" w:sz="8" w:space="0"/>
              <w:right w:val="single" w:color="auto" w:sz="8" w:space="0"/>
            </w:tcBorders>
            <w:tcMar>
              <w:top w:w="0" w:type="dxa"/>
              <w:left w:w="57" w:type="dxa"/>
              <w:bottom w:w="0" w:type="dxa"/>
              <w:right w:w="57" w:type="dxa"/>
            </w:tcMar>
            <w:vAlign w:val="center"/>
          </w:tcPr>
          <w:p w14:paraId="791A8424">
            <w:pPr>
              <w:widowControl/>
              <w:spacing w:before="100" w:beforeAutospacing="1" w:after="100" w:afterAutospacing="1" w:line="376" w:lineRule="atLeast"/>
              <w:jc w:val="center"/>
              <w:rPr>
                <w:color w:val="auto"/>
                <w:kern w:val="0"/>
                <w:sz w:val="18"/>
                <w:szCs w:val="18"/>
                <w:highlight w:val="none"/>
              </w:rPr>
            </w:pPr>
          </w:p>
        </w:tc>
        <w:tc>
          <w:tcPr>
            <w:tcW w:w="770" w:type="dxa"/>
            <w:tcBorders>
              <w:top w:val="nil"/>
              <w:left w:val="nil"/>
              <w:bottom w:val="single" w:color="auto" w:sz="8" w:space="0"/>
              <w:right w:val="single" w:color="auto" w:sz="12" w:space="0"/>
            </w:tcBorders>
            <w:tcMar>
              <w:top w:w="0" w:type="dxa"/>
              <w:left w:w="57" w:type="dxa"/>
              <w:bottom w:w="0" w:type="dxa"/>
              <w:right w:w="57" w:type="dxa"/>
            </w:tcMar>
            <w:vAlign w:val="center"/>
          </w:tcPr>
          <w:p w14:paraId="094C51CB">
            <w:pPr>
              <w:widowControl/>
              <w:spacing w:before="100" w:beforeAutospacing="1" w:after="100" w:afterAutospacing="1" w:line="376" w:lineRule="atLeast"/>
              <w:jc w:val="center"/>
              <w:rPr>
                <w:color w:val="auto"/>
                <w:kern w:val="0"/>
                <w:sz w:val="18"/>
                <w:szCs w:val="18"/>
                <w:highlight w:val="none"/>
              </w:rPr>
            </w:pPr>
          </w:p>
        </w:tc>
      </w:tr>
    </w:tbl>
    <w:p w14:paraId="71EA5135">
      <w:pPr>
        <w:snapToGrid w:val="0"/>
        <w:spacing w:before="50" w:after="120" w:afterLines="50"/>
        <w:jc w:val="left"/>
        <w:rPr>
          <w:color w:val="auto"/>
          <w:sz w:val="18"/>
          <w:szCs w:val="18"/>
          <w:highlight w:val="none"/>
        </w:rPr>
      </w:pPr>
      <w:r>
        <w:rPr>
          <w:rFonts w:hint="eastAsia"/>
          <w:color w:val="auto"/>
          <w:sz w:val="18"/>
          <w:szCs w:val="18"/>
          <w:highlight w:val="none"/>
        </w:rPr>
        <w:t>注：类别填写节能或环境标志，品目填写编号及产品名称如A</w:t>
      </w:r>
      <w:r>
        <w:rPr>
          <w:color w:val="auto"/>
          <w:sz w:val="18"/>
          <w:szCs w:val="18"/>
          <w:highlight w:val="none"/>
        </w:rPr>
        <w:t>02010104</w:t>
      </w:r>
      <w:r>
        <w:rPr>
          <w:rFonts w:hint="eastAsia"/>
          <w:color w:val="auto"/>
          <w:sz w:val="18"/>
          <w:szCs w:val="18"/>
          <w:highlight w:val="none"/>
        </w:rPr>
        <w:t>台式计算机。</w:t>
      </w:r>
    </w:p>
    <w:bookmarkEnd w:id="1119"/>
    <w:p w14:paraId="453A4F9F">
      <w:pPr>
        <w:snapToGrid w:val="0"/>
        <w:spacing w:before="50" w:after="120" w:afterLines="50"/>
        <w:jc w:val="left"/>
        <w:rPr>
          <w:color w:val="auto"/>
          <w:sz w:val="18"/>
          <w:szCs w:val="18"/>
          <w:highlight w:val="none"/>
        </w:rPr>
      </w:pPr>
    </w:p>
    <w:p w14:paraId="690D59DB">
      <w:pPr>
        <w:snapToGrid w:val="0"/>
        <w:spacing w:before="50" w:after="120" w:afterLines="50"/>
        <w:jc w:val="left"/>
        <w:rPr>
          <w:color w:val="auto"/>
          <w:sz w:val="18"/>
          <w:szCs w:val="18"/>
          <w:highlight w:val="none"/>
        </w:rPr>
      </w:pPr>
    </w:p>
    <w:p w14:paraId="403D1142">
      <w:pPr>
        <w:snapToGrid w:val="0"/>
        <w:spacing w:before="50" w:after="120" w:afterLines="50"/>
        <w:jc w:val="left"/>
        <w:rPr>
          <w:color w:val="auto"/>
          <w:sz w:val="18"/>
          <w:szCs w:val="18"/>
          <w:highlight w:val="none"/>
        </w:rPr>
      </w:pPr>
    </w:p>
    <w:p w14:paraId="01CBDDA2">
      <w:pPr>
        <w:snapToGrid w:val="0"/>
        <w:spacing w:before="50" w:after="120" w:afterLines="50" w:line="440" w:lineRule="exact"/>
        <w:jc w:val="left"/>
        <w:rPr>
          <w:b/>
          <w:color w:val="auto"/>
          <w:sz w:val="18"/>
          <w:szCs w:val="18"/>
          <w:highlight w:val="none"/>
        </w:rPr>
      </w:pPr>
      <w:r>
        <w:rPr>
          <w:color w:val="auto"/>
          <w:sz w:val="18"/>
          <w:szCs w:val="18"/>
          <w:highlight w:val="none"/>
        </w:rPr>
        <w:br w:type="page"/>
      </w:r>
      <w:r>
        <w:rPr>
          <w:rFonts w:hint="eastAsia"/>
          <w:color w:val="auto"/>
          <w:sz w:val="18"/>
          <w:szCs w:val="18"/>
          <w:highlight w:val="none"/>
        </w:rPr>
        <w:t>10</w:t>
      </w:r>
      <w:r>
        <w:rPr>
          <w:color w:val="auto"/>
          <w:sz w:val="18"/>
          <w:szCs w:val="18"/>
          <w:highlight w:val="none"/>
        </w:rPr>
        <w:t>．</w:t>
      </w:r>
      <w:r>
        <w:rPr>
          <w:rFonts w:hint="eastAsia"/>
          <w:color w:val="auto"/>
          <w:sz w:val="18"/>
          <w:szCs w:val="18"/>
          <w:highlight w:val="none"/>
        </w:rPr>
        <w:t>磋商</w:t>
      </w:r>
      <w:r>
        <w:rPr>
          <w:color w:val="auto"/>
          <w:sz w:val="18"/>
          <w:szCs w:val="18"/>
          <w:highlight w:val="none"/>
        </w:rPr>
        <w:t>保证金缴纳证明</w:t>
      </w:r>
      <w:r>
        <w:rPr>
          <w:rFonts w:hint="eastAsia"/>
          <w:color w:val="auto"/>
          <w:sz w:val="18"/>
          <w:szCs w:val="18"/>
          <w:highlight w:val="none"/>
        </w:rPr>
        <w:t>。</w:t>
      </w:r>
      <w:r>
        <w:rPr>
          <w:rFonts w:hint="eastAsia"/>
          <w:b/>
          <w:color w:val="auto"/>
          <w:sz w:val="18"/>
          <w:szCs w:val="18"/>
          <w:highlight w:val="none"/>
        </w:rPr>
        <w:t>（如采购文件有要求时提供）</w:t>
      </w:r>
    </w:p>
    <w:p w14:paraId="05023C5D">
      <w:pPr>
        <w:snapToGrid w:val="0"/>
        <w:spacing w:before="50" w:after="120" w:afterLines="50"/>
        <w:jc w:val="left"/>
        <w:rPr>
          <w:color w:val="auto"/>
          <w:sz w:val="18"/>
          <w:szCs w:val="18"/>
          <w:highlight w:val="none"/>
        </w:rPr>
      </w:pPr>
      <w:r>
        <w:rPr>
          <w:rFonts w:hint="eastAsia"/>
          <w:color w:val="auto"/>
          <w:sz w:val="18"/>
          <w:szCs w:val="18"/>
          <w:highlight w:val="none"/>
        </w:rPr>
        <w:t>（1）以转账、电汇形式缴纳的，提供转账、电汇凭证扫描件或复印件（网银可提供截图）加盖供应商电子签章；</w:t>
      </w:r>
    </w:p>
    <w:p w14:paraId="41D26B38">
      <w:pPr>
        <w:snapToGrid w:val="0"/>
        <w:spacing w:before="50" w:after="120" w:afterLines="50"/>
        <w:jc w:val="left"/>
        <w:rPr>
          <w:color w:val="auto"/>
          <w:sz w:val="18"/>
          <w:szCs w:val="18"/>
          <w:highlight w:val="none"/>
        </w:rPr>
      </w:pPr>
      <w:r>
        <w:rPr>
          <w:rFonts w:hint="eastAsia"/>
          <w:color w:val="auto"/>
          <w:sz w:val="18"/>
          <w:szCs w:val="18"/>
          <w:highlight w:val="none"/>
        </w:rPr>
        <w:t>（2）</w:t>
      </w:r>
      <w:bookmarkStart w:id="1120" w:name="_Hlk176360876"/>
      <w:r>
        <w:rPr>
          <w:rFonts w:hint="eastAsia"/>
          <w:color w:val="auto"/>
          <w:sz w:val="18"/>
          <w:szCs w:val="18"/>
          <w:highlight w:val="none"/>
        </w:rPr>
        <w:t>以支票、汇票、本票或金融机构、担保机构出具的保函等非现金形式缴纳的，提供原件扫描件或复印件并加盖供应商电子签章。</w:t>
      </w:r>
      <w:bookmarkEnd w:id="1120"/>
      <w:r>
        <w:rPr>
          <w:rFonts w:hint="eastAsia"/>
          <w:color w:val="auto"/>
          <w:sz w:val="18"/>
          <w:szCs w:val="18"/>
          <w:highlight w:val="none"/>
        </w:rPr>
        <w:t>响应保函参考如下格式开具：</w:t>
      </w:r>
    </w:p>
    <w:p w14:paraId="40680CFD">
      <w:pPr>
        <w:spacing w:line="360" w:lineRule="auto"/>
        <w:jc w:val="center"/>
        <w:rPr>
          <w:b/>
          <w:bCs/>
          <w:color w:val="auto"/>
          <w:sz w:val="18"/>
          <w:szCs w:val="18"/>
          <w:highlight w:val="none"/>
        </w:rPr>
      </w:pPr>
    </w:p>
    <w:p w14:paraId="72C725AA">
      <w:pPr>
        <w:spacing w:line="360" w:lineRule="auto"/>
        <w:jc w:val="center"/>
        <w:rPr>
          <w:b/>
          <w:bCs/>
          <w:color w:val="auto"/>
          <w:sz w:val="18"/>
          <w:szCs w:val="18"/>
          <w:highlight w:val="none"/>
        </w:rPr>
      </w:pPr>
      <w:r>
        <w:rPr>
          <w:rFonts w:hint="eastAsia"/>
          <w:b/>
          <w:bCs/>
          <w:color w:val="auto"/>
          <w:sz w:val="18"/>
          <w:szCs w:val="18"/>
          <w:highlight w:val="none"/>
        </w:rPr>
        <w:t>响应保函格式</w:t>
      </w:r>
    </w:p>
    <w:p w14:paraId="5CFCF034">
      <w:pPr>
        <w:snapToGrid w:val="0"/>
        <w:spacing w:before="50" w:after="120" w:afterLines="50"/>
        <w:jc w:val="left"/>
        <w:rPr>
          <w:color w:val="auto"/>
          <w:sz w:val="18"/>
          <w:szCs w:val="18"/>
          <w:highlight w:val="none"/>
        </w:rPr>
      </w:pPr>
      <w:r>
        <w:rPr>
          <w:rFonts w:hint="eastAsia"/>
          <w:color w:val="auto"/>
          <w:sz w:val="18"/>
          <w:szCs w:val="18"/>
          <w:highlight w:val="none"/>
        </w:rPr>
        <w:t xml:space="preserve">编号：           </w:t>
      </w:r>
    </w:p>
    <w:p w14:paraId="6E97E80F">
      <w:pPr>
        <w:snapToGrid w:val="0"/>
        <w:spacing w:before="50" w:after="120" w:afterLines="50"/>
        <w:jc w:val="left"/>
        <w:rPr>
          <w:color w:val="auto"/>
          <w:sz w:val="18"/>
          <w:szCs w:val="18"/>
          <w:highlight w:val="none"/>
        </w:rPr>
      </w:pPr>
      <w:r>
        <w:rPr>
          <w:rFonts w:hint="eastAsia"/>
          <w:color w:val="auto"/>
          <w:sz w:val="18"/>
          <w:szCs w:val="18"/>
          <w:highlight w:val="none"/>
        </w:rPr>
        <w:t>申请人：</w:t>
      </w:r>
    </w:p>
    <w:p w14:paraId="54AE7A3D">
      <w:pPr>
        <w:snapToGrid w:val="0"/>
        <w:spacing w:before="50" w:after="120" w:afterLines="50"/>
        <w:jc w:val="left"/>
        <w:rPr>
          <w:color w:val="auto"/>
          <w:sz w:val="18"/>
          <w:szCs w:val="18"/>
          <w:highlight w:val="none"/>
        </w:rPr>
      </w:pPr>
      <w:r>
        <w:rPr>
          <w:rFonts w:hint="eastAsia"/>
          <w:color w:val="auto"/>
          <w:sz w:val="18"/>
          <w:szCs w:val="18"/>
          <w:highlight w:val="none"/>
        </w:rPr>
        <w:t>地址：</w:t>
      </w:r>
    </w:p>
    <w:p w14:paraId="44945A7D">
      <w:pPr>
        <w:snapToGrid w:val="0"/>
        <w:spacing w:before="50" w:after="120" w:afterLines="50"/>
        <w:jc w:val="left"/>
        <w:rPr>
          <w:color w:val="auto"/>
          <w:sz w:val="18"/>
          <w:szCs w:val="18"/>
          <w:highlight w:val="none"/>
        </w:rPr>
      </w:pPr>
      <w:r>
        <w:rPr>
          <w:rFonts w:hint="eastAsia"/>
          <w:color w:val="auto"/>
          <w:sz w:val="18"/>
          <w:szCs w:val="18"/>
          <w:highlight w:val="none"/>
        </w:rPr>
        <w:t xml:space="preserve">受益人：广西机电设备招标有限公司 </w:t>
      </w:r>
    </w:p>
    <w:p w14:paraId="0A604F92">
      <w:pPr>
        <w:snapToGrid w:val="0"/>
        <w:spacing w:before="50" w:after="120" w:afterLines="50"/>
        <w:jc w:val="left"/>
        <w:rPr>
          <w:color w:val="auto"/>
          <w:sz w:val="18"/>
          <w:szCs w:val="18"/>
          <w:highlight w:val="none"/>
        </w:rPr>
      </w:pPr>
      <w:r>
        <w:rPr>
          <w:rFonts w:hint="eastAsia"/>
          <w:color w:val="auto"/>
          <w:sz w:val="18"/>
          <w:szCs w:val="18"/>
          <w:highlight w:val="none"/>
        </w:rPr>
        <w:t>地址：</w:t>
      </w:r>
    </w:p>
    <w:p w14:paraId="2BD94591">
      <w:pPr>
        <w:snapToGrid w:val="0"/>
        <w:spacing w:before="50" w:after="120" w:afterLines="50"/>
        <w:jc w:val="left"/>
        <w:rPr>
          <w:color w:val="auto"/>
          <w:sz w:val="18"/>
          <w:szCs w:val="18"/>
          <w:highlight w:val="none"/>
        </w:rPr>
      </w:pPr>
      <w:r>
        <w:rPr>
          <w:rFonts w:hint="eastAsia"/>
          <w:color w:val="auto"/>
          <w:sz w:val="18"/>
          <w:szCs w:val="18"/>
          <w:highlight w:val="none"/>
        </w:rPr>
        <w:t>开立人：</w:t>
      </w:r>
    </w:p>
    <w:p w14:paraId="494EA7FD">
      <w:pPr>
        <w:snapToGrid w:val="0"/>
        <w:spacing w:before="50" w:after="120" w:afterLines="50"/>
        <w:jc w:val="left"/>
        <w:rPr>
          <w:color w:val="auto"/>
          <w:sz w:val="18"/>
          <w:szCs w:val="18"/>
          <w:highlight w:val="none"/>
        </w:rPr>
      </w:pPr>
      <w:r>
        <w:rPr>
          <w:rFonts w:hint="eastAsia"/>
          <w:color w:val="auto"/>
          <w:sz w:val="18"/>
          <w:szCs w:val="18"/>
          <w:highlight w:val="none"/>
        </w:rPr>
        <w:t>地址：</w:t>
      </w:r>
    </w:p>
    <w:p w14:paraId="698F665B">
      <w:pPr>
        <w:snapToGrid w:val="0"/>
        <w:spacing w:before="50" w:after="120" w:afterLines="50" w:line="440" w:lineRule="exact"/>
        <w:jc w:val="left"/>
        <w:rPr>
          <w:color w:val="auto"/>
          <w:sz w:val="18"/>
          <w:szCs w:val="18"/>
          <w:highlight w:val="none"/>
        </w:rPr>
      </w:pPr>
    </w:p>
    <w:p w14:paraId="3D569BE8">
      <w:pPr>
        <w:snapToGrid w:val="0"/>
        <w:spacing w:before="50" w:after="120" w:afterLines="50" w:line="276" w:lineRule="auto"/>
        <w:jc w:val="left"/>
        <w:rPr>
          <w:color w:val="auto"/>
          <w:sz w:val="18"/>
          <w:szCs w:val="18"/>
          <w:highlight w:val="none"/>
        </w:rPr>
      </w:pPr>
      <w:r>
        <w:rPr>
          <w:rFonts w:hint="eastAsia"/>
          <w:color w:val="auto"/>
          <w:sz w:val="18"/>
          <w:szCs w:val="18"/>
          <w:highlight w:val="none"/>
        </w:rPr>
        <w:t>致：广西机电设备招标有限公司</w:t>
      </w:r>
    </w:p>
    <w:p w14:paraId="3EA7EDDF">
      <w:pPr>
        <w:snapToGrid w:val="0"/>
        <w:spacing w:before="50" w:after="120" w:afterLines="50" w:line="276" w:lineRule="auto"/>
        <w:ind w:firstLine="360" w:firstLineChars="200"/>
        <w:jc w:val="left"/>
        <w:rPr>
          <w:color w:val="auto"/>
          <w:sz w:val="18"/>
          <w:szCs w:val="18"/>
          <w:highlight w:val="none"/>
        </w:rPr>
      </w:pPr>
      <w:r>
        <w:rPr>
          <w:rFonts w:hint="eastAsia"/>
          <w:color w:val="auto"/>
          <w:sz w:val="18"/>
          <w:szCs w:val="18"/>
          <w:highlight w:val="none"/>
        </w:rPr>
        <w:t>我方（即“开立人”）已获得通知，本保函申请人（即“投标供应商”）已响应贵方于</w:t>
      </w:r>
      <w:r>
        <w:rPr>
          <w:rFonts w:hint="eastAsia"/>
          <w:color w:val="auto"/>
          <w:sz w:val="18"/>
          <w:szCs w:val="18"/>
          <w:highlight w:val="none"/>
          <w:u w:val="single"/>
        </w:rPr>
        <w:t xml:space="preserve">         </w:t>
      </w:r>
      <w:r>
        <w:rPr>
          <w:rFonts w:hint="eastAsia"/>
          <w:color w:val="auto"/>
          <w:sz w:val="18"/>
          <w:szCs w:val="18"/>
          <w:highlight w:val="none"/>
        </w:rPr>
        <w:t>年</w:t>
      </w:r>
      <w:r>
        <w:rPr>
          <w:rFonts w:hint="eastAsia"/>
          <w:color w:val="auto"/>
          <w:sz w:val="18"/>
          <w:szCs w:val="18"/>
          <w:highlight w:val="none"/>
          <w:u w:val="single"/>
        </w:rPr>
        <w:t xml:space="preserve">             </w:t>
      </w:r>
      <w:r>
        <w:rPr>
          <w:rFonts w:hint="eastAsia"/>
          <w:color w:val="auto"/>
          <w:sz w:val="18"/>
          <w:szCs w:val="18"/>
          <w:highlight w:val="none"/>
        </w:rPr>
        <w:t>月</w:t>
      </w:r>
      <w:r>
        <w:rPr>
          <w:rFonts w:hint="eastAsia"/>
          <w:color w:val="auto"/>
          <w:sz w:val="18"/>
          <w:szCs w:val="18"/>
          <w:highlight w:val="none"/>
          <w:u w:val="single"/>
        </w:rPr>
        <w:t xml:space="preserve">     </w:t>
      </w:r>
      <w:r>
        <w:rPr>
          <w:rFonts w:hint="eastAsia"/>
          <w:color w:val="auto"/>
          <w:sz w:val="18"/>
          <w:szCs w:val="18"/>
          <w:highlight w:val="none"/>
        </w:rPr>
        <w:t xml:space="preserve"> 日就 </w:t>
      </w:r>
      <w:r>
        <w:rPr>
          <w:rFonts w:hint="eastAsia"/>
          <w:color w:val="auto"/>
          <w:sz w:val="18"/>
          <w:szCs w:val="18"/>
          <w:highlight w:val="none"/>
          <w:u w:val="single"/>
        </w:rPr>
        <w:t xml:space="preserve">                                          </w:t>
      </w:r>
      <w:r>
        <w:rPr>
          <w:rFonts w:hint="eastAsia"/>
          <w:color w:val="auto"/>
          <w:sz w:val="18"/>
          <w:szCs w:val="18"/>
          <w:highlight w:val="none"/>
        </w:rPr>
        <w:t>（以下简称“本项目”）发出的招标文件，并已向采购代理机构（即“受益人”）提交了投标文件。</w:t>
      </w:r>
    </w:p>
    <w:p w14:paraId="4B5D4EA4">
      <w:pPr>
        <w:snapToGrid w:val="0"/>
        <w:spacing w:before="50" w:after="120" w:afterLines="50" w:line="276" w:lineRule="auto"/>
        <w:ind w:firstLine="360" w:firstLineChars="200"/>
        <w:jc w:val="left"/>
        <w:rPr>
          <w:color w:val="auto"/>
          <w:sz w:val="18"/>
          <w:szCs w:val="18"/>
          <w:highlight w:val="none"/>
        </w:rPr>
      </w:pPr>
      <w:r>
        <w:rPr>
          <w:rFonts w:hint="eastAsia"/>
          <w:color w:val="auto"/>
          <w:sz w:val="18"/>
          <w:szCs w:val="18"/>
          <w:highlight w:val="none"/>
        </w:rPr>
        <w:t>一、我方理解根据招标条件，投标供应商必须提交一份投标保函（以下简称“本保函”），以担保供应商诚信履行其在采购活动中承担的义务。鉴此，应申请人要求，我方在此同意向贵方出具此投标保函，本保函担保金额为人民币（大写）</w:t>
      </w:r>
      <w:r>
        <w:rPr>
          <w:rFonts w:hint="eastAsia"/>
          <w:color w:val="auto"/>
          <w:sz w:val="18"/>
          <w:szCs w:val="18"/>
          <w:highlight w:val="none"/>
          <w:u w:val="single"/>
        </w:rPr>
        <w:t xml:space="preserve">                            </w:t>
      </w:r>
      <w:r>
        <w:rPr>
          <w:rFonts w:hint="eastAsia"/>
          <w:color w:val="auto"/>
          <w:sz w:val="18"/>
          <w:szCs w:val="18"/>
          <w:highlight w:val="none"/>
        </w:rPr>
        <w:t>元（¥</w:t>
      </w:r>
      <w:r>
        <w:rPr>
          <w:rFonts w:hint="eastAsia"/>
          <w:color w:val="auto"/>
          <w:sz w:val="18"/>
          <w:szCs w:val="18"/>
          <w:highlight w:val="none"/>
          <w:u w:val="single"/>
        </w:rPr>
        <w:t xml:space="preserve">                         </w:t>
      </w:r>
      <w:r>
        <w:rPr>
          <w:rFonts w:hint="eastAsia"/>
          <w:color w:val="auto"/>
          <w:sz w:val="18"/>
          <w:szCs w:val="18"/>
          <w:highlight w:val="none"/>
        </w:rPr>
        <w:t>）。</w:t>
      </w:r>
    </w:p>
    <w:p w14:paraId="559EC01F">
      <w:pPr>
        <w:snapToGrid w:val="0"/>
        <w:spacing w:before="50" w:after="120" w:afterLines="50" w:line="276" w:lineRule="auto"/>
        <w:ind w:firstLine="360" w:firstLineChars="200"/>
        <w:jc w:val="left"/>
        <w:rPr>
          <w:color w:val="auto"/>
          <w:sz w:val="18"/>
          <w:szCs w:val="18"/>
          <w:highlight w:val="none"/>
        </w:rPr>
      </w:pPr>
      <w:r>
        <w:rPr>
          <w:rFonts w:hint="eastAsia"/>
          <w:color w:val="auto"/>
          <w:sz w:val="18"/>
          <w:szCs w:val="18"/>
          <w:highlight w:val="none"/>
        </w:rPr>
        <w:t xml:space="preserve">二、我方在供应商发生以下情形时承担保证担保责任： </w:t>
      </w:r>
    </w:p>
    <w:p w14:paraId="463D373C">
      <w:pPr>
        <w:snapToGrid w:val="0"/>
        <w:spacing w:before="50" w:after="120" w:afterLines="50" w:line="276" w:lineRule="auto"/>
        <w:ind w:firstLine="360" w:firstLineChars="200"/>
        <w:jc w:val="left"/>
        <w:rPr>
          <w:color w:val="auto"/>
          <w:sz w:val="18"/>
          <w:szCs w:val="18"/>
          <w:highlight w:val="none"/>
        </w:rPr>
      </w:pPr>
      <w:r>
        <w:rPr>
          <w:rFonts w:hint="eastAsia"/>
          <w:color w:val="auto"/>
          <w:sz w:val="18"/>
          <w:szCs w:val="18"/>
          <w:highlight w:val="none"/>
        </w:rPr>
        <w:t xml:space="preserve">（1）投标供应商在开标后和投标有效期满之前撤销投标文件的； </w:t>
      </w:r>
    </w:p>
    <w:p w14:paraId="357CC7B3">
      <w:pPr>
        <w:snapToGrid w:val="0"/>
        <w:spacing w:before="50" w:after="120" w:afterLines="50" w:line="276" w:lineRule="auto"/>
        <w:ind w:firstLine="360" w:firstLineChars="200"/>
        <w:jc w:val="left"/>
        <w:rPr>
          <w:color w:val="auto"/>
          <w:sz w:val="18"/>
          <w:szCs w:val="18"/>
          <w:highlight w:val="none"/>
        </w:rPr>
      </w:pPr>
      <w:r>
        <w:rPr>
          <w:rFonts w:hint="eastAsia"/>
          <w:color w:val="auto"/>
          <w:sz w:val="18"/>
          <w:szCs w:val="18"/>
          <w:highlight w:val="none"/>
        </w:rPr>
        <w:t xml:space="preserve">（2）投标供应商在收到中标通知书后，不能或拒绝按招标文件规定的时间内与采购人签订合同； </w:t>
      </w:r>
    </w:p>
    <w:p w14:paraId="0F05DBC6">
      <w:pPr>
        <w:snapToGrid w:val="0"/>
        <w:spacing w:before="50" w:after="120" w:afterLines="50" w:line="276" w:lineRule="auto"/>
        <w:ind w:firstLine="360" w:firstLineChars="200"/>
        <w:jc w:val="left"/>
        <w:rPr>
          <w:color w:val="auto"/>
          <w:sz w:val="18"/>
          <w:szCs w:val="18"/>
          <w:highlight w:val="none"/>
        </w:rPr>
      </w:pPr>
      <w:r>
        <w:rPr>
          <w:rFonts w:hint="eastAsia"/>
          <w:color w:val="auto"/>
          <w:sz w:val="18"/>
          <w:szCs w:val="18"/>
          <w:highlight w:val="none"/>
        </w:rPr>
        <w:t>（3）投标供应商在与采购人签订合同后，未在规定的时间内提交符合招标文件要求的履约担保；</w:t>
      </w:r>
    </w:p>
    <w:p w14:paraId="6ECCE1D1">
      <w:pPr>
        <w:snapToGrid w:val="0"/>
        <w:spacing w:before="50" w:after="120" w:afterLines="50" w:line="276" w:lineRule="auto"/>
        <w:ind w:firstLine="360" w:firstLineChars="200"/>
        <w:jc w:val="left"/>
        <w:rPr>
          <w:color w:val="auto"/>
          <w:sz w:val="18"/>
          <w:szCs w:val="18"/>
          <w:highlight w:val="none"/>
        </w:rPr>
      </w:pPr>
      <w:r>
        <w:rPr>
          <w:rFonts w:hint="eastAsia"/>
          <w:color w:val="auto"/>
          <w:sz w:val="18"/>
          <w:szCs w:val="18"/>
          <w:highlight w:val="none"/>
        </w:rPr>
        <w:t>（4）投标供应商在中标通知书发出之日起5个工作日内，未缴纳本项目代理服务费的；</w:t>
      </w:r>
    </w:p>
    <w:p w14:paraId="44FFF32E">
      <w:pPr>
        <w:snapToGrid w:val="0"/>
        <w:spacing w:before="50" w:after="120" w:afterLines="50" w:line="276" w:lineRule="auto"/>
        <w:ind w:firstLine="360" w:firstLineChars="200"/>
        <w:jc w:val="left"/>
        <w:rPr>
          <w:color w:val="auto"/>
          <w:sz w:val="18"/>
          <w:szCs w:val="18"/>
          <w:highlight w:val="none"/>
        </w:rPr>
      </w:pPr>
      <w:r>
        <w:rPr>
          <w:rFonts w:hint="eastAsia"/>
          <w:color w:val="auto"/>
          <w:sz w:val="18"/>
          <w:szCs w:val="18"/>
          <w:highlight w:val="none"/>
        </w:rPr>
        <w:t>（5）投标供应商违反招标文件规定的其他情形。</w:t>
      </w:r>
    </w:p>
    <w:p w14:paraId="2A21070D">
      <w:pPr>
        <w:snapToGrid w:val="0"/>
        <w:spacing w:before="50" w:after="120" w:afterLines="50" w:line="276" w:lineRule="auto"/>
        <w:ind w:firstLine="180" w:firstLineChars="100"/>
        <w:jc w:val="left"/>
        <w:rPr>
          <w:color w:val="auto"/>
          <w:sz w:val="18"/>
          <w:szCs w:val="18"/>
          <w:highlight w:val="none"/>
        </w:rPr>
      </w:pPr>
      <w:r>
        <w:rPr>
          <w:rFonts w:hint="eastAsia"/>
          <w:color w:val="auto"/>
          <w:sz w:val="18"/>
          <w:szCs w:val="18"/>
          <w:highlight w:val="none"/>
        </w:rPr>
        <w:t xml:space="preserve">    三、本保函为不可撤销、不可转让的见索即付独立保函。本保函有效期自开立之日起至投标有效期届满之日后的</w:t>
      </w:r>
      <w:r>
        <w:rPr>
          <w:rFonts w:hint="eastAsia"/>
          <w:color w:val="auto"/>
          <w:sz w:val="18"/>
          <w:szCs w:val="18"/>
          <w:highlight w:val="none"/>
          <w:u w:val="single"/>
        </w:rPr>
        <w:t xml:space="preserve">  28  </w:t>
      </w:r>
      <w:r>
        <w:rPr>
          <w:rFonts w:hint="eastAsia"/>
          <w:color w:val="auto"/>
          <w:sz w:val="18"/>
          <w:szCs w:val="18"/>
          <w:highlight w:val="none"/>
        </w:rPr>
        <w:t>日。投标有效期延长的，本保函有效期相应顺延。</w:t>
      </w:r>
    </w:p>
    <w:p w14:paraId="5018414F">
      <w:pPr>
        <w:snapToGrid w:val="0"/>
        <w:spacing w:before="50" w:after="120" w:afterLines="50" w:line="276" w:lineRule="auto"/>
        <w:ind w:firstLine="360" w:firstLineChars="200"/>
        <w:jc w:val="left"/>
        <w:rPr>
          <w:color w:val="auto"/>
          <w:sz w:val="18"/>
          <w:szCs w:val="18"/>
          <w:highlight w:val="none"/>
        </w:rPr>
      </w:pPr>
      <w:r>
        <w:rPr>
          <w:rFonts w:hint="eastAsia"/>
          <w:color w:val="auto"/>
          <w:sz w:val="18"/>
          <w:szCs w:val="18"/>
          <w:highlight w:val="none"/>
        </w:rPr>
        <w:t>四、我方承诺，在收到受益人发来的书面付款通知后的</w:t>
      </w:r>
      <w:r>
        <w:rPr>
          <w:rFonts w:hint="eastAsia"/>
          <w:color w:val="auto"/>
          <w:sz w:val="18"/>
          <w:szCs w:val="18"/>
          <w:highlight w:val="none"/>
          <w:u w:val="single"/>
        </w:rPr>
        <w:t xml:space="preserve">   5    </w:t>
      </w:r>
      <w:r>
        <w:rPr>
          <w:rFonts w:hint="eastAsia"/>
          <w:color w:val="auto"/>
          <w:sz w:val="18"/>
          <w:szCs w:val="18"/>
          <w:highlight w:val="none"/>
        </w:rPr>
        <w:t>日内无条件支付，前述书面付款通知即为付款要求之单据，且应满足以下要求：</w:t>
      </w:r>
    </w:p>
    <w:p w14:paraId="4D8E4765">
      <w:pPr>
        <w:snapToGrid w:val="0"/>
        <w:spacing w:before="50" w:after="120" w:afterLines="50" w:line="276" w:lineRule="auto"/>
        <w:ind w:firstLine="360" w:firstLineChars="200"/>
        <w:jc w:val="left"/>
        <w:rPr>
          <w:color w:val="auto"/>
          <w:sz w:val="18"/>
          <w:szCs w:val="18"/>
          <w:highlight w:val="none"/>
        </w:rPr>
      </w:pPr>
      <w:r>
        <w:rPr>
          <w:rFonts w:hint="eastAsia"/>
          <w:color w:val="auto"/>
          <w:sz w:val="18"/>
          <w:szCs w:val="18"/>
          <w:highlight w:val="none"/>
        </w:rPr>
        <w:t>（1）付款通知到达的日期在本保函的有效期内；</w:t>
      </w:r>
    </w:p>
    <w:p w14:paraId="6655C368">
      <w:pPr>
        <w:snapToGrid w:val="0"/>
        <w:spacing w:before="50" w:after="120" w:afterLines="50" w:line="276" w:lineRule="auto"/>
        <w:ind w:firstLine="360" w:firstLineChars="200"/>
        <w:jc w:val="left"/>
        <w:rPr>
          <w:color w:val="auto"/>
          <w:sz w:val="18"/>
          <w:szCs w:val="18"/>
          <w:highlight w:val="none"/>
        </w:rPr>
      </w:pPr>
      <w:r>
        <w:rPr>
          <w:rFonts w:hint="eastAsia"/>
          <w:color w:val="auto"/>
          <w:sz w:val="18"/>
          <w:szCs w:val="18"/>
          <w:highlight w:val="none"/>
        </w:rPr>
        <w:t>（2）载明要求支付的金额；</w:t>
      </w:r>
    </w:p>
    <w:p w14:paraId="03366532">
      <w:pPr>
        <w:snapToGrid w:val="0"/>
        <w:spacing w:before="50" w:after="120" w:afterLines="50" w:line="276" w:lineRule="auto"/>
        <w:ind w:firstLine="360" w:firstLineChars="200"/>
        <w:jc w:val="left"/>
        <w:rPr>
          <w:color w:val="auto"/>
          <w:sz w:val="18"/>
          <w:szCs w:val="18"/>
          <w:highlight w:val="none"/>
        </w:rPr>
      </w:pPr>
      <w:r>
        <w:rPr>
          <w:rFonts w:hint="eastAsia"/>
          <w:color w:val="auto"/>
          <w:sz w:val="18"/>
          <w:szCs w:val="18"/>
          <w:highlight w:val="none"/>
        </w:rPr>
        <w:t>（3）载明申请人违反采购文件规定的义务内容和具体条款；</w:t>
      </w:r>
    </w:p>
    <w:p w14:paraId="58D4DEAB">
      <w:pPr>
        <w:snapToGrid w:val="0"/>
        <w:spacing w:before="50" w:after="120" w:afterLines="50" w:line="276" w:lineRule="auto"/>
        <w:ind w:firstLine="360" w:firstLineChars="200"/>
        <w:jc w:val="left"/>
        <w:rPr>
          <w:color w:val="auto"/>
          <w:sz w:val="18"/>
          <w:szCs w:val="18"/>
          <w:highlight w:val="none"/>
        </w:rPr>
      </w:pPr>
      <w:r>
        <w:rPr>
          <w:rFonts w:hint="eastAsia"/>
          <w:color w:val="auto"/>
          <w:sz w:val="18"/>
          <w:szCs w:val="18"/>
          <w:highlight w:val="none"/>
        </w:rPr>
        <w:t>（4）声明不存在采购文件规定或我国法律规定免除申请人或我方支付责任的情形；</w:t>
      </w:r>
    </w:p>
    <w:p w14:paraId="796F261A">
      <w:pPr>
        <w:snapToGrid w:val="0"/>
        <w:spacing w:before="50" w:after="120" w:afterLines="50" w:line="276" w:lineRule="auto"/>
        <w:ind w:firstLine="360" w:firstLineChars="200"/>
        <w:jc w:val="left"/>
        <w:rPr>
          <w:color w:val="auto"/>
          <w:sz w:val="18"/>
          <w:szCs w:val="18"/>
          <w:highlight w:val="none"/>
        </w:rPr>
      </w:pPr>
      <w:r>
        <w:rPr>
          <w:rFonts w:hint="eastAsia"/>
          <w:color w:val="auto"/>
          <w:sz w:val="18"/>
          <w:szCs w:val="18"/>
          <w:highlight w:val="none"/>
        </w:rPr>
        <w:t>（5）书面付款通知应在本保函有效期内到达的地址是：</w:t>
      </w:r>
      <w:r>
        <w:rPr>
          <w:rFonts w:hint="eastAsia"/>
          <w:color w:val="auto"/>
          <w:sz w:val="18"/>
          <w:szCs w:val="18"/>
          <w:highlight w:val="none"/>
          <w:u w:val="single"/>
        </w:rPr>
        <w:t xml:space="preserve">                                     </w:t>
      </w:r>
      <w:r>
        <w:rPr>
          <w:rFonts w:hint="eastAsia"/>
          <w:color w:val="auto"/>
          <w:sz w:val="18"/>
          <w:szCs w:val="18"/>
          <w:highlight w:val="none"/>
        </w:rPr>
        <w:t>。</w:t>
      </w:r>
    </w:p>
    <w:p w14:paraId="3815BE70">
      <w:pPr>
        <w:snapToGrid w:val="0"/>
        <w:spacing w:before="50" w:after="120" w:afterLines="50" w:line="276" w:lineRule="auto"/>
        <w:jc w:val="left"/>
        <w:rPr>
          <w:color w:val="auto"/>
          <w:sz w:val="18"/>
          <w:szCs w:val="18"/>
          <w:highlight w:val="none"/>
        </w:rPr>
      </w:pPr>
      <w:r>
        <w:rPr>
          <w:rFonts w:hint="eastAsia"/>
          <w:color w:val="auto"/>
          <w:sz w:val="18"/>
          <w:szCs w:val="18"/>
          <w:highlight w:val="none"/>
        </w:rPr>
        <w:t xml:space="preserve">        受益人发出的书面付款通知应由其为鉴明受益人法定代表人（负责人）或授权代理人签字并加盖公章。</w:t>
      </w:r>
    </w:p>
    <w:p w14:paraId="3537A66E">
      <w:pPr>
        <w:snapToGrid w:val="0"/>
        <w:spacing w:before="50" w:after="120" w:afterLines="50" w:line="276" w:lineRule="auto"/>
        <w:ind w:firstLine="360" w:firstLineChars="200"/>
        <w:jc w:val="left"/>
        <w:rPr>
          <w:color w:val="auto"/>
          <w:sz w:val="18"/>
          <w:szCs w:val="18"/>
          <w:highlight w:val="none"/>
        </w:rPr>
      </w:pPr>
      <w:r>
        <w:rPr>
          <w:rFonts w:hint="eastAsia"/>
          <w:color w:val="auto"/>
          <w:sz w:val="18"/>
          <w:szCs w:val="18"/>
          <w:highlight w:val="none"/>
        </w:rPr>
        <w:t xml:space="preserve">五、本保函项下的权利不得转让，不得设定担保。贵方未经我方书面同意转让本保函或其项下任何权利，对我方不发生法律效力。 </w:t>
      </w:r>
    </w:p>
    <w:p w14:paraId="32F89856">
      <w:pPr>
        <w:snapToGrid w:val="0"/>
        <w:spacing w:before="50" w:after="120" w:afterLines="50" w:line="276" w:lineRule="auto"/>
        <w:ind w:firstLine="360" w:firstLineChars="200"/>
        <w:jc w:val="left"/>
        <w:rPr>
          <w:color w:val="auto"/>
          <w:sz w:val="18"/>
          <w:szCs w:val="18"/>
          <w:highlight w:val="none"/>
        </w:rPr>
      </w:pPr>
      <w:r>
        <w:rPr>
          <w:rFonts w:hint="eastAsia"/>
          <w:color w:val="auto"/>
          <w:sz w:val="18"/>
          <w:szCs w:val="18"/>
          <w:highlight w:val="none"/>
        </w:rPr>
        <w:t xml:space="preserve">六、本保函项下的基础交易不成立、不生效、无效、被撤销、被解除，不影响本保函的独立有效。 </w:t>
      </w:r>
    </w:p>
    <w:p w14:paraId="05F8F4EF">
      <w:pPr>
        <w:snapToGrid w:val="0"/>
        <w:spacing w:before="50" w:after="120" w:afterLines="50" w:line="276" w:lineRule="auto"/>
        <w:ind w:firstLine="360" w:firstLineChars="200"/>
        <w:jc w:val="left"/>
        <w:rPr>
          <w:color w:val="auto"/>
          <w:sz w:val="18"/>
          <w:szCs w:val="18"/>
          <w:highlight w:val="none"/>
        </w:rPr>
      </w:pPr>
      <w:r>
        <w:rPr>
          <w:rFonts w:hint="eastAsia"/>
          <w:color w:val="auto"/>
          <w:sz w:val="18"/>
          <w:szCs w:val="18"/>
          <w:highlight w:val="none"/>
        </w:rPr>
        <w:t xml:space="preserve">七、受益人应在本保函到期后的七日内将本保函正本退回我方注销，但是不论受益人是否按此要求将本保函正本退回我方，我方在本保函项下的义务和责任均在保函有效期到期后自动消灭。 </w:t>
      </w:r>
    </w:p>
    <w:p w14:paraId="3AD9388F">
      <w:pPr>
        <w:snapToGrid w:val="0"/>
        <w:spacing w:before="50" w:after="120" w:afterLines="50" w:line="276" w:lineRule="auto"/>
        <w:ind w:firstLine="360" w:firstLineChars="200"/>
        <w:jc w:val="left"/>
        <w:rPr>
          <w:color w:val="auto"/>
          <w:sz w:val="18"/>
          <w:szCs w:val="18"/>
          <w:highlight w:val="none"/>
        </w:rPr>
      </w:pPr>
      <w:r>
        <w:rPr>
          <w:rFonts w:hint="eastAsia"/>
          <w:color w:val="auto"/>
          <w:sz w:val="18"/>
          <w:szCs w:val="18"/>
          <w:highlight w:val="none"/>
        </w:rPr>
        <w:t xml:space="preserve">八、本保函适用的法律为中华人民共和国法律，争议裁判管辖地为中华人民共和国。 </w:t>
      </w:r>
    </w:p>
    <w:p w14:paraId="3A5BA795">
      <w:pPr>
        <w:snapToGrid w:val="0"/>
        <w:spacing w:before="50" w:after="120" w:afterLines="50" w:line="276" w:lineRule="auto"/>
        <w:ind w:firstLine="360" w:firstLineChars="200"/>
        <w:jc w:val="left"/>
        <w:rPr>
          <w:color w:val="auto"/>
          <w:sz w:val="18"/>
          <w:szCs w:val="18"/>
          <w:highlight w:val="none"/>
        </w:rPr>
      </w:pPr>
      <w:r>
        <w:rPr>
          <w:rFonts w:hint="eastAsia"/>
          <w:color w:val="auto"/>
          <w:sz w:val="18"/>
          <w:szCs w:val="18"/>
          <w:highlight w:val="none"/>
        </w:rPr>
        <w:t xml:space="preserve">九、本保函自我方法定代表人或授权代表签字并加盖公章之日起生效。 </w:t>
      </w:r>
    </w:p>
    <w:p w14:paraId="6938CC9A">
      <w:pPr>
        <w:snapToGrid w:val="0"/>
        <w:spacing w:before="50" w:after="120" w:afterLines="50" w:line="276" w:lineRule="auto"/>
        <w:jc w:val="left"/>
        <w:rPr>
          <w:color w:val="auto"/>
          <w:sz w:val="18"/>
          <w:szCs w:val="18"/>
          <w:highlight w:val="none"/>
        </w:rPr>
      </w:pPr>
    </w:p>
    <w:p w14:paraId="430E291B">
      <w:pPr>
        <w:snapToGrid w:val="0"/>
        <w:spacing w:before="50" w:after="120" w:afterLines="50" w:line="276" w:lineRule="auto"/>
        <w:jc w:val="left"/>
        <w:rPr>
          <w:color w:val="auto"/>
          <w:sz w:val="18"/>
          <w:szCs w:val="18"/>
          <w:highlight w:val="none"/>
        </w:rPr>
      </w:pPr>
      <w:r>
        <w:rPr>
          <w:rFonts w:hint="eastAsia"/>
          <w:color w:val="auto"/>
          <w:sz w:val="18"/>
          <w:szCs w:val="18"/>
          <w:highlight w:val="none"/>
        </w:rPr>
        <w:t xml:space="preserve">开 立 人：                                                  （公章） </w:t>
      </w:r>
    </w:p>
    <w:p w14:paraId="114BBFA3">
      <w:pPr>
        <w:snapToGrid w:val="0"/>
        <w:spacing w:before="50" w:after="120" w:afterLines="50" w:line="276" w:lineRule="auto"/>
        <w:jc w:val="left"/>
        <w:rPr>
          <w:color w:val="auto"/>
          <w:sz w:val="18"/>
          <w:szCs w:val="18"/>
          <w:highlight w:val="none"/>
        </w:rPr>
      </w:pPr>
      <w:r>
        <w:rPr>
          <w:rFonts w:hint="eastAsia"/>
          <w:color w:val="auto"/>
          <w:sz w:val="18"/>
          <w:szCs w:val="18"/>
          <w:highlight w:val="none"/>
        </w:rPr>
        <w:t xml:space="preserve">法定代表人（或授权代表） ：               （签字） </w:t>
      </w:r>
    </w:p>
    <w:p w14:paraId="220386FD">
      <w:pPr>
        <w:snapToGrid w:val="0"/>
        <w:spacing w:before="50" w:after="120" w:afterLines="50" w:line="276" w:lineRule="auto"/>
        <w:jc w:val="left"/>
        <w:rPr>
          <w:color w:val="auto"/>
          <w:sz w:val="18"/>
          <w:szCs w:val="18"/>
          <w:highlight w:val="none"/>
        </w:rPr>
      </w:pPr>
      <w:r>
        <w:rPr>
          <w:rFonts w:hint="eastAsia"/>
          <w:color w:val="auto"/>
          <w:sz w:val="18"/>
          <w:szCs w:val="18"/>
          <w:highlight w:val="none"/>
        </w:rPr>
        <w:t xml:space="preserve">地    址：                                       </w:t>
      </w:r>
    </w:p>
    <w:p w14:paraId="7C5E6947">
      <w:pPr>
        <w:snapToGrid w:val="0"/>
        <w:spacing w:before="50" w:after="120" w:afterLines="50" w:line="276" w:lineRule="auto"/>
        <w:jc w:val="left"/>
        <w:rPr>
          <w:color w:val="auto"/>
          <w:sz w:val="18"/>
          <w:szCs w:val="18"/>
          <w:highlight w:val="none"/>
        </w:rPr>
      </w:pPr>
      <w:r>
        <w:rPr>
          <w:rFonts w:hint="eastAsia"/>
          <w:color w:val="auto"/>
          <w:sz w:val="18"/>
          <w:szCs w:val="18"/>
          <w:highlight w:val="none"/>
        </w:rPr>
        <w:t xml:space="preserve">邮政编码：                 </w:t>
      </w:r>
    </w:p>
    <w:p w14:paraId="4CF9D309">
      <w:pPr>
        <w:snapToGrid w:val="0"/>
        <w:spacing w:before="50" w:after="120" w:afterLines="50" w:line="276" w:lineRule="auto"/>
        <w:jc w:val="left"/>
        <w:rPr>
          <w:color w:val="auto"/>
          <w:sz w:val="18"/>
          <w:szCs w:val="18"/>
          <w:highlight w:val="none"/>
        </w:rPr>
      </w:pPr>
      <w:r>
        <w:rPr>
          <w:rFonts w:hint="eastAsia"/>
          <w:color w:val="auto"/>
          <w:sz w:val="18"/>
          <w:szCs w:val="18"/>
          <w:highlight w:val="none"/>
        </w:rPr>
        <w:t xml:space="preserve">电    话：                 </w:t>
      </w:r>
    </w:p>
    <w:p w14:paraId="2721DF0E">
      <w:pPr>
        <w:snapToGrid w:val="0"/>
        <w:spacing w:before="50" w:after="120" w:afterLines="50" w:line="276" w:lineRule="auto"/>
        <w:jc w:val="left"/>
        <w:rPr>
          <w:color w:val="auto"/>
          <w:sz w:val="18"/>
          <w:szCs w:val="18"/>
          <w:highlight w:val="none"/>
        </w:rPr>
      </w:pPr>
      <w:r>
        <w:rPr>
          <w:rFonts w:hint="eastAsia"/>
          <w:color w:val="auto"/>
          <w:sz w:val="18"/>
          <w:szCs w:val="18"/>
          <w:highlight w:val="none"/>
        </w:rPr>
        <w:t xml:space="preserve">传    真：                 </w:t>
      </w:r>
    </w:p>
    <w:p w14:paraId="5976ED4F">
      <w:pPr>
        <w:snapToGrid w:val="0"/>
        <w:spacing w:before="50" w:after="120" w:afterLines="50" w:line="276" w:lineRule="auto"/>
        <w:jc w:val="left"/>
        <w:rPr>
          <w:color w:val="auto"/>
          <w:sz w:val="18"/>
          <w:szCs w:val="18"/>
          <w:highlight w:val="none"/>
        </w:rPr>
      </w:pPr>
      <w:r>
        <w:rPr>
          <w:rFonts w:hint="eastAsia"/>
          <w:color w:val="auto"/>
          <w:sz w:val="18"/>
          <w:szCs w:val="18"/>
          <w:highlight w:val="none"/>
        </w:rPr>
        <w:t>开立时间：      年       月        日</w:t>
      </w:r>
    </w:p>
    <w:p w14:paraId="427AC5A4">
      <w:pPr>
        <w:snapToGrid w:val="0"/>
        <w:spacing w:before="50" w:after="120" w:afterLines="50"/>
        <w:jc w:val="left"/>
        <w:rPr>
          <w:color w:val="auto"/>
          <w:sz w:val="18"/>
          <w:szCs w:val="18"/>
          <w:highlight w:val="none"/>
        </w:rPr>
      </w:pPr>
    </w:p>
    <w:p w14:paraId="7AFD0B87">
      <w:pPr>
        <w:snapToGrid w:val="0"/>
        <w:spacing w:before="50" w:after="120" w:afterLines="50"/>
        <w:jc w:val="left"/>
        <w:rPr>
          <w:color w:val="auto"/>
          <w:sz w:val="18"/>
          <w:szCs w:val="18"/>
          <w:highlight w:val="none"/>
        </w:rPr>
      </w:pPr>
    </w:p>
    <w:p w14:paraId="58B029E9">
      <w:pPr>
        <w:snapToGrid w:val="0"/>
        <w:spacing w:before="50" w:after="120" w:afterLines="50"/>
        <w:jc w:val="left"/>
        <w:rPr>
          <w:color w:val="auto"/>
          <w:sz w:val="18"/>
          <w:szCs w:val="18"/>
          <w:highlight w:val="none"/>
        </w:rPr>
      </w:pPr>
    </w:p>
    <w:p w14:paraId="7944B0D3">
      <w:pPr>
        <w:spacing w:line="520" w:lineRule="exact"/>
        <w:jc w:val="left"/>
        <w:rPr>
          <w:rFonts w:ascii="方正小标宋简体" w:hAnsi="仿宋" w:eastAsia="方正小标宋简体"/>
          <w:color w:val="auto"/>
          <w:sz w:val="18"/>
          <w:szCs w:val="18"/>
          <w:highlight w:val="none"/>
        </w:rPr>
      </w:pPr>
      <w:r>
        <w:rPr>
          <w:rFonts w:hint="eastAsia"/>
          <w:color w:val="auto"/>
          <w:sz w:val="18"/>
          <w:szCs w:val="18"/>
          <w:highlight w:val="none"/>
        </w:rPr>
        <w:br w:type="page"/>
      </w:r>
      <w:r>
        <w:rPr>
          <w:rFonts w:hint="eastAsia"/>
          <w:color w:val="auto"/>
          <w:sz w:val="18"/>
          <w:szCs w:val="18"/>
          <w:highlight w:val="none"/>
        </w:rPr>
        <w:t>11</w:t>
      </w:r>
      <w:r>
        <w:rPr>
          <w:color w:val="auto"/>
          <w:sz w:val="18"/>
          <w:szCs w:val="18"/>
          <w:highlight w:val="none"/>
        </w:rPr>
        <w:t>．</w:t>
      </w:r>
      <w:r>
        <w:rPr>
          <w:bCs/>
          <w:color w:val="auto"/>
          <w:sz w:val="18"/>
          <w:szCs w:val="18"/>
          <w:highlight w:val="none"/>
        </w:rPr>
        <w:t xml:space="preserve"> </w:t>
      </w:r>
      <w:r>
        <w:rPr>
          <w:rFonts w:hint="eastAsia"/>
          <w:color w:val="auto"/>
          <w:sz w:val="18"/>
          <w:szCs w:val="18"/>
          <w:highlight w:val="none"/>
        </w:rPr>
        <w:t>防城港市政府采购供应商信用承诺函</w:t>
      </w:r>
    </w:p>
    <w:p w14:paraId="5B407F0B">
      <w:pPr>
        <w:spacing w:line="520" w:lineRule="exact"/>
        <w:ind w:firstLine="360" w:firstLineChars="200"/>
        <w:jc w:val="center"/>
        <w:rPr>
          <w:rFonts w:ascii="仿宋_GB2312" w:hAnsi="黑体" w:eastAsia="仿宋_GB2312"/>
          <w:color w:val="auto"/>
          <w:sz w:val="18"/>
          <w:szCs w:val="18"/>
          <w:highlight w:val="none"/>
        </w:rPr>
      </w:pPr>
      <w:r>
        <w:rPr>
          <w:rFonts w:hint="eastAsia" w:ascii="方正小标宋简体" w:hAnsi="仿宋" w:eastAsia="方正小标宋简体"/>
          <w:color w:val="auto"/>
          <w:sz w:val="18"/>
          <w:szCs w:val="18"/>
          <w:highlight w:val="none"/>
        </w:rPr>
        <w:t>防城港市政府采购供应商信用承诺函</w:t>
      </w:r>
    </w:p>
    <w:p w14:paraId="5456B484">
      <w:pPr>
        <w:spacing w:line="520" w:lineRule="exact"/>
        <w:rPr>
          <w:rFonts w:ascii="宋体" w:hAnsi="宋体" w:cs="宋体"/>
          <w:color w:val="auto"/>
          <w:sz w:val="18"/>
          <w:szCs w:val="18"/>
          <w:highlight w:val="none"/>
        </w:rPr>
      </w:pPr>
      <w:r>
        <w:rPr>
          <w:rFonts w:hint="eastAsia" w:ascii="宋体" w:hAnsi="宋体" w:cs="宋体"/>
          <w:color w:val="auto"/>
          <w:sz w:val="18"/>
          <w:szCs w:val="18"/>
          <w:highlight w:val="none"/>
        </w:rPr>
        <w:t>致（采购人名称） ：</w:t>
      </w:r>
    </w:p>
    <w:p w14:paraId="1D581EE5">
      <w:pPr>
        <w:spacing w:line="520" w:lineRule="exact"/>
        <w:ind w:firstLine="360" w:firstLineChars="200"/>
        <w:rPr>
          <w:rFonts w:ascii="宋体" w:hAnsi="宋体" w:cs="宋体"/>
          <w:color w:val="auto"/>
          <w:sz w:val="18"/>
          <w:szCs w:val="18"/>
          <w:highlight w:val="none"/>
        </w:rPr>
      </w:pPr>
      <w:r>
        <w:rPr>
          <w:rFonts w:hint="eastAsia" w:ascii="宋体" w:hAnsi="宋体" w:cs="宋体"/>
          <w:color w:val="auto"/>
          <w:sz w:val="18"/>
          <w:szCs w:val="18"/>
          <w:highlight w:val="none"/>
        </w:rPr>
        <w:t>我方自愿参加</w:t>
      </w:r>
      <w:r>
        <w:rPr>
          <w:rFonts w:hint="eastAsia" w:ascii="宋体" w:hAnsi="宋体" w:cs="宋体"/>
          <w:color w:val="auto"/>
          <w:sz w:val="18"/>
          <w:szCs w:val="18"/>
          <w:highlight w:val="none"/>
          <w:u w:val="single"/>
        </w:rPr>
        <w:t xml:space="preserve"> （项目名称） </w:t>
      </w:r>
      <w:r>
        <w:rPr>
          <w:rFonts w:hint="eastAsia" w:ascii="宋体" w:hAnsi="宋体" w:cs="宋体"/>
          <w:color w:val="auto"/>
          <w:sz w:val="18"/>
          <w:szCs w:val="18"/>
          <w:highlight w:val="none"/>
        </w:rPr>
        <w:t>项目（</w:t>
      </w:r>
      <w:r>
        <w:rPr>
          <w:rFonts w:hint="eastAsia" w:ascii="宋体" w:hAnsi="宋体" w:cs="宋体"/>
          <w:color w:val="auto"/>
          <w:sz w:val="18"/>
          <w:szCs w:val="18"/>
          <w:highlight w:val="none"/>
          <w:u w:val="single"/>
        </w:rPr>
        <w:t xml:space="preserve">项目编号：         </w:t>
      </w:r>
      <w:r>
        <w:rPr>
          <w:rFonts w:hint="eastAsia" w:ascii="宋体" w:hAnsi="宋体" w:cs="宋体"/>
          <w:color w:val="auto"/>
          <w:sz w:val="18"/>
          <w:szCs w:val="18"/>
          <w:highlight w:val="none"/>
        </w:rPr>
        <w:t xml:space="preserve">）的政府采购活动，严格遵守《中华人民共和国政府采购法》及相关法律法规，依法诚信经营，无条件遵守本次政府采购活动的各项规定，并郑重承诺： </w:t>
      </w:r>
    </w:p>
    <w:p w14:paraId="58A60318">
      <w:pPr>
        <w:spacing w:line="520" w:lineRule="exact"/>
        <w:ind w:firstLine="360" w:firstLineChars="200"/>
        <w:rPr>
          <w:rFonts w:ascii="宋体" w:hAnsi="宋体" w:cs="宋体"/>
          <w:color w:val="auto"/>
          <w:sz w:val="18"/>
          <w:szCs w:val="18"/>
          <w:highlight w:val="none"/>
        </w:rPr>
      </w:pPr>
      <w:r>
        <w:rPr>
          <w:rFonts w:hint="eastAsia" w:ascii="宋体" w:hAnsi="宋体" w:cs="宋体"/>
          <w:color w:val="auto"/>
          <w:sz w:val="18"/>
          <w:szCs w:val="18"/>
          <w:highlight w:val="none"/>
        </w:rPr>
        <w:t xml:space="preserve">1.我方具有符合采购文件资格要求的财务状况报告。 </w:t>
      </w:r>
    </w:p>
    <w:p w14:paraId="73D189A1">
      <w:pPr>
        <w:spacing w:line="520" w:lineRule="exact"/>
        <w:ind w:firstLine="360" w:firstLineChars="200"/>
        <w:rPr>
          <w:rFonts w:ascii="宋体" w:hAnsi="宋体" w:cs="宋体"/>
          <w:color w:val="auto"/>
          <w:sz w:val="18"/>
          <w:szCs w:val="18"/>
          <w:highlight w:val="none"/>
        </w:rPr>
      </w:pPr>
      <w:r>
        <w:rPr>
          <w:rFonts w:hint="eastAsia" w:ascii="宋体" w:hAnsi="宋体" w:cs="宋体"/>
          <w:color w:val="auto"/>
          <w:sz w:val="18"/>
          <w:szCs w:val="18"/>
          <w:highlight w:val="none"/>
        </w:rPr>
        <w:t xml:space="preserve">2.我方具有符合采购文件资格要求的依法缴纳税收和社会保障资金的良好记录。 </w:t>
      </w:r>
    </w:p>
    <w:p w14:paraId="4899E47E">
      <w:pPr>
        <w:spacing w:line="520" w:lineRule="exact"/>
        <w:ind w:firstLine="360" w:firstLineChars="200"/>
        <w:rPr>
          <w:rFonts w:ascii="宋体" w:hAnsi="宋体" w:cs="宋体"/>
          <w:color w:val="auto"/>
          <w:sz w:val="18"/>
          <w:szCs w:val="18"/>
          <w:highlight w:val="none"/>
        </w:rPr>
      </w:pPr>
      <w:r>
        <w:rPr>
          <w:rFonts w:hint="eastAsia" w:ascii="宋体" w:hAnsi="宋体" w:cs="宋体"/>
          <w:color w:val="auto"/>
          <w:sz w:val="18"/>
          <w:szCs w:val="18"/>
          <w:highlight w:val="none"/>
        </w:rPr>
        <w:t xml:space="preserve">3.我方参加政府采购活动前三年内在经营活动中没有重大违法记录。 </w:t>
      </w:r>
    </w:p>
    <w:p w14:paraId="52DF8B1E">
      <w:pPr>
        <w:spacing w:line="520" w:lineRule="exact"/>
        <w:ind w:firstLine="360" w:firstLineChars="200"/>
        <w:rPr>
          <w:rFonts w:ascii="宋体" w:hAnsi="宋体" w:cs="宋体"/>
          <w:color w:val="auto"/>
          <w:sz w:val="18"/>
          <w:szCs w:val="18"/>
          <w:highlight w:val="none"/>
        </w:rPr>
      </w:pPr>
      <w:r>
        <w:rPr>
          <w:rFonts w:hint="eastAsia" w:ascii="宋体" w:hAnsi="宋体" w:cs="宋体"/>
          <w:color w:val="auto"/>
          <w:sz w:val="18"/>
          <w:szCs w:val="18"/>
          <w:highlight w:val="none"/>
        </w:rPr>
        <w:t>我方对以上承诺内容的真实性负责。如有虚假，将依法承担相应责任。</w:t>
      </w:r>
    </w:p>
    <w:p w14:paraId="64E8D377">
      <w:pPr>
        <w:spacing w:line="520" w:lineRule="exact"/>
        <w:ind w:firstLine="2070" w:firstLineChars="1150"/>
        <w:rPr>
          <w:rFonts w:ascii="宋体" w:hAnsi="宋体" w:cs="宋体"/>
          <w:color w:val="auto"/>
          <w:sz w:val="18"/>
          <w:szCs w:val="18"/>
          <w:highlight w:val="none"/>
        </w:rPr>
      </w:pPr>
    </w:p>
    <w:p w14:paraId="530566B4">
      <w:pPr>
        <w:spacing w:line="520" w:lineRule="exact"/>
        <w:ind w:firstLine="2070" w:firstLineChars="1150"/>
        <w:rPr>
          <w:rFonts w:ascii="宋体" w:hAnsi="宋体" w:cs="宋体"/>
          <w:color w:val="auto"/>
          <w:sz w:val="18"/>
          <w:szCs w:val="18"/>
          <w:highlight w:val="none"/>
        </w:rPr>
      </w:pPr>
    </w:p>
    <w:p w14:paraId="1141E581">
      <w:pPr>
        <w:spacing w:line="520" w:lineRule="exact"/>
        <w:ind w:firstLine="3510" w:firstLineChars="1950"/>
        <w:rPr>
          <w:rFonts w:ascii="宋体" w:hAnsi="宋体" w:cs="宋体"/>
          <w:color w:val="auto"/>
          <w:sz w:val="18"/>
          <w:szCs w:val="18"/>
          <w:highlight w:val="none"/>
        </w:rPr>
      </w:pPr>
      <w:r>
        <w:rPr>
          <w:rFonts w:hint="eastAsia" w:ascii="宋体" w:hAnsi="宋体" w:cs="宋体"/>
          <w:color w:val="auto"/>
          <w:sz w:val="18"/>
          <w:szCs w:val="18"/>
          <w:highlight w:val="none"/>
        </w:rPr>
        <w:t>供应商名称（公章）：</w:t>
      </w:r>
    </w:p>
    <w:p w14:paraId="280E3EBC">
      <w:pPr>
        <w:spacing w:line="520" w:lineRule="exact"/>
        <w:ind w:firstLine="3690" w:firstLineChars="2050"/>
        <w:rPr>
          <w:rFonts w:ascii="宋体" w:hAnsi="宋体" w:cs="宋体"/>
          <w:color w:val="auto"/>
          <w:sz w:val="18"/>
          <w:szCs w:val="18"/>
          <w:highlight w:val="none"/>
        </w:rPr>
      </w:pPr>
      <w:r>
        <w:rPr>
          <w:rFonts w:hint="eastAsia" w:ascii="宋体" w:hAnsi="宋体" w:cs="宋体"/>
          <w:color w:val="auto"/>
          <w:sz w:val="18"/>
          <w:szCs w:val="18"/>
          <w:highlight w:val="none"/>
        </w:rPr>
        <w:t>统一社会信用代码：</w:t>
      </w:r>
    </w:p>
    <w:p w14:paraId="458986F7">
      <w:pPr>
        <w:spacing w:line="520" w:lineRule="exact"/>
        <w:ind w:firstLine="2880" w:firstLineChars="1600"/>
        <w:rPr>
          <w:rFonts w:ascii="宋体" w:hAnsi="宋体" w:cs="宋体"/>
          <w:color w:val="auto"/>
          <w:sz w:val="18"/>
          <w:szCs w:val="18"/>
          <w:highlight w:val="none"/>
        </w:rPr>
      </w:pPr>
      <w:r>
        <w:rPr>
          <w:rFonts w:hint="eastAsia" w:ascii="宋体" w:hAnsi="宋体" w:cs="宋体"/>
          <w:color w:val="auto"/>
          <w:sz w:val="18"/>
          <w:szCs w:val="18"/>
          <w:highlight w:val="none"/>
        </w:rPr>
        <w:t>法定代表人或授权代表(签名)：</w:t>
      </w:r>
    </w:p>
    <w:p w14:paraId="480B954F">
      <w:pPr>
        <w:spacing w:line="520" w:lineRule="exact"/>
        <w:ind w:firstLine="3960" w:firstLineChars="2200"/>
        <w:rPr>
          <w:rFonts w:ascii="宋体" w:hAnsi="宋体" w:cs="宋体"/>
          <w:color w:val="auto"/>
          <w:sz w:val="18"/>
          <w:szCs w:val="18"/>
          <w:highlight w:val="none"/>
        </w:rPr>
      </w:pPr>
      <w:r>
        <w:rPr>
          <w:rFonts w:hint="eastAsia" w:ascii="宋体" w:hAnsi="宋体" w:cs="宋体"/>
          <w:color w:val="auto"/>
          <w:sz w:val="18"/>
          <w:szCs w:val="18"/>
          <w:highlight w:val="none"/>
        </w:rPr>
        <w:t>日期： 年 月 日</w:t>
      </w:r>
    </w:p>
    <w:p w14:paraId="7F6BE0E5">
      <w:pPr>
        <w:autoSpaceDE w:val="0"/>
        <w:autoSpaceDN w:val="0"/>
        <w:adjustRightInd w:val="0"/>
        <w:rPr>
          <w:rFonts w:ascii="宋体" w:cs="宋体"/>
          <w:color w:val="auto"/>
          <w:sz w:val="18"/>
          <w:szCs w:val="18"/>
          <w:highlight w:val="none"/>
        </w:rPr>
      </w:pPr>
    </w:p>
    <w:p w14:paraId="689FB24A">
      <w:pPr>
        <w:autoSpaceDE w:val="0"/>
        <w:autoSpaceDN w:val="0"/>
        <w:adjustRightInd w:val="0"/>
        <w:rPr>
          <w:rFonts w:ascii="宋体" w:cs="宋体"/>
          <w:color w:val="auto"/>
          <w:sz w:val="18"/>
          <w:szCs w:val="18"/>
          <w:highlight w:val="none"/>
        </w:rPr>
      </w:pPr>
    </w:p>
    <w:p w14:paraId="5187BFE3">
      <w:pPr>
        <w:autoSpaceDE w:val="0"/>
        <w:autoSpaceDN w:val="0"/>
        <w:adjustRightInd w:val="0"/>
        <w:rPr>
          <w:rFonts w:ascii="宋体" w:cs="宋体"/>
          <w:color w:val="auto"/>
          <w:sz w:val="18"/>
          <w:szCs w:val="18"/>
          <w:highlight w:val="none"/>
        </w:rPr>
      </w:pPr>
    </w:p>
    <w:p w14:paraId="5FD93CBB">
      <w:pPr>
        <w:autoSpaceDE w:val="0"/>
        <w:autoSpaceDN w:val="0"/>
        <w:adjustRightInd w:val="0"/>
        <w:rPr>
          <w:rFonts w:ascii="宋体" w:cs="宋体"/>
          <w:color w:val="auto"/>
          <w:sz w:val="18"/>
          <w:szCs w:val="18"/>
          <w:highlight w:val="none"/>
        </w:rPr>
      </w:pPr>
    </w:p>
    <w:p w14:paraId="2BFBC6E6">
      <w:pPr>
        <w:autoSpaceDE w:val="0"/>
        <w:autoSpaceDN w:val="0"/>
        <w:adjustRightInd w:val="0"/>
        <w:rPr>
          <w:rFonts w:ascii="宋体" w:cs="宋体"/>
          <w:color w:val="auto"/>
          <w:sz w:val="18"/>
          <w:szCs w:val="18"/>
          <w:highlight w:val="none"/>
        </w:rPr>
      </w:pPr>
    </w:p>
    <w:p w14:paraId="750A2DC8">
      <w:pPr>
        <w:autoSpaceDE w:val="0"/>
        <w:autoSpaceDN w:val="0"/>
        <w:adjustRightInd w:val="0"/>
        <w:rPr>
          <w:rFonts w:ascii="宋体" w:cs="宋体"/>
          <w:color w:val="auto"/>
          <w:sz w:val="18"/>
          <w:szCs w:val="18"/>
          <w:highlight w:val="none"/>
        </w:rPr>
      </w:pPr>
    </w:p>
    <w:p w14:paraId="228B55C2">
      <w:pPr>
        <w:autoSpaceDE w:val="0"/>
        <w:autoSpaceDN w:val="0"/>
        <w:adjustRightInd w:val="0"/>
        <w:rPr>
          <w:rFonts w:ascii="宋体" w:cs="宋体"/>
          <w:color w:val="auto"/>
          <w:sz w:val="18"/>
          <w:szCs w:val="18"/>
          <w:highlight w:val="none"/>
        </w:rPr>
      </w:pPr>
    </w:p>
    <w:p w14:paraId="5665AFF1">
      <w:pPr>
        <w:spacing w:after="120" w:line="440" w:lineRule="exact"/>
        <w:rPr>
          <w:rFonts w:ascii="黑体" w:hAnsi="黑体" w:eastAsia="黑体" w:cs="黑体"/>
          <w:color w:val="auto"/>
          <w:spacing w:val="2"/>
          <w:sz w:val="18"/>
          <w:szCs w:val="18"/>
          <w:highlight w:val="none"/>
        </w:rPr>
      </w:pPr>
      <w:r>
        <w:rPr>
          <w:rFonts w:hint="eastAsia" w:ascii="黑体" w:hAnsi="黑体" w:eastAsia="黑体" w:cs="黑体"/>
          <w:color w:val="auto"/>
          <w:spacing w:val="2"/>
          <w:sz w:val="18"/>
          <w:szCs w:val="18"/>
          <w:highlight w:val="none"/>
        </w:rPr>
        <w:t>注：1.供应商须在投标（响应）文件中按此模板提供承诺函，未提供视为未实质性响应招标（采购）文件要求，按无效投标（响应）处理。</w:t>
      </w:r>
    </w:p>
    <w:p w14:paraId="161BA0CC">
      <w:pPr>
        <w:snapToGrid w:val="0"/>
        <w:spacing w:before="50" w:after="120" w:afterLines="50" w:line="400" w:lineRule="exact"/>
        <w:jc w:val="left"/>
        <w:rPr>
          <w:bCs/>
          <w:color w:val="auto"/>
          <w:sz w:val="18"/>
          <w:szCs w:val="18"/>
          <w:highlight w:val="none"/>
        </w:rPr>
      </w:pPr>
      <w:r>
        <w:rPr>
          <w:rFonts w:hint="eastAsia" w:ascii="黑体" w:hAnsi="黑体" w:eastAsia="黑体" w:cs="黑体"/>
          <w:color w:val="auto"/>
          <w:spacing w:val="2"/>
          <w:sz w:val="18"/>
          <w:szCs w:val="18"/>
          <w:highlight w:val="none"/>
        </w:rPr>
        <w:t>2.供应商的法定代表人（其他组织的为负责人）或者授权代表的签名或盖章应真实、有效，如由授权代表签名或盖章的，应提供“法定代表人授权书”。</w:t>
      </w:r>
    </w:p>
    <w:p w14:paraId="3CF46955">
      <w:pPr>
        <w:snapToGrid w:val="0"/>
        <w:spacing w:before="50" w:after="120" w:afterLines="50" w:line="400" w:lineRule="exact"/>
        <w:jc w:val="left"/>
        <w:rPr>
          <w:bCs/>
          <w:color w:val="auto"/>
          <w:sz w:val="18"/>
          <w:szCs w:val="18"/>
          <w:highlight w:val="none"/>
        </w:rPr>
      </w:pPr>
      <w:r>
        <w:rPr>
          <w:rFonts w:hint="eastAsia"/>
          <w:color w:val="auto"/>
          <w:sz w:val="18"/>
          <w:szCs w:val="18"/>
          <w:highlight w:val="none"/>
        </w:rPr>
        <w:t>12</w:t>
      </w:r>
      <w:r>
        <w:rPr>
          <w:color w:val="auto"/>
          <w:sz w:val="18"/>
          <w:szCs w:val="18"/>
          <w:highlight w:val="none"/>
        </w:rPr>
        <w:t>．供应商认为应当要提交的</w:t>
      </w:r>
      <w:r>
        <w:rPr>
          <w:rFonts w:hint="eastAsia"/>
          <w:color w:val="auto"/>
          <w:sz w:val="18"/>
          <w:szCs w:val="18"/>
          <w:highlight w:val="none"/>
        </w:rPr>
        <w:t>其他</w:t>
      </w:r>
      <w:r>
        <w:rPr>
          <w:color w:val="auto"/>
          <w:sz w:val="18"/>
          <w:szCs w:val="18"/>
          <w:highlight w:val="none"/>
        </w:rPr>
        <w:t>资格证明材料。</w:t>
      </w:r>
      <w:r>
        <w:rPr>
          <w:bCs/>
          <w:color w:val="auto"/>
          <w:sz w:val="18"/>
          <w:szCs w:val="18"/>
          <w:highlight w:val="none"/>
        </w:rPr>
        <w:t xml:space="preserve"> </w:t>
      </w:r>
    </w:p>
    <w:p w14:paraId="0779B6B4">
      <w:pPr>
        <w:snapToGrid w:val="0"/>
        <w:spacing w:before="120" w:beforeLines="50" w:after="50" w:line="440" w:lineRule="exact"/>
        <w:outlineLvl w:val="1"/>
        <w:rPr>
          <w:bCs/>
          <w:color w:val="auto"/>
          <w:sz w:val="18"/>
          <w:szCs w:val="18"/>
          <w:highlight w:val="none"/>
        </w:rPr>
      </w:pPr>
      <w:r>
        <w:rPr>
          <w:color w:val="auto"/>
          <w:sz w:val="18"/>
          <w:szCs w:val="18"/>
          <w:highlight w:val="none"/>
        </w:rPr>
        <w:br w:type="page"/>
      </w:r>
      <w:r>
        <w:rPr>
          <w:bCs/>
          <w:color w:val="auto"/>
          <w:sz w:val="18"/>
          <w:szCs w:val="18"/>
          <w:highlight w:val="none"/>
        </w:rPr>
        <w:t xml:space="preserve">第二部分 </w:t>
      </w:r>
      <w:r>
        <w:rPr>
          <w:rFonts w:hint="eastAsia"/>
          <w:bCs/>
          <w:color w:val="auto"/>
          <w:sz w:val="18"/>
          <w:szCs w:val="18"/>
          <w:highlight w:val="none"/>
        </w:rPr>
        <w:t>商务</w:t>
      </w:r>
      <w:r>
        <w:rPr>
          <w:bCs/>
          <w:color w:val="auto"/>
          <w:sz w:val="18"/>
          <w:szCs w:val="18"/>
          <w:highlight w:val="none"/>
        </w:rPr>
        <w:t>技术文件</w:t>
      </w:r>
    </w:p>
    <w:p w14:paraId="6362BC2E">
      <w:pPr>
        <w:snapToGrid w:val="0"/>
        <w:spacing w:before="120" w:beforeLines="50" w:after="50" w:line="360" w:lineRule="exact"/>
        <w:rPr>
          <w:b/>
          <w:color w:val="auto"/>
          <w:sz w:val="18"/>
          <w:szCs w:val="18"/>
          <w:highlight w:val="none"/>
        </w:rPr>
      </w:pPr>
      <w:bookmarkStart w:id="1121" w:name="_Toc455309222"/>
      <w:bookmarkStart w:id="1122" w:name="_Toc462320613"/>
      <w:bookmarkStart w:id="1123" w:name="_Toc462223472"/>
      <w:r>
        <w:rPr>
          <w:rFonts w:hint="eastAsia"/>
          <w:b/>
          <w:color w:val="auto"/>
          <w:sz w:val="18"/>
          <w:szCs w:val="18"/>
          <w:highlight w:val="none"/>
        </w:rPr>
        <w:t>1</w:t>
      </w:r>
      <w:r>
        <w:rPr>
          <w:b/>
          <w:color w:val="auto"/>
          <w:sz w:val="18"/>
          <w:szCs w:val="18"/>
          <w:highlight w:val="none"/>
        </w:rPr>
        <w:t>．法定代表人身份证明</w:t>
      </w:r>
      <w:r>
        <w:rPr>
          <w:rFonts w:hint="eastAsia"/>
          <w:b/>
          <w:color w:val="auto"/>
          <w:sz w:val="18"/>
          <w:szCs w:val="18"/>
          <w:highlight w:val="none"/>
        </w:rPr>
        <w:t>（无授权</w:t>
      </w:r>
      <w:r>
        <w:rPr>
          <w:b/>
          <w:color w:val="auto"/>
          <w:sz w:val="18"/>
          <w:szCs w:val="18"/>
          <w:highlight w:val="none"/>
        </w:rPr>
        <w:t>代表</w:t>
      </w:r>
      <w:r>
        <w:rPr>
          <w:rFonts w:hint="eastAsia"/>
          <w:b/>
          <w:color w:val="auto"/>
          <w:sz w:val="18"/>
          <w:szCs w:val="18"/>
          <w:highlight w:val="none"/>
        </w:rPr>
        <w:t>时提供）</w:t>
      </w:r>
      <w:r>
        <w:rPr>
          <w:b/>
          <w:color w:val="auto"/>
          <w:sz w:val="18"/>
          <w:szCs w:val="18"/>
          <w:highlight w:val="none"/>
        </w:rPr>
        <w:t>：</w:t>
      </w:r>
    </w:p>
    <w:p w14:paraId="5DDA11AB">
      <w:pPr>
        <w:pStyle w:val="197"/>
        <w:jc w:val="left"/>
        <w:rPr>
          <w:color w:val="auto"/>
          <w:sz w:val="18"/>
          <w:szCs w:val="18"/>
          <w:highlight w:val="none"/>
        </w:rPr>
      </w:pPr>
    </w:p>
    <w:p w14:paraId="11E4A89D">
      <w:pPr>
        <w:snapToGrid w:val="0"/>
        <w:spacing w:before="120" w:beforeLines="50" w:after="50" w:line="440" w:lineRule="exact"/>
        <w:jc w:val="center"/>
        <w:rPr>
          <w:b/>
          <w:color w:val="auto"/>
          <w:sz w:val="18"/>
          <w:szCs w:val="18"/>
          <w:highlight w:val="none"/>
        </w:rPr>
      </w:pPr>
      <w:r>
        <w:rPr>
          <w:b/>
          <w:color w:val="auto"/>
          <w:sz w:val="18"/>
          <w:szCs w:val="18"/>
          <w:highlight w:val="none"/>
        </w:rPr>
        <w:t>法定代表人身份证明</w:t>
      </w:r>
      <w:bookmarkEnd w:id="1121"/>
      <w:bookmarkEnd w:id="1122"/>
      <w:bookmarkEnd w:id="1123"/>
    </w:p>
    <w:p w14:paraId="0C253A33">
      <w:pPr>
        <w:spacing w:line="360" w:lineRule="auto"/>
        <w:rPr>
          <w:color w:val="auto"/>
          <w:sz w:val="18"/>
          <w:szCs w:val="18"/>
          <w:highlight w:val="none"/>
        </w:rPr>
      </w:pPr>
    </w:p>
    <w:p w14:paraId="0B365B9F">
      <w:pPr>
        <w:spacing w:line="360" w:lineRule="auto"/>
        <w:rPr>
          <w:color w:val="auto"/>
          <w:sz w:val="18"/>
          <w:szCs w:val="18"/>
          <w:highlight w:val="none"/>
        </w:rPr>
      </w:pPr>
    </w:p>
    <w:p w14:paraId="3F6592DE">
      <w:pPr>
        <w:spacing w:line="540" w:lineRule="exact"/>
        <w:rPr>
          <w:color w:val="auto"/>
          <w:sz w:val="18"/>
          <w:szCs w:val="18"/>
          <w:highlight w:val="none"/>
        </w:rPr>
      </w:pPr>
      <w:r>
        <w:rPr>
          <w:color w:val="auto"/>
          <w:sz w:val="18"/>
          <w:szCs w:val="18"/>
          <w:highlight w:val="none"/>
        </w:rPr>
        <w:t>供应商名称：</w:t>
      </w:r>
      <w:r>
        <w:rPr>
          <w:color w:val="auto"/>
          <w:sz w:val="18"/>
          <w:szCs w:val="18"/>
          <w:highlight w:val="none"/>
          <w:u w:val="single"/>
        </w:rPr>
        <w:t xml:space="preserve">                                         </w:t>
      </w:r>
    </w:p>
    <w:p w14:paraId="36C019A7">
      <w:pPr>
        <w:spacing w:line="540" w:lineRule="exact"/>
        <w:rPr>
          <w:color w:val="auto"/>
          <w:sz w:val="18"/>
          <w:szCs w:val="18"/>
          <w:highlight w:val="none"/>
        </w:rPr>
      </w:pPr>
      <w:r>
        <w:rPr>
          <w:color w:val="auto"/>
          <w:sz w:val="18"/>
          <w:szCs w:val="18"/>
          <w:highlight w:val="none"/>
        </w:rPr>
        <w:t>单位性质：</w:t>
      </w:r>
      <w:r>
        <w:rPr>
          <w:color w:val="auto"/>
          <w:sz w:val="18"/>
          <w:szCs w:val="18"/>
          <w:highlight w:val="none"/>
          <w:u w:val="single"/>
        </w:rPr>
        <w:t xml:space="preserve">                                           </w:t>
      </w:r>
    </w:p>
    <w:p w14:paraId="02A4EEB1">
      <w:pPr>
        <w:spacing w:line="540" w:lineRule="exact"/>
        <w:rPr>
          <w:color w:val="auto"/>
          <w:sz w:val="18"/>
          <w:szCs w:val="18"/>
          <w:highlight w:val="none"/>
        </w:rPr>
      </w:pPr>
      <w:r>
        <w:rPr>
          <w:color w:val="auto"/>
          <w:sz w:val="18"/>
          <w:szCs w:val="18"/>
          <w:highlight w:val="none"/>
        </w:rPr>
        <w:t>地址：</w:t>
      </w:r>
      <w:r>
        <w:rPr>
          <w:color w:val="auto"/>
          <w:sz w:val="18"/>
          <w:szCs w:val="18"/>
          <w:highlight w:val="none"/>
          <w:u w:val="single"/>
        </w:rPr>
        <w:t xml:space="preserve">                                               </w:t>
      </w:r>
    </w:p>
    <w:p w14:paraId="0C65B9AC">
      <w:pPr>
        <w:spacing w:line="540" w:lineRule="exact"/>
        <w:rPr>
          <w:color w:val="auto"/>
          <w:sz w:val="18"/>
          <w:szCs w:val="18"/>
          <w:highlight w:val="none"/>
          <w:u w:val="single"/>
        </w:rPr>
      </w:pPr>
      <w:r>
        <w:rPr>
          <w:color w:val="auto"/>
          <w:sz w:val="18"/>
          <w:szCs w:val="18"/>
          <w:highlight w:val="none"/>
        </w:rPr>
        <w:t>成立时间：</w:t>
      </w:r>
      <w:r>
        <w:rPr>
          <w:color w:val="auto"/>
          <w:sz w:val="18"/>
          <w:szCs w:val="18"/>
          <w:highlight w:val="none"/>
          <w:u w:val="single"/>
        </w:rPr>
        <w:t xml:space="preserve">          年        月        日</w:t>
      </w:r>
    </w:p>
    <w:p w14:paraId="3590A5E6">
      <w:pPr>
        <w:spacing w:line="540" w:lineRule="exact"/>
        <w:rPr>
          <w:color w:val="auto"/>
          <w:sz w:val="18"/>
          <w:szCs w:val="18"/>
          <w:highlight w:val="none"/>
        </w:rPr>
      </w:pPr>
      <w:r>
        <w:rPr>
          <w:color w:val="auto"/>
          <w:sz w:val="18"/>
          <w:szCs w:val="18"/>
          <w:highlight w:val="none"/>
        </w:rPr>
        <w:t>经营期限：</w:t>
      </w:r>
      <w:r>
        <w:rPr>
          <w:color w:val="auto"/>
          <w:sz w:val="18"/>
          <w:szCs w:val="18"/>
          <w:highlight w:val="none"/>
          <w:u w:val="single"/>
        </w:rPr>
        <w:t xml:space="preserve">                                           </w:t>
      </w:r>
    </w:p>
    <w:p w14:paraId="09392BAF">
      <w:pPr>
        <w:spacing w:line="540" w:lineRule="exact"/>
        <w:rPr>
          <w:color w:val="auto"/>
          <w:sz w:val="18"/>
          <w:szCs w:val="18"/>
          <w:highlight w:val="none"/>
        </w:rPr>
      </w:pPr>
      <w:r>
        <w:rPr>
          <w:color w:val="auto"/>
          <w:sz w:val="18"/>
          <w:szCs w:val="18"/>
          <w:highlight w:val="none"/>
        </w:rPr>
        <w:t>姓名：</w:t>
      </w:r>
      <w:r>
        <w:rPr>
          <w:color w:val="auto"/>
          <w:sz w:val="18"/>
          <w:szCs w:val="18"/>
          <w:highlight w:val="none"/>
          <w:u w:val="single"/>
        </w:rPr>
        <w:t xml:space="preserve">                   </w:t>
      </w:r>
      <w:r>
        <w:rPr>
          <w:color w:val="auto"/>
          <w:sz w:val="18"/>
          <w:szCs w:val="18"/>
          <w:highlight w:val="none"/>
        </w:rPr>
        <w:t>；性别：</w:t>
      </w:r>
      <w:r>
        <w:rPr>
          <w:color w:val="auto"/>
          <w:sz w:val="18"/>
          <w:szCs w:val="18"/>
          <w:highlight w:val="none"/>
          <w:u w:val="single"/>
        </w:rPr>
        <w:t xml:space="preserve">              </w:t>
      </w:r>
      <w:r>
        <w:rPr>
          <w:color w:val="auto"/>
          <w:sz w:val="18"/>
          <w:szCs w:val="18"/>
          <w:highlight w:val="none"/>
        </w:rPr>
        <w:t xml:space="preserve">        </w:t>
      </w:r>
    </w:p>
    <w:p w14:paraId="714D9989">
      <w:pPr>
        <w:spacing w:line="540" w:lineRule="exact"/>
        <w:rPr>
          <w:color w:val="auto"/>
          <w:sz w:val="18"/>
          <w:szCs w:val="18"/>
          <w:highlight w:val="none"/>
        </w:rPr>
      </w:pPr>
      <w:r>
        <w:rPr>
          <w:color w:val="auto"/>
          <w:sz w:val="18"/>
          <w:szCs w:val="18"/>
          <w:highlight w:val="none"/>
        </w:rPr>
        <w:t>年龄：</w:t>
      </w:r>
      <w:r>
        <w:rPr>
          <w:color w:val="auto"/>
          <w:sz w:val="18"/>
          <w:szCs w:val="18"/>
          <w:highlight w:val="none"/>
          <w:u w:val="single"/>
        </w:rPr>
        <w:t xml:space="preserve">         </w:t>
      </w:r>
      <w:r>
        <w:rPr>
          <w:color w:val="auto"/>
          <w:sz w:val="18"/>
          <w:szCs w:val="18"/>
          <w:highlight w:val="none"/>
        </w:rPr>
        <w:t>；职务：</w:t>
      </w:r>
      <w:r>
        <w:rPr>
          <w:color w:val="auto"/>
          <w:sz w:val="18"/>
          <w:szCs w:val="18"/>
          <w:highlight w:val="none"/>
          <w:u w:val="single"/>
        </w:rPr>
        <w:t xml:space="preserve">              </w:t>
      </w:r>
      <w:r>
        <w:rPr>
          <w:color w:val="auto"/>
          <w:sz w:val="18"/>
          <w:szCs w:val="18"/>
          <w:highlight w:val="none"/>
        </w:rPr>
        <w:t>；身份证号码：</w:t>
      </w:r>
      <w:r>
        <w:rPr>
          <w:color w:val="auto"/>
          <w:sz w:val="18"/>
          <w:szCs w:val="18"/>
          <w:highlight w:val="none"/>
          <w:u w:val="single"/>
        </w:rPr>
        <w:t xml:space="preserve">                                      </w:t>
      </w:r>
    </w:p>
    <w:p w14:paraId="4908091E">
      <w:pPr>
        <w:spacing w:line="540" w:lineRule="exact"/>
        <w:rPr>
          <w:color w:val="auto"/>
          <w:sz w:val="18"/>
          <w:szCs w:val="18"/>
          <w:highlight w:val="none"/>
        </w:rPr>
      </w:pPr>
      <w:r>
        <w:rPr>
          <w:color w:val="auto"/>
          <w:sz w:val="18"/>
          <w:szCs w:val="18"/>
          <w:highlight w:val="none"/>
        </w:rPr>
        <w:t>系</w:t>
      </w:r>
      <w:r>
        <w:rPr>
          <w:color w:val="auto"/>
          <w:sz w:val="18"/>
          <w:szCs w:val="18"/>
          <w:highlight w:val="none"/>
          <w:u w:val="single"/>
        </w:rPr>
        <w:t xml:space="preserve">                                      （ 供应商名称）</w:t>
      </w:r>
      <w:r>
        <w:rPr>
          <w:color w:val="auto"/>
          <w:sz w:val="18"/>
          <w:szCs w:val="18"/>
          <w:highlight w:val="none"/>
        </w:rPr>
        <w:t>的法定代表人。</w:t>
      </w:r>
    </w:p>
    <w:p w14:paraId="5452908D">
      <w:pPr>
        <w:spacing w:line="540" w:lineRule="exact"/>
        <w:rPr>
          <w:color w:val="auto"/>
          <w:sz w:val="18"/>
          <w:szCs w:val="18"/>
          <w:highlight w:val="none"/>
        </w:rPr>
      </w:pPr>
    </w:p>
    <w:p w14:paraId="7E804417">
      <w:pPr>
        <w:spacing w:line="540" w:lineRule="exact"/>
        <w:ind w:firstLine="360" w:firstLineChars="200"/>
        <w:rPr>
          <w:color w:val="auto"/>
          <w:sz w:val="18"/>
          <w:szCs w:val="18"/>
          <w:highlight w:val="none"/>
        </w:rPr>
      </w:pPr>
      <w:r>
        <w:rPr>
          <w:color w:val="auto"/>
          <w:sz w:val="18"/>
          <w:szCs w:val="18"/>
          <w:highlight w:val="none"/>
        </w:rPr>
        <w:t>特此证明。</w:t>
      </w:r>
    </w:p>
    <w:p w14:paraId="19C12284">
      <w:pPr>
        <w:spacing w:line="360" w:lineRule="auto"/>
        <w:ind w:firstLine="360" w:firstLineChars="200"/>
        <w:rPr>
          <w:color w:val="auto"/>
          <w:sz w:val="18"/>
          <w:szCs w:val="18"/>
          <w:highlight w:val="none"/>
        </w:rPr>
      </w:pPr>
    </w:p>
    <w:p w14:paraId="2155D4AF">
      <w:pPr>
        <w:spacing w:line="360" w:lineRule="auto"/>
        <w:ind w:firstLine="4140" w:firstLineChars="2300"/>
        <w:rPr>
          <w:color w:val="auto"/>
          <w:sz w:val="18"/>
          <w:szCs w:val="18"/>
          <w:highlight w:val="none"/>
        </w:rPr>
      </w:pPr>
      <w:r>
        <w:rPr>
          <w:color w:val="auto"/>
          <w:sz w:val="18"/>
          <w:szCs w:val="18"/>
          <w:highlight w:val="none"/>
        </w:rPr>
        <w:t>供应商</w:t>
      </w:r>
      <w:r>
        <w:rPr>
          <w:rFonts w:hint="eastAsia"/>
          <w:color w:val="auto"/>
          <w:sz w:val="18"/>
          <w:szCs w:val="18"/>
          <w:highlight w:val="none"/>
        </w:rPr>
        <w:t>名称（电子签章）</w:t>
      </w:r>
      <w:r>
        <w:rPr>
          <w:color w:val="auto"/>
          <w:sz w:val="18"/>
          <w:szCs w:val="18"/>
          <w:highlight w:val="none"/>
        </w:rPr>
        <w:t>：</w:t>
      </w:r>
      <w:r>
        <w:rPr>
          <w:color w:val="auto"/>
          <w:sz w:val="18"/>
          <w:szCs w:val="18"/>
          <w:highlight w:val="none"/>
          <w:u w:val="single"/>
        </w:rPr>
        <w:t xml:space="preserve">                </w:t>
      </w:r>
    </w:p>
    <w:p w14:paraId="74CCEFEC">
      <w:pPr>
        <w:spacing w:line="360" w:lineRule="auto"/>
        <w:rPr>
          <w:color w:val="auto"/>
          <w:sz w:val="18"/>
          <w:szCs w:val="18"/>
          <w:highlight w:val="none"/>
        </w:rPr>
      </w:pPr>
      <w:r>
        <w:rPr>
          <w:color w:val="auto"/>
          <w:sz w:val="18"/>
          <w:szCs w:val="18"/>
          <w:highlight w:val="none"/>
        </w:rPr>
        <w:t xml:space="preserve">                                                   年       月       日 </w:t>
      </w:r>
    </w:p>
    <w:p w14:paraId="751D3355">
      <w:pPr>
        <w:spacing w:line="360" w:lineRule="auto"/>
        <w:ind w:firstLine="360" w:firstLineChars="200"/>
        <w:rPr>
          <w:color w:val="auto"/>
          <w:sz w:val="18"/>
          <w:szCs w:val="18"/>
          <w:highlight w:val="none"/>
        </w:rPr>
      </w:pPr>
    </w:p>
    <w:p w14:paraId="7C4734CB">
      <w:pPr>
        <w:spacing w:line="360" w:lineRule="auto"/>
        <w:rPr>
          <w:color w:val="auto"/>
          <w:sz w:val="18"/>
          <w:szCs w:val="18"/>
          <w:highlight w:val="none"/>
        </w:rPr>
      </w:pPr>
      <w:r>
        <w:rPr>
          <w:color w:val="auto"/>
          <w:sz w:val="18"/>
          <w:szCs w:val="18"/>
          <w:highlight w:val="none"/>
        </w:rPr>
        <w:t>附件：法定代表人身份证</w:t>
      </w:r>
      <w:r>
        <w:rPr>
          <w:rFonts w:hint="eastAsia"/>
          <w:color w:val="auto"/>
          <w:sz w:val="18"/>
          <w:szCs w:val="18"/>
          <w:highlight w:val="none"/>
        </w:rPr>
        <w:t>扫描件</w:t>
      </w:r>
    </w:p>
    <w:p w14:paraId="52C145C2">
      <w:pPr>
        <w:spacing w:line="360" w:lineRule="auto"/>
        <w:rPr>
          <w:color w:val="auto"/>
          <w:sz w:val="18"/>
          <w:szCs w:val="18"/>
          <w:highlight w:val="none"/>
        </w:rPr>
      </w:pPr>
    </w:p>
    <w:p w14:paraId="5B9E009C">
      <w:pPr>
        <w:snapToGrid w:val="0"/>
        <w:spacing w:before="120" w:beforeLines="50" w:after="50" w:line="360" w:lineRule="exact"/>
        <w:rPr>
          <w:b/>
          <w:color w:val="auto"/>
          <w:sz w:val="18"/>
          <w:szCs w:val="18"/>
          <w:highlight w:val="none"/>
        </w:rPr>
      </w:pPr>
      <w:r>
        <w:rPr>
          <w:b/>
          <w:color w:val="auto"/>
          <w:sz w:val="18"/>
          <w:szCs w:val="18"/>
          <w:highlight w:val="none"/>
        </w:rPr>
        <w:br w:type="page"/>
      </w:r>
      <w:r>
        <w:rPr>
          <w:rFonts w:hint="eastAsia"/>
          <w:b/>
          <w:color w:val="auto"/>
          <w:sz w:val="18"/>
          <w:szCs w:val="18"/>
          <w:highlight w:val="none"/>
        </w:rPr>
        <w:t>1</w:t>
      </w:r>
      <w:r>
        <w:rPr>
          <w:b/>
          <w:color w:val="auto"/>
          <w:sz w:val="18"/>
          <w:szCs w:val="18"/>
          <w:highlight w:val="none"/>
        </w:rPr>
        <w:t>．</w:t>
      </w:r>
      <w:r>
        <w:rPr>
          <w:rFonts w:hint="eastAsia"/>
          <w:b/>
          <w:color w:val="auto"/>
          <w:sz w:val="18"/>
          <w:szCs w:val="18"/>
          <w:highlight w:val="none"/>
        </w:rPr>
        <w:t>授权</w:t>
      </w:r>
      <w:r>
        <w:rPr>
          <w:b/>
          <w:color w:val="auto"/>
          <w:sz w:val="18"/>
          <w:szCs w:val="18"/>
          <w:highlight w:val="none"/>
        </w:rPr>
        <w:t>委托书</w:t>
      </w:r>
      <w:r>
        <w:rPr>
          <w:rFonts w:hint="eastAsia"/>
          <w:b/>
          <w:color w:val="auto"/>
          <w:sz w:val="18"/>
          <w:szCs w:val="18"/>
          <w:highlight w:val="none"/>
        </w:rPr>
        <w:t>（有授权</w:t>
      </w:r>
      <w:r>
        <w:rPr>
          <w:b/>
          <w:color w:val="auto"/>
          <w:sz w:val="18"/>
          <w:szCs w:val="18"/>
          <w:highlight w:val="none"/>
        </w:rPr>
        <w:t>代表</w:t>
      </w:r>
      <w:r>
        <w:rPr>
          <w:rFonts w:hint="eastAsia"/>
          <w:b/>
          <w:color w:val="auto"/>
          <w:sz w:val="18"/>
          <w:szCs w:val="18"/>
          <w:highlight w:val="none"/>
        </w:rPr>
        <w:t>时提供）</w:t>
      </w:r>
      <w:r>
        <w:rPr>
          <w:b/>
          <w:color w:val="auto"/>
          <w:sz w:val="18"/>
          <w:szCs w:val="18"/>
          <w:highlight w:val="none"/>
        </w:rPr>
        <w:t>：</w:t>
      </w:r>
    </w:p>
    <w:p w14:paraId="578A5868">
      <w:pPr>
        <w:snapToGrid w:val="0"/>
        <w:spacing w:before="120" w:beforeLines="50" w:after="50" w:line="360" w:lineRule="exact"/>
        <w:rPr>
          <w:b/>
          <w:color w:val="auto"/>
          <w:sz w:val="18"/>
          <w:szCs w:val="18"/>
          <w:highlight w:val="none"/>
        </w:rPr>
      </w:pPr>
    </w:p>
    <w:p w14:paraId="716E71A8">
      <w:pPr>
        <w:snapToGrid w:val="0"/>
        <w:spacing w:before="120" w:beforeLines="50" w:after="50" w:line="440" w:lineRule="exact"/>
        <w:jc w:val="center"/>
        <w:rPr>
          <w:b/>
          <w:color w:val="auto"/>
          <w:sz w:val="18"/>
          <w:szCs w:val="18"/>
          <w:highlight w:val="none"/>
        </w:rPr>
      </w:pPr>
      <w:r>
        <w:rPr>
          <w:b/>
          <w:color w:val="auto"/>
          <w:sz w:val="18"/>
          <w:szCs w:val="18"/>
          <w:highlight w:val="none"/>
        </w:rPr>
        <w:t>法定代表人授权委托书</w:t>
      </w:r>
    </w:p>
    <w:p w14:paraId="350B3F1B">
      <w:pPr>
        <w:snapToGrid w:val="0"/>
        <w:spacing w:before="120" w:beforeLines="50" w:after="50" w:line="440" w:lineRule="exact"/>
        <w:rPr>
          <w:b/>
          <w:bCs/>
          <w:color w:val="auto"/>
          <w:sz w:val="18"/>
          <w:szCs w:val="18"/>
          <w:highlight w:val="none"/>
        </w:rPr>
      </w:pPr>
      <w:r>
        <w:rPr>
          <w:bCs/>
          <w:color w:val="auto"/>
          <w:sz w:val="18"/>
          <w:szCs w:val="18"/>
          <w:highlight w:val="none"/>
        </w:rPr>
        <w:t>致：</w:t>
      </w:r>
      <w:r>
        <w:rPr>
          <w:i/>
          <w:iCs/>
          <w:color w:val="auto"/>
          <w:sz w:val="18"/>
          <w:szCs w:val="18"/>
          <w:highlight w:val="none"/>
          <w:u w:val="single"/>
        </w:rPr>
        <w:t>（采购</w:t>
      </w:r>
      <w:r>
        <w:rPr>
          <w:rFonts w:hint="eastAsia"/>
          <w:i/>
          <w:iCs/>
          <w:color w:val="auto"/>
          <w:sz w:val="18"/>
          <w:szCs w:val="18"/>
          <w:highlight w:val="none"/>
          <w:u w:val="single"/>
        </w:rPr>
        <w:t>人</w:t>
      </w:r>
      <w:r>
        <w:rPr>
          <w:i/>
          <w:iCs/>
          <w:color w:val="auto"/>
          <w:sz w:val="18"/>
          <w:szCs w:val="18"/>
          <w:highlight w:val="none"/>
          <w:u w:val="single"/>
        </w:rPr>
        <w:t>名称）</w:t>
      </w:r>
      <w:r>
        <w:rPr>
          <w:color w:val="auto"/>
          <w:sz w:val="18"/>
          <w:szCs w:val="18"/>
          <w:highlight w:val="none"/>
        </w:rPr>
        <w:t>：</w:t>
      </w:r>
    </w:p>
    <w:p w14:paraId="0B80B911">
      <w:pPr>
        <w:snapToGrid w:val="0"/>
        <w:spacing w:before="120" w:beforeLines="50" w:after="50" w:line="440" w:lineRule="exact"/>
        <w:ind w:firstLine="360" w:firstLineChars="200"/>
        <w:rPr>
          <w:color w:val="auto"/>
          <w:sz w:val="18"/>
          <w:szCs w:val="18"/>
          <w:highlight w:val="none"/>
        </w:rPr>
      </w:pPr>
      <w:r>
        <w:rPr>
          <w:color w:val="auto"/>
          <w:sz w:val="18"/>
          <w:szCs w:val="18"/>
          <w:highlight w:val="none"/>
        </w:rPr>
        <w:t>我</w:t>
      </w:r>
      <w:r>
        <w:rPr>
          <w:i/>
          <w:iCs/>
          <w:color w:val="auto"/>
          <w:sz w:val="18"/>
          <w:szCs w:val="18"/>
          <w:highlight w:val="none"/>
          <w:u w:val="single"/>
        </w:rPr>
        <w:t>（</w:t>
      </w:r>
      <w:r>
        <w:rPr>
          <w:rFonts w:hint="eastAsia"/>
          <w:i/>
          <w:iCs/>
          <w:color w:val="auto"/>
          <w:sz w:val="18"/>
          <w:szCs w:val="18"/>
          <w:highlight w:val="none"/>
          <w:u w:val="single"/>
        </w:rPr>
        <w:t>姓名</w:t>
      </w:r>
      <w:r>
        <w:rPr>
          <w:i/>
          <w:iCs/>
          <w:color w:val="auto"/>
          <w:sz w:val="18"/>
          <w:szCs w:val="18"/>
          <w:highlight w:val="none"/>
          <w:u w:val="single"/>
        </w:rPr>
        <w:t>）</w:t>
      </w:r>
      <w:r>
        <w:rPr>
          <w:color w:val="auto"/>
          <w:sz w:val="18"/>
          <w:szCs w:val="18"/>
          <w:highlight w:val="none"/>
        </w:rPr>
        <w:t>系</w:t>
      </w:r>
      <w:r>
        <w:rPr>
          <w:i/>
          <w:iCs/>
          <w:color w:val="auto"/>
          <w:sz w:val="18"/>
          <w:szCs w:val="18"/>
          <w:highlight w:val="none"/>
          <w:u w:val="single"/>
        </w:rPr>
        <w:t>（供应商名称）</w:t>
      </w:r>
      <w:r>
        <w:rPr>
          <w:color w:val="auto"/>
          <w:sz w:val="18"/>
          <w:szCs w:val="18"/>
          <w:highlight w:val="none"/>
        </w:rPr>
        <w:t>的法定代表人，现授权委托本单位在职职工</w:t>
      </w:r>
      <w:r>
        <w:rPr>
          <w:i/>
          <w:color w:val="auto"/>
          <w:sz w:val="18"/>
          <w:szCs w:val="18"/>
          <w:highlight w:val="none"/>
          <w:u w:val="single"/>
        </w:rPr>
        <w:t>（姓名）</w:t>
      </w:r>
      <w:r>
        <w:rPr>
          <w:color w:val="auto"/>
          <w:sz w:val="18"/>
          <w:szCs w:val="18"/>
          <w:highlight w:val="none"/>
        </w:rPr>
        <w:t>以我方的名义参加</w:t>
      </w:r>
      <w:r>
        <w:rPr>
          <w:color w:val="auto"/>
          <w:sz w:val="18"/>
          <w:szCs w:val="18"/>
          <w:highlight w:val="none"/>
          <w:u w:val="single"/>
        </w:rPr>
        <w:t xml:space="preserve"> </w:t>
      </w:r>
      <w:r>
        <w:rPr>
          <w:rFonts w:hint="eastAsia"/>
          <w:i/>
          <w:iCs/>
          <w:color w:val="auto"/>
          <w:sz w:val="18"/>
          <w:szCs w:val="18"/>
          <w:highlight w:val="none"/>
          <w:u w:val="single"/>
        </w:rPr>
        <w:t>（项目名称）</w:t>
      </w:r>
      <w:r>
        <w:rPr>
          <w:color w:val="auto"/>
          <w:sz w:val="18"/>
          <w:szCs w:val="18"/>
          <w:highlight w:val="none"/>
          <w:u w:val="single"/>
        </w:rPr>
        <w:t xml:space="preserve"> </w:t>
      </w:r>
      <w:r>
        <w:rPr>
          <w:color w:val="auto"/>
          <w:sz w:val="18"/>
          <w:szCs w:val="18"/>
          <w:highlight w:val="none"/>
        </w:rPr>
        <w:t>项目的磋商活动，并代表我方全权办理针对上述项目的磋商、截标、评审、签约等具体事务和签署相关文件。</w:t>
      </w:r>
    </w:p>
    <w:p w14:paraId="644874E0">
      <w:pPr>
        <w:snapToGrid w:val="0"/>
        <w:spacing w:before="120" w:beforeLines="50" w:after="50" w:line="440" w:lineRule="exact"/>
        <w:rPr>
          <w:color w:val="auto"/>
          <w:sz w:val="18"/>
          <w:szCs w:val="18"/>
          <w:highlight w:val="none"/>
        </w:rPr>
      </w:pPr>
      <w:r>
        <w:rPr>
          <w:color w:val="auto"/>
          <w:sz w:val="18"/>
          <w:szCs w:val="18"/>
          <w:highlight w:val="none"/>
        </w:rPr>
        <w:t xml:space="preserve">    我方对被授权人的签名事项负全部责任。</w:t>
      </w:r>
    </w:p>
    <w:p w14:paraId="4AB89BF4">
      <w:pPr>
        <w:snapToGrid w:val="0"/>
        <w:spacing w:before="120" w:beforeLines="50" w:after="50" w:line="440" w:lineRule="exact"/>
        <w:ind w:firstLine="480"/>
        <w:rPr>
          <w:color w:val="auto"/>
          <w:sz w:val="18"/>
          <w:szCs w:val="18"/>
          <w:highlight w:val="none"/>
        </w:rPr>
      </w:pPr>
      <w:r>
        <w:rPr>
          <w:color w:val="auto"/>
          <w:sz w:val="18"/>
          <w:szCs w:val="18"/>
          <w:highlight w:val="none"/>
        </w:rPr>
        <w:t>在撤销授权的书面通知以前，本授权书一直有效。被授权人在授权书有效期内签署的所有文件不因授权的撤销而失效。</w:t>
      </w:r>
    </w:p>
    <w:p w14:paraId="2743ACAB">
      <w:pPr>
        <w:snapToGrid w:val="0"/>
        <w:spacing w:before="120" w:beforeLines="50" w:after="50" w:line="440" w:lineRule="exact"/>
        <w:ind w:firstLine="480"/>
        <w:rPr>
          <w:color w:val="auto"/>
          <w:sz w:val="18"/>
          <w:szCs w:val="18"/>
          <w:highlight w:val="none"/>
        </w:rPr>
      </w:pPr>
      <w:r>
        <w:rPr>
          <w:color w:val="auto"/>
          <w:sz w:val="18"/>
          <w:szCs w:val="18"/>
          <w:highlight w:val="none"/>
        </w:rPr>
        <w:t>被授权人无转委托权，特此委托。</w:t>
      </w:r>
    </w:p>
    <w:p w14:paraId="6A43EB78">
      <w:pPr>
        <w:snapToGrid w:val="0"/>
        <w:spacing w:before="120" w:beforeLines="50" w:after="50" w:line="440" w:lineRule="exact"/>
        <w:rPr>
          <w:color w:val="auto"/>
          <w:sz w:val="18"/>
          <w:szCs w:val="18"/>
          <w:highlight w:val="none"/>
          <w:u w:val="single"/>
        </w:rPr>
      </w:pPr>
      <w:r>
        <w:rPr>
          <w:color w:val="auto"/>
          <w:sz w:val="18"/>
          <w:szCs w:val="18"/>
          <w:highlight w:val="none"/>
        </w:rPr>
        <w:t>被授权人</w:t>
      </w:r>
      <w:bookmarkStart w:id="1124" w:name="_Hlk89190805"/>
      <w:r>
        <w:rPr>
          <w:color w:val="auto"/>
          <w:sz w:val="18"/>
          <w:szCs w:val="18"/>
          <w:highlight w:val="none"/>
        </w:rPr>
        <w:t>签名或</w:t>
      </w:r>
      <w:r>
        <w:rPr>
          <w:rFonts w:hint="eastAsia"/>
          <w:color w:val="auto"/>
          <w:sz w:val="18"/>
          <w:szCs w:val="18"/>
          <w:highlight w:val="none"/>
        </w:rPr>
        <w:t>签章</w:t>
      </w:r>
      <w:bookmarkEnd w:id="1124"/>
      <w:r>
        <w:rPr>
          <w:color w:val="auto"/>
          <w:sz w:val="18"/>
          <w:szCs w:val="18"/>
          <w:highlight w:val="none"/>
        </w:rPr>
        <w:t>：</w:t>
      </w:r>
      <w:r>
        <w:rPr>
          <w:color w:val="auto"/>
          <w:sz w:val="18"/>
          <w:szCs w:val="18"/>
          <w:highlight w:val="none"/>
          <w:u w:val="single"/>
        </w:rPr>
        <w:t xml:space="preserve">          </w:t>
      </w:r>
      <w:r>
        <w:rPr>
          <w:color w:val="auto"/>
          <w:sz w:val="18"/>
          <w:szCs w:val="18"/>
          <w:highlight w:val="none"/>
        </w:rPr>
        <w:t xml:space="preserve">                     法定代表人签名或</w:t>
      </w:r>
      <w:r>
        <w:rPr>
          <w:rFonts w:hint="eastAsia"/>
          <w:color w:val="auto"/>
          <w:sz w:val="18"/>
          <w:szCs w:val="18"/>
          <w:highlight w:val="none"/>
        </w:rPr>
        <w:t>签章</w:t>
      </w:r>
      <w:r>
        <w:rPr>
          <w:color w:val="auto"/>
          <w:sz w:val="18"/>
          <w:szCs w:val="18"/>
          <w:highlight w:val="none"/>
        </w:rPr>
        <w:t>：</w:t>
      </w:r>
      <w:r>
        <w:rPr>
          <w:color w:val="auto"/>
          <w:sz w:val="18"/>
          <w:szCs w:val="18"/>
          <w:highlight w:val="none"/>
          <w:u w:val="single"/>
        </w:rPr>
        <w:t xml:space="preserve">          </w:t>
      </w:r>
    </w:p>
    <w:p w14:paraId="4AAD4225">
      <w:pPr>
        <w:snapToGrid w:val="0"/>
        <w:spacing w:before="120" w:beforeLines="50" w:after="50" w:line="440" w:lineRule="exact"/>
        <w:rPr>
          <w:color w:val="auto"/>
          <w:sz w:val="18"/>
          <w:szCs w:val="18"/>
          <w:highlight w:val="none"/>
        </w:rPr>
      </w:pPr>
      <w:r>
        <w:rPr>
          <w:color w:val="auto"/>
          <w:sz w:val="18"/>
          <w:szCs w:val="18"/>
          <w:highlight w:val="none"/>
        </w:rPr>
        <w:t>职务：</w:t>
      </w:r>
      <w:r>
        <w:rPr>
          <w:color w:val="auto"/>
          <w:sz w:val="18"/>
          <w:szCs w:val="18"/>
          <w:highlight w:val="none"/>
          <w:u w:val="single"/>
        </w:rPr>
        <w:t xml:space="preserve">           </w:t>
      </w:r>
      <w:r>
        <w:rPr>
          <w:color w:val="auto"/>
          <w:sz w:val="18"/>
          <w:szCs w:val="18"/>
          <w:highlight w:val="none"/>
        </w:rPr>
        <w:t xml:space="preserve">                                  职务：</w:t>
      </w:r>
      <w:r>
        <w:rPr>
          <w:color w:val="auto"/>
          <w:sz w:val="18"/>
          <w:szCs w:val="18"/>
          <w:highlight w:val="none"/>
          <w:u w:val="single"/>
        </w:rPr>
        <w:t xml:space="preserve">           </w:t>
      </w:r>
    </w:p>
    <w:p w14:paraId="73CF6054">
      <w:pPr>
        <w:snapToGrid w:val="0"/>
        <w:spacing w:before="120" w:beforeLines="50" w:after="50" w:line="440" w:lineRule="exact"/>
        <w:rPr>
          <w:color w:val="auto"/>
          <w:sz w:val="18"/>
          <w:szCs w:val="18"/>
          <w:highlight w:val="none"/>
          <w:u w:val="single"/>
        </w:rPr>
      </w:pPr>
      <w:r>
        <w:rPr>
          <w:color w:val="auto"/>
          <w:sz w:val="18"/>
          <w:szCs w:val="18"/>
          <w:highlight w:val="none"/>
        </w:rPr>
        <w:t>被授权人身份证号码：</w:t>
      </w:r>
      <w:r>
        <w:rPr>
          <w:color w:val="auto"/>
          <w:sz w:val="18"/>
          <w:szCs w:val="18"/>
          <w:highlight w:val="none"/>
          <w:u w:val="single"/>
        </w:rPr>
        <w:t xml:space="preserve">                   </w:t>
      </w:r>
      <w:r>
        <w:rPr>
          <w:color w:val="auto"/>
          <w:sz w:val="18"/>
          <w:szCs w:val="18"/>
          <w:highlight w:val="none"/>
        </w:rPr>
        <w:t xml:space="preserve">            授权人身份证号码：</w:t>
      </w:r>
      <w:r>
        <w:rPr>
          <w:color w:val="auto"/>
          <w:sz w:val="18"/>
          <w:szCs w:val="18"/>
          <w:highlight w:val="none"/>
          <w:u w:val="single"/>
        </w:rPr>
        <w:t xml:space="preserve">                 </w:t>
      </w:r>
    </w:p>
    <w:p w14:paraId="75AF5D04">
      <w:pPr>
        <w:snapToGrid w:val="0"/>
        <w:spacing w:before="120" w:beforeLines="50" w:after="50" w:line="440" w:lineRule="exact"/>
        <w:rPr>
          <w:color w:val="auto"/>
          <w:sz w:val="18"/>
          <w:szCs w:val="18"/>
          <w:highlight w:val="none"/>
          <w:u w:val="single"/>
        </w:rPr>
      </w:pPr>
      <w:bookmarkStart w:id="1125" w:name="_Hlk133576837"/>
      <w:r>
        <w:rPr>
          <w:rFonts w:hint="eastAsia"/>
          <w:color w:val="auto"/>
          <w:sz w:val="18"/>
          <w:szCs w:val="18"/>
          <w:highlight w:val="none"/>
        </w:rPr>
        <w:t>被授权人</w:t>
      </w:r>
      <w:bookmarkStart w:id="1126" w:name="_Hlk132793041"/>
      <w:r>
        <w:rPr>
          <w:rFonts w:hint="eastAsia"/>
          <w:color w:val="auto"/>
          <w:sz w:val="18"/>
          <w:szCs w:val="18"/>
          <w:highlight w:val="none"/>
        </w:rPr>
        <w:t>手机号码及邮箱：</w:t>
      </w:r>
      <w:bookmarkEnd w:id="1126"/>
      <w:r>
        <w:rPr>
          <w:rFonts w:hint="eastAsia"/>
          <w:color w:val="auto"/>
          <w:sz w:val="18"/>
          <w:szCs w:val="18"/>
          <w:highlight w:val="none"/>
          <w:u w:val="single"/>
        </w:rPr>
        <w:t xml:space="preserve"> </w:t>
      </w:r>
      <w:r>
        <w:rPr>
          <w:color w:val="auto"/>
          <w:sz w:val="18"/>
          <w:szCs w:val="18"/>
          <w:highlight w:val="none"/>
          <w:u w:val="single"/>
        </w:rPr>
        <w:t xml:space="preserve">        </w:t>
      </w:r>
    </w:p>
    <w:bookmarkEnd w:id="1125"/>
    <w:p w14:paraId="63904EDF">
      <w:pPr>
        <w:snapToGrid w:val="0"/>
        <w:spacing w:before="120" w:beforeLines="50" w:after="50" w:line="440" w:lineRule="exact"/>
        <w:rPr>
          <w:color w:val="auto"/>
          <w:sz w:val="18"/>
          <w:szCs w:val="18"/>
          <w:highlight w:val="none"/>
        </w:rPr>
      </w:pPr>
    </w:p>
    <w:p w14:paraId="322EBAEC">
      <w:pPr>
        <w:snapToGrid w:val="0"/>
        <w:spacing w:before="120" w:beforeLines="50" w:after="50" w:line="440" w:lineRule="exact"/>
        <w:rPr>
          <w:color w:val="auto"/>
          <w:sz w:val="18"/>
          <w:szCs w:val="18"/>
          <w:highlight w:val="none"/>
        </w:rPr>
      </w:pPr>
    </w:p>
    <w:p w14:paraId="45C5B784">
      <w:pPr>
        <w:snapToGrid w:val="0"/>
        <w:spacing w:before="120" w:beforeLines="50" w:after="50" w:line="440" w:lineRule="exact"/>
        <w:rPr>
          <w:color w:val="auto"/>
          <w:sz w:val="18"/>
          <w:szCs w:val="18"/>
          <w:highlight w:val="none"/>
        </w:rPr>
      </w:pPr>
      <w:r>
        <w:rPr>
          <w:color w:val="auto"/>
          <w:sz w:val="18"/>
          <w:szCs w:val="18"/>
          <w:highlight w:val="none"/>
        </w:rPr>
        <w:t xml:space="preserve">                                </w:t>
      </w:r>
    </w:p>
    <w:p w14:paraId="4D1E1D3E">
      <w:pPr>
        <w:snapToGrid w:val="0"/>
        <w:spacing w:before="120" w:beforeLines="50" w:after="50" w:line="440" w:lineRule="exact"/>
        <w:ind w:firstLine="4860" w:firstLineChars="2700"/>
        <w:rPr>
          <w:color w:val="auto"/>
          <w:sz w:val="18"/>
          <w:szCs w:val="18"/>
          <w:highlight w:val="none"/>
        </w:rPr>
      </w:pPr>
      <w:r>
        <w:rPr>
          <w:color w:val="auto"/>
          <w:sz w:val="18"/>
          <w:szCs w:val="18"/>
          <w:highlight w:val="none"/>
        </w:rPr>
        <w:t>供应商</w:t>
      </w:r>
      <w:r>
        <w:rPr>
          <w:rFonts w:hint="eastAsia"/>
          <w:color w:val="auto"/>
          <w:sz w:val="18"/>
          <w:szCs w:val="18"/>
          <w:highlight w:val="none"/>
        </w:rPr>
        <w:t>名称（电子签章）</w:t>
      </w:r>
      <w:r>
        <w:rPr>
          <w:color w:val="auto"/>
          <w:sz w:val="18"/>
          <w:szCs w:val="18"/>
          <w:highlight w:val="none"/>
        </w:rPr>
        <w:t>：</w:t>
      </w:r>
      <w:r>
        <w:rPr>
          <w:color w:val="auto"/>
          <w:sz w:val="18"/>
          <w:szCs w:val="18"/>
          <w:highlight w:val="none"/>
          <w:u w:val="single"/>
        </w:rPr>
        <w:t xml:space="preserve">                </w:t>
      </w:r>
    </w:p>
    <w:p w14:paraId="1754A8A5">
      <w:pPr>
        <w:snapToGrid w:val="0"/>
        <w:spacing w:before="120" w:beforeLines="50" w:after="50" w:line="440" w:lineRule="exact"/>
        <w:jc w:val="center"/>
        <w:rPr>
          <w:color w:val="auto"/>
          <w:sz w:val="18"/>
          <w:szCs w:val="18"/>
          <w:highlight w:val="none"/>
        </w:rPr>
      </w:pPr>
      <w:r>
        <w:rPr>
          <w:color w:val="auto"/>
          <w:sz w:val="18"/>
          <w:szCs w:val="18"/>
          <w:highlight w:val="none"/>
        </w:rPr>
        <w:t xml:space="preserve">                                        年    月    日</w:t>
      </w:r>
    </w:p>
    <w:p w14:paraId="25D6829B">
      <w:pPr>
        <w:spacing w:line="360" w:lineRule="auto"/>
        <w:rPr>
          <w:color w:val="auto"/>
          <w:sz w:val="18"/>
          <w:szCs w:val="18"/>
          <w:highlight w:val="none"/>
        </w:rPr>
      </w:pPr>
      <w:r>
        <w:rPr>
          <w:color w:val="auto"/>
          <w:sz w:val="18"/>
          <w:szCs w:val="18"/>
          <w:highlight w:val="none"/>
        </w:rPr>
        <w:t>附件：法定代表人身份证</w:t>
      </w:r>
      <w:r>
        <w:rPr>
          <w:rFonts w:hint="eastAsia"/>
          <w:color w:val="auto"/>
          <w:sz w:val="18"/>
          <w:szCs w:val="18"/>
          <w:highlight w:val="none"/>
        </w:rPr>
        <w:t>扫描件</w:t>
      </w:r>
      <w:r>
        <w:rPr>
          <w:color w:val="auto"/>
          <w:sz w:val="18"/>
          <w:szCs w:val="18"/>
          <w:highlight w:val="none"/>
        </w:rPr>
        <w:t>及授权代表身份证</w:t>
      </w:r>
      <w:r>
        <w:rPr>
          <w:rFonts w:hint="eastAsia"/>
          <w:color w:val="auto"/>
          <w:sz w:val="18"/>
          <w:szCs w:val="18"/>
          <w:highlight w:val="none"/>
        </w:rPr>
        <w:t>扫描件</w:t>
      </w:r>
    </w:p>
    <w:p w14:paraId="315D44C8">
      <w:pPr>
        <w:snapToGrid w:val="0"/>
        <w:spacing w:before="120" w:beforeLines="50" w:after="50" w:line="440" w:lineRule="exact"/>
        <w:jc w:val="center"/>
        <w:outlineLvl w:val="1"/>
        <w:rPr>
          <w:bCs/>
          <w:color w:val="auto"/>
          <w:sz w:val="18"/>
          <w:szCs w:val="18"/>
          <w:highlight w:val="none"/>
        </w:rPr>
      </w:pPr>
    </w:p>
    <w:p w14:paraId="622489A4">
      <w:pPr>
        <w:snapToGrid w:val="0"/>
        <w:spacing w:before="50" w:after="120" w:afterLines="50"/>
        <w:jc w:val="left"/>
        <w:rPr>
          <w:color w:val="auto"/>
          <w:sz w:val="18"/>
          <w:szCs w:val="18"/>
          <w:highlight w:val="none"/>
        </w:rPr>
      </w:pPr>
      <w:r>
        <w:rPr>
          <w:rFonts w:hint="eastAsia"/>
          <w:color w:val="auto"/>
          <w:sz w:val="18"/>
          <w:szCs w:val="18"/>
          <w:highlight w:val="none"/>
        </w:rPr>
        <w:br w:type="page"/>
      </w:r>
      <w:r>
        <w:rPr>
          <w:rFonts w:hint="eastAsia"/>
          <w:color w:val="auto"/>
          <w:sz w:val="18"/>
          <w:szCs w:val="18"/>
          <w:highlight w:val="none"/>
        </w:rPr>
        <w:t>2</w:t>
      </w:r>
      <w:r>
        <w:rPr>
          <w:color w:val="auto"/>
          <w:sz w:val="18"/>
          <w:szCs w:val="18"/>
          <w:highlight w:val="none"/>
        </w:rPr>
        <w:t>.供应商可根据采购文件、图纸及对现场的勘察情况，编制施工组织设计，可参考以下提纲，也可自行编制</w:t>
      </w:r>
    </w:p>
    <w:p w14:paraId="2EC14261">
      <w:pPr>
        <w:snapToGrid w:val="0"/>
        <w:spacing w:before="50" w:after="120" w:afterLines="50"/>
        <w:jc w:val="left"/>
        <w:rPr>
          <w:color w:val="auto"/>
          <w:sz w:val="18"/>
          <w:szCs w:val="18"/>
          <w:highlight w:val="none"/>
        </w:rPr>
      </w:pPr>
      <w:r>
        <w:rPr>
          <w:color w:val="auto"/>
          <w:sz w:val="18"/>
          <w:szCs w:val="18"/>
          <w:highlight w:val="none"/>
        </w:rPr>
        <w:t>施工组织设计编制大纲：</w:t>
      </w:r>
    </w:p>
    <w:p w14:paraId="471C48FF">
      <w:pPr>
        <w:spacing w:line="360" w:lineRule="auto"/>
        <w:ind w:firstLine="360" w:firstLineChars="200"/>
        <w:rPr>
          <w:color w:val="auto"/>
          <w:sz w:val="18"/>
          <w:szCs w:val="18"/>
          <w:highlight w:val="none"/>
        </w:rPr>
      </w:pPr>
      <w:r>
        <w:rPr>
          <w:rFonts w:hint="eastAsia"/>
          <w:color w:val="auto"/>
          <w:sz w:val="18"/>
          <w:szCs w:val="18"/>
          <w:highlight w:val="none"/>
        </w:rPr>
        <w:t>（1）概述</w:t>
      </w:r>
    </w:p>
    <w:p w14:paraId="23293C99">
      <w:pPr>
        <w:spacing w:line="360" w:lineRule="auto"/>
        <w:ind w:firstLine="360" w:firstLineChars="200"/>
        <w:rPr>
          <w:color w:val="auto"/>
          <w:sz w:val="18"/>
          <w:szCs w:val="18"/>
          <w:highlight w:val="none"/>
        </w:rPr>
      </w:pPr>
      <w:r>
        <w:rPr>
          <w:rFonts w:hint="eastAsia"/>
          <w:color w:val="auto"/>
          <w:sz w:val="18"/>
          <w:szCs w:val="18"/>
          <w:highlight w:val="none"/>
        </w:rPr>
        <w:t>（2）主要施工方法；</w:t>
      </w:r>
    </w:p>
    <w:p w14:paraId="00068AE2">
      <w:pPr>
        <w:spacing w:line="360" w:lineRule="auto"/>
        <w:ind w:firstLine="360" w:firstLineChars="200"/>
        <w:rPr>
          <w:color w:val="auto"/>
          <w:sz w:val="18"/>
          <w:szCs w:val="18"/>
          <w:highlight w:val="none"/>
        </w:rPr>
      </w:pPr>
      <w:r>
        <w:rPr>
          <w:rFonts w:hint="eastAsia"/>
          <w:color w:val="auto"/>
          <w:sz w:val="18"/>
          <w:szCs w:val="18"/>
          <w:highlight w:val="none"/>
        </w:rPr>
        <w:t>（3）拟投入的主要物资计划</w:t>
      </w:r>
    </w:p>
    <w:p w14:paraId="160AB6A7">
      <w:pPr>
        <w:spacing w:line="360" w:lineRule="auto"/>
        <w:ind w:firstLine="360" w:firstLineChars="200"/>
        <w:rPr>
          <w:color w:val="auto"/>
          <w:sz w:val="18"/>
          <w:szCs w:val="18"/>
          <w:highlight w:val="none"/>
        </w:rPr>
      </w:pPr>
      <w:r>
        <w:rPr>
          <w:rFonts w:hint="eastAsia"/>
          <w:color w:val="auto"/>
          <w:sz w:val="18"/>
          <w:szCs w:val="18"/>
          <w:highlight w:val="none"/>
        </w:rPr>
        <w:t>（4）</w:t>
      </w:r>
      <w:r>
        <w:rPr>
          <w:rFonts w:hint="eastAsia" w:cs="宋体"/>
          <w:color w:val="auto"/>
          <w:kern w:val="0"/>
          <w:sz w:val="18"/>
          <w:szCs w:val="18"/>
          <w:highlight w:val="none"/>
        </w:rPr>
        <w:t>拟投入的主要施工机械、设备计划</w:t>
      </w:r>
    </w:p>
    <w:p w14:paraId="340DE123">
      <w:pPr>
        <w:spacing w:line="360" w:lineRule="auto"/>
        <w:ind w:firstLine="360" w:firstLineChars="200"/>
        <w:rPr>
          <w:color w:val="auto"/>
          <w:sz w:val="18"/>
          <w:szCs w:val="18"/>
          <w:highlight w:val="none"/>
        </w:rPr>
      </w:pPr>
      <w:r>
        <w:rPr>
          <w:rFonts w:hint="eastAsia"/>
          <w:color w:val="auto"/>
          <w:sz w:val="18"/>
          <w:szCs w:val="18"/>
          <w:highlight w:val="none"/>
        </w:rPr>
        <w:t>（5）劳动力安排计划；</w:t>
      </w:r>
    </w:p>
    <w:p w14:paraId="1382D341">
      <w:pPr>
        <w:spacing w:line="360" w:lineRule="auto"/>
        <w:ind w:firstLine="360" w:firstLineChars="200"/>
        <w:rPr>
          <w:color w:val="auto"/>
          <w:sz w:val="18"/>
          <w:szCs w:val="18"/>
          <w:highlight w:val="none"/>
        </w:rPr>
      </w:pPr>
      <w:r>
        <w:rPr>
          <w:rFonts w:hint="eastAsia"/>
          <w:color w:val="auto"/>
          <w:sz w:val="18"/>
          <w:szCs w:val="18"/>
          <w:highlight w:val="none"/>
        </w:rPr>
        <w:t>（6）确保工程质量的技术组织措施；</w:t>
      </w:r>
    </w:p>
    <w:p w14:paraId="1CEF1638">
      <w:pPr>
        <w:spacing w:line="360" w:lineRule="auto"/>
        <w:ind w:firstLine="360" w:firstLineChars="200"/>
        <w:rPr>
          <w:color w:val="auto"/>
          <w:sz w:val="18"/>
          <w:szCs w:val="18"/>
          <w:highlight w:val="none"/>
        </w:rPr>
      </w:pPr>
      <w:r>
        <w:rPr>
          <w:rFonts w:hint="eastAsia"/>
          <w:color w:val="auto"/>
          <w:sz w:val="18"/>
          <w:szCs w:val="18"/>
          <w:highlight w:val="none"/>
        </w:rPr>
        <w:t>（7）确保安全生产的技术组织措施；</w:t>
      </w:r>
    </w:p>
    <w:p w14:paraId="1B341F43">
      <w:pPr>
        <w:spacing w:line="360" w:lineRule="auto"/>
        <w:ind w:firstLine="360" w:firstLineChars="200"/>
        <w:rPr>
          <w:color w:val="auto"/>
          <w:sz w:val="18"/>
          <w:szCs w:val="18"/>
          <w:highlight w:val="none"/>
        </w:rPr>
      </w:pPr>
      <w:r>
        <w:rPr>
          <w:rFonts w:hint="eastAsia"/>
          <w:color w:val="auto"/>
          <w:sz w:val="18"/>
          <w:szCs w:val="18"/>
          <w:highlight w:val="none"/>
        </w:rPr>
        <w:t>（8）确保工期的技术组织措施；</w:t>
      </w:r>
    </w:p>
    <w:p w14:paraId="39A01AAB">
      <w:pPr>
        <w:spacing w:line="360" w:lineRule="auto"/>
        <w:ind w:firstLine="360" w:firstLineChars="200"/>
        <w:rPr>
          <w:color w:val="auto"/>
          <w:sz w:val="18"/>
          <w:szCs w:val="18"/>
          <w:highlight w:val="none"/>
        </w:rPr>
      </w:pPr>
      <w:r>
        <w:rPr>
          <w:rFonts w:hint="eastAsia"/>
          <w:color w:val="auto"/>
          <w:sz w:val="18"/>
          <w:szCs w:val="18"/>
          <w:highlight w:val="none"/>
        </w:rPr>
        <w:t>（9）确保文明施工的技术组织措施；</w:t>
      </w:r>
    </w:p>
    <w:p w14:paraId="4E2BD6FB">
      <w:pPr>
        <w:spacing w:line="360" w:lineRule="auto"/>
        <w:ind w:firstLine="360" w:firstLineChars="200"/>
        <w:rPr>
          <w:color w:val="auto"/>
          <w:sz w:val="18"/>
          <w:szCs w:val="18"/>
          <w:highlight w:val="none"/>
        </w:rPr>
      </w:pPr>
      <w:r>
        <w:rPr>
          <w:rFonts w:hint="eastAsia"/>
          <w:color w:val="auto"/>
          <w:sz w:val="18"/>
          <w:szCs w:val="18"/>
          <w:highlight w:val="none"/>
        </w:rPr>
        <w:t>（10）工程施工的重点和难点及保证措施；</w:t>
      </w:r>
    </w:p>
    <w:p w14:paraId="02E33241">
      <w:pPr>
        <w:spacing w:line="360" w:lineRule="auto"/>
        <w:ind w:firstLine="360" w:firstLineChars="200"/>
        <w:rPr>
          <w:color w:val="auto"/>
          <w:sz w:val="18"/>
          <w:szCs w:val="18"/>
          <w:highlight w:val="none"/>
        </w:rPr>
      </w:pPr>
      <w:r>
        <w:rPr>
          <w:rFonts w:hint="eastAsia"/>
          <w:color w:val="auto"/>
          <w:sz w:val="18"/>
          <w:szCs w:val="18"/>
          <w:highlight w:val="none"/>
        </w:rPr>
        <w:t>（1</w:t>
      </w:r>
      <w:r>
        <w:rPr>
          <w:color w:val="auto"/>
          <w:sz w:val="18"/>
          <w:szCs w:val="18"/>
          <w:highlight w:val="none"/>
        </w:rPr>
        <w:t>1</w:t>
      </w:r>
      <w:r>
        <w:rPr>
          <w:rFonts w:hint="eastAsia"/>
          <w:color w:val="auto"/>
          <w:sz w:val="18"/>
          <w:szCs w:val="18"/>
          <w:highlight w:val="none"/>
        </w:rPr>
        <w:t>）施工总平面布置图；</w:t>
      </w:r>
    </w:p>
    <w:p w14:paraId="610B9DA3">
      <w:pPr>
        <w:snapToGrid w:val="0"/>
        <w:spacing w:before="50" w:after="120" w:afterLines="50"/>
        <w:ind w:firstLine="360" w:firstLineChars="200"/>
        <w:jc w:val="left"/>
        <w:rPr>
          <w:color w:val="auto"/>
          <w:sz w:val="18"/>
          <w:szCs w:val="18"/>
          <w:highlight w:val="none"/>
        </w:rPr>
      </w:pPr>
      <w:r>
        <w:rPr>
          <w:rFonts w:hint="eastAsia"/>
          <w:color w:val="auto"/>
          <w:sz w:val="18"/>
          <w:szCs w:val="18"/>
          <w:highlight w:val="none"/>
        </w:rPr>
        <w:t>（1</w:t>
      </w:r>
      <w:r>
        <w:rPr>
          <w:color w:val="auto"/>
          <w:sz w:val="18"/>
          <w:szCs w:val="18"/>
          <w:highlight w:val="none"/>
        </w:rPr>
        <w:t>2</w:t>
      </w:r>
      <w:r>
        <w:rPr>
          <w:rFonts w:hint="eastAsia"/>
          <w:color w:val="auto"/>
          <w:sz w:val="18"/>
          <w:szCs w:val="18"/>
          <w:highlight w:val="none"/>
        </w:rPr>
        <w:t>）其他（</w:t>
      </w:r>
      <w:r>
        <w:rPr>
          <w:color w:val="auto"/>
          <w:sz w:val="18"/>
          <w:szCs w:val="18"/>
          <w:highlight w:val="none"/>
        </w:rPr>
        <w:t>如有）</w:t>
      </w:r>
    </w:p>
    <w:p w14:paraId="15AB4EA3">
      <w:pPr>
        <w:snapToGrid w:val="0"/>
        <w:spacing w:before="50" w:after="120" w:afterLines="50"/>
        <w:jc w:val="left"/>
        <w:rPr>
          <w:color w:val="auto"/>
          <w:sz w:val="18"/>
          <w:szCs w:val="18"/>
          <w:highlight w:val="none"/>
        </w:rPr>
      </w:pPr>
      <w:r>
        <w:rPr>
          <w:rFonts w:hint="eastAsia"/>
          <w:color w:val="auto"/>
          <w:sz w:val="18"/>
          <w:szCs w:val="18"/>
          <w:highlight w:val="none"/>
        </w:rPr>
        <w:t>2</w:t>
      </w:r>
      <w:r>
        <w:rPr>
          <w:color w:val="auto"/>
          <w:sz w:val="18"/>
          <w:szCs w:val="18"/>
          <w:highlight w:val="none"/>
        </w:rPr>
        <w:t>.1供应商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67F47437">
      <w:pPr>
        <w:snapToGrid w:val="0"/>
        <w:spacing w:before="50" w:after="120" w:afterLines="50"/>
        <w:jc w:val="left"/>
        <w:rPr>
          <w:color w:val="auto"/>
          <w:sz w:val="18"/>
          <w:szCs w:val="18"/>
          <w:highlight w:val="none"/>
        </w:rPr>
      </w:pPr>
    </w:p>
    <w:p w14:paraId="281B5A3E">
      <w:pPr>
        <w:snapToGrid w:val="0"/>
        <w:spacing w:before="50" w:after="120" w:afterLines="50"/>
        <w:jc w:val="left"/>
        <w:rPr>
          <w:color w:val="auto"/>
          <w:sz w:val="18"/>
          <w:szCs w:val="18"/>
          <w:highlight w:val="none"/>
        </w:rPr>
      </w:pPr>
      <w:r>
        <w:rPr>
          <w:rFonts w:hint="eastAsia"/>
          <w:color w:val="auto"/>
          <w:sz w:val="18"/>
          <w:szCs w:val="18"/>
          <w:highlight w:val="none"/>
        </w:rPr>
        <w:t>2</w:t>
      </w:r>
      <w:r>
        <w:rPr>
          <w:color w:val="auto"/>
          <w:sz w:val="18"/>
          <w:szCs w:val="18"/>
          <w:highlight w:val="none"/>
        </w:rPr>
        <w:t>.2施工组织设计除采用文字表述外可附下列图表，图表及格式要求附后。</w:t>
      </w:r>
    </w:p>
    <w:p w14:paraId="3C61C475">
      <w:pPr>
        <w:snapToGrid w:val="0"/>
        <w:spacing w:before="50" w:after="120" w:afterLines="50"/>
        <w:jc w:val="left"/>
        <w:rPr>
          <w:color w:val="auto"/>
          <w:sz w:val="18"/>
          <w:szCs w:val="18"/>
          <w:highlight w:val="none"/>
        </w:rPr>
      </w:pPr>
      <w:r>
        <w:rPr>
          <w:color w:val="auto"/>
          <w:sz w:val="18"/>
          <w:szCs w:val="18"/>
          <w:highlight w:val="none"/>
        </w:rPr>
        <w:t>附表一  拟投入本工程的主要施工设备表</w:t>
      </w:r>
    </w:p>
    <w:p w14:paraId="0DBA7E5F">
      <w:pPr>
        <w:snapToGrid w:val="0"/>
        <w:spacing w:before="50" w:after="120" w:afterLines="50"/>
        <w:jc w:val="left"/>
        <w:rPr>
          <w:color w:val="auto"/>
          <w:sz w:val="18"/>
          <w:szCs w:val="18"/>
          <w:highlight w:val="none"/>
        </w:rPr>
      </w:pPr>
      <w:r>
        <w:rPr>
          <w:color w:val="auto"/>
          <w:sz w:val="18"/>
          <w:szCs w:val="18"/>
          <w:highlight w:val="none"/>
        </w:rPr>
        <w:t>附表二  拟配备本工程的试验和检测仪器设备表</w:t>
      </w:r>
    </w:p>
    <w:p w14:paraId="468EA906">
      <w:pPr>
        <w:snapToGrid w:val="0"/>
        <w:spacing w:before="50" w:after="120" w:afterLines="50"/>
        <w:jc w:val="left"/>
        <w:rPr>
          <w:color w:val="auto"/>
          <w:sz w:val="18"/>
          <w:szCs w:val="18"/>
          <w:highlight w:val="none"/>
        </w:rPr>
      </w:pPr>
      <w:r>
        <w:rPr>
          <w:color w:val="auto"/>
          <w:sz w:val="18"/>
          <w:szCs w:val="18"/>
          <w:highlight w:val="none"/>
        </w:rPr>
        <w:t>附表三  劳动力计划表</w:t>
      </w:r>
    </w:p>
    <w:p w14:paraId="69F732F4">
      <w:pPr>
        <w:snapToGrid w:val="0"/>
        <w:spacing w:before="50" w:after="120" w:afterLines="50"/>
        <w:jc w:val="left"/>
        <w:rPr>
          <w:color w:val="auto"/>
          <w:sz w:val="18"/>
          <w:szCs w:val="18"/>
          <w:highlight w:val="none"/>
        </w:rPr>
      </w:pPr>
      <w:r>
        <w:rPr>
          <w:color w:val="auto"/>
          <w:sz w:val="18"/>
          <w:szCs w:val="18"/>
          <w:highlight w:val="none"/>
        </w:rPr>
        <w:t>附表四  计划开、竣工日期和施工进度网络图</w:t>
      </w:r>
    </w:p>
    <w:p w14:paraId="4B6AAA6F">
      <w:pPr>
        <w:snapToGrid w:val="0"/>
        <w:spacing w:before="50" w:after="120" w:afterLines="50"/>
        <w:jc w:val="left"/>
        <w:rPr>
          <w:color w:val="auto"/>
          <w:sz w:val="18"/>
          <w:szCs w:val="18"/>
          <w:highlight w:val="none"/>
        </w:rPr>
      </w:pPr>
      <w:r>
        <w:rPr>
          <w:color w:val="auto"/>
          <w:sz w:val="18"/>
          <w:szCs w:val="18"/>
          <w:highlight w:val="none"/>
        </w:rPr>
        <w:t>附表五  施工总平面图</w:t>
      </w:r>
    </w:p>
    <w:p w14:paraId="56193E76">
      <w:pPr>
        <w:snapToGrid w:val="0"/>
        <w:spacing w:before="50" w:after="120" w:afterLines="50"/>
        <w:jc w:val="left"/>
        <w:rPr>
          <w:color w:val="auto"/>
          <w:sz w:val="18"/>
          <w:szCs w:val="18"/>
          <w:highlight w:val="none"/>
        </w:rPr>
      </w:pPr>
      <w:r>
        <w:rPr>
          <w:color w:val="auto"/>
          <w:sz w:val="18"/>
          <w:szCs w:val="18"/>
          <w:highlight w:val="none"/>
        </w:rPr>
        <w:t>附表六  临时用地表</w:t>
      </w:r>
    </w:p>
    <w:p w14:paraId="217E226A">
      <w:pPr>
        <w:snapToGrid w:val="0"/>
        <w:spacing w:before="50" w:after="120" w:afterLines="50"/>
        <w:jc w:val="left"/>
        <w:rPr>
          <w:color w:val="auto"/>
          <w:sz w:val="18"/>
          <w:szCs w:val="18"/>
          <w:highlight w:val="none"/>
        </w:rPr>
      </w:pPr>
      <w:r>
        <w:rPr>
          <w:color w:val="auto"/>
          <w:sz w:val="18"/>
          <w:szCs w:val="18"/>
          <w:highlight w:val="none"/>
        </w:rPr>
        <w:t>附表七  拟分包计划表</w:t>
      </w:r>
    </w:p>
    <w:p w14:paraId="7EFB0569">
      <w:pPr>
        <w:spacing w:line="460" w:lineRule="exact"/>
        <w:ind w:firstLine="360" w:firstLineChars="200"/>
        <w:rPr>
          <w:color w:val="auto"/>
          <w:sz w:val="18"/>
          <w:szCs w:val="18"/>
          <w:highlight w:val="none"/>
        </w:rPr>
      </w:pPr>
    </w:p>
    <w:p w14:paraId="7F0B833A">
      <w:pPr>
        <w:rPr>
          <w:color w:val="auto"/>
          <w:sz w:val="18"/>
          <w:szCs w:val="18"/>
          <w:highlight w:val="none"/>
        </w:rPr>
      </w:pPr>
      <w:r>
        <w:rPr>
          <w:color w:val="auto"/>
          <w:sz w:val="18"/>
          <w:szCs w:val="18"/>
          <w:highlight w:val="none"/>
        </w:rPr>
        <w:t>附表一：拟投入本工程的主要施工设备表</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41A0C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vAlign w:val="center"/>
          </w:tcPr>
          <w:p w14:paraId="77B65276">
            <w:pPr>
              <w:jc w:val="center"/>
              <w:rPr>
                <w:color w:val="auto"/>
                <w:sz w:val="18"/>
                <w:szCs w:val="18"/>
                <w:highlight w:val="none"/>
              </w:rPr>
            </w:pPr>
            <w:r>
              <w:rPr>
                <w:color w:val="auto"/>
                <w:sz w:val="18"/>
                <w:szCs w:val="18"/>
                <w:highlight w:val="none"/>
              </w:rPr>
              <w:t>序号</w:t>
            </w:r>
          </w:p>
        </w:tc>
        <w:tc>
          <w:tcPr>
            <w:tcW w:w="1226" w:type="dxa"/>
            <w:vAlign w:val="center"/>
          </w:tcPr>
          <w:p w14:paraId="28866597">
            <w:pPr>
              <w:jc w:val="center"/>
              <w:rPr>
                <w:color w:val="auto"/>
                <w:sz w:val="18"/>
                <w:szCs w:val="18"/>
                <w:highlight w:val="none"/>
              </w:rPr>
            </w:pPr>
            <w:r>
              <w:rPr>
                <w:color w:val="auto"/>
                <w:sz w:val="18"/>
                <w:szCs w:val="18"/>
                <w:highlight w:val="none"/>
              </w:rPr>
              <w:t>设备名称</w:t>
            </w:r>
          </w:p>
        </w:tc>
        <w:tc>
          <w:tcPr>
            <w:tcW w:w="851" w:type="dxa"/>
            <w:vAlign w:val="center"/>
          </w:tcPr>
          <w:p w14:paraId="46F41AE9">
            <w:pPr>
              <w:jc w:val="center"/>
              <w:rPr>
                <w:color w:val="auto"/>
                <w:sz w:val="18"/>
                <w:szCs w:val="18"/>
                <w:highlight w:val="none"/>
              </w:rPr>
            </w:pPr>
            <w:r>
              <w:rPr>
                <w:color w:val="auto"/>
                <w:sz w:val="18"/>
                <w:szCs w:val="18"/>
                <w:highlight w:val="none"/>
              </w:rPr>
              <w:t>型号</w:t>
            </w:r>
          </w:p>
          <w:p w14:paraId="1DB93A4F">
            <w:pPr>
              <w:jc w:val="center"/>
              <w:rPr>
                <w:color w:val="auto"/>
                <w:sz w:val="18"/>
                <w:szCs w:val="18"/>
                <w:highlight w:val="none"/>
              </w:rPr>
            </w:pPr>
            <w:r>
              <w:rPr>
                <w:color w:val="auto"/>
                <w:sz w:val="18"/>
                <w:szCs w:val="18"/>
                <w:highlight w:val="none"/>
              </w:rPr>
              <w:t>规格</w:t>
            </w:r>
          </w:p>
        </w:tc>
        <w:tc>
          <w:tcPr>
            <w:tcW w:w="708" w:type="dxa"/>
            <w:vAlign w:val="center"/>
          </w:tcPr>
          <w:p w14:paraId="65FE9E1F">
            <w:pPr>
              <w:jc w:val="center"/>
              <w:rPr>
                <w:color w:val="auto"/>
                <w:sz w:val="18"/>
                <w:szCs w:val="18"/>
                <w:highlight w:val="none"/>
              </w:rPr>
            </w:pPr>
            <w:r>
              <w:rPr>
                <w:color w:val="auto"/>
                <w:sz w:val="18"/>
                <w:szCs w:val="18"/>
                <w:highlight w:val="none"/>
              </w:rPr>
              <w:t>数量</w:t>
            </w:r>
          </w:p>
        </w:tc>
        <w:tc>
          <w:tcPr>
            <w:tcW w:w="709" w:type="dxa"/>
            <w:vAlign w:val="center"/>
          </w:tcPr>
          <w:p w14:paraId="7404F8A7">
            <w:pPr>
              <w:jc w:val="center"/>
              <w:rPr>
                <w:color w:val="auto"/>
                <w:sz w:val="18"/>
                <w:szCs w:val="18"/>
                <w:highlight w:val="none"/>
              </w:rPr>
            </w:pPr>
            <w:r>
              <w:rPr>
                <w:color w:val="auto"/>
                <w:sz w:val="18"/>
                <w:szCs w:val="18"/>
                <w:highlight w:val="none"/>
              </w:rPr>
              <w:t>国别</w:t>
            </w:r>
          </w:p>
          <w:p w14:paraId="7DC4265C">
            <w:pPr>
              <w:jc w:val="center"/>
              <w:rPr>
                <w:color w:val="auto"/>
                <w:sz w:val="18"/>
                <w:szCs w:val="18"/>
                <w:highlight w:val="none"/>
              </w:rPr>
            </w:pPr>
            <w:r>
              <w:rPr>
                <w:color w:val="auto"/>
                <w:sz w:val="18"/>
                <w:szCs w:val="18"/>
                <w:highlight w:val="none"/>
              </w:rPr>
              <w:t>产地</w:t>
            </w:r>
          </w:p>
        </w:tc>
        <w:tc>
          <w:tcPr>
            <w:tcW w:w="851" w:type="dxa"/>
            <w:vAlign w:val="center"/>
          </w:tcPr>
          <w:p w14:paraId="690095D3">
            <w:pPr>
              <w:jc w:val="center"/>
              <w:rPr>
                <w:color w:val="auto"/>
                <w:sz w:val="18"/>
                <w:szCs w:val="18"/>
                <w:highlight w:val="none"/>
              </w:rPr>
            </w:pPr>
            <w:r>
              <w:rPr>
                <w:color w:val="auto"/>
                <w:sz w:val="18"/>
                <w:szCs w:val="18"/>
                <w:highlight w:val="none"/>
              </w:rPr>
              <w:t>制造</w:t>
            </w:r>
          </w:p>
          <w:p w14:paraId="5680A9F9">
            <w:pPr>
              <w:jc w:val="center"/>
              <w:rPr>
                <w:color w:val="auto"/>
                <w:sz w:val="18"/>
                <w:szCs w:val="18"/>
                <w:highlight w:val="none"/>
              </w:rPr>
            </w:pPr>
            <w:r>
              <w:rPr>
                <w:color w:val="auto"/>
                <w:sz w:val="18"/>
                <w:szCs w:val="18"/>
                <w:highlight w:val="none"/>
              </w:rPr>
              <w:t>年份</w:t>
            </w:r>
          </w:p>
        </w:tc>
        <w:tc>
          <w:tcPr>
            <w:tcW w:w="1134" w:type="dxa"/>
            <w:vAlign w:val="center"/>
          </w:tcPr>
          <w:p w14:paraId="2105ABFF">
            <w:pPr>
              <w:jc w:val="center"/>
              <w:rPr>
                <w:color w:val="auto"/>
                <w:sz w:val="18"/>
                <w:szCs w:val="18"/>
                <w:highlight w:val="none"/>
              </w:rPr>
            </w:pPr>
            <w:r>
              <w:rPr>
                <w:color w:val="auto"/>
                <w:sz w:val="18"/>
                <w:szCs w:val="18"/>
                <w:highlight w:val="none"/>
              </w:rPr>
              <w:t>额定功率</w:t>
            </w:r>
          </w:p>
          <w:p w14:paraId="71A416BF">
            <w:pPr>
              <w:jc w:val="center"/>
              <w:rPr>
                <w:color w:val="auto"/>
                <w:sz w:val="18"/>
                <w:szCs w:val="18"/>
                <w:highlight w:val="none"/>
              </w:rPr>
            </w:pPr>
            <w:r>
              <w:rPr>
                <w:color w:val="auto"/>
                <w:sz w:val="18"/>
                <w:szCs w:val="18"/>
                <w:highlight w:val="none"/>
              </w:rPr>
              <w:t>（kW）</w:t>
            </w:r>
          </w:p>
        </w:tc>
        <w:tc>
          <w:tcPr>
            <w:tcW w:w="992" w:type="dxa"/>
            <w:vAlign w:val="center"/>
          </w:tcPr>
          <w:p w14:paraId="3F0997AC">
            <w:pPr>
              <w:jc w:val="center"/>
              <w:rPr>
                <w:color w:val="auto"/>
                <w:sz w:val="18"/>
                <w:szCs w:val="18"/>
                <w:highlight w:val="none"/>
              </w:rPr>
            </w:pPr>
            <w:r>
              <w:rPr>
                <w:color w:val="auto"/>
                <w:sz w:val="18"/>
                <w:szCs w:val="18"/>
                <w:highlight w:val="none"/>
              </w:rPr>
              <w:t>生产</w:t>
            </w:r>
          </w:p>
          <w:p w14:paraId="6E0C65BE">
            <w:pPr>
              <w:jc w:val="center"/>
              <w:rPr>
                <w:color w:val="auto"/>
                <w:sz w:val="18"/>
                <w:szCs w:val="18"/>
                <w:highlight w:val="none"/>
              </w:rPr>
            </w:pPr>
            <w:r>
              <w:rPr>
                <w:color w:val="auto"/>
                <w:sz w:val="18"/>
                <w:szCs w:val="18"/>
                <w:highlight w:val="none"/>
              </w:rPr>
              <w:t>能力</w:t>
            </w:r>
          </w:p>
        </w:tc>
        <w:tc>
          <w:tcPr>
            <w:tcW w:w="1134" w:type="dxa"/>
            <w:vAlign w:val="center"/>
          </w:tcPr>
          <w:p w14:paraId="6CA81611">
            <w:pPr>
              <w:jc w:val="center"/>
              <w:rPr>
                <w:color w:val="auto"/>
                <w:sz w:val="18"/>
                <w:szCs w:val="18"/>
                <w:highlight w:val="none"/>
              </w:rPr>
            </w:pPr>
            <w:r>
              <w:rPr>
                <w:color w:val="auto"/>
                <w:sz w:val="18"/>
                <w:szCs w:val="18"/>
                <w:highlight w:val="none"/>
              </w:rPr>
              <w:t>用于施</w:t>
            </w:r>
          </w:p>
          <w:p w14:paraId="076387AF">
            <w:pPr>
              <w:jc w:val="center"/>
              <w:rPr>
                <w:color w:val="auto"/>
                <w:sz w:val="18"/>
                <w:szCs w:val="18"/>
                <w:highlight w:val="none"/>
              </w:rPr>
            </w:pPr>
            <w:r>
              <w:rPr>
                <w:color w:val="auto"/>
                <w:sz w:val="18"/>
                <w:szCs w:val="18"/>
                <w:highlight w:val="none"/>
              </w:rPr>
              <w:t>工部位</w:t>
            </w:r>
          </w:p>
        </w:tc>
        <w:tc>
          <w:tcPr>
            <w:tcW w:w="992" w:type="dxa"/>
            <w:vAlign w:val="center"/>
          </w:tcPr>
          <w:p w14:paraId="105901A5">
            <w:pPr>
              <w:jc w:val="center"/>
              <w:rPr>
                <w:color w:val="auto"/>
                <w:sz w:val="18"/>
                <w:szCs w:val="18"/>
                <w:highlight w:val="none"/>
              </w:rPr>
            </w:pPr>
            <w:r>
              <w:rPr>
                <w:color w:val="auto"/>
                <w:sz w:val="18"/>
                <w:szCs w:val="18"/>
                <w:highlight w:val="none"/>
              </w:rPr>
              <w:t>备注</w:t>
            </w:r>
          </w:p>
        </w:tc>
      </w:tr>
      <w:tr w14:paraId="6B5B2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50B8DA16">
            <w:pPr>
              <w:spacing w:line="360" w:lineRule="auto"/>
              <w:rPr>
                <w:color w:val="auto"/>
                <w:sz w:val="18"/>
                <w:szCs w:val="18"/>
                <w:highlight w:val="none"/>
              </w:rPr>
            </w:pPr>
          </w:p>
        </w:tc>
        <w:tc>
          <w:tcPr>
            <w:tcW w:w="1226" w:type="dxa"/>
          </w:tcPr>
          <w:p w14:paraId="5E9355CE">
            <w:pPr>
              <w:spacing w:line="360" w:lineRule="auto"/>
              <w:ind w:firstLine="360" w:firstLineChars="200"/>
              <w:rPr>
                <w:color w:val="auto"/>
                <w:sz w:val="18"/>
                <w:szCs w:val="18"/>
                <w:highlight w:val="none"/>
              </w:rPr>
            </w:pPr>
          </w:p>
        </w:tc>
        <w:tc>
          <w:tcPr>
            <w:tcW w:w="851" w:type="dxa"/>
          </w:tcPr>
          <w:p w14:paraId="554FBB8B">
            <w:pPr>
              <w:spacing w:line="360" w:lineRule="auto"/>
              <w:rPr>
                <w:color w:val="auto"/>
                <w:sz w:val="18"/>
                <w:szCs w:val="18"/>
                <w:highlight w:val="none"/>
              </w:rPr>
            </w:pPr>
          </w:p>
        </w:tc>
        <w:tc>
          <w:tcPr>
            <w:tcW w:w="708" w:type="dxa"/>
          </w:tcPr>
          <w:p w14:paraId="6EDA9910">
            <w:pPr>
              <w:spacing w:line="360" w:lineRule="auto"/>
              <w:rPr>
                <w:color w:val="auto"/>
                <w:sz w:val="18"/>
                <w:szCs w:val="18"/>
                <w:highlight w:val="none"/>
              </w:rPr>
            </w:pPr>
          </w:p>
        </w:tc>
        <w:tc>
          <w:tcPr>
            <w:tcW w:w="709" w:type="dxa"/>
          </w:tcPr>
          <w:p w14:paraId="532EE549">
            <w:pPr>
              <w:spacing w:line="360" w:lineRule="auto"/>
              <w:rPr>
                <w:color w:val="auto"/>
                <w:sz w:val="18"/>
                <w:szCs w:val="18"/>
                <w:highlight w:val="none"/>
              </w:rPr>
            </w:pPr>
          </w:p>
        </w:tc>
        <w:tc>
          <w:tcPr>
            <w:tcW w:w="851" w:type="dxa"/>
          </w:tcPr>
          <w:p w14:paraId="491EFFB4">
            <w:pPr>
              <w:spacing w:line="360" w:lineRule="auto"/>
              <w:rPr>
                <w:color w:val="auto"/>
                <w:sz w:val="18"/>
                <w:szCs w:val="18"/>
                <w:highlight w:val="none"/>
              </w:rPr>
            </w:pPr>
          </w:p>
        </w:tc>
        <w:tc>
          <w:tcPr>
            <w:tcW w:w="1134" w:type="dxa"/>
          </w:tcPr>
          <w:p w14:paraId="45448298">
            <w:pPr>
              <w:spacing w:line="360" w:lineRule="auto"/>
              <w:rPr>
                <w:color w:val="auto"/>
                <w:sz w:val="18"/>
                <w:szCs w:val="18"/>
                <w:highlight w:val="none"/>
              </w:rPr>
            </w:pPr>
          </w:p>
        </w:tc>
        <w:tc>
          <w:tcPr>
            <w:tcW w:w="992" w:type="dxa"/>
          </w:tcPr>
          <w:p w14:paraId="7052D1C4">
            <w:pPr>
              <w:spacing w:line="360" w:lineRule="auto"/>
              <w:rPr>
                <w:color w:val="auto"/>
                <w:sz w:val="18"/>
                <w:szCs w:val="18"/>
                <w:highlight w:val="none"/>
              </w:rPr>
            </w:pPr>
          </w:p>
        </w:tc>
        <w:tc>
          <w:tcPr>
            <w:tcW w:w="1134" w:type="dxa"/>
          </w:tcPr>
          <w:p w14:paraId="34463029">
            <w:pPr>
              <w:spacing w:line="360" w:lineRule="auto"/>
              <w:rPr>
                <w:color w:val="auto"/>
                <w:sz w:val="18"/>
                <w:szCs w:val="18"/>
                <w:highlight w:val="none"/>
              </w:rPr>
            </w:pPr>
          </w:p>
        </w:tc>
        <w:tc>
          <w:tcPr>
            <w:tcW w:w="992" w:type="dxa"/>
          </w:tcPr>
          <w:p w14:paraId="03B2545D">
            <w:pPr>
              <w:spacing w:line="360" w:lineRule="auto"/>
              <w:rPr>
                <w:color w:val="auto"/>
                <w:sz w:val="18"/>
                <w:szCs w:val="18"/>
                <w:highlight w:val="none"/>
              </w:rPr>
            </w:pPr>
          </w:p>
        </w:tc>
      </w:tr>
      <w:tr w14:paraId="075B5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2220B0F9">
            <w:pPr>
              <w:spacing w:line="360" w:lineRule="auto"/>
              <w:rPr>
                <w:color w:val="auto"/>
                <w:sz w:val="18"/>
                <w:szCs w:val="18"/>
                <w:highlight w:val="none"/>
              </w:rPr>
            </w:pPr>
          </w:p>
        </w:tc>
        <w:tc>
          <w:tcPr>
            <w:tcW w:w="1226" w:type="dxa"/>
          </w:tcPr>
          <w:p w14:paraId="5B31FDF9">
            <w:pPr>
              <w:spacing w:line="360" w:lineRule="auto"/>
              <w:rPr>
                <w:color w:val="auto"/>
                <w:sz w:val="18"/>
                <w:szCs w:val="18"/>
                <w:highlight w:val="none"/>
              </w:rPr>
            </w:pPr>
          </w:p>
        </w:tc>
        <w:tc>
          <w:tcPr>
            <w:tcW w:w="851" w:type="dxa"/>
          </w:tcPr>
          <w:p w14:paraId="27E9182B">
            <w:pPr>
              <w:spacing w:line="360" w:lineRule="auto"/>
              <w:rPr>
                <w:color w:val="auto"/>
                <w:sz w:val="18"/>
                <w:szCs w:val="18"/>
                <w:highlight w:val="none"/>
              </w:rPr>
            </w:pPr>
          </w:p>
        </w:tc>
        <w:tc>
          <w:tcPr>
            <w:tcW w:w="708" w:type="dxa"/>
          </w:tcPr>
          <w:p w14:paraId="3450F3E0">
            <w:pPr>
              <w:spacing w:line="360" w:lineRule="auto"/>
              <w:rPr>
                <w:color w:val="auto"/>
                <w:sz w:val="18"/>
                <w:szCs w:val="18"/>
                <w:highlight w:val="none"/>
              </w:rPr>
            </w:pPr>
          </w:p>
        </w:tc>
        <w:tc>
          <w:tcPr>
            <w:tcW w:w="709" w:type="dxa"/>
          </w:tcPr>
          <w:p w14:paraId="20A8B271">
            <w:pPr>
              <w:spacing w:line="360" w:lineRule="auto"/>
              <w:rPr>
                <w:color w:val="auto"/>
                <w:sz w:val="18"/>
                <w:szCs w:val="18"/>
                <w:highlight w:val="none"/>
              </w:rPr>
            </w:pPr>
          </w:p>
        </w:tc>
        <w:tc>
          <w:tcPr>
            <w:tcW w:w="851" w:type="dxa"/>
          </w:tcPr>
          <w:p w14:paraId="02D25945">
            <w:pPr>
              <w:spacing w:line="360" w:lineRule="auto"/>
              <w:rPr>
                <w:color w:val="auto"/>
                <w:sz w:val="18"/>
                <w:szCs w:val="18"/>
                <w:highlight w:val="none"/>
              </w:rPr>
            </w:pPr>
          </w:p>
        </w:tc>
        <w:tc>
          <w:tcPr>
            <w:tcW w:w="1134" w:type="dxa"/>
          </w:tcPr>
          <w:p w14:paraId="5AB752BA">
            <w:pPr>
              <w:spacing w:line="360" w:lineRule="auto"/>
              <w:rPr>
                <w:color w:val="auto"/>
                <w:sz w:val="18"/>
                <w:szCs w:val="18"/>
                <w:highlight w:val="none"/>
              </w:rPr>
            </w:pPr>
          </w:p>
        </w:tc>
        <w:tc>
          <w:tcPr>
            <w:tcW w:w="992" w:type="dxa"/>
          </w:tcPr>
          <w:p w14:paraId="45ED9F49">
            <w:pPr>
              <w:spacing w:line="360" w:lineRule="auto"/>
              <w:rPr>
                <w:color w:val="auto"/>
                <w:sz w:val="18"/>
                <w:szCs w:val="18"/>
                <w:highlight w:val="none"/>
              </w:rPr>
            </w:pPr>
          </w:p>
        </w:tc>
        <w:tc>
          <w:tcPr>
            <w:tcW w:w="1134" w:type="dxa"/>
          </w:tcPr>
          <w:p w14:paraId="48048BB6">
            <w:pPr>
              <w:spacing w:line="360" w:lineRule="auto"/>
              <w:rPr>
                <w:color w:val="auto"/>
                <w:sz w:val="18"/>
                <w:szCs w:val="18"/>
                <w:highlight w:val="none"/>
              </w:rPr>
            </w:pPr>
          </w:p>
        </w:tc>
        <w:tc>
          <w:tcPr>
            <w:tcW w:w="992" w:type="dxa"/>
          </w:tcPr>
          <w:p w14:paraId="717096F0">
            <w:pPr>
              <w:spacing w:line="360" w:lineRule="auto"/>
              <w:rPr>
                <w:color w:val="auto"/>
                <w:sz w:val="18"/>
                <w:szCs w:val="18"/>
                <w:highlight w:val="none"/>
              </w:rPr>
            </w:pPr>
          </w:p>
        </w:tc>
      </w:tr>
      <w:tr w14:paraId="5175D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56F8FA03">
            <w:pPr>
              <w:spacing w:line="360" w:lineRule="auto"/>
              <w:rPr>
                <w:color w:val="auto"/>
                <w:sz w:val="18"/>
                <w:szCs w:val="18"/>
                <w:highlight w:val="none"/>
              </w:rPr>
            </w:pPr>
          </w:p>
        </w:tc>
        <w:tc>
          <w:tcPr>
            <w:tcW w:w="1226" w:type="dxa"/>
          </w:tcPr>
          <w:p w14:paraId="289C1890">
            <w:pPr>
              <w:spacing w:line="360" w:lineRule="auto"/>
              <w:rPr>
                <w:color w:val="auto"/>
                <w:sz w:val="18"/>
                <w:szCs w:val="18"/>
                <w:highlight w:val="none"/>
              </w:rPr>
            </w:pPr>
          </w:p>
        </w:tc>
        <w:tc>
          <w:tcPr>
            <w:tcW w:w="851" w:type="dxa"/>
          </w:tcPr>
          <w:p w14:paraId="07670D21">
            <w:pPr>
              <w:spacing w:line="360" w:lineRule="auto"/>
              <w:rPr>
                <w:color w:val="auto"/>
                <w:sz w:val="18"/>
                <w:szCs w:val="18"/>
                <w:highlight w:val="none"/>
              </w:rPr>
            </w:pPr>
          </w:p>
        </w:tc>
        <w:tc>
          <w:tcPr>
            <w:tcW w:w="708" w:type="dxa"/>
          </w:tcPr>
          <w:p w14:paraId="176F630A">
            <w:pPr>
              <w:spacing w:line="360" w:lineRule="auto"/>
              <w:rPr>
                <w:color w:val="auto"/>
                <w:sz w:val="18"/>
                <w:szCs w:val="18"/>
                <w:highlight w:val="none"/>
              </w:rPr>
            </w:pPr>
          </w:p>
        </w:tc>
        <w:tc>
          <w:tcPr>
            <w:tcW w:w="709" w:type="dxa"/>
          </w:tcPr>
          <w:p w14:paraId="27372504">
            <w:pPr>
              <w:spacing w:line="360" w:lineRule="auto"/>
              <w:rPr>
                <w:color w:val="auto"/>
                <w:sz w:val="18"/>
                <w:szCs w:val="18"/>
                <w:highlight w:val="none"/>
              </w:rPr>
            </w:pPr>
          </w:p>
        </w:tc>
        <w:tc>
          <w:tcPr>
            <w:tcW w:w="851" w:type="dxa"/>
          </w:tcPr>
          <w:p w14:paraId="0993CEA4">
            <w:pPr>
              <w:spacing w:line="360" w:lineRule="auto"/>
              <w:rPr>
                <w:color w:val="auto"/>
                <w:sz w:val="18"/>
                <w:szCs w:val="18"/>
                <w:highlight w:val="none"/>
              </w:rPr>
            </w:pPr>
          </w:p>
        </w:tc>
        <w:tc>
          <w:tcPr>
            <w:tcW w:w="1134" w:type="dxa"/>
          </w:tcPr>
          <w:p w14:paraId="066B284C">
            <w:pPr>
              <w:spacing w:line="360" w:lineRule="auto"/>
              <w:rPr>
                <w:color w:val="auto"/>
                <w:sz w:val="18"/>
                <w:szCs w:val="18"/>
                <w:highlight w:val="none"/>
              </w:rPr>
            </w:pPr>
          </w:p>
        </w:tc>
        <w:tc>
          <w:tcPr>
            <w:tcW w:w="992" w:type="dxa"/>
          </w:tcPr>
          <w:p w14:paraId="57F5A05C">
            <w:pPr>
              <w:spacing w:line="360" w:lineRule="auto"/>
              <w:rPr>
                <w:color w:val="auto"/>
                <w:sz w:val="18"/>
                <w:szCs w:val="18"/>
                <w:highlight w:val="none"/>
              </w:rPr>
            </w:pPr>
          </w:p>
        </w:tc>
        <w:tc>
          <w:tcPr>
            <w:tcW w:w="1134" w:type="dxa"/>
          </w:tcPr>
          <w:p w14:paraId="0515BE78">
            <w:pPr>
              <w:spacing w:line="360" w:lineRule="auto"/>
              <w:rPr>
                <w:color w:val="auto"/>
                <w:sz w:val="18"/>
                <w:szCs w:val="18"/>
                <w:highlight w:val="none"/>
              </w:rPr>
            </w:pPr>
          </w:p>
        </w:tc>
        <w:tc>
          <w:tcPr>
            <w:tcW w:w="992" w:type="dxa"/>
          </w:tcPr>
          <w:p w14:paraId="2E38BB4A">
            <w:pPr>
              <w:spacing w:line="360" w:lineRule="auto"/>
              <w:rPr>
                <w:color w:val="auto"/>
                <w:sz w:val="18"/>
                <w:szCs w:val="18"/>
                <w:highlight w:val="none"/>
              </w:rPr>
            </w:pPr>
          </w:p>
        </w:tc>
      </w:tr>
      <w:tr w14:paraId="072F9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314B56EF">
            <w:pPr>
              <w:spacing w:line="360" w:lineRule="auto"/>
              <w:rPr>
                <w:color w:val="auto"/>
                <w:sz w:val="18"/>
                <w:szCs w:val="18"/>
                <w:highlight w:val="none"/>
              </w:rPr>
            </w:pPr>
          </w:p>
        </w:tc>
        <w:tc>
          <w:tcPr>
            <w:tcW w:w="1226" w:type="dxa"/>
          </w:tcPr>
          <w:p w14:paraId="3252D5C8">
            <w:pPr>
              <w:spacing w:line="360" w:lineRule="auto"/>
              <w:rPr>
                <w:color w:val="auto"/>
                <w:sz w:val="18"/>
                <w:szCs w:val="18"/>
                <w:highlight w:val="none"/>
              </w:rPr>
            </w:pPr>
          </w:p>
        </w:tc>
        <w:tc>
          <w:tcPr>
            <w:tcW w:w="851" w:type="dxa"/>
          </w:tcPr>
          <w:p w14:paraId="2EE03405">
            <w:pPr>
              <w:spacing w:line="360" w:lineRule="auto"/>
              <w:rPr>
                <w:color w:val="auto"/>
                <w:sz w:val="18"/>
                <w:szCs w:val="18"/>
                <w:highlight w:val="none"/>
              </w:rPr>
            </w:pPr>
          </w:p>
        </w:tc>
        <w:tc>
          <w:tcPr>
            <w:tcW w:w="708" w:type="dxa"/>
          </w:tcPr>
          <w:p w14:paraId="6A387FE7">
            <w:pPr>
              <w:spacing w:line="360" w:lineRule="auto"/>
              <w:rPr>
                <w:color w:val="auto"/>
                <w:sz w:val="18"/>
                <w:szCs w:val="18"/>
                <w:highlight w:val="none"/>
              </w:rPr>
            </w:pPr>
          </w:p>
        </w:tc>
        <w:tc>
          <w:tcPr>
            <w:tcW w:w="709" w:type="dxa"/>
          </w:tcPr>
          <w:p w14:paraId="148FA3D4">
            <w:pPr>
              <w:spacing w:line="360" w:lineRule="auto"/>
              <w:rPr>
                <w:color w:val="auto"/>
                <w:sz w:val="18"/>
                <w:szCs w:val="18"/>
                <w:highlight w:val="none"/>
              </w:rPr>
            </w:pPr>
          </w:p>
        </w:tc>
        <w:tc>
          <w:tcPr>
            <w:tcW w:w="851" w:type="dxa"/>
          </w:tcPr>
          <w:p w14:paraId="658CA67F">
            <w:pPr>
              <w:spacing w:line="360" w:lineRule="auto"/>
              <w:rPr>
                <w:color w:val="auto"/>
                <w:sz w:val="18"/>
                <w:szCs w:val="18"/>
                <w:highlight w:val="none"/>
              </w:rPr>
            </w:pPr>
          </w:p>
        </w:tc>
        <w:tc>
          <w:tcPr>
            <w:tcW w:w="1134" w:type="dxa"/>
          </w:tcPr>
          <w:p w14:paraId="5FDC55F6">
            <w:pPr>
              <w:spacing w:line="360" w:lineRule="auto"/>
              <w:rPr>
                <w:color w:val="auto"/>
                <w:sz w:val="18"/>
                <w:szCs w:val="18"/>
                <w:highlight w:val="none"/>
              </w:rPr>
            </w:pPr>
          </w:p>
        </w:tc>
        <w:tc>
          <w:tcPr>
            <w:tcW w:w="992" w:type="dxa"/>
          </w:tcPr>
          <w:p w14:paraId="22DAB9ED">
            <w:pPr>
              <w:spacing w:line="360" w:lineRule="auto"/>
              <w:rPr>
                <w:color w:val="auto"/>
                <w:sz w:val="18"/>
                <w:szCs w:val="18"/>
                <w:highlight w:val="none"/>
              </w:rPr>
            </w:pPr>
          </w:p>
        </w:tc>
        <w:tc>
          <w:tcPr>
            <w:tcW w:w="1134" w:type="dxa"/>
          </w:tcPr>
          <w:p w14:paraId="3C1B80BB">
            <w:pPr>
              <w:spacing w:line="360" w:lineRule="auto"/>
              <w:rPr>
                <w:color w:val="auto"/>
                <w:sz w:val="18"/>
                <w:szCs w:val="18"/>
                <w:highlight w:val="none"/>
              </w:rPr>
            </w:pPr>
          </w:p>
        </w:tc>
        <w:tc>
          <w:tcPr>
            <w:tcW w:w="992" w:type="dxa"/>
          </w:tcPr>
          <w:p w14:paraId="0626524A">
            <w:pPr>
              <w:spacing w:line="360" w:lineRule="auto"/>
              <w:rPr>
                <w:color w:val="auto"/>
                <w:sz w:val="18"/>
                <w:szCs w:val="18"/>
                <w:highlight w:val="none"/>
              </w:rPr>
            </w:pPr>
          </w:p>
        </w:tc>
      </w:tr>
      <w:tr w14:paraId="74BE0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47E27904">
            <w:pPr>
              <w:spacing w:line="360" w:lineRule="auto"/>
              <w:rPr>
                <w:color w:val="auto"/>
                <w:sz w:val="18"/>
                <w:szCs w:val="18"/>
                <w:highlight w:val="none"/>
              </w:rPr>
            </w:pPr>
          </w:p>
        </w:tc>
        <w:tc>
          <w:tcPr>
            <w:tcW w:w="1226" w:type="dxa"/>
          </w:tcPr>
          <w:p w14:paraId="564965F8">
            <w:pPr>
              <w:spacing w:line="360" w:lineRule="auto"/>
              <w:rPr>
                <w:color w:val="auto"/>
                <w:sz w:val="18"/>
                <w:szCs w:val="18"/>
                <w:highlight w:val="none"/>
              </w:rPr>
            </w:pPr>
          </w:p>
        </w:tc>
        <w:tc>
          <w:tcPr>
            <w:tcW w:w="851" w:type="dxa"/>
          </w:tcPr>
          <w:p w14:paraId="58D9BAED">
            <w:pPr>
              <w:spacing w:line="360" w:lineRule="auto"/>
              <w:rPr>
                <w:color w:val="auto"/>
                <w:sz w:val="18"/>
                <w:szCs w:val="18"/>
                <w:highlight w:val="none"/>
              </w:rPr>
            </w:pPr>
          </w:p>
        </w:tc>
        <w:tc>
          <w:tcPr>
            <w:tcW w:w="708" w:type="dxa"/>
          </w:tcPr>
          <w:p w14:paraId="33E4FC27">
            <w:pPr>
              <w:spacing w:line="360" w:lineRule="auto"/>
              <w:rPr>
                <w:color w:val="auto"/>
                <w:sz w:val="18"/>
                <w:szCs w:val="18"/>
                <w:highlight w:val="none"/>
              </w:rPr>
            </w:pPr>
          </w:p>
        </w:tc>
        <w:tc>
          <w:tcPr>
            <w:tcW w:w="709" w:type="dxa"/>
          </w:tcPr>
          <w:p w14:paraId="72AA26C7">
            <w:pPr>
              <w:spacing w:line="360" w:lineRule="auto"/>
              <w:rPr>
                <w:color w:val="auto"/>
                <w:sz w:val="18"/>
                <w:szCs w:val="18"/>
                <w:highlight w:val="none"/>
              </w:rPr>
            </w:pPr>
          </w:p>
        </w:tc>
        <w:tc>
          <w:tcPr>
            <w:tcW w:w="851" w:type="dxa"/>
          </w:tcPr>
          <w:p w14:paraId="049E8C7E">
            <w:pPr>
              <w:spacing w:line="360" w:lineRule="auto"/>
              <w:rPr>
                <w:color w:val="auto"/>
                <w:sz w:val="18"/>
                <w:szCs w:val="18"/>
                <w:highlight w:val="none"/>
              </w:rPr>
            </w:pPr>
          </w:p>
        </w:tc>
        <w:tc>
          <w:tcPr>
            <w:tcW w:w="1134" w:type="dxa"/>
          </w:tcPr>
          <w:p w14:paraId="51807C56">
            <w:pPr>
              <w:spacing w:line="360" w:lineRule="auto"/>
              <w:rPr>
                <w:color w:val="auto"/>
                <w:sz w:val="18"/>
                <w:szCs w:val="18"/>
                <w:highlight w:val="none"/>
              </w:rPr>
            </w:pPr>
          </w:p>
        </w:tc>
        <w:tc>
          <w:tcPr>
            <w:tcW w:w="992" w:type="dxa"/>
          </w:tcPr>
          <w:p w14:paraId="492EE2C8">
            <w:pPr>
              <w:spacing w:line="360" w:lineRule="auto"/>
              <w:rPr>
                <w:color w:val="auto"/>
                <w:sz w:val="18"/>
                <w:szCs w:val="18"/>
                <w:highlight w:val="none"/>
              </w:rPr>
            </w:pPr>
          </w:p>
        </w:tc>
        <w:tc>
          <w:tcPr>
            <w:tcW w:w="1134" w:type="dxa"/>
          </w:tcPr>
          <w:p w14:paraId="26BEEFF2">
            <w:pPr>
              <w:spacing w:line="360" w:lineRule="auto"/>
              <w:rPr>
                <w:color w:val="auto"/>
                <w:sz w:val="18"/>
                <w:szCs w:val="18"/>
                <w:highlight w:val="none"/>
              </w:rPr>
            </w:pPr>
          </w:p>
        </w:tc>
        <w:tc>
          <w:tcPr>
            <w:tcW w:w="992" w:type="dxa"/>
          </w:tcPr>
          <w:p w14:paraId="0607CFDD">
            <w:pPr>
              <w:spacing w:line="360" w:lineRule="auto"/>
              <w:rPr>
                <w:color w:val="auto"/>
                <w:sz w:val="18"/>
                <w:szCs w:val="18"/>
                <w:highlight w:val="none"/>
              </w:rPr>
            </w:pPr>
          </w:p>
        </w:tc>
      </w:tr>
    </w:tbl>
    <w:p w14:paraId="390E7B69">
      <w:pPr>
        <w:rPr>
          <w:color w:val="auto"/>
          <w:sz w:val="18"/>
          <w:szCs w:val="18"/>
          <w:highlight w:val="none"/>
        </w:rPr>
      </w:pPr>
    </w:p>
    <w:p w14:paraId="7BA12E80">
      <w:pPr>
        <w:rPr>
          <w:color w:val="auto"/>
          <w:sz w:val="18"/>
          <w:szCs w:val="18"/>
          <w:highlight w:val="none"/>
        </w:rPr>
      </w:pPr>
    </w:p>
    <w:p w14:paraId="7181F004">
      <w:pPr>
        <w:rPr>
          <w:color w:val="auto"/>
          <w:sz w:val="18"/>
          <w:szCs w:val="18"/>
          <w:highlight w:val="none"/>
        </w:rPr>
      </w:pPr>
      <w:r>
        <w:rPr>
          <w:color w:val="auto"/>
          <w:sz w:val="18"/>
          <w:szCs w:val="18"/>
          <w:highlight w:val="none"/>
        </w:rPr>
        <w:t>附表二：拟配备本工程的试验和检测仪器设备表</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1134"/>
        <w:gridCol w:w="1276"/>
        <w:gridCol w:w="1134"/>
        <w:gridCol w:w="1559"/>
      </w:tblGrid>
      <w:tr w14:paraId="565CC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20E1ABB0">
            <w:pPr>
              <w:jc w:val="center"/>
              <w:rPr>
                <w:color w:val="auto"/>
                <w:sz w:val="18"/>
                <w:szCs w:val="18"/>
                <w:highlight w:val="none"/>
              </w:rPr>
            </w:pPr>
            <w:r>
              <w:rPr>
                <w:color w:val="auto"/>
                <w:sz w:val="18"/>
                <w:szCs w:val="18"/>
                <w:highlight w:val="none"/>
              </w:rPr>
              <w:t>序号</w:t>
            </w:r>
          </w:p>
        </w:tc>
        <w:tc>
          <w:tcPr>
            <w:tcW w:w="1226" w:type="dxa"/>
            <w:vAlign w:val="center"/>
          </w:tcPr>
          <w:p w14:paraId="0C843783">
            <w:pPr>
              <w:jc w:val="center"/>
              <w:rPr>
                <w:color w:val="auto"/>
                <w:sz w:val="18"/>
                <w:szCs w:val="18"/>
                <w:highlight w:val="none"/>
              </w:rPr>
            </w:pPr>
            <w:r>
              <w:rPr>
                <w:color w:val="auto"/>
                <w:sz w:val="18"/>
                <w:szCs w:val="18"/>
                <w:highlight w:val="none"/>
              </w:rPr>
              <w:t>仪器设备名称</w:t>
            </w:r>
          </w:p>
        </w:tc>
        <w:tc>
          <w:tcPr>
            <w:tcW w:w="851" w:type="dxa"/>
            <w:vAlign w:val="center"/>
          </w:tcPr>
          <w:p w14:paraId="47525563">
            <w:pPr>
              <w:jc w:val="center"/>
              <w:rPr>
                <w:color w:val="auto"/>
                <w:sz w:val="18"/>
                <w:szCs w:val="18"/>
                <w:highlight w:val="none"/>
              </w:rPr>
            </w:pPr>
            <w:r>
              <w:rPr>
                <w:color w:val="auto"/>
                <w:sz w:val="18"/>
                <w:szCs w:val="18"/>
                <w:highlight w:val="none"/>
              </w:rPr>
              <w:t>型号</w:t>
            </w:r>
          </w:p>
          <w:p w14:paraId="3CA284AA">
            <w:pPr>
              <w:jc w:val="center"/>
              <w:rPr>
                <w:color w:val="auto"/>
                <w:sz w:val="18"/>
                <w:szCs w:val="18"/>
                <w:highlight w:val="none"/>
              </w:rPr>
            </w:pPr>
            <w:r>
              <w:rPr>
                <w:color w:val="auto"/>
                <w:sz w:val="18"/>
                <w:szCs w:val="18"/>
                <w:highlight w:val="none"/>
              </w:rPr>
              <w:t>规格</w:t>
            </w:r>
          </w:p>
        </w:tc>
        <w:tc>
          <w:tcPr>
            <w:tcW w:w="708" w:type="dxa"/>
            <w:vAlign w:val="center"/>
          </w:tcPr>
          <w:p w14:paraId="41C85575">
            <w:pPr>
              <w:jc w:val="center"/>
              <w:rPr>
                <w:color w:val="auto"/>
                <w:sz w:val="18"/>
                <w:szCs w:val="18"/>
                <w:highlight w:val="none"/>
              </w:rPr>
            </w:pPr>
            <w:r>
              <w:rPr>
                <w:color w:val="auto"/>
                <w:sz w:val="18"/>
                <w:szCs w:val="18"/>
                <w:highlight w:val="none"/>
              </w:rPr>
              <w:t>数量</w:t>
            </w:r>
          </w:p>
        </w:tc>
        <w:tc>
          <w:tcPr>
            <w:tcW w:w="709" w:type="dxa"/>
            <w:vAlign w:val="center"/>
          </w:tcPr>
          <w:p w14:paraId="3D835254">
            <w:pPr>
              <w:jc w:val="center"/>
              <w:rPr>
                <w:color w:val="auto"/>
                <w:sz w:val="18"/>
                <w:szCs w:val="18"/>
                <w:highlight w:val="none"/>
              </w:rPr>
            </w:pPr>
            <w:r>
              <w:rPr>
                <w:color w:val="auto"/>
                <w:sz w:val="18"/>
                <w:szCs w:val="18"/>
                <w:highlight w:val="none"/>
              </w:rPr>
              <w:t>国别</w:t>
            </w:r>
          </w:p>
          <w:p w14:paraId="71FA3EC6">
            <w:pPr>
              <w:jc w:val="center"/>
              <w:rPr>
                <w:color w:val="auto"/>
                <w:sz w:val="18"/>
                <w:szCs w:val="18"/>
                <w:highlight w:val="none"/>
              </w:rPr>
            </w:pPr>
            <w:r>
              <w:rPr>
                <w:color w:val="auto"/>
                <w:sz w:val="18"/>
                <w:szCs w:val="18"/>
                <w:highlight w:val="none"/>
              </w:rPr>
              <w:t>产地</w:t>
            </w:r>
          </w:p>
        </w:tc>
        <w:tc>
          <w:tcPr>
            <w:tcW w:w="1134" w:type="dxa"/>
            <w:vAlign w:val="center"/>
          </w:tcPr>
          <w:p w14:paraId="28471F1A">
            <w:pPr>
              <w:jc w:val="center"/>
              <w:rPr>
                <w:color w:val="auto"/>
                <w:sz w:val="18"/>
                <w:szCs w:val="18"/>
                <w:highlight w:val="none"/>
              </w:rPr>
            </w:pPr>
            <w:r>
              <w:rPr>
                <w:color w:val="auto"/>
                <w:sz w:val="18"/>
                <w:szCs w:val="18"/>
                <w:highlight w:val="none"/>
              </w:rPr>
              <w:t>制造年份</w:t>
            </w:r>
          </w:p>
        </w:tc>
        <w:tc>
          <w:tcPr>
            <w:tcW w:w="1276" w:type="dxa"/>
            <w:vAlign w:val="center"/>
          </w:tcPr>
          <w:p w14:paraId="4B80F4F2">
            <w:pPr>
              <w:jc w:val="center"/>
              <w:rPr>
                <w:color w:val="auto"/>
                <w:sz w:val="18"/>
                <w:szCs w:val="18"/>
                <w:highlight w:val="none"/>
              </w:rPr>
            </w:pPr>
            <w:r>
              <w:rPr>
                <w:color w:val="auto"/>
                <w:sz w:val="18"/>
                <w:szCs w:val="18"/>
                <w:highlight w:val="none"/>
              </w:rPr>
              <w:t>已使用</w:t>
            </w:r>
          </w:p>
          <w:p w14:paraId="2D41D336">
            <w:pPr>
              <w:jc w:val="center"/>
              <w:rPr>
                <w:color w:val="auto"/>
                <w:sz w:val="18"/>
                <w:szCs w:val="18"/>
                <w:highlight w:val="none"/>
              </w:rPr>
            </w:pPr>
            <w:r>
              <w:rPr>
                <w:color w:val="auto"/>
                <w:sz w:val="18"/>
                <w:szCs w:val="18"/>
                <w:highlight w:val="none"/>
              </w:rPr>
              <w:t>台时数</w:t>
            </w:r>
          </w:p>
        </w:tc>
        <w:tc>
          <w:tcPr>
            <w:tcW w:w="1134" w:type="dxa"/>
            <w:vAlign w:val="center"/>
          </w:tcPr>
          <w:p w14:paraId="51509CA7">
            <w:pPr>
              <w:jc w:val="center"/>
              <w:rPr>
                <w:color w:val="auto"/>
                <w:sz w:val="18"/>
                <w:szCs w:val="18"/>
                <w:highlight w:val="none"/>
              </w:rPr>
            </w:pPr>
            <w:r>
              <w:rPr>
                <w:color w:val="auto"/>
                <w:sz w:val="18"/>
                <w:szCs w:val="18"/>
                <w:highlight w:val="none"/>
              </w:rPr>
              <w:t>用途</w:t>
            </w:r>
          </w:p>
        </w:tc>
        <w:tc>
          <w:tcPr>
            <w:tcW w:w="1559" w:type="dxa"/>
            <w:vAlign w:val="center"/>
          </w:tcPr>
          <w:p w14:paraId="1C968AF0">
            <w:pPr>
              <w:jc w:val="center"/>
              <w:rPr>
                <w:color w:val="auto"/>
                <w:sz w:val="18"/>
                <w:szCs w:val="18"/>
                <w:highlight w:val="none"/>
              </w:rPr>
            </w:pPr>
            <w:r>
              <w:rPr>
                <w:color w:val="auto"/>
                <w:sz w:val="18"/>
                <w:szCs w:val="18"/>
                <w:highlight w:val="none"/>
              </w:rPr>
              <w:t>备注</w:t>
            </w:r>
          </w:p>
        </w:tc>
      </w:tr>
      <w:tr w14:paraId="1423B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40FC293E">
            <w:pPr>
              <w:spacing w:line="360" w:lineRule="auto"/>
              <w:ind w:firstLine="360" w:firstLineChars="200"/>
              <w:rPr>
                <w:color w:val="auto"/>
                <w:sz w:val="18"/>
                <w:szCs w:val="18"/>
                <w:highlight w:val="none"/>
              </w:rPr>
            </w:pPr>
          </w:p>
        </w:tc>
        <w:tc>
          <w:tcPr>
            <w:tcW w:w="1226" w:type="dxa"/>
            <w:vAlign w:val="center"/>
          </w:tcPr>
          <w:p w14:paraId="24C6F5E2">
            <w:pPr>
              <w:spacing w:line="360" w:lineRule="auto"/>
              <w:ind w:firstLine="360" w:firstLineChars="200"/>
              <w:rPr>
                <w:color w:val="auto"/>
                <w:sz w:val="18"/>
                <w:szCs w:val="18"/>
                <w:highlight w:val="none"/>
              </w:rPr>
            </w:pPr>
          </w:p>
        </w:tc>
        <w:tc>
          <w:tcPr>
            <w:tcW w:w="851" w:type="dxa"/>
            <w:vAlign w:val="center"/>
          </w:tcPr>
          <w:p w14:paraId="7FD3A814">
            <w:pPr>
              <w:spacing w:line="360" w:lineRule="auto"/>
              <w:ind w:firstLine="360" w:firstLineChars="200"/>
              <w:rPr>
                <w:color w:val="auto"/>
                <w:sz w:val="18"/>
                <w:szCs w:val="18"/>
                <w:highlight w:val="none"/>
              </w:rPr>
            </w:pPr>
          </w:p>
        </w:tc>
        <w:tc>
          <w:tcPr>
            <w:tcW w:w="708" w:type="dxa"/>
            <w:vAlign w:val="center"/>
          </w:tcPr>
          <w:p w14:paraId="75E40451">
            <w:pPr>
              <w:spacing w:line="360" w:lineRule="auto"/>
              <w:ind w:firstLine="360" w:firstLineChars="200"/>
              <w:rPr>
                <w:color w:val="auto"/>
                <w:sz w:val="18"/>
                <w:szCs w:val="18"/>
                <w:highlight w:val="none"/>
              </w:rPr>
            </w:pPr>
          </w:p>
        </w:tc>
        <w:tc>
          <w:tcPr>
            <w:tcW w:w="709" w:type="dxa"/>
            <w:vAlign w:val="center"/>
          </w:tcPr>
          <w:p w14:paraId="47869DC6">
            <w:pPr>
              <w:spacing w:line="360" w:lineRule="auto"/>
              <w:ind w:firstLine="360" w:firstLineChars="200"/>
              <w:rPr>
                <w:color w:val="auto"/>
                <w:sz w:val="18"/>
                <w:szCs w:val="18"/>
                <w:highlight w:val="none"/>
              </w:rPr>
            </w:pPr>
          </w:p>
        </w:tc>
        <w:tc>
          <w:tcPr>
            <w:tcW w:w="1134" w:type="dxa"/>
            <w:vAlign w:val="center"/>
          </w:tcPr>
          <w:p w14:paraId="125F82A2">
            <w:pPr>
              <w:spacing w:line="360" w:lineRule="auto"/>
              <w:ind w:firstLine="360" w:firstLineChars="200"/>
              <w:rPr>
                <w:color w:val="auto"/>
                <w:sz w:val="18"/>
                <w:szCs w:val="18"/>
                <w:highlight w:val="none"/>
              </w:rPr>
            </w:pPr>
          </w:p>
        </w:tc>
        <w:tc>
          <w:tcPr>
            <w:tcW w:w="1276" w:type="dxa"/>
            <w:vAlign w:val="center"/>
          </w:tcPr>
          <w:p w14:paraId="75234230">
            <w:pPr>
              <w:spacing w:line="360" w:lineRule="auto"/>
              <w:ind w:firstLine="360" w:firstLineChars="200"/>
              <w:rPr>
                <w:color w:val="auto"/>
                <w:sz w:val="18"/>
                <w:szCs w:val="18"/>
                <w:highlight w:val="none"/>
              </w:rPr>
            </w:pPr>
          </w:p>
        </w:tc>
        <w:tc>
          <w:tcPr>
            <w:tcW w:w="1134" w:type="dxa"/>
            <w:vAlign w:val="center"/>
          </w:tcPr>
          <w:p w14:paraId="64AF1443">
            <w:pPr>
              <w:spacing w:line="360" w:lineRule="auto"/>
              <w:ind w:firstLine="360" w:firstLineChars="200"/>
              <w:rPr>
                <w:color w:val="auto"/>
                <w:sz w:val="18"/>
                <w:szCs w:val="18"/>
                <w:highlight w:val="none"/>
              </w:rPr>
            </w:pPr>
          </w:p>
        </w:tc>
        <w:tc>
          <w:tcPr>
            <w:tcW w:w="1559" w:type="dxa"/>
            <w:vAlign w:val="center"/>
          </w:tcPr>
          <w:p w14:paraId="2BA92CAD">
            <w:pPr>
              <w:spacing w:line="360" w:lineRule="auto"/>
              <w:ind w:firstLine="360" w:firstLineChars="200"/>
              <w:rPr>
                <w:color w:val="auto"/>
                <w:sz w:val="18"/>
                <w:szCs w:val="18"/>
                <w:highlight w:val="none"/>
              </w:rPr>
            </w:pPr>
          </w:p>
        </w:tc>
      </w:tr>
      <w:tr w14:paraId="58F11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3921E06E">
            <w:pPr>
              <w:spacing w:line="360" w:lineRule="auto"/>
              <w:ind w:firstLine="360" w:firstLineChars="200"/>
              <w:rPr>
                <w:color w:val="auto"/>
                <w:sz w:val="18"/>
                <w:szCs w:val="18"/>
                <w:highlight w:val="none"/>
              </w:rPr>
            </w:pPr>
          </w:p>
        </w:tc>
        <w:tc>
          <w:tcPr>
            <w:tcW w:w="1226" w:type="dxa"/>
            <w:vAlign w:val="center"/>
          </w:tcPr>
          <w:p w14:paraId="63ABC0AA">
            <w:pPr>
              <w:spacing w:line="360" w:lineRule="auto"/>
              <w:ind w:firstLine="360" w:firstLineChars="200"/>
              <w:rPr>
                <w:color w:val="auto"/>
                <w:sz w:val="18"/>
                <w:szCs w:val="18"/>
                <w:highlight w:val="none"/>
              </w:rPr>
            </w:pPr>
          </w:p>
        </w:tc>
        <w:tc>
          <w:tcPr>
            <w:tcW w:w="851" w:type="dxa"/>
            <w:vAlign w:val="center"/>
          </w:tcPr>
          <w:p w14:paraId="4F0B1864">
            <w:pPr>
              <w:spacing w:line="360" w:lineRule="auto"/>
              <w:ind w:firstLine="360" w:firstLineChars="200"/>
              <w:rPr>
                <w:color w:val="auto"/>
                <w:sz w:val="18"/>
                <w:szCs w:val="18"/>
                <w:highlight w:val="none"/>
              </w:rPr>
            </w:pPr>
          </w:p>
        </w:tc>
        <w:tc>
          <w:tcPr>
            <w:tcW w:w="708" w:type="dxa"/>
            <w:vAlign w:val="center"/>
          </w:tcPr>
          <w:p w14:paraId="77B39DF9">
            <w:pPr>
              <w:spacing w:line="360" w:lineRule="auto"/>
              <w:ind w:firstLine="360" w:firstLineChars="200"/>
              <w:rPr>
                <w:color w:val="auto"/>
                <w:sz w:val="18"/>
                <w:szCs w:val="18"/>
                <w:highlight w:val="none"/>
              </w:rPr>
            </w:pPr>
          </w:p>
        </w:tc>
        <w:tc>
          <w:tcPr>
            <w:tcW w:w="709" w:type="dxa"/>
            <w:vAlign w:val="center"/>
          </w:tcPr>
          <w:p w14:paraId="40C05E01">
            <w:pPr>
              <w:spacing w:line="360" w:lineRule="auto"/>
              <w:ind w:firstLine="360" w:firstLineChars="200"/>
              <w:rPr>
                <w:color w:val="auto"/>
                <w:sz w:val="18"/>
                <w:szCs w:val="18"/>
                <w:highlight w:val="none"/>
              </w:rPr>
            </w:pPr>
          </w:p>
        </w:tc>
        <w:tc>
          <w:tcPr>
            <w:tcW w:w="1134" w:type="dxa"/>
            <w:vAlign w:val="center"/>
          </w:tcPr>
          <w:p w14:paraId="2EE332A4">
            <w:pPr>
              <w:spacing w:line="360" w:lineRule="auto"/>
              <w:ind w:firstLine="360" w:firstLineChars="200"/>
              <w:rPr>
                <w:color w:val="auto"/>
                <w:sz w:val="18"/>
                <w:szCs w:val="18"/>
                <w:highlight w:val="none"/>
              </w:rPr>
            </w:pPr>
          </w:p>
        </w:tc>
        <w:tc>
          <w:tcPr>
            <w:tcW w:w="1276" w:type="dxa"/>
            <w:vAlign w:val="center"/>
          </w:tcPr>
          <w:p w14:paraId="5D1A9518">
            <w:pPr>
              <w:spacing w:line="360" w:lineRule="auto"/>
              <w:ind w:firstLine="360" w:firstLineChars="200"/>
              <w:rPr>
                <w:color w:val="auto"/>
                <w:sz w:val="18"/>
                <w:szCs w:val="18"/>
                <w:highlight w:val="none"/>
              </w:rPr>
            </w:pPr>
          </w:p>
        </w:tc>
        <w:tc>
          <w:tcPr>
            <w:tcW w:w="1134" w:type="dxa"/>
            <w:vAlign w:val="center"/>
          </w:tcPr>
          <w:p w14:paraId="5FD6998D">
            <w:pPr>
              <w:spacing w:line="360" w:lineRule="auto"/>
              <w:ind w:firstLine="360" w:firstLineChars="200"/>
              <w:rPr>
                <w:color w:val="auto"/>
                <w:sz w:val="18"/>
                <w:szCs w:val="18"/>
                <w:highlight w:val="none"/>
              </w:rPr>
            </w:pPr>
          </w:p>
        </w:tc>
        <w:tc>
          <w:tcPr>
            <w:tcW w:w="1559" w:type="dxa"/>
            <w:vAlign w:val="center"/>
          </w:tcPr>
          <w:p w14:paraId="46CD9C46">
            <w:pPr>
              <w:spacing w:line="360" w:lineRule="auto"/>
              <w:ind w:firstLine="360" w:firstLineChars="200"/>
              <w:rPr>
                <w:color w:val="auto"/>
                <w:sz w:val="18"/>
                <w:szCs w:val="18"/>
                <w:highlight w:val="none"/>
              </w:rPr>
            </w:pPr>
          </w:p>
        </w:tc>
      </w:tr>
      <w:tr w14:paraId="2CA41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335BE59E">
            <w:pPr>
              <w:spacing w:line="360" w:lineRule="auto"/>
              <w:ind w:firstLine="360" w:firstLineChars="200"/>
              <w:rPr>
                <w:color w:val="auto"/>
                <w:sz w:val="18"/>
                <w:szCs w:val="18"/>
                <w:highlight w:val="none"/>
              </w:rPr>
            </w:pPr>
          </w:p>
        </w:tc>
        <w:tc>
          <w:tcPr>
            <w:tcW w:w="1226" w:type="dxa"/>
            <w:vAlign w:val="center"/>
          </w:tcPr>
          <w:p w14:paraId="67849CF6">
            <w:pPr>
              <w:spacing w:line="360" w:lineRule="auto"/>
              <w:ind w:firstLine="360" w:firstLineChars="200"/>
              <w:rPr>
                <w:color w:val="auto"/>
                <w:sz w:val="18"/>
                <w:szCs w:val="18"/>
                <w:highlight w:val="none"/>
              </w:rPr>
            </w:pPr>
          </w:p>
        </w:tc>
        <w:tc>
          <w:tcPr>
            <w:tcW w:w="851" w:type="dxa"/>
            <w:vAlign w:val="center"/>
          </w:tcPr>
          <w:p w14:paraId="65867CE8">
            <w:pPr>
              <w:spacing w:line="360" w:lineRule="auto"/>
              <w:ind w:firstLine="360" w:firstLineChars="200"/>
              <w:rPr>
                <w:color w:val="auto"/>
                <w:sz w:val="18"/>
                <w:szCs w:val="18"/>
                <w:highlight w:val="none"/>
              </w:rPr>
            </w:pPr>
          </w:p>
        </w:tc>
        <w:tc>
          <w:tcPr>
            <w:tcW w:w="708" w:type="dxa"/>
            <w:vAlign w:val="center"/>
          </w:tcPr>
          <w:p w14:paraId="7372AD90">
            <w:pPr>
              <w:spacing w:line="360" w:lineRule="auto"/>
              <w:ind w:firstLine="360" w:firstLineChars="200"/>
              <w:rPr>
                <w:color w:val="auto"/>
                <w:sz w:val="18"/>
                <w:szCs w:val="18"/>
                <w:highlight w:val="none"/>
              </w:rPr>
            </w:pPr>
          </w:p>
        </w:tc>
        <w:tc>
          <w:tcPr>
            <w:tcW w:w="709" w:type="dxa"/>
            <w:vAlign w:val="center"/>
          </w:tcPr>
          <w:p w14:paraId="117972FD">
            <w:pPr>
              <w:spacing w:line="360" w:lineRule="auto"/>
              <w:ind w:firstLine="360" w:firstLineChars="200"/>
              <w:rPr>
                <w:color w:val="auto"/>
                <w:sz w:val="18"/>
                <w:szCs w:val="18"/>
                <w:highlight w:val="none"/>
              </w:rPr>
            </w:pPr>
          </w:p>
        </w:tc>
        <w:tc>
          <w:tcPr>
            <w:tcW w:w="1134" w:type="dxa"/>
            <w:vAlign w:val="center"/>
          </w:tcPr>
          <w:p w14:paraId="7B3D092E">
            <w:pPr>
              <w:spacing w:line="360" w:lineRule="auto"/>
              <w:ind w:firstLine="360" w:firstLineChars="200"/>
              <w:rPr>
                <w:color w:val="auto"/>
                <w:sz w:val="18"/>
                <w:szCs w:val="18"/>
                <w:highlight w:val="none"/>
              </w:rPr>
            </w:pPr>
          </w:p>
        </w:tc>
        <w:tc>
          <w:tcPr>
            <w:tcW w:w="1276" w:type="dxa"/>
            <w:vAlign w:val="center"/>
          </w:tcPr>
          <w:p w14:paraId="6F962F88">
            <w:pPr>
              <w:spacing w:line="360" w:lineRule="auto"/>
              <w:ind w:firstLine="360" w:firstLineChars="200"/>
              <w:rPr>
                <w:color w:val="auto"/>
                <w:sz w:val="18"/>
                <w:szCs w:val="18"/>
                <w:highlight w:val="none"/>
              </w:rPr>
            </w:pPr>
          </w:p>
        </w:tc>
        <w:tc>
          <w:tcPr>
            <w:tcW w:w="1134" w:type="dxa"/>
            <w:vAlign w:val="center"/>
          </w:tcPr>
          <w:p w14:paraId="6FAA5E21">
            <w:pPr>
              <w:spacing w:line="360" w:lineRule="auto"/>
              <w:ind w:firstLine="360" w:firstLineChars="200"/>
              <w:rPr>
                <w:color w:val="auto"/>
                <w:sz w:val="18"/>
                <w:szCs w:val="18"/>
                <w:highlight w:val="none"/>
              </w:rPr>
            </w:pPr>
          </w:p>
        </w:tc>
        <w:tc>
          <w:tcPr>
            <w:tcW w:w="1559" w:type="dxa"/>
            <w:vAlign w:val="center"/>
          </w:tcPr>
          <w:p w14:paraId="75E9FD37">
            <w:pPr>
              <w:spacing w:line="360" w:lineRule="auto"/>
              <w:ind w:firstLine="360" w:firstLineChars="200"/>
              <w:rPr>
                <w:color w:val="auto"/>
                <w:sz w:val="18"/>
                <w:szCs w:val="18"/>
                <w:highlight w:val="none"/>
              </w:rPr>
            </w:pPr>
          </w:p>
        </w:tc>
      </w:tr>
      <w:tr w14:paraId="5425B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2D0AAFA8">
            <w:pPr>
              <w:spacing w:line="360" w:lineRule="auto"/>
              <w:ind w:firstLine="360" w:firstLineChars="200"/>
              <w:rPr>
                <w:color w:val="auto"/>
                <w:sz w:val="18"/>
                <w:szCs w:val="18"/>
                <w:highlight w:val="none"/>
              </w:rPr>
            </w:pPr>
          </w:p>
        </w:tc>
        <w:tc>
          <w:tcPr>
            <w:tcW w:w="1226" w:type="dxa"/>
            <w:vAlign w:val="center"/>
          </w:tcPr>
          <w:p w14:paraId="0E017D53">
            <w:pPr>
              <w:spacing w:line="360" w:lineRule="auto"/>
              <w:ind w:firstLine="360" w:firstLineChars="200"/>
              <w:rPr>
                <w:color w:val="auto"/>
                <w:sz w:val="18"/>
                <w:szCs w:val="18"/>
                <w:highlight w:val="none"/>
              </w:rPr>
            </w:pPr>
          </w:p>
        </w:tc>
        <w:tc>
          <w:tcPr>
            <w:tcW w:w="851" w:type="dxa"/>
            <w:vAlign w:val="center"/>
          </w:tcPr>
          <w:p w14:paraId="6A31A2F4">
            <w:pPr>
              <w:spacing w:line="360" w:lineRule="auto"/>
              <w:ind w:firstLine="360" w:firstLineChars="200"/>
              <w:rPr>
                <w:color w:val="auto"/>
                <w:sz w:val="18"/>
                <w:szCs w:val="18"/>
                <w:highlight w:val="none"/>
              </w:rPr>
            </w:pPr>
          </w:p>
        </w:tc>
        <w:tc>
          <w:tcPr>
            <w:tcW w:w="708" w:type="dxa"/>
            <w:vAlign w:val="center"/>
          </w:tcPr>
          <w:p w14:paraId="0D4567A0">
            <w:pPr>
              <w:spacing w:line="360" w:lineRule="auto"/>
              <w:ind w:firstLine="360" w:firstLineChars="200"/>
              <w:rPr>
                <w:color w:val="auto"/>
                <w:sz w:val="18"/>
                <w:szCs w:val="18"/>
                <w:highlight w:val="none"/>
              </w:rPr>
            </w:pPr>
          </w:p>
        </w:tc>
        <w:tc>
          <w:tcPr>
            <w:tcW w:w="709" w:type="dxa"/>
            <w:vAlign w:val="center"/>
          </w:tcPr>
          <w:p w14:paraId="3AA517B4">
            <w:pPr>
              <w:spacing w:line="360" w:lineRule="auto"/>
              <w:ind w:firstLine="360" w:firstLineChars="200"/>
              <w:rPr>
                <w:color w:val="auto"/>
                <w:sz w:val="18"/>
                <w:szCs w:val="18"/>
                <w:highlight w:val="none"/>
              </w:rPr>
            </w:pPr>
          </w:p>
        </w:tc>
        <w:tc>
          <w:tcPr>
            <w:tcW w:w="1134" w:type="dxa"/>
            <w:vAlign w:val="center"/>
          </w:tcPr>
          <w:p w14:paraId="6A8B1F2B">
            <w:pPr>
              <w:spacing w:line="360" w:lineRule="auto"/>
              <w:ind w:firstLine="360" w:firstLineChars="200"/>
              <w:rPr>
                <w:color w:val="auto"/>
                <w:sz w:val="18"/>
                <w:szCs w:val="18"/>
                <w:highlight w:val="none"/>
              </w:rPr>
            </w:pPr>
          </w:p>
        </w:tc>
        <w:tc>
          <w:tcPr>
            <w:tcW w:w="1276" w:type="dxa"/>
            <w:vAlign w:val="center"/>
          </w:tcPr>
          <w:p w14:paraId="76379919">
            <w:pPr>
              <w:spacing w:line="360" w:lineRule="auto"/>
              <w:ind w:firstLine="360" w:firstLineChars="200"/>
              <w:rPr>
                <w:color w:val="auto"/>
                <w:sz w:val="18"/>
                <w:szCs w:val="18"/>
                <w:highlight w:val="none"/>
              </w:rPr>
            </w:pPr>
          </w:p>
        </w:tc>
        <w:tc>
          <w:tcPr>
            <w:tcW w:w="1134" w:type="dxa"/>
            <w:vAlign w:val="center"/>
          </w:tcPr>
          <w:p w14:paraId="4DF9442D">
            <w:pPr>
              <w:spacing w:line="360" w:lineRule="auto"/>
              <w:ind w:firstLine="360" w:firstLineChars="200"/>
              <w:rPr>
                <w:color w:val="auto"/>
                <w:sz w:val="18"/>
                <w:szCs w:val="18"/>
                <w:highlight w:val="none"/>
              </w:rPr>
            </w:pPr>
          </w:p>
        </w:tc>
        <w:tc>
          <w:tcPr>
            <w:tcW w:w="1559" w:type="dxa"/>
            <w:vAlign w:val="center"/>
          </w:tcPr>
          <w:p w14:paraId="6EB941FE">
            <w:pPr>
              <w:spacing w:line="360" w:lineRule="auto"/>
              <w:ind w:firstLine="360" w:firstLineChars="200"/>
              <w:rPr>
                <w:color w:val="auto"/>
                <w:sz w:val="18"/>
                <w:szCs w:val="18"/>
                <w:highlight w:val="none"/>
              </w:rPr>
            </w:pPr>
          </w:p>
        </w:tc>
      </w:tr>
      <w:tr w14:paraId="3E2AA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44F88D95">
            <w:pPr>
              <w:spacing w:line="360" w:lineRule="auto"/>
              <w:ind w:firstLine="360" w:firstLineChars="200"/>
              <w:rPr>
                <w:color w:val="auto"/>
                <w:sz w:val="18"/>
                <w:szCs w:val="18"/>
                <w:highlight w:val="none"/>
              </w:rPr>
            </w:pPr>
          </w:p>
        </w:tc>
        <w:tc>
          <w:tcPr>
            <w:tcW w:w="1226" w:type="dxa"/>
            <w:vAlign w:val="center"/>
          </w:tcPr>
          <w:p w14:paraId="0E5C5CB5">
            <w:pPr>
              <w:spacing w:line="360" w:lineRule="auto"/>
              <w:ind w:firstLine="360" w:firstLineChars="200"/>
              <w:rPr>
                <w:color w:val="auto"/>
                <w:sz w:val="18"/>
                <w:szCs w:val="18"/>
                <w:highlight w:val="none"/>
              </w:rPr>
            </w:pPr>
          </w:p>
        </w:tc>
        <w:tc>
          <w:tcPr>
            <w:tcW w:w="851" w:type="dxa"/>
            <w:vAlign w:val="center"/>
          </w:tcPr>
          <w:p w14:paraId="085D3B7D">
            <w:pPr>
              <w:spacing w:line="360" w:lineRule="auto"/>
              <w:ind w:firstLine="360" w:firstLineChars="200"/>
              <w:rPr>
                <w:color w:val="auto"/>
                <w:sz w:val="18"/>
                <w:szCs w:val="18"/>
                <w:highlight w:val="none"/>
              </w:rPr>
            </w:pPr>
          </w:p>
        </w:tc>
        <w:tc>
          <w:tcPr>
            <w:tcW w:w="708" w:type="dxa"/>
            <w:vAlign w:val="center"/>
          </w:tcPr>
          <w:p w14:paraId="7BBFD292">
            <w:pPr>
              <w:spacing w:line="360" w:lineRule="auto"/>
              <w:ind w:firstLine="360" w:firstLineChars="200"/>
              <w:rPr>
                <w:color w:val="auto"/>
                <w:sz w:val="18"/>
                <w:szCs w:val="18"/>
                <w:highlight w:val="none"/>
              </w:rPr>
            </w:pPr>
          </w:p>
        </w:tc>
        <w:tc>
          <w:tcPr>
            <w:tcW w:w="709" w:type="dxa"/>
            <w:vAlign w:val="center"/>
          </w:tcPr>
          <w:p w14:paraId="08FE12AB">
            <w:pPr>
              <w:spacing w:line="360" w:lineRule="auto"/>
              <w:ind w:firstLine="360" w:firstLineChars="200"/>
              <w:rPr>
                <w:color w:val="auto"/>
                <w:sz w:val="18"/>
                <w:szCs w:val="18"/>
                <w:highlight w:val="none"/>
              </w:rPr>
            </w:pPr>
          </w:p>
        </w:tc>
        <w:tc>
          <w:tcPr>
            <w:tcW w:w="1134" w:type="dxa"/>
            <w:vAlign w:val="center"/>
          </w:tcPr>
          <w:p w14:paraId="161EE5B1">
            <w:pPr>
              <w:spacing w:line="360" w:lineRule="auto"/>
              <w:ind w:firstLine="360" w:firstLineChars="200"/>
              <w:rPr>
                <w:color w:val="auto"/>
                <w:sz w:val="18"/>
                <w:szCs w:val="18"/>
                <w:highlight w:val="none"/>
              </w:rPr>
            </w:pPr>
          </w:p>
        </w:tc>
        <w:tc>
          <w:tcPr>
            <w:tcW w:w="1276" w:type="dxa"/>
            <w:vAlign w:val="center"/>
          </w:tcPr>
          <w:p w14:paraId="3A5E7A4A">
            <w:pPr>
              <w:spacing w:line="360" w:lineRule="auto"/>
              <w:ind w:firstLine="360" w:firstLineChars="200"/>
              <w:rPr>
                <w:color w:val="auto"/>
                <w:sz w:val="18"/>
                <w:szCs w:val="18"/>
                <w:highlight w:val="none"/>
              </w:rPr>
            </w:pPr>
          </w:p>
        </w:tc>
        <w:tc>
          <w:tcPr>
            <w:tcW w:w="1134" w:type="dxa"/>
            <w:vAlign w:val="center"/>
          </w:tcPr>
          <w:p w14:paraId="55862B32">
            <w:pPr>
              <w:spacing w:line="360" w:lineRule="auto"/>
              <w:ind w:firstLine="360" w:firstLineChars="200"/>
              <w:rPr>
                <w:color w:val="auto"/>
                <w:sz w:val="18"/>
                <w:szCs w:val="18"/>
                <w:highlight w:val="none"/>
              </w:rPr>
            </w:pPr>
          </w:p>
        </w:tc>
        <w:tc>
          <w:tcPr>
            <w:tcW w:w="1559" w:type="dxa"/>
            <w:vAlign w:val="center"/>
          </w:tcPr>
          <w:p w14:paraId="1733ED7D">
            <w:pPr>
              <w:spacing w:line="360" w:lineRule="auto"/>
              <w:ind w:firstLine="360" w:firstLineChars="200"/>
              <w:rPr>
                <w:color w:val="auto"/>
                <w:sz w:val="18"/>
                <w:szCs w:val="18"/>
                <w:highlight w:val="none"/>
              </w:rPr>
            </w:pPr>
          </w:p>
        </w:tc>
      </w:tr>
    </w:tbl>
    <w:p w14:paraId="04CDB18C">
      <w:pPr>
        <w:rPr>
          <w:color w:val="auto"/>
          <w:sz w:val="18"/>
          <w:szCs w:val="18"/>
          <w:highlight w:val="none"/>
        </w:rPr>
      </w:pPr>
    </w:p>
    <w:p w14:paraId="62210CDE">
      <w:pPr>
        <w:rPr>
          <w:color w:val="auto"/>
          <w:sz w:val="18"/>
          <w:szCs w:val="18"/>
          <w:highlight w:val="none"/>
        </w:rPr>
      </w:pPr>
    </w:p>
    <w:p w14:paraId="28F785A7">
      <w:pPr>
        <w:rPr>
          <w:color w:val="auto"/>
          <w:sz w:val="18"/>
          <w:szCs w:val="18"/>
          <w:highlight w:val="none"/>
        </w:rPr>
      </w:pPr>
      <w:r>
        <w:rPr>
          <w:color w:val="auto"/>
          <w:sz w:val="18"/>
          <w:szCs w:val="18"/>
          <w:highlight w:val="none"/>
        </w:rPr>
        <w:t>附表三：劳动力计划表</w:t>
      </w:r>
    </w:p>
    <w:p w14:paraId="3ACF2BD0">
      <w:pPr>
        <w:ind w:firstLine="6210" w:firstLineChars="3450"/>
        <w:rPr>
          <w:color w:val="auto"/>
          <w:sz w:val="18"/>
          <w:szCs w:val="18"/>
          <w:highlight w:val="none"/>
        </w:rPr>
      </w:pPr>
      <w:r>
        <w:rPr>
          <w:color w:val="auto"/>
          <w:sz w:val="18"/>
          <w:szCs w:val="18"/>
          <w:highlight w:val="none"/>
        </w:rPr>
        <w:t xml:space="preserve">    单位：人</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961"/>
        <w:gridCol w:w="1257"/>
        <w:gridCol w:w="1258"/>
        <w:gridCol w:w="1257"/>
        <w:gridCol w:w="1258"/>
        <w:gridCol w:w="1257"/>
        <w:gridCol w:w="1258"/>
      </w:tblGrid>
      <w:tr w14:paraId="4664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38D0A3BA">
            <w:pPr>
              <w:spacing w:line="360" w:lineRule="auto"/>
              <w:jc w:val="center"/>
              <w:rPr>
                <w:color w:val="auto"/>
                <w:sz w:val="18"/>
                <w:szCs w:val="18"/>
                <w:highlight w:val="none"/>
              </w:rPr>
            </w:pPr>
            <w:r>
              <w:rPr>
                <w:color w:val="auto"/>
                <w:sz w:val="18"/>
                <w:szCs w:val="18"/>
                <w:highlight w:val="none"/>
              </w:rPr>
              <w:t>工种</w:t>
            </w:r>
          </w:p>
        </w:tc>
        <w:tc>
          <w:tcPr>
            <w:tcW w:w="8506" w:type="dxa"/>
            <w:gridSpan w:val="7"/>
            <w:vAlign w:val="center"/>
          </w:tcPr>
          <w:p w14:paraId="3725F641">
            <w:pPr>
              <w:spacing w:line="360" w:lineRule="auto"/>
              <w:jc w:val="center"/>
              <w:rPr>
                <w:color w:val="auto"/>
                <w:sz w:val="18"/>
                <w:szCs w:val="18"/>
                <w:highlight w:val="none"/>
              </w:rPr>
            </w:pPr>
            <w:r>
              <w:rPr>
                <w:color w:val="auto"/>
                <w:sz w:val="18"/>
                <w:szCs w:val="18"/>
                <w:highlight w:val="none"/>
              </w:rPr>
              <w:t>按工程施工阶段投入劳动力情况</w:t>
            </w:r>
          </w:p>
        </w:tc>
      </w:tr>
      <w:tr w14:paraId="19F36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29E717CA">
            <w:pPr>
              <w:spacing w:line="360" w:lineRule="auto"/>
              <w:jc w:val="center"/>
              <w:rPr>
                <w:color w:val="auto"/>
                <w:sz w:val="18"/>
                <w:szCs w:val="18"/>
                <w:highlight w:val="none"/>
              </w:rPr>
            </w:pPr>
          </w:p>
        </w:tc>
        <w:tc>
          <w:tcPr>
            <w:tcW w:w="961" w:type="dxa"/>
            <w:vAlign w:val="center"/>
          </w:tcPr>
          <w:p w14:paraId="21886578">
            <w:pPr>
              <w:spacing w:line="360" w:lineRule="auto"/>
              <w:jc w:val="center"/>
              <w:rPr>
                <w:color w:val="auto"/>
                <w:sz w:val="18"/>
                <w:szCs w:val="18"/>
                <w:highlight w:val="none"/>
              </w:rPr>
            </w:pPr>
          </w:p>
        </w:tc>
        <w:tc>
          <w:tcPr>
            <w:tcW w:w="1257" w:type="dxa"/>
            <w:vAlign w:val="center"/>
          </w:tcPr>
          <w:p w14:paraId="08A97235">
            <w:pPr>
              <w:spacing w:line="360" w:lineRule="auto"/>
              <w:jc w:val="center"/>
              <w:rPr>
                <w:color w:val="auto"/>
                <w:sz w:val="18"/>
                <w:szCs w:val="18"/>
                <w:highlight w:val="none"/>
              </w:rPr>
            </w:pPr>
          </w:p>
        </w:tc>
        <w:tc>
          <w:tcPr>
            <w:tcW w:w="1258" w:type="dxa"/>
            <w:vAlign w:val="center"/>
          </w:tcPr>
          <w:p w14:paraId="678F04E9">
            <w:pPr>
              <w:spacing w:line="360" w:lineRule="auto"/>
              <w:jc w:val="center"/>
              <w:rPr>
                <w:color w:val="auto"/>
                <w:sz w:val="18"/>
                <w:szCs w:val="18"/>
                <w:highlight w:val="none"/>
              </w:rPr>
            </w:pPr>
          </w:p>
        </w:tc>
        <w:tc>
          <w:tcPr>
            <w:tcW w:w="1257" w:type="dxa"/>
            <w:vAlign w:val="center"/>
          </w:tcPr>
          <w:p w14:paraId="74BC5E8B">
            <w:pPr>
              <w:spacing w:line="360" w:lineRule="auto"/>
              <w:jc w:val="center"/>
              <w:rPr>
                <w:color w:val="auto"/>
                <w:sz w:val="18"/>
                <w:szCs w:val="18"/>
                <w:highlight w:val="none"/>
              </w:rPr>
            </w:pPr>
          </w:p>
        </w:tc>
        <w:tc>
          <w:tcPr>
            <w:tcW w:w="1258" w:type="dxa"/>
            <w:vAlign w:val="center"/>
          </w:tcPr>
          <w:p w14:paraId="7983FD05">
            <w:pPr>
              <w:spacing w:line="360" w:lineRule="auto"/>
              <w:jc w:val="center"/>
              <w:rPr>
                <w:color w:val="auto"/>
                <w:sz w:val="18"/>
                <w:szCs w:val="18"/>
                <w:highlight w:val="none"/>
              </w:rPr>
            </w:pPr>
          </w:p>
        </w:tc>
        <w:tc>
          <w:tcPr>
            <w:tcW w:w="1257" w:type="dxa"/>
            <w:vAlign w:val="center"/>
          </w:tcPr>
          <w:p w14:paraId="578E92D7">
            <w:pPr>
              <w:spacing w:line="360" w:lineRule="auto"/>
              <w:jc w:val="center"/>
              <w:rPr>
                <w:color w:val="auto"/>
                <w:sz w:val="18"/>
                <w:szCs w:val="18"/>
                <w:highlight w:val="none"/>
              </w:rPr>
            </w:pPr>
          </w:p>
        </w:tc>
        <w:tc>
          <w:tcPr>
            <w:tcW w:w="1258" w:type="dxa"/>
            <w:vAlign w:val="center"/>
          </w:tcPr>
          <w:p w14:paraId="13A41CD9">
            <w:pPr>
              <w:spacing w:line="360" w:lineRule="auto"/>
              <w:jc w:val="center"/>
              <w:rPr>
                <w:color w:val="auto"/>
                <w:sz w:val="18"/>
                <w:szCs w:val="18"/>
                <w:highlight w:val="none"/>
              </w:rPr>
            </w:pPr>
          </w:p>
        </w:tc>
      </w:tr>
      <w:tr w14:paraId="65F7E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292B1E92">
            <w:pPr>
              <w:spacing w:line="360" w:lineRule="auto"/>
              <w:jc w:val="center"/>
              <w:rPr>
                <w:color w:val="auto"/>
                <w:sz w:val="18"/>
                <w:szCs w:val="18"/>
                <w:highlight w:val="none"/>
              </w:rPr>
            </w:pPr>
          </w:p>
        </w:tc>
        <w:tc>
          <w:tcPr>
            <w:tcW w:w="961" w:type="dxa"/>
            <w:vAlign w:val="center"/>
          </w:tcPr>
          <w:p w14:paraId="764099C2">
            <w:pPr>
              <w:spacing w:line="360" w:lineRule="auto"/>
              <w:jc w:val="center"/>
              <w:rPr>
                <w:color w:val="auto"/>
                <w:sz w:val="18"/>
                <w:szCs w:val="18"/>
                <w:highlight w:val="none"/>
              </w:rPr>
            </w:pPr>
          </w:p>
        </w:tc>
        <w:tc>
          <w:tcPr>
            <w:tcW w:w="1257" w:type="dxa"/>
            <w:vAlign w:val="center"/>
          </w:tcPr>
          <w:p w14:paraId="275795B3">
            <w:pPr>
              <w:spacing w:line="360" w:lineRule="auto"/>
              <w:jc w:val="center"/>
              <w:rPr>
                <w:color w:val="auto"/>
                <w:sz w:val="18"/>
                <w:szCs w:val="18"/>
                <w:highlight w:val="none"/>
              </w:rPr>
            </w:pPr>
          </w:p>
        </w:tc>
        <w:tc>
          <w:tcPr>
            <w:tcW w:w="1258" w:type="dxa"/>
            <w:vAlign w:val="center"/>
          </w:tcPr>
          <w:p w14:paraId="6616AEFE">
            <w:pPr>
              <w:spacing w:line="360" w:lineRule="auto"/>
              <w:jc w:val="center"/>
              <w:rPr>
                <w:color w:val="auto"/>
                <w:sz w:val="18"/>
                <w:szCs w:val="18"/>
                <w:highlight w:val="none"/>
              </w:rPr>
            </w:pPr>
          </w:p>
        </w:tc>
        <w:tc>
          <w:tcPr>
            <w:tcW w:w="1257" w:type="dxa"/>
            <w:vAlign w:val="center"/>
          </w:tcPr>
          <w:p w14:paraId="0F44449B">
            <w:pPr>
              <w:spacing w:line="360" w:lineRule="auto"/>
              <w:jc w:val="center"/>
              <w:rPr>
                <w:color w:val="auto"/>
                <w:sz w:val="18"/>
                <w:szCs w:val="18"/>
                <w:highlight w:val="none"/>
              </w:rPr>
            </w:pPr>
          </w:p>
        </w:tc>
        <w:tc>
          <w:tcPr>
            <w:tcW w:w="1258" w:type="dxa"/>
            <w:vAlign w:val="center"/>
          </w:tcPr>
          <w:p w14:paraId="4908AB3A">
            <w:pPr>
              <w:spacing w:line="360" w:lineRule="auto"/>
              <w:jc w:val="center"/>
              <w:rPr>
                <w:color w:val="auto"/>
                <w:sz w:val="18"/>
                <w:szCs w:val="18"/>
                <w:highlight w:val="none"/>
              </w:rPr>
            </w:pPr>
          </w:p>
        </w:tc>
        <w:tc>
          <w:tcPr>
            <w:tcW w:w="1257" w:type="dxa"/>
            <w:vAlign w:val="center"/>
          </w:tcPr>
          <w:p w14:paraId="6C9D9D65">
            <w:pPr>
              <w:spacing w:line="360" w:lineRule="auto"/>
              <w:jc w:val="center"/>
              <w:rPr>
                <w:color w:val="auto"/>
                <w:sz w:val="18"/>
                <w:szCs w:val="18"/>
                <w:highlight w:val="none"/>
              </w:rPr>
            </w:pPr>
          </w:p>
        </w:tc>
        <w:tc>
          <w:tcPr>
            <w:tcW w:w="1258" w:type="dxa"/>
            <w:vAlign w:val="center"/>
          </w:tcPr>
          <w:p w14:paraId="75AC16E9">
            <w:pPr>
              <w:spacing w:line="360" w:lineRule="auto"/>
              <w:jc w:val="center"/>
              <w:rPr>
                <w:color w:val="auto"/>
                <w:sz w:val="18"/>
                <w:szCs w:val="18"/>
                <w:highlight w:val="none"/>
              </w:rPr>
            </w:pPr>
          </w:p>
        </w:tc>
      </w:tr>
      <w:tr w14:paraId="231F6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7245233B">
            <w:pPr>
              <w:spacing w:line="360" w:lineRule="auto"/>
              <w:jc w:val="center"/>
              <w:rPr>
                <w:color w:val="auto"/>
                <w:sz w:val="18"/>
                <w:szCs w:val="18"/>
                <w:highlight w:val="none"/>
              </w:rPr>
            </w:pPr>
          </w:p>
        </w:tc>
        <w:tc>
          <w:tcPr>
            <w:tcW w:w="961" w:type="dxa"/>
            <w:vAlign w:val="center"/>
          </w:tcPr>
          <w:p w14:paraId="6165900F">
            <w:pPr>
              <w:spacing w:line="360" w:lineRule="auto"/>
              <w:jc w:val="center"/>
              <w:rPr>
                <w:color w:val="auto"/>
                <w:sz w:val="18"/>
                <w:szCs w:val="18"/>
                <w:highlight w:val="none"/>
              </w:rPr>
            </w:pPr>
          </w:p>
        </w:tc>
        <w:tc>
          <w:tcPr>
            <w:tcW w:w="1257" w:type="dxa"/>
            <w:vAlign w:val="center"/>
          </w:tcPr>
          <w:p w14:paraId="10547295">
            <w:pPr>
              <w:spacing w:line="360" w:lineRule="auto"/>
              <w:jc w:val="center"/>
              <w:rPr>
                <w:color w:val="auto"/>
                <w:sz w:val="18"/>
                <w:szCs w:val="18"/>
                <w:highlight w:val="none"/>
              </w:rPr>
            </w:pPr>
          </w:p>
        </w:tc>
        <w:tc>
          <w:tcPr>
            <w:tcW w:w="1258" w:type="dxa"/>
            <w:vAlign w:val="center"/>
          </w:tcPr>
          <w:p w14:paraId="12BC7D85">
            <w:pPr>
              <w:spacing w:line="360" w:lineRule="auto"/>
              <w:jc w:val="center"/>
              <w:rPr>
                <w:color w:val="auto"/>
                <w:sz w:val="18"/>
                <w:szCs w:val="18"/>
                <w:highlight w:val="none"/>
              </w:rPr>
            </w:pPr>
          </w:p>
        </w:tc>
        <w:tc>
          <w:tcPr>
            <w:tcW w:w="1257" w:type="dxa"/>
            <w:vAlign w:val="center"/>
          </w:tcPr>
          <w:p w14:paraId="6428246A">
            <w:pPr>
              <w:spacing w:line="360" w:lineRule="auto"/>
              <w:jc w:val="center"/>
              <w:rPr>
                <w:color w:val="auto"/>
                <w:sz w:val="18"/>
                <w:szCs w:val="18"/>
                <w:highlight w:val="none"/>
              </w:rPr>
            </w:pPr>
          </w:p>
        </w:tc>
        <w:tc>
          <w:tcPr>
            <w:tcW w:w="1258" w:type="dxa"/>
            <w:vAlign w:val="center"/>
          </w:tcPr>
          <w:p w14:paraId="7309F330">
            <w:pPr>
              <w:spacing w:line="360" w:lineRule="auto"/>
              <w:jc w:val="center"/>
              <w:rPr>
                <w:color w:val="auto"/>
                <w:sz w:val="18"/>
                <w:szCs w:val="18"/>
                <w:highlight w:val="none"/>
              </w:rPr>
            </w:pPr>
          </w:p>
        </w:tc>
        <w:tc>
          <w:tcPr>
            <w:tcW w:w="1257" w:type="dxa"/>
            <w:vAlign w:val="center"/>
          </w:tcPr>
          <w:p w14:paraId="5FC35BDE">
            <w:pPr>
              <w:spacing w:line="360" w:lineRule="auto"/>
              <w:jc w:val="center"/>
              <w:rPr>
                <w:color w:val="auto"/>
                <w:sz w:val="18"/>
                <w:szCs w:val="18"/>
                <w:highlight w:val="none"/>
              </w:rPr>
            </w:pPr>
          </w:p>
        </w:tc>
        <w:tc>
          <w:tcPr>
            <w:tcW w:w="1258" w:type="dxa"/>
            <w:vAlign w:val="center"/>
          </w:tcPr>
          <w:p w14:paraId="64A82EFC">
            <w:pPr>
              <w:spacing w:line="360" w:lineRule="auto"/>
              <w:jc w:val="center"/>
              <w:rPr>
                <w:color w:val="auto"/>
                <w:sz w:val="18"/>
                <w:szCs w:val="18"/>
                <w:highlight w:val="none"/>
              </w:rPr>
            </w:pPr>
          </w:p>
        </w:tc>
      </w:tr>
      <w:tr w14:paraId="37BFC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0638D2D6">
            <w:pPr>
              <w:spacing w:line="360" w:lineRule="auto"/>
              <w:jc w:val="center"/>
              <w:rPr>
                <w:color w:val="auto"/>
                <w:sz w:val="18"/>
                <w:szCs w:val="18"/>
                <w:highlight w:val="none"/>
              </w:rPr>
            </w:pPr>
          </w:p>
        </w:tc>
        <w:tc>
          <w:tcPr>
            <w:tcW w:w="961" w:type="dxa"/>
            <w:vAlign w:val="center"/>
          </w:tcPr>
          <w:p w14:paraId="4CFD0B19">
            <w:pPr>
              <w:spacing w:line="360" w:lineRule="auto"/>
              <w:jc w:val="center"/>
              <w:rPr>
                <w:color w:val="auto"/>
                <w:sz w:val="18"/>
                <w:szCs w:val="18"/>
                <w:highlight w:val="none"/>
              </w:rPr>
            </w:pPr>
          </w:p>
        </w:tc>
        <w:tc>
          <w:tcPr>
            <w:tcW w:w="1257" w:type="dxa"/>
            <w:vAlign w:val="center"/>
          </w:tcPr>
          <w:p w14:paraId="229F9021">
            <w:pPr>
              <w:spacing w:line="360" w:lineRule="auto"/>
              <w:jc w:val="center"/>
              <w:rPr>
                <w:color w:val="auto"/>
                <w:sz w:val="18"/>
                <w:szCs w:val="18"/>
                <w:highlight w:val="none"/>
              </w:rPr>
            </w:pPr>
          </w:p>
        </w:tc>
        <w:tc>
          <w:tcPr>
            <w:tcW w:w="1258" w:type="dxa"/>
            <w:vAlign w:val="center"/>
          </w:tcPr>
          <w:p w14:paraId="5E6917DB">
            <w:pPr>
              <w:spacing w:line="360" w:lineRule="auto"/>
              <w:jc w:val="center"/>
              <w:rPr>
                <w:color w:val="auto"/>
                <w:sz w:val="18"/>
                <w:szCs w:val="18"/>
                <w:highlight w:val="none"/>
              </w:rPr>
            </w:pPr>
          </w:p>
        </w:tc>
        <w:tc>
          <w:tcPr>
            <w:tcW w:w="1257" w:type="dxa"/>
            <w:vAlign w:val="center"/>
          </w:tcPr>
          <w:p w14:paraId="00C50C8C">
            <w:pPr>
              <w:spacing w:line="360" w:lineRule="auto"/>
              <w:jc w:val="center"/>
              <w:rPr>
                <w:color w:val="auto"/>
                <w:sz w:val="18"/>
                <w:szCs w:val="18"/>
                <w:highlight w:val="none"/>
              </w:rPr>
            </w:pPr>
          </w:p>
        </w:tc>
        <w:tc>
          <w:tcPr>
            <w:tcW w:w="1258" w:type="dxa"/>
            <w:vAlign w:val="center"/>
          </w:tcPr>
          <w:p w14:paraId="227EFE20">
            <w:pPr>
              <w:spacing w:line="360" w:lineRule="auto"/>
              <w:jc w:val="center"/>
              <w:rPr>
                <w:color w:val="auto"/>
                <w:sz w:val="18"/>
                <w:szCs w:val="18"/>
                <w:highlight w:val="none"/>
              </w:rPr>
            </w:pPr>
          </w:p>
        </w:tc>
        <w:tc>
          <w:tcPr>
            <w:tcW w:w="1257" w:type="dxa"/>
            <w:vAlign w:val="center"/>
          </w:tcPr>
          <w:p w14:paraId="7CE7CBFE">
            <w:pPr>
              <w:spacing w:line="360" w:lineRule="auto"/>
              <w:jc w:val="center"/>
              <w:rPr>
                <w:color w:val="auto"/>
                <w:sz w:val="18"/>
                <w:szCs w:val="18"/>
                <w:highlight w:val="none"/>
              </w:rPr>
            </w:pPr>
          </w:p>
        </w:tc>
        <w:tc>
          <w:tcPr>
            <w:tcW w:w="1258" w:type="dxa"/>
            <w:vAlign w:val="center"/>
          </w:tcPr>
          <w:p w14:paraId="6389C7B8">
            <w:pPr>
              <w:spacing w:line="360" w:lineRule="auto"/>
              <w:jc w:val="center"/>
              <w:rPr>
                <w:color w:val="auto"/>
                <w:sz w:val="18"/>
                <w:szCs w:val="18"/>
                <w:highlight w:val="none"/>
              </w:rPr>
            </w:pPr>
          </w:p>
        </w:tc>
      </w:tr>
      <w:tr w14:paraId="5F3B5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53C525EA">
            <w:pPr>
              <w:spacing w:line="360" w:lineRule="auto"/>
              <w:jc w:val="center"/>
              <w:rPr>
                <w:color w:val="auto"/>
                <w:sz w:val="18"/>
                <w:szCs w:val="18"/>
                <w:highlight w:val="none"/>
              </w:rPr>
            </w:pPr>
          </w:p>
        </w:tc>
        <w:tc>
          <w:tcPr>
            <w:tcW w:w="961" w:type="dxa"/>
            <w:vAlign w:val="center"/>
          </w:tcPr>
          <w:p w14:paraId="4D4C60F1">
            <w:pPr>
              <w:spacing w:line="360" w:lineRule="auto"/>
              <w:jc w:val="center"/>
              <w:rPr>
                <w:color w:val="auto"/>
                <w:sz w:val="18"/>
                <w:szCs w:val="18"/>
                <w:highlight w:val="none"/>
              </w:rPr>
            </w:pPr>
          </w:p>
        </w:tc>
        <w:tc>
          <w:tcPr>
            <w:tcW w:w="1257" w:type="dxa"/>
            <w:vAlign w:val="center"/>
          </w:tcPr>
          <w:p w14:paraId="062FDCB7">
            <w:pPr>
              <w:spacing w:line="360" w:lineRule="auto"/>
              <w:jc w:val="center"/>
              <w:rPr>
                <w:color w:val="auto"/>
                <w:sz w:val="18"/>
                <w:szCs w:val="18"/>
                <w:highlight w:val="none"/>
              </w:rPr>
            </w:pPr>
          </w:p>
        </w:tc>
        <w:tc>
          <w:tcPr>
            <w:tcW w:w="1258" w:type="dxa"/>
            <w:vAlign w:val="center"/>
          </w:tcPr>
          <w:p w14:paraId="7532FFD1">
            <w:pPr>
              <w:spacing w:line="360" w:lineRule="auto"/>
              <w:jc w:val="center"/>
              <w:rPr>
                <w:color w:val="auto"/>
                <w:sz w:val="18"/>
                <w:szCs w:val="18"/>
                <w:highlight w:val="none"/>
              </w:rPr>
            </w:pPr>
          </w:p>
        </w:tc>
        <w:tc>
          <w:tcPr>
            <w:tcW w:w="1257" w:type="dxa"/>
            <w:vAlign w:val="center"/>
          </w:tcPr>
          <w:p w14:paraId="408CDCA0">
            <w:pPr>
              <w:spacing w:line="360" w:lineRule="auto"/>
              <w:jc w:val="center"/>
              <w:rPr>
                <w:color w:val="auto"/>
                <w:sz w:val="18"/>
                <w:szCs w:val="18"/>
                <w:highlight w:val="none"/>
              </w:rPr>
            </w:pPr>
          </w:p>
        </w:tc>
        <w:tc>
          <w:tcPr>
            <w:tcW w:w="1258" w:type="dxa"/>
            <w:vAlign w:val="center"/>
          </w:tcPr>
          <w:p w14:paraId="76F8CEF2">
            <w:pPr>
              <w:spacing w:line="360" w:lineRule="auto"/>
              <w:jc w:val="center"/>
              <w:rPr>
                <w:color w:val="auto"/>
                <w:sz w:val="18"/>
                <w:szCs w:val="18"/>
                <w:highlight w:val="none"/>
              </w:rPr>
            </w:pPr>
          </w:p>
        </w:tc>
        <w:tc>
          <w:tcPr>
            <w:tcW w:w="1257" w:type="dxa"/>
            <w:vAlign w:val="center"/>
          </w:tcPr>
          <w:p w14:paraId="42281E8A">
            <w:pPr>
              <w:spacing w:line="360" w:lineRule="auto"/>
              <w:jc w:val="center"/>
              <w:rPr>
                <w:color w:val="auto"/>
                <w:sz w:val="18"/>
                <w:szCs w:val="18"/>
                <w:highlight w:val="none"/>
              </w:rPr>
            </w:pPr>
          </w:p>
        </w:tc>
        <w:tc>
          <w:tcPr>
            <w:tcW w:w="1258" w:type="dxa"/>
            <w:vAlign w:val="center"/>
          </w:tcPr>
          <w:p w14:paraId="18285B18">
            <w:pPr>
              <w:spacing w:line="360" w:lineRule="auto"/>
              <w:jc w:val="center"/>
              <w:rPr>
                <w:color w:val="auto"/>
                <w:sz w:val="18"/>
                <w:szCs w:val="18"/>
                <w:highlight w:val="none"/>
              </w:rPr>
            </w:pPr>
          </w:p>
        </w:tc>
      </w:tr>
      <w:tr w14:paraId="2C8A5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033A7DEF">
            <w:pPr>
              <w:spacing w:line="360" w:lineRule="auto"/>
              <w:jc w:val="center"/>
              <w:rPr>
                <w:color w:val="auto"/>
                <w:sz w:val="18"/>
                <w:szCs w:val="18"/>
                <w:highlight w:val="none"/>
              </w:rPr>
            </w:pPr>
          </w:p>
        </w:tc>
        <w:tc>
          <w:tcPr>
            <w:tcW w:w="961" w:type="dxa"/>
            <w:vAlign w:val="center"/>
          </w:tcPr>
          <w:p w14:paraId="75FDF65D">
            <w:pPr>
              <w:spacing w:line="360" w:lineRule="auto"/>
              <w:jc w:val="center"/>
              <w:rPr>
                <w:color w:val="auto"/>
                <w:sz w:val="18"/>
                <w:szCs w:val="18"/>
                <w:highlight w:val="none"/>
              </w:rPr>
            </w:pPr>
          </w:p>
        </w:tc>
        <w:tc>
          <w:tcPr>
            <w:tcW w:w="1257" w:type="dxa"/>
            <w:vAlign w:val="center"/>
          </w:tcPr>
          <w:p w14:paraId="2AE14500">
            <w:pPr>
              <w:spacing w:line="360" w:lineRule="auto"/>
              <w:jc w:val="center"/>
              <w:rPr>
                <w:color w:val="auto"/>
                <w:sz w:val="18"/>
                <w:szCs w:val="18"/>
                <w:highlight w:val="none"/>
              </w:rPr>
            </w:pPr>
          </w:p>
        </w:tc>
        <w:tc>
          <w:tcPr>
            <w:tcW w:w="1258" w:type="dxa"/>
            <w:vAlign w:val="center"/>
          </w:tcPr>
          <w:p w14:paraId="1F20DB1B">
            <w:pPr>
              <w:spacing w:line="360" w:lineRule="auto"/>
              <w:jc w:val="center"/>
              <w:rPr>
                <w:color w:val="auto"/>
                <w:sz w:val="18"/>
                <w:szCs w:val="18"/>
                <w:highlight w:val="none"/>
              </w:rPr>
            </w:pPr>
          </w:p>
        </w:tc>
        <w:tc>
          <w:tcPr>
            <w:tcW w:w="1257" w:type="dxa"/>
            <w:vAlign w:val="center"/>
          </w:tcPr>
          <w:p w14:paraId="4A8266EF">
            <w:pPr>
              <w:spacing w:line="360" w:lineRule="auto"/>
              <w:jc w:val="center"/>
              <w:rPr>
                <w:color w:val="auto"/>
                <w:sz w:val="18"/>
                <w:szCs w:val="18"/>
                <w:highlight w:val="none"/>
              </w:rPr>
            </w:pPr>
          </w:p>
        </w:tc>
        <w:tc>
          <w:tcPr>
            <w:tcW w:w="1258" w:type="dxa"/>
            <w:vAlign w:val="center"/>
          </w:tcPr>
          <w:p w14:paraId="07B3CDA6">
            <w:pPr>
              <w:spacing w:line="360" w:lineRule="auto"/>
              <w:jc w:val="center"/>
              <w:rPr>
                <w:color w:val="auto"/>
                <w:sz w:val="18"/>
                <w:szCs w:val="18"/>
                <w:highlight w:val="none"/>
              </w:rPr>
            </w:pPr>
          </w:p>
        </w:tc>
        <w:tc>
          <w:tcPr>
            <w:tcW w:w="1257" w:type="dxa"/>
            <w:vAlign w:val="center"/>
          </w:tcPr>
          <w:p w14:paraId="17E4FF39">
            <w:pPr>
              <w:spacing w:line="360" w:lineRule="auto"/>
              <w:jc w:val="center"/>
              <w:rPr>
                <w:color w:val="auto"/>
                <w:sz w:val="18"/>
                <w:szCs w:val="18"/>
                <w:highlight w:val="none"/>
              </w:rPr>
            </w:pPr>
          </w:p>
        </w:tc>
        <w:tc>
          <w:tcPr>
            <w:tcW w:w="1258" w:type="dxa"/>
            <w:vAlign w:val="center"/>
          </w:tcPr>
          <w:p w14:paraId="471FDDBC">
            <w:pPr>
              <w:spacing w:line="360" w:lineRule="auto"/>
              <w:jc w:val="center"/>
              <w:rPr>
                <w:color w:val="auto"/>
                <w:sz w:val="18"/>
                <w:szCs w:val="18"/>
                <w:highlight w:val="none"/>
              </w:rPr>
            </w:pPr>
          </w:p>
        </w:tc>
      </w:tr>
      <w:tr w14:paraId="0D244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538606CE">
            <w:pPr>
              <w:spacing w:line="360" w:lineRule="auto"/>
              <w:jc w:val="center"/>
              <w:rPr>
                <w:color w:val="auto"/>
                <w:sz w:val="18"/>
                <w:szCs w:val="18"/>
                <w:highlight w:val="none"/>
              </w:rPr>
            </w:pPr>
          </w:p>
        </w:tc>
        <w:tc>
          <w:tcPr>
            <w:tcW w:w="961" w:type="dxa"/>
            <w:vAlign w:val="center"/>
          </w:tcPr>
          <w:p w14:paraId="57BFF031">
            <w:pPr>
              <w:spacing w:line="360" w:lineRule="auto"/>
              <w:jc w:val="center"/>
              <w:rPr>
                <w:color w:val="auto"/>
                <w:sz w:val="18"/>
                <w:szCs w:val="18"/>
                <w:highlight w:val="none"/>
              </w:rPr>
            </w:pPr>
          </w:p>
        </w:tc>
        <w:tc>
          <w:tcPr>
            <w:tcW w:w="1257" w:type="dxa"/>
            <w:vAlign w:val="center"/>
          </w:tcPr>
          <w:p w14:paraId="796E5C18">
            <w:pPr>
              <w:spacing w:line="360" w:lineRule="auto"/>
              <w:jc w:val="center"/>
              <w:rPr>
                <w:color w:val="auto"/>
                <w:sz w:val="18"/>
                <w:szCs w:val="18"/>
                <w:highlight w:val="none"/>
              </w:rPr>
            </w:pPr>
          </w:p>
        </w:tc>
        <w:tc>
          <w:tcPr>
            <w:tcW w:w="1258" w:type="dxa"/>
            <w:vAlign w:val="center"/>
          </w:tcPr>
          <w:p w14:paraId="19CFEBD3">
            <w:pPr>
              <w:spacing w:line="360" w:lineRule="auto"/>
              <w:jc w:val="center"/>
              <w:rPr>
                <w:color w:val="auto"/>
                <w:sz w:val="18"/>
                <w:szCs w:val="18"/>
                <w:highlight w:val="none"/>
              </w:rPr>
            </w:pPr>
          </w:p>
        </w:tc>
        <w:tc>
          <w:tcPr>
            <w:tcW w:w="1257" w:type="dxa"/>
            <w:vAlign w:val="center"/>
          </w:tcPr>
          <w:p w14:paraId="5896AEBB">
            <w:pPr>
              <w:spacing w:line="360" w:lineRule="auto"/>
              <w:jc w:val="center"/>
              <w:rPr>
                <w:color w:val="auto"/>
                <w:sz w:val="18"/>
                <w:szCs w:val="18"/>
                <w:highlight w:val="none"/>
              </w:rPr>
            </w:pPr>
          </w:p>
        </w:tc>
        <w:tc>
          <w:tcPr>
            <w:tcW w:w="1258" w:type="dxa"/>
            <w:vAlign w:val="center"/>
          </w:tcPr>
          <w:p w14:paraId="27BA14CD">
            <w:pPr>
              <w:spacing w:line="360" w:lineRule="auto"/>
              <w:jc w:val="center"/>
              <w:rPr>
                <w:color w:val="auto"/>
                <w:sz w:val="18"/>
                <w:szCs w:val="18"/>
                <w:highlight w:val="none"/>
              </w:rPr>
            </w:pPr>
          </w:p>
        </w:tc>
        <w:tc>
          <w:tcPr>
            <w:tcW w:w="1257" w:type="dxa"/>
            <w:vAlign w:val="center"/>
          </w:tcPr>
          <w:p w14:paraId="28BCC049">
            <w:pPr>
              <w:spacing w:line="360" w:lineRule="auto"/>
              <w:jc w:val="center"/>
              <w:rPr>
                <w:color w:val="auto"/>
                <w:sz w:val="18"/>
                <w:szCs w:val="18"/>
                <w:highlight w:val="none"/>
              </w:rPr>
            </w:pPr>
          </w:p>
        </w:tc>
        <w:tc>
          <w:tcPr>
            <w:tcW w:w="1258" w:type="dxa"/>
            <w:vAlign w:val="center"/>
          </w:tcPr>
          <w:p w14:paraId="6C2972C1">
            <w:pPr>
              <w:spacing w:line="360" w:lineRule="auto"/>
              <w:jc w:val="center"/>
              <w:rPr>
                <w:color w:val="auto"/>
                <w:sz w:val="18"/>
                <w:szCs w:val="18"/>
                <w:highlight w:val="none"/>
              </w:rPr>
            </w:pPr>
          </w:p>
        </w:tc>
      </w:tr>
    </w:tbl>
    <w:p w14:paraId="4397CFA0">
      <w:pPr>
        <w:rPr>
          <w:color w:val="auto"/>
          <w:sz w:val="18"/>
          <w:szCs w:val="18"/>
          <w:highlight w:val="none"/>
        </w:rPr>
      </w:pPr>
    </w:p>
    <w:p w14:paraId="3204FF66">
      <w:pPr>
        <w:rPr>
          <w:b/>
          <w:color w:val="auto"/>
          <w:sz w:val="18"/>
          <w:szCs w:val="18"/>
          <w:highlight w:val="none"/>
        </w:rPr>
      </w:pPr>
    </w:p>
    <w:p w14:paraId="04C6B078">
      <w:pPr>
        <w:rPr>
          <w:color w:val="auto"/>
          <w:sz w:val="18"/>
          <w:szCs w:val="18"/>
          <w:highlight w:val="none"/>
        </w:rPr>
      </w:pPr>
      <w:r>
        <w:rPr>
          <w:color w:val="auto"/>
          <w:sz w:val="18"/>
          <w:szCs w:val="18"/>
          <w:highlight w:val="none"/>
        </w:rPr>
        <w:t>附表四：计划开、竣工日期和施工进度计划（网络图或横道图）</w:t>
      </w:r>
    </w:p>
    <w:p w14:paraId="556C98D9">
      <w:pPr>
        <w:spacing w:line="460" w:lineRule="exact"/>
        <w:ind w:left="-6" w:firstLine="420"/>
        <w:rPr>
          <w:color w:val="auto"/>
          <w:sz w:val="18"/>
          <w:szCs w:val="18"/>
          <w:highlight w:val="none"/>
        </w:rPr>
      </w:pPr>
      <w:r>
        <w:rPr>
          <w:rFonts w:hint="eastAsia"/>
          <w:color w:val="auto"/>
          <w:sz w:val="18"/>
          <w:szCs w:val="18"/>
          <w:highlight w:val="none"/>
        </w:rPr>
        <w:t>（1）</w:t>
      </w:r>
      <w:r>
        <w:rPr>
          <w:color w:val="auto"/>
          <w:sz w:val="18"/>
          <w:szCs w:val="18"/>
          <w:highlight w:val="none"/>
        </w:rPr>
        <w:t>供应商应提交施工进度计划，说明按采购文件要求的工期进行施工的各个关键日期。成交的供应商还应按合同条件有关条款的要求提交详细的施工进度计划。</w:t>
      </w:r>
    </w:p>
    <w:p w14:paraId="4230B1F2">
      <w:pPr>
        <w:spacing w:line="460" w:lineRule="exact"/>
        <w:ind w:left="-6" w:firstLine="420"/>
        <w:rPr>
          <w:color w:val="auto"/>
          <w:sz w:val="18"/>
          <w:szCs w:val="18"/>
          <w:highlight w:val="none"/>
        </w:rPr>
      </w:pPr>
      <w:r>
        <w:rPr>
          <w:rFonts w:hint="eastAsia"/>
          <w:color w:val="auto"/>
          <w:sz w:val="18"/>
          <w:szCs w:val="18"/>
          <w:highlight w:val="none"/>
        </w:rPr>
        <w:t>（2）</w:t>
      </w:r>
      <w:r>
        <w:rPr>
          <w:color w:val="auto"/>
          <w:sz w:val="18"/>
          <w:szCs w:val="18"/>
          <w:highlight w:val="none"/>
        </w:rPr>
        <w:t>施工进度计划可采用网络图（或横道图）表示，说明计划开工日期和各分项工程各阶段的完工日期和分包合同签订的日期。</w:t>
      </w:r>
    </w:p>
    <w:p w14:paraId="61276714">
      <w:pPr>
        <w:spacing w:line="460" w:lineRule="exact"/>
        <w:ind w:left="-6" w:firstLine="420"/>
        <w:rPr>
          <w:color w:val="auto"/>
          <w:sz w:val="18"/>
          <w:szCs w:val="18"/>
          <w:highlight w:val="none"/>
        </w:rPr>
      </w:pPr>
      <w:r>
        <w:rPr>
          <w:rFonts w:hint="eastAsia"/>
          <w:color w:val="auto"/>
          <w:sz w:val="18"/>
          <w:szCs w:val="18"/>
          <w:highlight w:val="none"/>
        </w:rPr>
        <w:t>（</w:t>
      </w:r>
      <w:r>
        <w:rPr>
          <w:color w:val="auto"/>
          <w:sz w:val="18"/>
          <w:szCs w:val="18"/>
          <w:highlight w:val="none"/>
        </w:rPr>
        <w:t>3</w:t>
      </w:r>
      <w:r>
        <w:rPr>
          <w:rFonts w:hint="eastAsia"/>
          <w:color w:val="auto"/>
          <w:sz w:val="18"/>
          <w:szCs w:val="18"/>
          <w:highlight w:val="none"/>
        </w:rPr>
        <w:t>）</w:t>
      </w:r>
      <w:r>
        <w:rPr>
          <w:color w:val="auto"/>
          <w:sz w:val="18"/>
          <w:szCs w:val="18"/>
          <w:highlight w:val="none"/>
        </w:rPr>
        <w:t>施工进度计划应与施工组织设计相适应。</w:t>
      </w:r>
    </w:p>
    <w:p w14:paraId="3FAA661F">
      <w:pPr>
        <w:rPr>
          <w:color w:val="auto"/>
          <w:sz w:val="18"/>
          <w:szCs w:val="18"/>
          <w:highlight w:val="none"/>
        </w:rPr>
      </w:pPr>
    </w:p>
    <w:p w14:paraId="071C96C5">
      <w:pPr>
        <w:rPr>
          <w:color w:val="auto"/>
          <w:sz w:val="18"/>
          <w:szCs w:val="18"/>
          <w:highlight w:val="none"/>
        </w:rPr>
      </w:pPr>
      <w:r>
        <w:rPr>
          <w:color w:val="auto"/>
          <w:sz w:val="18"/>
          <w:szCs w:val="18"/>
          <w:highlight w:val="none"/>
        </w:rPr>
        <w:t>附表五：施工总平面图</w:t>
      </w:r>
    </w:p>
    <w:p w14:paraId="6ED0BF6E">
      <w:pPr>
        <w:spacing w:line="460" w:lineRule="exact"/>
        <w:ind w:firstLine="360" w:firstLineChars="200"/>
        <w:rPr>
          <w:color w:val="auto"/>
          <w:sz w:val="18"/>
          <w:szCs w:val="18"/>
          <w:highlight w:val="none"/>
        </w:rPr>
      </w:pPr>
      <w:r>
        <w:rPr>
          <w:color w:val="auto"/>
          <w:sz w:val="18"/>
          <w:szCs w:val="18"/>
          <w:highlight w:val="none"/>
        </w:rPr>
        <w:t>供应商应递交一份施工总平面图，绘出现场临时设施布置图表并附文字说明，说明临时设施、加工车间、现场办公、设备及仓储、供电、供水、卫生、生活、道路、消防等设施的情况和布置。</w:t>
      </w:r>
    </w:p>
    <w:p w14:paraId="594CE42F">
      <w:pPr>
        <w:rPr>
          <w:color w:val="auto"/>
          <w:sz w:val="18"/>
          <w:szCs w:val="18"/>
          <w:highlight w:val="none"/>
        </w:rPr>
      </w:pPr>
    </w:p>
    <w:p w14:paraId="75DAB769">
      <w:pPr>
        <w:rPr>
          <w:color w:val="auto"/>
          <w:sz w:val="18"/>
          <w:szCs w:val="18"/>
          <w:highlight w:val="none"/>
        </w:rPr>
      </w:pPr>
    </w:p>
    <w:p w14:paraId="62BB3D44">
      <w:pPr>
        <w:rPr>
          <w:color w:val="auto"/>
          <w:sz w:val="18"/>
          <w:szCs w:val="18"/>
          <w:highlight w:val="none"/>
        </w:rPr>
      </w:pPr>
      <w:r>
        <w:rPr>
          <w:color w:val="auto"/>
          <w:sz w:val="18"/>
          <w:szCs w:val="18"/>
          <w:highlight w:val="none"/>
        </w:rPr>
        <w:t>附表六：临时用地表</w:t>
      </w:r>
    </w:p>
    <w:p w14:paraId="442A38F0">
      <w:pPr>
        <w:rPr>
          <w:color w:val="auto"/>
          <w:sz w:val="18"/>
          <w:szCs w:val="18"/>
          <w:highlight w:val="none"/>
        </w:rPr>
      </w:pP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0"/>
        <w:gridCol w:w="2091"/>
        <w:gridCol w:w="2090"/>
        <w:gridCol w:w="2091"/>
      </w:tblGrid>
      <w:tr w14:paraId="26849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090" w:type="dxa"/>
            <w:vAlign w:val="center"/>
          </w:tcPr>
          <w:p w14:paraId="22D723DC">
            <w:pPr>
              <w:jc w:val="center"/>
              <w:rPr>
                <w:color w:val="auto"/>
                <w:sz w:val="18"/>
                <w:szCs w:val="18"/>
                <w:highlight w:val="none"/>
              </w:rPr>
            </w:pPr>
            <w:r>
              <w:rPr>
                <w:color w:val="auto"/>
                <w:sz w:val="18"/>
                <w:szCs w:val="18"/>
                <w:highlight w:val="none"/>
              </w:rPr>
              <w:t>用途</w:t>
            </w:r>
          </w:p>
        </w:tc>
        <w:tc>
          <w:tcPr>
            <w:tcW w:w="2091" w:type="dxa"/>
            <w:vAlign w:val="center"/>
          </w:tcPr>
          <w:p w14:paraId="32876C24">
            <w:pPr>
              <w:jc w:val="center"/>
              <w:rPr>
                <w:color w:val="auto"/>
                <w:sz w:val="18"/>
                <w:szCs w:val="18"/>
                <w:highlight w:val="none"/>
              </w:rPr>
            </w:pPr>
            <w:r>
              <w:rPr>
                <w:color w:val="auto"/>
                <w:sz w:val="18"/>
                <w:szCs w:val="18"/>
                <w:highlight w:val="none"/>
              </w:rPr>
              <w:t>面积（平方米）</w:t>
            </w:r>
          </w:p>
        </w:tc>
        <w:tc>
          <w:tcPr>
            <w:tcW w:w="2090" w:type="dxa"/>
            <w:vAlign w:val="center"/>
          </w:tcPr>
          <w:p w14:paraId="104C63EB">
            <w:pPr>
              <w:jc w:val="center"/>
              <w:rPr>
                <w:color w:val="auto"/>
                <w:sz w:val="18"/>
                <w:szCs w:val="18"/>
                <w:highlight w:val="none"/>
              </w:rPr>
            </w:pPr>
            <w:r>
              <w:rPr>
                <w:color w:val="auto"/>
                <w:sz w:val="18"/>
                <w:szCs w:val="18"/>
                <w:highlight w:val="none"/>
              </w:rPr>
              <w:t>位置</w:t>
            </w:r>
          </w:p>
        </w:tc>
        <w:tc>
          <w:tcPr>
            <w:tcW w:w="2091" w:type="dxa"/>
            <w:vAlign w:val="center"/>
          </w:tcPr>
          <w:p w14:paraId="5DA1E2BF">
            <w:pPr>
              <w:jc w:val="center"/>
              <w:rPr>
                <w:color w:val="auto"/>
                <w:sz w:val="18"/>
                <w:szCs w:val="18"/>
                <w:highlight w:val="none"/>
              </w:rPr>
            </w:pPr>
            <w:r>
              <w:rPr>
                <w:color w:val="auto"/>
                <w:sz w:val="18"/>
                <w:szCs w:val="18"/>
                <w:highlight w:val="none"/>
              </w:rPr>
              <w:t>需用时间</w:t>
            </w:r>
          </w:p>
        </w:tc>
      </w:tr>
      <w:tr w14:paraId="5ED86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tcPr>
          <w:p w14:paraId="46E00BF1">
            <w:pPr>
              <w:rPr>
                <w:color w:val="auto"/>
                <w:sz w:val="18"/>
                <w:szCs w:val="18"/>
                <w:highlight w:val="none"/>
              </w:rPr>
            </w:pPr>
          </w:p>
        </w:tc>
        <w:tc>
          <w:tcPr>
            <w:tcW w:w="2091" w:type="dxa"/>
          </w:tcPr>
          <w:p w14:paraId="1C36EF46">
            <w:pPr>
              <w:rPr>
                <w:color w:val="auto"/>
                <w:sz w:val="18"/>
                <w:szCs w:val="18"/>
                <w:highlight w:val="none"/>
              </w:rPr>
            </w:pPr>
          </w:p>
        </w:tc>
        <w:tc>
          <w:tcPr>
            <w:tcW w:w="2090" w:type="dxa"/>
          </w:tcPr>
          <w:p w14:paraId="0286184A">
            <w:pPr>
              <w:rPr>
                <w:color w:val="auto"/>
                <w:sz w:val="18"/>
                <w:szCs w:val="18"/>
                <w:highlight w:val="none"/>
              </w:rPr>
            </w:pPr>
          </w:p>
        </w:tc>
        <w:tc>
          <w:tcPr>
            <w:tcW w:w="2091" w:type="dxa"/>
          </w:tcPr>
          <w:p w14:paraId="6D5E89C6">
            <w:pPr>
              <w:rPr>
                <w:color w:val="auto"/>
                <w:sz w:val="18"/>
                <w:szCs w:val="18"/>
                <w:highlight w:val="none"/>
              </w:rPr>
            </w:pPr>
          </w:p>
        </w:tc>
      </w:tr>
      <w:tr w14:paraId="39AD1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tcPr>
          <w:p w14:paraId="2F25DD4A">
            <w:pPr>
              <w:rPr>
                <w:color w:val="auto"/>
                <w:sz w:val="18"/>
                <w:szCs w:val="18"/>
                <w:highlight w:val="none"/>
              </w:rPr>
            </w:pPr>
          </w:p>
        </w:tc>
        <w:tc>
          <w:tcPr>
            <w:tcW w:w="2091" w:type="dxa"/>
          </w:tcPr>
          <w:p w14:paraId="5AA723C4">
            <w:pPr>
              <w:rPr>
                <w:color w:val="auto"/>
                <w:sz w:val="18"/>
                <w:szCs w:val="18"/>
                <w:highlight w:val="none"/>
              </w:rPr>
            </w:pPr>
          </w:p>
        </w:tc>
        <w:tc>
          <w:tcPr>
            <w:tcW w:w="2090" w:type="dxa"/>
          </w:tcPr>
          <w:p w14:paraId="591405C5">
            <w:pPr>
              <w:rPr>
                <w:color w:val="auto"/>
                <w:sz w:val="18"/>
                <w:szCs w:val="18"/>
                <w:highlight w:val="none"/>
              </w:rPr>
            </w:pPr>
          </w:p>
        </w:tc>
        <w:tc>
          <w:tcPr>
            <w:tcW w:w="2091" w:type="dxa"/>
          </w:tcPr>
          <w:p w14:paraId="702E4229">
            <w:pPr>
              <w:rPr>
                <w:color w:val="auto"/>
                <w:sz w:val="18"/>
                <w:szCs w:val="18"/>
                <w:highlight w:val="none"/>
              </w:rPr>
            </w:pPr>
          </w:p>
        </w:tc>
      </w:tr>
      <w:tr w14:paraId="268BD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090" w:type="dxa"/>
          </w:tcPr>
          <w:p w14:paraId="409D5EB1">
            <w:pPr>
              <w:rPr>
                <w:color w:val="auto"/>
                <w:sz w:val="18"/>
                <w:szCs w:val="18"/>
                <w:highlight w:val="none"/>
              </w:rPr>
            </w:pPr>
          </w:p>
        </w:tc>
        <w:tc>
          <w:tcPr>
            <w:tcW w:w="2091" w:type="dxa"/>
          </w:tcPr>
          <w:p w14:paraId="70468D8E">
            <w:pPr>
              <w:rPr>
                <w:color w:val="auto"/>
                <w:sz w:val="18"/>
                <w:szCs w:val="18"/>
                <w:highlight w:val="none"/>
              </w:rPr>
            </w:pPr>
          </w:p>
        </w:tc>
        <w:tc>
          <w:tcPr>
            <w:tcW w:w="2090" w:type="dxa"/>
          </w:tcPr>
          <w:p w14:paraId="5DB177F2">
            <w:pPr>
              <w:rPr>
                <w:color w:val="auto"/>
                <w:sz w:val="18"/>
                <w:szCs w:val="18"/>
                <w:highlight w:val="none"/>
              </w:rPr>
            </w:pPr>
          </w:p>
        </w:tc>
        <w:tc>
          <w:tcPr>
            <w:tcW w:w="2091" w:type="dxa"/>
          </w:tcPr>
          <w:p w14:paraId="7C536663">
            <w:pPr>
              <w:rPr>
                <w:color w:val="auto"/>
                <w:sz w:val="18"/>
                <w:szCs w:val="18"/>
                <w:highlight w:val="none"/>
              </w:rPr>
            </w:pPr>
          </w:p>
        </w:tc>
      </w:tr>
      <w:tr w14:paraId="711BF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tcPr>
          <w:p w14:paraId="5EDA0182">
            <w:pPr>
              <w:rPr>
                <w:color w:val="auto"/>
                <w:sz w:val="18"/>
                <w:szCs w:val="18"/>
                <w:highlight w:val="none"/>
              </w:rPr>
            </w:pPr>
          </w:p>
        </w:tc>
        <w:tc>
          <w:tcPr>
            <w:tcW w:w="2091" w:type="dxa"/>
          </w:tcPr>
          <w:p w14:paraId="6C78C445">
            <w:pPr>
              <w:rPr>
                <w:color w:val="auto"/>
                <w:sz w:val="18"/>
                <w:szCs w:val="18"/>
                <w:highlight w:val="none"/>
              </w:rPr>
            </w:pPr>
          </w:p>
        </w:tc>
        <w:tc>
          <w:tcPr>
            <w:tcW w:w="2090" w:type="dxa"/>
          </w:tcPr>
          <w:p w14:paraId="700E886B">
            <w:pPr>
              <w:rPr>
                <w:color w:val="auto"/>
                <w:sz w:val="18"/>
                <w:szCs w:val="18"/>
                <w:highlight w:val="none"/>
              </w:rPr>
            </w:pPr>
          </w:p>
        </w:tc>
        <w:tc>
          <w:tcPr>
            <w:tcW w:w="2091" w:type="dxa"/>
          </w:tcPr>
          <w:p w14:paraId="78946CB9">
            <w:pPr>
              <w:rPr>
                <w:color w:val="auto"/>
                <w:sz w:val="18"/>
                <w:szCs w:val="18"/>
                <w:highlight w:val="none"/>
              </w:rPr>
            </w:pPr>
          </w:p>
        </w:tc>
      </w:tr>
      <w:tr w14:paraId="60B06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tcPr>
          <w:p w14:paraId="5A183E14">
            <w:pPr>
              <w:rPr>
                <w:color w:val="auto"/>
                <w:sz w:val="18"/>
                <w:szCs w:val="18"/>
                <w:highlight w:val="none"/>
              </w:rPr>
            </w:pPr>
          </w:p>
        </w:tc>
        <w:tc>
          <w:tcPr>
            <w:tcW w:w="2091" w:type="dxa"/>
          </w:tcPr>
          <w:p w14:paraId="6F12670B">
            <w:pPr>
              <w:rPr>
                <w:color w:val="auto"/>
                <w:sz w:val="18"/>
                <w:szCs w:val="18"/>
                <w:highlight w:val="none"/>
              </w:rPr>
            </w:pPr>
          </w:p>
        </w:tc>
        <w:tc>
          <w:tcPr>
            <w:tcW w:w="2090" w:type="dxa"/>
          </w:tcPr>
          <w:p w14:paraId="300812C6">
            <w:pPr>
              <w:rPr>
                <w:color w:val="auto"/>
                <w:sz w:val="18"/>
                <w:szCs w:val="18"/>
                <w:highlight w:val="none"/>
              </w:rPr>
            </w:pPr>
          </w:p>
        </w:tc>
        <w:tc>
          <w:tcPr>
            <w:tcW w:w="2091" w:type="dxa"/>
          </w:tcPr>
          <w:p w14:paraId="40C5007C">
            <w:pPr>
              <w:rPr>
                <w:color w:val="auto"/>
                <w:sz w:val="18"/>
                <w:szCs w:val="18"/>
                <w:highlight w:val="none"/>
              </w:rPr>
            </w:pPr>
          </w:p>
        </w:tc>
      </w:tr>
    </w:tbl>
    <w:p w14:paraId="6A10FDDA">
      <w:pPr>
        <w:rPr>
          <w:color w:val="auto"/>
          <w:sz w:val="18"/>
          <w:szCs w:val="18"/>
          <w:highlight w:val="none"/>
        </w:rPr>
      </w:pPr>
    </w:p>
    <w:p w14:paraId="28E78916">
      <w:pPr>
        <w:rPr>
          <w:color w:val="auto"/>
          <w:sz w:val="18"/>
          <w:szCs w:val="18"/>
          <w:highlight w:val="none"/>
        </w:rPr>
      </w:pPr>
    </w:p>
    <w:p w14:paraId="5582D241">
      <w:pPr>
        <w:rPr>
          <w:color w:val="auto"/>
          <w:sz w:val="18"/>
          <w:szCs w:val="18"/>
          <w:highlight w:val="none"/>
        </w:rPr>
      </w:pPr>
    </w:p>
    <w:p w14:paraId="16C8E979">
      <w:pPr>
        <w:rPr>
          <w:color w:val="auto"/>
          <w:sz w:val="18"/>
          <w:szCs w:val="18"/>
          <w:highlight w:val="none"/>
        </w:rPr>
      </w:pPr>
      <w:r>
        <w:rPr>
          <w:color w:val="auto"/>
          <w:sz w:val="18"/>
          <w:szCs w:val="18"/>
          <w:highlight w:val="none"/>
        </w:rPr>
        <w:t>附表七：拟分包计划表</w:t>
      </w:r>
    </w:p>
    <w:p w14:paraId="34B182FA">
      <w:pPr>
        <w:jc w:val="left"/>
        <w:rPr>
          <w:color w:val="auto"/>
          <w:sz w:val="18"/>
          <w:szCs w:val="18"/>
          <w:highlight w:val="none"/>
        </w:rPr>
      </w:pPr>
    </w:p>
    <w:p w14:paraId="18FA7741">
      <w:pPr>
        <w:rPr>
          <w:color w:val="auto"/>
          <w:sz w:val="18"/>
          <w:szCs w:val="18"/>
          <w:highlight w:val="none"/>
        </w:rPr>
      </w:pPr>
      <w:r>
        <w:rPr>
          <w:color w:val="auto"/>
          <w:sz w:val="18"/>
          <w:szCs w:val="18"/>
          <w:highlight w:val="none"/>
        </w:rPr>
        <w:t>如供应商须知注明不允许分包，则本表无须提供，反之须提供。</w:t>
      </w:r>
    </w:p>
    <w:p w14:paraId="5BBDC88F">
      <w:pPr>
        <w:pStyle w:val="197"/>
        <w:jc w:val="center"/>
        <w:rPr>
          <w:rFonts w:ascii="Times New Roman" w:hAnsi="Times New Roman"/>
          <w:b/>
          <w:color w:val="auto"/>
          <w:sz w:val="18"/>
          <w:szCs w:val="18"/>
          <w:highlight w:val="none"/>
        </w:rPr>
      </w:pP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843"/>
        <w:gridCol w:w="751"/>
        <w:gridCol w:w="950"/>
        <w:gridCol w:w="1123"/>
        <w:gridCol w:w="1090"/>
        <w:gridCol w:w="1197"/>
        <w:gridCol w:w="1268"/>
      </w:tblGrid>
      <w:tr w14:paraId="2BEBC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tcMar>
              <w:left w:w="108" w:type="dxa"/>
              <w:right w:w="108" w:type="dxa"/>
            </w:tcMar>
            <w:vAlign w:val="center"/>
          </w:tcPr>
          <w:p w14:paraId="1AC40EE3">
            <w:pPr>
              <w:jc w:val="center"/>
              <w:rPr>
                <w:color w:val="auto"/>
                <w:sz w:val="18"/>
                <w:szCs w:val="18"/>
                <w:highlight w:val="none"/>
              </w:rPr>
            </w:pPr>
            <w:r>
              <w:rPr>
                <w:color w:val="auto"/>
                <w:sz w:val="18"/>
                <w:szCs w:val="18"/>
                <w:highlight w:val="none"/>
              </w:rPr>
              <w:t>序</w:t>
            </w:r>
          </w:p>
          <w:p w14:paraId="6E7BD462">
            <w:pPr>
              <w:jc w:val="center"/>
              <w:rPr>
                <w:color w:val="auto"/>
                <w:sz w:val="18"/>
                <w:szCs w:val="18"/>
                <w:highlight w:val="none"/>
              </w:rPr>
            </w:pPr>
            <w:r>
              <w:rPr>
                <w:color w:val="auto"/>
                <w:sz w:val="18"/>
                <w:szCs w:val="18"/>
                <w:highlight w:val="none"/>
              </w:rPr>
              <w:t>号</w:t>
            </w:r>
          </w:p>
        </w:tc>
        <w:tc>
          <w:tcPr>
            <w:tcW w:w="1843" w:type="dxa"/>
            <w:vMerge w:val="restart"/>
            <w:tcMar>
              <w:left w:w="108" w:type="dxa"/>
              <w:right w:w="108" w:type="dxa"/>
            </w:tcMar>
            <w:vAlign w:val="center"/>
          </w:tcPr>
          <w:p w14:paraId="1F8F9D1A">
            <w:pPr>
              <w:jc w:val="center"/>
              <w:rPr>
                <w:color w:val="auto"/>
                <w:sz w:val="18"/>
                <w:szCs w:val="18"/>
                <w:highlight w:val="none"/>
              </w:rPr>
            </w:pPr>
            <w:r>
              <w:rPr>
                <w:color w:val="auto"/>
                <w:sz w:val="18"/>
                <w:szCs w:val="18"/>
                <w:highlight w:val="none"/>
              </w:rPr>
              <w:t>拟分包项目名称、范围及理由</w:t>
            </w:r>
          </w:p>
        </w:tc>
        <w:tc>
          <w:tcPr>
            <w:tcW w:w="5111" w:type="dxa"/>
            <w:gridSpan w:val="5"/>
            <w:tcMar>
              <w:left w:w="108" w:type="dxa"/>
              <w:right w:w="108" w:type="dxa"/>
            </w:tcMar>
            <w:vAlign w:val="center"/>
          </w:tcPr>
          <w:p w14:paraId="638ABEB1">
            <w:pPr>
              <w:jc w:val="center"/>
              <w:rPr>
                <w:color w:val="auto"/>
                <w:sz w:val="18"/>
                <w:szCs w:val="18"/>
                <w:highlight w:val="none"/>
              </w:rPr>
            </w:pPr>
            <w:r>
              <w:rPr>
                <w:color w:val="auto"/>
                <w:sz w:val="18"/>
                <w:szCs w:val="18"/>
                <w:highlight w:val="none"/>
              </w:rPr>
              <w:t>拟选分包人</w:t>
            </w:r>
          </w:p>
        </w:tc>
        <w:tc>
          <w:tcPr>
            <w:tcW w:w="1268" w:type="dxa"/>
            <w:vMerge w:val="restart"/>
            <w:tcMar>
              <w:left w:w="108" w:type="dxa"/>
              <w:right w:w="108" w:type="dxa"/>
            </w:tcMar>
            <w:vAlign w:val="center"/>
          </w:tcPr>
          <w:p w14:paraId="5CC27ABE">
            <w:pPr>
              <w:jc w:val="center"/>
              <w:rPr>
                <w:color w:val="auto"/>
                <w:sz w:val="18"/>
                <w:szCs w:val="18"/>
                <w:highlight w:val="none"/>
              </w:rPr>
            </w:pPr>
            <w:r>
              <w:rPr>
                <w:color w:val="auto"/>
                <w:sz w:val="18"/>
                <w:szCs w:val="18"/>
                <w:highlight w:val="none"/>
              </w:rPr>
              <w:t>备注</w:t>
            </w:r>
          </w:p>
        </w:tc>
      </w:tr>
      <w:tr w14:paraId="7A99E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0E5F1313">
            <w:pPr>
              <w:jc w:val="center"/>
              <w:rPr>
                <w:color w:val="auto"/>
                <w:sz w:val="18"/>
                <w:szCs w:val="18"/>
                <w:highlight w:val="none"/>
              </w:rPr>
            </w:pPr>
          </w:p>
        </w:tc>
        <w:tc>
          <w:tcPr>
            <w:tcW w:w="1843" w:type="dxa"/>
            <w:vMerge w:val="continue"/>
            <w:tcMar>
              <w:left w:w="108" w:type="dxa"/>
              <w:right w:w="108" w:type="dxa"/>
            </w:tcMar>
            <w:vAlign w:val="center"/>
          </w:tcPr>
          <w:p w14:paraId="706B8210">
            <w:pPr>
              <w:jc w:val="center"/>
              <w:rPr>
                <w:color w:val="auto"/>
                <w:sz w:val="18"/>
                <w:szCs w:val="18"/>
                <w:highlight w:val="none"/>
              </w:rPr>
            </w:pPr>
          </w:p>
        </w:tc>
        <w:tc>
          <w:tcPr>
            <w:tcW w:w="1701" w:type="dxa"/>
            <w:gridSpan w:val="2"/>
            <w:tcMar>
              <w:left w:w="108" w:type="dxa"/>
              <w:right w:w="108" w:type="dxa"/>
            </w:tcMar>
            <w:vAlign w:val="center"/>
          </w:tcPr>
          <w:p w14:paraId="6769888F">
            <w:pPr>
              <w:jc w:val="center"/>
              <w:rPr>
                <w:color w:val="auto"/>
                <w:sz w:val="18"/>
                <w:szCs w:val="18"/>
                <w:highlight w:val="none"/>
              </w:rPr>
            </w:pPr>
            <w:r>
              <w:rPr>
                <w:color w:val="auto"/>
                <w:sz w:val="18"/>
                <w:szCs w:val="18"/>
                <w:highlight w:val="none"/>
              </w:rPr>
              <w:t>拟选分包人名称</w:t>
            </w:r>
          </w:p>
        </w:tc>
        <w:tc>
          <w:tcPr>
            <w:tcW w:w="1123" w:type="dxa"/>
            <w:tcMar>
              <w:left w:w="108" w:type="dxa"/>
              <w:right w:w="108" w:type="dxa"/>
            </w:tcMar>
            <w:vAlign w:val="center"/>
          </w:tcPr>
          <w:p w14:paraId="56A8D3C1">
            <w:pPr>
              <w:jc w:val="center"/>
              <w:rPr>
                <w:color w:val="auto"/>
                <w:sz w:val="18"/>
                <w:szCs w:val="18"/>
                <w:highlight w:val="none"/>
              </w:rPr>
            </w:pPr>
            <w:r>
              <w:rPr>
                <w:color w:val="auto"/>
                <w:sz w:val="18"/>
                <w:szCs w:val="18"/>
                <w:highlight w:val="none"/>
              </w:rPr>
              <w:t>注册地点</w:t>
            </w:r>
          </w:p>
        </w:tc>
        <w:tc>
          <w:tcPr>
            <w:tcW w:w="1090" w:type="dxa"/>
            <w:tcMar>
              <w:left w:w="108" w:type="dxa"/>
              <w:right w:w="108" w:type="dxa"/>
            </w:tcMar>
            <w:vAlign w:val="center"/>
          </w:tcPr>
          <w:p w14:paraId="25D06BFB">
            <w:pPr>
              <w:jc w:val="center"/>
              <w:rPr>
                <w:color w:val="auto"/>
                <w:sz w:val="18"/>
                <w:szCs w:val="18"/>
                <w:highlight w:val="none"/>
              </w:rPr>
            </w:pPr>
            <w:r>
              <w:rPr>
                <w:color w:val="auto"/>
                <w:sz w:val="18"/>
                <w:szCs w:val="18"/>
                <w:highlight w:val="none"/>
              </w:rPr>
              <w:t>企业资质</w:t>
            </w:r>
          </w:p>
        </w:tc>
        <w:tc>
          <w:tcPr>
            <w:tcW w:w="1197" w:type="dxa"/>
            <w:tcMar>
              <w:left w:w="108" w:type="dxa"/>
              <w:right w:w="108" w:type="dxa"/>
            </w:tcMar>
            <w:vAlign w:val="center"/>
          </w:tcPr>
          <w:p w14:paraId="47CB3FFE">
            <w:pPr>
              <w:jc w:val="center"/>
              <w:rPr>
                <w:color w:val="auto"/>
                <w:sz w:val="18"/>
                <w:szCs w:val="18"/>
                <w:highlight w:val="none"/>
              </w:rPr>
            </w:pPr>
            <w:r>
              <w:rPr>
                <w:color w:val="auto"/>
                <w:sz w:val="18"/>
                <w:szCs w:val="18"/>
                <w:highlight w:val="none"/>
              </w:rPr>
              <w:t>有关业绩</w:t>
            </w:r>
          </w:p>
        </w:tc>
        <w:tc>
          <w:tcPr>
            <w:tcW w:w="1268" w:type="dxa"/>
            <w:vMerge w:val="continue"/>
            <w:tcMar>
              <w:left w:w="108" w:type="dxa"/>
              <w:right w:w="108" w:type="dxa"/>
            </w:tcMar>
            <w:vAlign w:val="center"/>
          </w:tcPr>
          <w:p w14:paraId="5B62DBDF">
            <w:pPr>
              <w:jc w:val="center"/>
              <w:rPr>
                <w:color w:val="auto"/>
                <w:sz w:val="18"/>
                <w:szCs w:val="18"/>
                <w:highlight w:val="none"/>
              </w:rPr>
            </w:pPr>
          </w:p>
        </w:tc>
      </w:tr>
      <w:tr w14:paraId="5967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tcMar>
              <w:left w:w="108" w:type="dxa"/>
              <w:right w:w="108" w:type="dxa"/>
            </w:tcMar>
            <w:vAlign w:val="center"/>
          </w:tcPr>
          <w:p w14:paraId="7DA87E1A">
            <w:pPr>
              <w:jc w:val="center"/>
              <w:rPr>
                <w:color w:val="auto"/>
                <w:sz w:val="18"/>
                <w:szCs w:val="18"/>
                <w:highlight w:val="none"/>
              </w:rPr>
            </w:pPr>
          </w:p>
        </w:tc>
        <w:tc>
          <w:tcPr>
            <w:tcW w:w="1843" w:type="dxa"/>
            <w:vMerge w:val="restart"/>
            <w:tcMar>
              <w:left w:w="108" w:type="dxa"/>
              <w:right w:w="108" w:type="dxa"/>
            </w:tcMar>
            <w:vAlign w:val="center"/>
          </w:tcPr>
          <w:p w14:paraId="43FA9D43">
            <w:pPr>
              <w:jc w:val="center"/>
              <w:rPr>
                <w:color w:val="auto"/>
                <w:sz w:val="18"/>
                <w:szCs w:val="18"/>
                <w:highlight w:val="none"/>
              </w:rPr>
            </w:pPr>
          </w:p>
        </w:tc>
        <w:tc>
          <w:tcPr>
            <w:tcW w:w="751" w:type="dxa"/>
            <w:tcMar>
              <w:left w:w="108" w:type="dxa"/>
              <w:right w:w="108" w:type="dxa"/>
            </w:tcMar>
            <w:vAlign w:val="center"/>
          </w:tcPr>
          <w:p w14:paraId="006FE9E3">
            <w:pPr>
              <w:jc w:val="center"/>
              <w:rPr>
                <w:color w:val="auto"/>
                <w:sz w:val="18"/>
                <w:szCs w:val="18"/>
                <w:highlight w:val="none"/>
              </w:rPr>
            </w:pPr>
            <w:r>
              <w:rPr>
                <w:color w:val="auto"/>
                <w:sz w:val="18"/>
                <w:szCs w:val="18"/>
                <w:highlight w:val="none"/>
              </w:rPr>
              <w:t>1</w:t>
            </w:r>
          </w:p>
        </w:tc>
        <w:tc>
          <w:tcPr>
            <w:tcW w:w="950" w:type="dxa"/>
            <w:tcMar>
              <w:left w:w="108" w:type="dxa"/>
              <w:right w:w="108" w:type="dxa"/>
            </w:tcMar>
            <w:vAlign w:val="center"/>
          </w:tcPr>
          <w:p w14:paraId="606C5512">
            <w:pPr>
              <w:jc w:val="center"/>
              <w:rPr>
                <w:color w:val="auto"/>
                <w:sz w:val="18"/>
                <w:szCs w:val="18"/>
                <w:highlight w:val="none"/>
              </w:rPr>
            </w:pPr>
          </w:p>
        </w:tc>
        <w:tc>
          <w:tcPr>
            <w:tcW w:w="1123" w:type="dxa"/>
            <w:tcMar>
              <w:left w:w="108" w:type="dxa"/>
              <w:right w:w="108" w:type="dxa"/>
            </w:tcMar>
            <w:vAlign w:val="center"/>
          </w:tcPr>
          <w:p w14:paraId="370888CE">
            <w:pPr>
              <w:jc w:val="center"/>
              <w:rPr>
                <w:color w:val="auto"/>
                <w:sz w:val="18"/>
                <w:szCs w:val="18"/>
                <w:highlight w:val="none"/>
              </w:rPr>
            </w:pPr>
          </w:p>
        </w:tc>
        <w:tc>
          <w:tcPr>
            <w:tcW w:w="1090" w:type="dxa"/>
            <w:tcMar>
              <w:left w:w="108" w:type="dxa"/>
              <w:right w:w="108" w:type="dxa"/>
            </w:tcMar>
            <w:vAlign w:val="center"/>
          </w:tcPr>
          <w:p w14:paraId="5D75100A">
            <w:pPr>
              <w:jc w:val="center"/>
              <w:rPr>
                <w:color w:val="auto"/>
                <w:sz w:val="18"/>
                <w:szCs w:val="18"/>
                <w:highlight w:val="none"/>
              </w:rPr>
            </w:pPr>
          </w:p>
        </w:tc>
        <w:tc>
          <w:tcPr>
            <w:tcW w:w="1197" w:type="dxa"/>
            <w:tcMar>
              <w:left w:w="108" w:type="dxa"/>
              <w:right w:w="108" w:type="dxa"/>
            </w:tcMar>
            <w:vAlign w:val="center"/>
          </w:tcPr>
          <w:p w14:paraId="6EF53B3A">
            <w:pPr>
              <w:jc w:val="center"/>
              <w:rPr>
                <w:color w:val="auto"/>
                <w:sz w:val="18"/>
                <w:szCs w:val="18"/>
                <w:highlight w:val="none"/>
              </w:rPr>
            </w:pPr>
          </w:p>
        </w:tc>
        <w:tc>
          <w:tcPr>
            <w:tcW w:w="1268" w:type="dxa"/>
            <w:tcMar>
              <w:left w:w="108" w:type="dxa"/>
              <w:right w:w="108" w:type="dxa"/>
            </w:tcMar>
            <w:vAlign w:val="center"/>
          </w:tcPr>
          <w:p w14:paraId="50EE19FA">
            <w:pPr>
              <w:jc w:val="center"/>
              <w:rPr>
                <w:color w:val="auto"/>
                <w:sz w:val="18"/>
                <w:szCs w:val="18"/>
                <w:highlight w:val="none"/>
              </w:rPr>
            </w:pPr>
          </w:p>
        </w:tc>
      </w:tr>
      <w:tr w14:paraId="69252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71C1B2E3">
            <w:pPr>
              <w:jc w:val="center"/>
              <w:rPr>
                <w:color w:val="auto"/>
                <w:sz w:val="18"/>
                <w:szCs w:val="18"/>
                <w:highlight w:val="none"/>
              </w:rPr>
            </w:pPr>
          </w:p>
        </w:tc>
        <w:tc>
          <w:tcPr>
            <w:tcW w:w="1843" w:type="dxa"/>
            <w:vMerge w:val="continue"/>
            <w:tcMar>
              <w:left w:w="108" w:type="dxa"/>
              <w:right w:w="108" w:type="dxa"/>
            </w:tcMar>
            <w:vAlign w:val="center"/>
          </w:tcPr>
          <w:p w14:paraId="2EF8A5D4">
            <w:pPr>
              <w:jc w:val="center"/>
              <w:rPr>
                <w:color w:val="auto"/>
                <w:sz w:val="18"/>
                <w:szCs w:val="18"/>
                <w:highlight w:val="none"/>
              </w:rPr>
            </w:pPr>
          </w:p>
        </w:tc>
        <w:tc>
          <w:tcPr>
            <w:tcW w:w="751" w:type="dxa"/>
            <w:tcMar>
              <w:left w:w="108" w:type="dxa"/>
              <w:right w:w="108" w:type="dxa"/>
            </w:tcMar>
            <w:vAlign w:val="center"/>
          </w:tcPr>
          <w:p w14:paraId="13FE7722">
            <w:pPr>
              <w:jc w:val="center"/>
              <w:rPr>
                <w:color w:val="auto"/>
                <w:sz w:val="18"/>
                <w:szCs w:val="18"/>
                <w:highlight w:val="none"/>
              </w:rPr>
            </w:pPr>
            <w:r>
              <w:rPr>
                <w:color w:val="auto"/>
                <w:sz w:val="18"/>
                <w:szCs w:val="18"/>
                <w:highlight w:val="none"/>
              </w:rPr>
              <w:t>2</w:t>
            </w:r>
          </w:p>
        </w:tc>
        <w:tc>
          <w:tcPr>
            <w:tcW w:w="950" w:type="dxa"/>
            <w:tcMar>
              <w:left w:w="108" w:type="dxa"/>
              <w:right w:w="108" w:type="dxa"/>
            </w:tcMar>
            <w:vAlign w:val="center"/>
          </w:tcPr>
          <w:p w14:paraId="242D00E9">
            <w:pPr>
              <w:jc w:val="center"/>
              <w:rPr>
                <w:color w:val="auto"/>
                <w:sz w:val="18"/>
                <w:szCs w:val="18"/>
                <w:highlight w:val="none"/>
              </w:rPr>
            </w:pPr>
          </w:p>
        </w:tc>
        <w:tc>
          <w:tcPr>
            <w:tcW w:w="1123" w:type="dxa"/>
            <w:tcMar>
              <w:left w:w="108" w:type="dxa"/>
              <w:right w:w="108" w:type="dxa"/>
            </w:tcMar>
            <w:vAlign w:val="center"/>
          </w:tcPr>
          <w:p w14:paraId="6D88AEE7">
            <w:pPr>
              <w:jc w:val="center"/>
              <w:rPr>
                <w:color w:val="auto"/>
                <w:sz w:val="18"/>
                <w:szCs w:val="18"/>
                <w:highlight w:val="none"/>
              </w:rPr>
            </w:pPr>
          </w:p>
        </w:tc>
        <w:tc>
          <w:tcPr>
            <w:tcW w:w="1090" w:type="dxa"/>
            <w:tcMar>
              <w:left w:w="108" w:type="dxa"/>
              <w:right w:w="108" w:type="dxa"/>
            </w:tcMar>
            <w:vAlign w:val="center"/>
          </w:tcPr>
          <w:p w14:paraId="2FAABFF7">
            <w:pPr>
              <w:jc w:val="center"/>
              <w:rPr>
                <w:color w:val="auto"/>
                <w:sz w:val="18"/>
                <w:szCs w:val="18"/>
                <w:highlight w:val="none"/>
              </w:rPr>
            </w:pPr>
          </w:p>
        </w:tc>
        <w:tc>
          <w:tcPr>
            <w:tcW w:w="1197" w:type="dxa"/>
            <w:tcMar>
              <w:left w:w="108" w:type="dxa"/>
              <w:right w:w="108" w:type="dxa"/>
            </w:tcMar>
            <w:vAlign w:val="center"/>
          </w:tcPr>
          <w:p w14:paraId="44933DDF">
            <w:pPr>
              <w:jc w:val="center"/>
              <w:rPr>
                <w:color w:val="auto"/>
                <w:sz w:val="18"/>
                <w:szCs w:val="18"/>
                <w:highlight w:val="none"/>
              </w:rPr>
            </w:pPr>
          </w:p>
        </w:tc>
        <w:tc>
          <w:tcPr>
            <w:tcW w:w="1268" w:type="dxa"/>
            <w:tcMar>
              <w:left w:w="108" w:type="dxa"/>
              <w:right w:w="108" w:type="dxa"/>
            </w:tcMar>
            <w:vAlign w:val="center"/>
          </w:tcPr>
          <w:p w14:paraId="5FB9775D">
            <w:pPr>
              <w:jc w:val="center"/>
              <w:rPr>
                <w:color w:val="auto"/>
                <w:sz w:val="18"/>
                <w:szCs w:val="18"/>
                <w:highlight w:val="none"/>
              </w:rPr>
            </w:pPr>
          </w:p>
        </w:tc>
      </w:tr>
      <w:tr w14:paraId="35ACF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511A4727">
            <w:pPr>
              <w:jc w:val="center"/>
              <w:rPr>
                <w:color w:val="auto"/>
                <w:sz w:val="18"/>
                <w:szCs w:val="18"/>
                <w:highlight w:val="none"/>
              </w:rPr>
            </w:pPr>
          </w:p>
        </w:tc>
        <w:tc>
          <w:tcPr>
            <w:tcW w:w="1843" w:type="dxa"/>
            <w:vMerge w:val="continue"/>
            <w:tcMar>
              <w:left w:w="108" w:type="dxa"/>
              <w:right w:w="108" w:type="dxa"/>
            </w:tcMar>
            <w:vAlign w:val="center"/>
          </w:tcPr>
          <w:p w14:paraId="78287A9B">
            <w:pPr>
              <w:jc w:val="center"/>
              <w:rPr>
                <w:color w:val="auto"/>
                <w:sz w:val="18"/>
                <w:szCs w:val="18"/>
                <w:highlight w:val="none"/>
              </w:rPr>
            </w:pPr>
          </w:p>
        </w:tc>
        <w:tc>
          <w:tcPr>
            <w:tcW w:w="751" w:type="dxa"/>
            <w:tcMar>
              <w:left w:w="108" w:type="dxa"/>
              <w:right w:w="108" w:type="dxa"/>
            </w:tcMar>
            <w:vAlign w:val="center"/>
          </w:tcPr>
          <w:p w14:paraId="43F48B89">
            <w:pPr>
              <w:jc w:val="center"/>
              <w:rPr>
                <w:color w:val="auto"/>
                <w:sz w:val="18"/>
                <w:szCs w:val="18"/>
                <w:highlight w:val="none"/>
              </w:rPr>
            </w:pPr>
            <w:r>
              <w:rPr>
                <w:color w:val="auto"/>
                <w:sz w:val="18"/>
                <w:szCs w:val="18"/>
                <w:highlight w:val="none"/>
              </w:rPr>
              <w:t>3</w:t>
            </w:r>
          </w:p>
        </w:tc>
        <w:tc>
          <w:tcPr>
            <w:tcW w:w="950" w:type="dxa"/>
            <w:tcMar>
              <w:left w:w="108" w:type="dxa"/>
              <w:right w:w="108" w:type="dxa"/>
            </w:tcMar>
            <w:vAlign w:val="center"/>
          </w:tcPr>
          <w:p w14:paraId="1799F118">
            <w:pPr>
              <w:jc w:val="center"/>
              <w:rPr>
                <w:color w:val="auto"/>
                <w:sz w:val="18"/>
                <w:szCs w:val="18"/>
                <w:highlight w:val="none"/>
              </w:rPr>
            </w:pPr>
          </w:p>
        </w:tc>
        <w:tc>
          <w:tcPr>
            <w:tcW w:w="1123" w:type="dxa"/>
            <w:tcMar>
              <w:left w:w="108" w:type="dxa"/>
              <w:right w:w="108" w:type="dxa"/>
            </w:tcMar>
            <w:vAlign w:val="center"/>
          </w:tcPr>
          <w:p w14:paraId="07C2F5E5">
            <w:pPr>
              <w:jc w:val="center"/>
              <w:rPr>
                <w:color w:val="auto"/>
                <w:sz w:val="18"/>
                <w:szCs w:val="18"/>
                <w:highlight w:val="none"/>
              </w:rPr>
            </w:pPr>
          </w:p>
        </w:tc>
        <w:tc>
          <w:tcPr>
            <w:tcW w:w="1090" w:type="dxa"/>
            <w:tcMar>
              <w:left w:w="108" w:type="dxa"/>
              <w:right w:w="108" w:type="dxa"/>
            </w:tcMar>
            <w:vAlign w:val="center"/>
          </w:tcPr>
          <w:p w14:paraId="5D60134D">
            <w:pPr>
              <w:jc w:val="center"/>
              <w:rPr>
                <w:color w:val="auto"/>
                <w:sz w:val="18"/>
                <w:szCs w:val="18"/>
                <w:highlight w:val="none"/>
              </w:rPr>
            </w:pPr>
          </w:p>
        </w:tc>
        <w:tc>
          <w:tcPr>
            <w:tcW w:w="1197" w:type="dxa"/>
            <w:tcMar>
              <w:left w:w="108" w:type="dxa"/>
              <w:right w:w="108" w:type="dxa"/>
            </w:tcMar>
            <w:vAlign w:val="center"/>
          </w:tcPr>
          <w:p w14:paraId="49D16B41">
            <w:pPr>
              <w:jc w:val="center"/>
              <w:rPr>
                <w:color w:val="auto"/>
                <w:sz w:val="18"/>
                <w:szCs w:val="18"/>
                <w:highlight w:val="none"/>
              </w:rPr>
            </w:pPr>
          </w:p>
        </w:tc>
        <w:tc>
          <w:tcPr>
            <w:tcW w:w="1268" w:type="dxa"/>
            <w:tcMar>
              <w:left w:w="108" w:type="dxa"/>
              <w:right w:w="108" w:type="dxa"/>
            </w:tcMar>
            <w:vAlign w:val="center"/>
          </w:tcPr>
          <w:p w14:paraId="020C873E">
            <w:pPr>
              <w:jc w:val="center"/>
              <w:rPr>
                <w:color w:val="auto"/>
                <w:sz w:val="18"/>
                <w:szCs w:val="18"/>
                <w:highlight w:val="none"/>
              </w:rPr>
            </w:pPr>
          </w:p>
        </w:tc>
      </w:tr>
      <w:tr w14:paraId="19CA3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tcMar>
              <w:left w:w="108" w:type="dxa"/>
              <w:right w:w="108" w:type="dxa"/>
            </w:tcMar>
            <w:vAlign w:val="center"/>
          </w:tcPr>
          <w:p w14:paraId="4739D976">
            <w:pPr>
              <w:jc w:val="center"/>
              <w:rPr>
                <w:color w:val="auto"/>
                <w:sz w:val="18"/>
                <w:szCs w:val="18"/>
                <w:highlight w:val="none"/>
              </w:rPr>
            </w:pPr>
          </w:p>
        </w:tc>
        <w:tc>
          <w:tcPr>
            <w:tcW w:w="1843" w:type="dxa"/>
            <w:vMerge w:val="restart"/>
            <w:tcMar>
              <w:left w:w="108" w:type="dxa"/>
              <w:right w:w="108" w:type="dxa"/>
            </w:tcMar>
            <w:vAlign w:val="center"/>
          </w:tcPr>
          <w:p w14:paraId="1158704B">
            <w:pPr>
              <w:jc w:val="center"/>
              <w:rPr>
                <w:color w:val="auto"/>
                <w:sz w:val="18"/>
                <w:szCs w:val="18"/>
                <w:highlight w:val="none"/>
              </w:rPr>
            </w:pPr>
          </w:p>
        </w:tc>
        <w:tc>
          <w:tcPr>
            <w:tcW w:w="751" w:type="dxa"/>
            <w:tcMar>
              <w:left w:w="108" w:type="dxa"/>
              <w:right w:w="108" w:type="dxa"/>
            </w:tcMar>
            <w:vAlign w:val="center"/>
          </w:tcPr>
          <w:p w14:paraId="08D89A5B">
            <w:pPr>
              <w:jc w:val="center"/>
              <w:rPr>
                <w:color w:val="auto"/>
                <w:sz w:val="18"/>
                <w:szCs w:val="18"/>
                <w:highlight w:val="none"/>
              </w:rPr>
            </w:pPr>
            <w:r>
              <w:rPr>
                <w:color w:val="auto"/>
                <w:sz w:val="18"/>
                <w:szCs w:val="18"/>
                <w:highlight w:val="none"/>
              </w:rPr>
              <w:t>1</w:t>
            </w:r>
          </w:p>
        </w:tc>
        <w:tc>
          <w:tcPr>
            <w:tcW w:w="950" w:type="dxa"/>
            <w:tcMar>
              <w:left w:w="108" w:type="dxa"/>
              <w:right w:w="108" w:type="dxa"/>
            </w:tcMar>
            <w:vAlign w:val="center"/>
          </w:tcPr>
          <w:p w14:paraId="78A655DE">
            <w:pPr>
              <w:jc w:val="center"/>
              <w:rPr>
                <w:color w:val="auto"/>
                <w:sz w:val="18"/>
                <w:szCs w:val="18"/>
                <w:highlight w:val="none"/>
              </w:rPr>
            </w:pPr>
          </w:p>
        </w:tc>
        <w:tc>
          <w:tcPr>
            <w:tcW w:w="1123" w:type="dxa"/>
            <w:tcMar>
              <w:left w:w="108" w:type="dxa"/>
              <w:right w:w="108" w:type="dxa"/>
            </w:tcMar>
            <w:vAlign w:val="center"/>
          </w:tcPr>
          <w:p w14:paraId="20392A6C">
            <w:pPr>
              <w:jc w:val="center"/>
              <w:rPr>
                <w:color w:val="auto"/>
                <w:sz w:val="18"/>
                <w:szCs w:val="18"/>
                <w:highlight w:val="none"/>
              </w:rPr>
            </w:pPr>
          </w:p>
        </w:tc>
        <w:tc>
          <w:tcPr>
            <w:tcW w:w="1090" w:type="dxa"/>
            <w:tcMar>
              <w:left w:w="108" w:type="dxa"/>
              <w:right w:w="108" w:type="dxa"/>
            </w:tcMar>
            <w:vAlign w:val="center"/>
          </w:tcPr>
          <w:p w14:paraId="4C1D45FA">
            <w:pPr>
              <w:jc w:val="center"/>
              <w:rPr>
                <w:color w:val="auto"/>
                <w:sz w:val="18"/>
                <w:szCs w:val="18"/>
                <w:highlight w:val="none"/>
              </w:rPr>
            </w:pPr>
          </w:p>
        </w:tc>
        <w:tc>
          <w:tcPr>
            <w:tcW w:w="1197" w:type="dxa"/>
            <w:tcMar>
              <w:left w:w="108" w:type="dxa"/>
              <w:right w:w="108" w:type="dxa"/>
            </w:tcMar>
            <w:vAlign w:val="center"/>
          </w:tcPr>
          <w:p w14:paraId="1A12725F">
            <w:pPr>
              <w:jc w:val="center"/>
              <w:rPr>
                <w:color w:val="auto"/>
                <w:sz w:val="18"/>
                <w:szCs w:val="18"/>
                <w:highlight w:val="none"/>
              </w:rPr>
            </w:pPr>
          </w:p>
        </w:tc>
        <w:tc>
          <w:tcPr>
            <w:tcW w:w="1268" w:type="dxa"/>
            <w:tcMar>
              <w:left w:w="108" w:type="dxa"/>
              <w:right w:w="108" w:type="dxa"/>
            </w:tcMar>
            <w:vAlign w:val="center"/>
          </w:tcPr>
          <w:p w14:paraId="50BA653A">
            <w:pPr>
              <w:jc w:val="center"/>
              <w:rPr>
                <w:color w:val="auto"/>
                <w:sz w:val="18"/>
                <w:szCs w:val="18"/>
                <w:highlight w:val="none"/>
              </w:rPr>
            </w:pPr>
          </w:p>
        </w:tc>
      </w:tr>
      <w:tr w14:paraId="5C5B4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7E9A091D">
            <w:pPr>
              <w:jc w:val="center"/>
              <w:rPr>
                <w:color w:val="auto"/>
                <w:sz w:val="18"/>
                <w:szCs w:val="18"/>
                <w:highlight w:val="none"/>
              </w:rPr>
            </w:pPr>
          </w:p>
        </w:tc>
        <w:tc>
          <w:tcPr>
            <w:tcW w:w="1843" w:type="dxa"/>
            <w:vMerge w:val="continue"/>
            <w:tcMar>
              <w:left w:w="108" w:type="dxa"/>
              <w:right w:w="108" w:type="dxa"/>
            </w:tcMar>
            <w:vAlign w:val="center"/>
          </w:tcPr>
          <w:p w14:paraId="765CA3F4">
            <w:pPr>
              <w:jc w:val="center"/>
              <w:rPr>
                <w:color w:val="auto"/>
                <w:sz w:val="18"/>
                <w:szCs w:val="18"/>
                <w:highlight w:val="none"/>
              </w:rPr>
            </w:pPr>
          </w:p>
        </w:tc>
        <w:tc>
          <w:tcPr>
            <w:tcW w:w="751" w:type="dxa"/>
            <w:tcMar>
              <w:left w:w="108" w:type="dxa"/>
              <w:right w:w="108" w:type="dxa"/>
            </w:tcMar>
            <w:vAlign w:val="center"/>
          </w:tcPr>
          <w:p w14:paraId="5B0AC2BF">
            <w:pPr>
              <w:jc w:val="center"/>
              <w:rPr>
                <w:color w:val="auto"/>
                <w:sz w:val="18"/>
                <w:szCs w:val="18"/>
                <w:highlight w:val="none"/>
              </w:rPr>
            </w:pPr>
            <w:r>
              <w:rPr>
                <w:color w:val="auto"/>
                <w:sz w:val="18"/>
                <w:szCs w:val="18"/>
                <w:highlight w:val="none"/>
              </w:rPr>
              <w:t>2</w:t>
            </w:r>
          </w:p>
        </w:tc>
        <w:tc>
          <w:tcPr>
            <w:tcW w:w="950" w:type="dxa"/>
            <w:tcMar>
              <w:left w:w="108" w:type="dxa"/>
              <w:right w:w="108" w:type="dxa"/>
            </w:tcMar>
            <w:vAlign w:val="center"/>
          </w:tcPr>
          <w:p w14:paraId="46DE0402">
            <w:pPr>
              <w:jc w:val="center"/>
              <w:rPr>
                <w:color w:val="auto"/>
                <w:sz w:val="18"/>
                <w:szCs w:val="18"/>
                <w:highlight w:val="none"/>
              </w:rPr>
            </w:pPr>
          </w:p>
        </w:tc>
        <w:tc>
          <w:tcPr>
            <w:tcW w:w="1123" w:type="dxa"/>
            <w:tcMar>
              <w:left w:w="108" w:type="dxa"/>
              <w:right w:w="108" w:type="dxa"/>
            </w:tcMar>
            <w:vAlign w:val="center"/>
          </w:tcPr>
          <w:p w14:paraId="4E4CACC6">
            <w:pPr>
              <w:jc w:val="center"/>
              <w:rPr>
                <w:color w:val="auto"/>
                <w:sz w:val="18"/>
                <w:szCs w:val="18"/>
                <w:highlight w:val="none"/>
              </w:rPr>
            </w:pPr>
          </w:p>
        </w:tc>
        <w:tc>
          <w:tcPr>
            <w:tcW w:w="1090" w:type="dxa"/>
            <w:tcMar>
              <w:left w:w="108" w:type="dxa"/>
              <w:right w:w="108" w:type="dxa"/>
            </w:tcMar>
            <w:vAlign w:val="center"/>
          </w:tcPr>
          <w:p w14:paraId="6E8CFEEB">
            <w:pPr>
              <w:jc w:val="center"/>
              <w:rPr>
                <w:color w:val="auto"/>
                <w:sz w:val="18"/>
                <w:szCs w:val="18"/>
                <w:highlight w:val="none"/>
              </w:rPr>
            </w:pPr>
          </w:p>
        </w:tc>
        <w:tc>
          <w:tcPr>
            <w:tcW w:w="1197" w:type="dxa"/>
            <w:tcMar>
              <w:left w:w="108" w:type="dxa"/>
              <w:right w:w="108" w:type="dxa"/>
            </w:tcMar>
            <w:vAlign w:val="center"/>
          </w:tcPr>
          <w:p w14:paraId="321C7927">
            <w:pPr>
              <w:jc w:val="center"/>
              <w:rPr>
                <w:color w:val="auto"/>
                <w:sz w:val="18"/>
                <w:szCs w:val="18"/>
                <w:highlight w:val="none"/>
              </w:rPr>
            </w:pPr>
          </w:p>
        </w:tc>
        <w:tc>
          <w:tcPr>
            <w:tcW w:w="1268" w:type="dxa"/>
            <w:tcMar>
              <w:left w:w="108" w:type="dxa"/>
              <w:right w:w="108" w:type="dxa"/>
            </w:tcMar>
            <w:vAlign w:val="center"/>
          </w:tcPr>
          <w:p w14:paraId="0960A9B5">
            <w:pPr>
              <w:jc w:val="center"/>
              <w:rPr>
                <w:color w:val="auto"/>
                <w:sz w:val="18"/>
                <w:szCs w:val="18"/>
                <w:highlight w:val="none"/>
              </w:rPr>
            </w:pPr>
          </w:p>
        </w:tc>
      </w:tr>
      <w:tr w14:paraId="0E373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Mar>
              <w:left w:w="108" w:type="dxa"/>
              <w:right w:w="108" w:type="dxa"/>
            </w:tcMar>
            <w:vAlign w:val="center"/>
          </w:tcPr>
          <w:p w14:paraId="34690B82">
            <w:pPr>
              <w:jc w:val="center"/>
              <w:rPr>
                <w:color w:val="auto"/>
                <w:sz w:val="18"/>
                <w:szCs w:val="18"/>
                <w:highlight w:val="none"/>
              </w:rPr>
            </w:pPr>
          </w:p>
        </w:tc>
        <w:tc>
          <w:tcPr>
            <w:tcW w:w="1843" w:type="dxa"/>
            <w:vMerge w:val="continue"/>
            <w:tcMar>
              <w:left w:w="108" w:type="dxa"/>
              <w:right w:w="108" w:type="dxa"/>
            </w:tcMar>
            <w:vAlign w:val="center"/>
          </w:tcPr>
          <w:p w14:paraId="3CEB55F0">
            <w:pPr>
              <w:jc w:val="center"/>
              <w:rPr>
                <w:color w:val="auto"/>
                <w:sz w:val="18"/>
                <w:szCs w:val="18"/>
                <w:highlight w:val="none"/>
              </w:rPr>
            </w:pPr>
          </w:p>
        </w:tc>
        <w:tc>
          <w:tcPr>
            <w:tcW w:w="751" w:type="dxa"/>
            <w:tcMar>
              <w:left w:w="108" w:type="dxa"/>
              <w:right w:w="108" w:type="dxa"/>
            </w:tcMar>
            <w:vAlign w:val="center"/>
          </w:tcPr>
          <w:p w14:paraId="2B4CBE9E">
            <w:pPr>
              <w:jc w:val="center"/>
              <w:rPr>
                <w:color w:val="auto"/>
                <w:sz w:val="18"/>
                <w:szCs w:val="18"/>
                <w:highlight w:val="none"/>
              </w:rPr>
            </w:pPr>
            <w:r>
              <w:rPr>
                <w:color w:val="auto"/>
                <w:sz w:val="18"/>
                <w:szCs w:val="18"/>
                <w:highlight w:val="none"/>
              </w:rPr>
              <w:t>3</w:t>
            </w:r>
          </w:p>
        </w:tc>
        <w:tc>
          <w:tcPr>
            <w:tcW w:w="950" w:type="dxa"/>
            <w:tcMar>
              <w:left w:w="108" w:type="dxa"/>
              <w:right w:w="108" w:type="dxa"/>
            </w:tcMar>
            <w:vAlign w:val="center"/>
          </w:tcPr>
          <w:p w14:paraId="3A39727D">
            <w:pPr>
              <w:jc w:val="center"/>
              <w:rPr>
                <w:color w:val="auto"/>
                <w:sz w:val="18"/>
                <w:szCs w:val="18"/>
                <w:highlight w:val="none"/>
              </w:rPr>
            </w:pPr>
          </w:p>
        </w:tc>
        <w:tc>
          <w:tcPr>
            <w:tcW w:w="1123" w:type="dxa"/>
            <w:tcMar>
              <w:left w:w="108" w:type="dxa"/>
              <w:right w:w="108" w:type="dxa"/>
            </w:tcMar>
            <w:vAlign w:val="center"/>
          </w:tcPr>
          <w:p w14:paraId="48E9FD00">
            <w:pPr>
              <w:jc w:val="center"/>
              <w:rPr>
                <w:color w:val="auto"/>
                <w:sz w:val="18"/>
                <w:szCs w:val="18"/>
                <w:highlight w:val="none"/>
              </w:rPr>
            </w:pPr>
          </w:p>
        </w:tc>
        <w:tc>
          <w:tcPr>
            <w:tcW w:w="1090" w:type="dxa"/>
            <w:tcMar>
              <w:left w:w="108" w:type="dxa"/>
              <w:right w:w="108" w:type="dxa"/>
            </w:tcMar>
            <w:vAlign w:val="center"/>
          </w:tcPr>
          <w:p w14:paraId="539BCFCD">
            <w:pPr>
              <w:jc w:val="center"/>
              <w:rPr>
                <w:color w:val="auto"/>
                <w:sz w:val="18"/>
                <w:szCs w:val="18"/>
                <w:highlight w:val="none"/>
              </w:rPr>
            </w:pPr>
          </w:p>
        </w:tc>
        <w:tc>
          <w:tcPr>
            <w:tcW w:w="1197" w:type="dxa"/>
            <w:tcMar>
              <w:left w:w="108" w:type="dxa"/>
              <w:right w:w="108" w:type="dxa"/>
            </w:tcMar>
            <w:vAlign w:val="center"/>
          </w:tcPr>
          <w:p w14:paraId="1B7FCD68">
            <w:pPr>
              <w:jc w:val="center"/>
              <w:rPr>
                <w:color w:val="auto"/>
                <w:sz w:val="18"/>
                <w:szCs w:val="18"/>
                <w:highlight w:val="none"/>
              </w:rPr>
            </w:pPr>
          </w:p>
        </w:tc>
        <w:tc>
          <w:tcPr>
            <w:tcW w:w="1268" w:type="dxa"/>
            <w:tcMar>
              <w:left w:w="108" w:type="dxa"/>
              <w:right w:w="108" w:type="dxa"/>
            </w:tcMar>
            <w:vAlign w:val="center"/>
          </w:tcPr>
          <w:p w14:paraId="10F7D1C5">
            <w:pPr>
              <w:jc w:val="center"/>
              <w:rPr>
                <w:color w:val="auto"/>
                <w:sz w:val="18"/>
                <w:szCs w:val="18"/>
                <w:highlight w:val="none"/>
              </w:rPr>
            </w:pPr>
          </w:p>
        </w:tc>
      </w:tr>
    </w:tbl>
    <w:p w14:paraId="76F46C0F">
      <w:pPr>
        <w:spacing w:line="440" w:lineRule="exact"/>
        <w:ind w:right="420" w:firstLine="360" w:firstLineChars="200"/>
        <w:rPr>
          <w:color w:val="auto"/>
          <w:sz w:val="18"/>
          <w:szCs w:val="18"/>
          <w:highlight w:val="none"/>
        </w:rPr>
      </w:pPr>
      <w:r>
        <w:rPr>
          <w:color w:val="auto"/>
          <w:sz w:val="18"/>
          <w:szCs w:val="18"/>
          <w:highlight w:val="none"/>
        </w:rPr>
        <w:t>备注：本表所列分包仅限于承包人自行施工范围内的非主体、非关键工程。</w:t>
      </w:r>
    </w:p>
    <w:p w14:paraId="19E270DD">
      <w:pPr>
        <w:wordWrap w:val="0"/>
        <w:spacing w:line="440" w:lineRule="exact"/>
        <w:ind w:right="420"/>
        <w:jc w:val="right"/>
        <w:rPr>
          <w:color w:val="auto"/>
          <w:sz w:val="18"/>
          <w:szCs w:val="18"/>
          <w:highlight w:val="none"/>
        </w:rPr>
      </w:pPr>
      <w:r>
        <w:rPr>
          <w:color w:val="auto"/>
          <w:sz w:val="18"/>
          <w:szCs w:val="18"/>
          <w:highlight w:val="none"/>
        </w:rPr>
        <w:t>日期：       年     月     日</w:t>
      </w:r>
    </w:p>
    <w:p w14:paraId="1F109A0A">
      <w:pPr>
        <w:pStyle w:val="27"/>
        <w:tabs>
          <w:tab w:val="left" w:pos="2127"/>
        </w:tabs>
        <w:spacing w:line="340" w:lineRule="exact"/>
        <w:rPr>
          <w:rFonts w:ascii="Times New Roman" w:hAnsi="Times New Roman" w:cs="Times New Roman"/>
          <w:color w:val="auto"/>
          <w:sz w:val="18"/>
          <w:szCs w:val="18"/>
          <w:highlight w:val="none"/>
        </w:rPr>
      </w:pPr>
      <w:r>
        <w:rPr>
          <w:color w:val="auto"/>
          <w:sz w:val="18"/>
          <w:szCs w:val="18"/>
          <w:highlight w:val="none"/>
        </w:rPr>
        <w:br w:type="page"/>
      </w:r>
      <w:r>
        <w:rPr>
          <w:rFonts w:hint="eastAsia"/>
          <w:color w:val="auto"/>
          <w:sz w:val="18"/>
          <w:szCs w:val="18"/>
          <w:highlight w:val="none"/>
        </w:rPr>
        <w:t>3</w:t>
      </w:r>
      <w:r>
        <w:rPr>
          <w:color w:val="auto"/>
          <w:sz w:val="18"/>
          <w:szCs w:val="18"/>
          <w:highlight w:val="none"/>
        </w:rPr>
        <w:t>.</w:t>
      </w:r>
      <w:r>
        <w:rPr>
          <w:rFonts w:ascii="Times New Roman" w:hAnsi="Times New Roman" w:cs="Times New Roman"/>
          <w:color w:val="auto"/>
          <w:sz w:val="18"/>
          <w:szCs w:val="18"/>
          <w:highlight w:val="none"/>
        </w:rPr>
        <w:t>近年已完成类似工程一览表</w:t>
      </w:r>
    </w:p>
    <w:tbl>
      <w:tblPr>
        <w:tblStyle w:val="54"/>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701"/>
        <w:gridCol w:w="1417"/>
        <w:gridCol w:w="851"/>
        <w:gridCol w:w="992"/>
        <w:gridCol w:w="1134"/>
        <w:gridCol w:w="1276"/>
        <w:gridCol w:w="1134"/>
      </w:tblGrid>
      <w:tr w14:paraId="28ED7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vAlign w:val="center"/>
          </w:tcPr>
          <w:p w14:paraId="5AF23D9C">
            <w:pPr>
              <w:jc w:val="center"/>
              <w:rPr>
                <w:color w:val="auto"/>
                <w:sz w:val="18"/>
                <w:szCs w:val="18"/>
                <w:highlight w:val="none"/>
              </w:rPr>
            </w:pPr>
            <w:r>
              <w:rPr>
                <w:color w:val="auto"/>
                <w:sz w:val="18"/>
                <w:szCs w:val="18"/>
                <w:highlight w:val="none"/>
              </w:rPr>
              <w:t>序号</w:t>
            </w:r>
          </w:p>
        </w:tc>
        <w:tc>
          <w:tcPr>
            <w:tcW w:w="1701" w:type="dxa"/>
            <w:vAlign w:val="center"/>
          </w:tcPr>
          <w:p w14:paraId="1A326A8F">
            <w:pPr>
              <w:jc w:val="center"/>
              <w:rPr>
                <w:color w:val="auto"/>
                <w:sz w:val="18"/>
                <w:szCs w:val="18"/>
                <w:highlight w:val="none"/>
              </w:rPr>
            </w:pPr>
            <w:r>
              <w:rPr>
                <w:color w:val="auto"/>
                <w:sz w:val="18"/>
                <w:szCs w:val="18"/>
                <w:highlight w:val="none"/>
              </w:rPr>
              <w:t>发包人名称</w:t>
            </w:r>
          </w:p>
        </w:tc>
        <w:tc>
          <w:tcPr>
            <w:tcW w:w="1417" w:type="dxa"/>
            <w:vAlign w:val="center"/>
          </w:tcPr>
          <w:p w14:paraId="1B2E9E1C">
            <w:pPr>
              <w:jc w:val="center"/>
              <w:rPr>
                <w:color w:val="auto"/>
                <w:sz w:val="18"/>
                <w:szCs w:val="18"/>
                <w:highlight w:val="none"/>
              </w:rPr>
            </w:pPr>
            <w:r>
              <w:rPr>
                <w:color w:val="auto"/>
                <w:sz w:val="18"/>
                <w:szCs w:val="18"/>
                <w:highlight w:val="none"/>
              </w:rPr>
              <w:t>工程名称</w:t>
            </w:r>
          </w:p>
          <w:p w14:paraId="66744773">
            <w:pPr>
              <w:jc w:val="center"/>
              <w:rPr>
                <w:color w:val="auto"/>
                <w:sz w:val="18"/>
                <w:szCs w:val="18"/>
                <w:highlight w:val="none"/>
              </w:rPr>
            </w:pPr>
            <w:r>
              <w:rPr>
                <w:color w:val="auto"/>
                <w:sz w:val="18"/>
                <w:szCs w:val="18"/>
                <w:highlight w:val="none"/>
              </w:rPr>
              <w:t>及建设地点</w:t>
            </w:r>
          </w:p>
        </w:tc>
        <w:tc>
          <w:tcPr>
            <w:tcW w:w="851" w:type="dxa"/>
            <w:vAlign w:val="center"/>
          </w:tcPr>
          <w:p w14:paraId="15E5F839">
            <w:pPr>
              <w:jc w:val="center"/>
              <w:rPr>
                <w:color w:val="auto"/>
                <w:sz w:val="18"/>
                <w:szCs w:val="18"/>
                <w:highlight w:val="none"/>
              </w:rPr>
            </w:pPr>
            <w:r>
              <w:rPr>
                <w:color w:val="auto"/>
                <w:sz w:val="18"/>
                <w:szCs w:val="18"/>
                <w:highlight w:val="none"/>
              </w:rPr>
              <w:t>结构</w:t>
            </w:r>
          </w:p>
          <w:p w14:paraId="32705655">
            <w:pPr>
              <w:jc w:val="center"/>
              <w:rPr>
                <w:color w:val="auto"/>
                <w:sz w:val="18"/>
                <w:szCs w:val="18"/>
                <w:highlight w:val="none"/>
              </w:rPr>
            </w:pPr>
            <w:r>
              <w:rPr>
                <w:color w:val="auto"/>
                <w:sz w:val="18"/>
                <w:szCs w:val="18"/>
                <w:highlight w:val="none"/>
              </w:rPr>
              <w:t>类型</w:t>
            </w:r>
          </w:p>
        </w:tc>
        <w:tc>
          <w:tcPr>
            <w:tcW w:w="992" w:type="dxa"/>
            <w:vAlign w:val="center"/>
          </w:tcPr>
          <w:p w14:paraId="1AACDA7D">
            <w:pPr>
              <w:jc w:val="center"/>
              <w:rPr>
                <w:color w:val="auto"/>
                <w:sz w:val="18"/>
                <w:szCs w:val="18"/>
                <w:highlight w:val="none"/>
              </w:rPr>
            </w:pPr>
            <w:r>
              <w:rPr>
                <w:color w:val="auto"/>
                <w:sz w:val="18"/>
                <w:szCs w:val="18"/>
                <w:highlight w:val="none"/>
              </w:rPr>
              <w:t>建设</w:t>
            </w:r>
          </w:p>
          <w:p w14:paraId="7446BE8E">
            <w:pPr>
              <w:jc w:val="center"/>
              <w:rPr>
                <w:color w:val="auto"/>
                <w:sz w:val="18"/>
                <w:szCs w:val="18"/>
                <w:highlight w:val="none"/>
              </w:rPr>
            </w:pPr>
            <w:r>
              <w:rPr>
                <w:color w:val="auto"/>
                <w:sz w:val="18"/>
                <w:szCs w:val="18"/>
                <w:highlight w:val="none"/>
              </w:rPr>
              <w:t>规模</w:t>
            </w:r>
          </w:p>
        </w:tc>
        <w:tc>
          <w:tcPr>
            <w:tcW w:w="1134" w:type="dxa"/>
            <w:vAlign w:val="center"/>
          </w:tcPr>
          <w:p w14:paraId="590942EC">
            <w:pPr>
              <w:jc w:val="center"/>
              <w:rPr>
                <w:color w:val="auto"/>
                <w:sz w:val="18"/>
                <w:szCs w:val="18"/>
                <w:highlight w:val="none"/>
              </w:rPr>
            </w:pPr>
            <w:r>
              <w:rPr>
                <w:color w:val="auto"/>
                <w:sz w:val="18"/>
                <w:szCs w:val="18"/>
                <w:highlight w:val="none"/>
              </w:rPr>
              <w:t>合同金额</w:t>
            </w:r>
          </w:p>
          <w:p w14:paraId="535942F5">
            <w:pPr>
              <w:jc w:val="center"/>
              <w:rPr>
                <w:color w:val="auto"/>
                <w:sz w:val="18"/>
                <w:szCs w:val="18"/>
                <w:highlight w:val="none"/>
              </w:rPr>
            </w:pPr>
            <w:r>
              <w:rPr>
                <w:color w:val="auto"/>
                <w:sz w:val="18"/>
                <w:szCs w:val="18"/>
                <w:highlight w:val="none"/>
              </w:rPr>
              <w:t>（万元）</w:t>
            </w:r>
          </w:p>
        </w:tc>
        <w:tc>
          <w:tcPr>
            <w:tcW w:w="1276" w:type="dxa"/>
            <w:vAlign w:val="center"/>
          </w:tcPr>
          <w:p w14:paraId="226A8813">
            <w:pPr>
              <w:jc w:val="center"/>
              <w:rPr>
                <w:color w:val="auto"/>
                <w:sz w:val="18"/>
                <w:szCs w:val="18"/>
                <w:highlight w:val="none"/>
              </w:rPr>
            </w:pPr>
            <w:r>
              <w:rPr>
                <w:color w:val="auto"/>
                <w:sz w:val="18"/>
                <w:szCs w:val="18"/>
                <w:highlight w:val="none"/>
              </w:rPr>
              <w:t>竣工达到</w:t>
            </w:r>
          </w:p>
          <w:p w14:paraId="6BF2F6EC">
            <w:pPr>
              <w:jc w:val="center"/>
              <w:rPr>
                <w:color w:val="auto"/>
                <w:sz w:val="18"/>
                <w:szCs w:val="18"/>
                <w:highlight w:val="none"/>
              </w:rPr>
            </w:pPr>
            <w:r>
              <w:rPr>
                <w:color w:val="auto"/>
                <w:sz w:val="18"/>
                <w:szCs w:val="18"/>
                <w:highlight w:val="none"/>
              </w:rPr>
              <w:t>质量标准</w:t>
            </w:r>
          </w:p>
        </w:tc>
        <w:tc>
          <w:tcPr>
            <w:tcW w:w="1134" w:type="dxa"/>
            <w:vAlign w:val="center"/>
          </w:tcPr>
          <w:p w14:paraId="62F7BA83">
            <w:pPr>
              <w:jc w:val="center"/>
              <w:rPr>
                <w:color w:val="auto"/>
                <w:sz w:val="18"/>
                <w:szCs w:val="18"/>
                <w:highlight w:val="none"/>
              </w:rPr>
            </w:pPr>
            <w:r>
              <w:rPr>
                <w:color w:val="auto"/>
                <w:sz w:val="18"/>
                <w:szCs w:val="18"/>
                <w:highlight w:val="none"/>
              </w:rPr>
              <w:t>开竣工</w:t>
            </w:r>
          </w:p>
          <w:p w14:paraId="54BB1A51">
            <w:pPr>
              <w:jc w:val="center"/>
              <w:rPr>
                <w:color w:val="auto"/>
                <w:sz w:val="18"/>
                <w:szCs w:val="18"/>
                <w:highlight w:val="none"/>
              </w:rPr>
            </w:pPr>
            <w:r>
              <w:rPr>
                <w:color w:val="auto"/>
                <w:sz w:val="18"/>
                <w:szCs w:val="18"/>
                <w:highlight w:val="none"/>
              </w:rPr>
              <w:t>日  期</w:t>
            </w:r>
          </w:p>
        </w:tc>
      </w:tr>
      <w:tr w14:paraId="1CEB0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vAlign w:val="center"/>
          </w:tcPr>
          <w:p w14:paraId="37FD7370">
            <w:pPr>
              <w:jc w:val="center"/>
              <w:rPr>
                <w:color w:val="auto"/>
                <w:sz w:val="18"/>
                <w:szCs w:val="18"/>
                <w:highlight w:val="none"/>
              </w:rPr>
            </w:pPr>
            <w:r>
              <w:rPr>
                <w:color w:val="auto"/>
                <w:sz w:val="18"/>
                <w:szCs w:val="18"/>
                <w:highlight w:val="none"/>
              </w:rPr>
              <w:t>1</w:t>
            </w:r>
          </w:p>
        </w:tc>
        <w:tc>
          <w:tcPr>
            <w:tcW w:w="1701" w:type="dxa"/>
            <w:vAlign w:val="center"/>
          </w:tcPr>
          <w:p w14:paraId="114251A1">
            <w:pPr>
              <w:jc w:val="center"/>
              <w:rPr>
                <w:color w:val="auto"/>
                <w:sz w:val="18"/>
                <w:szCs w:val="18"/>
                <w:highlight w:val="none"/>
              </w:rPr>
            </w:pPr>
          </w:p>
        </w:tc>
        <w:tc>
          <w:tcPr>
            <w:tcW w:w="1417" w:type="dxa"/>
            <w:vAlign w:val="center"/>
          </w:tcPr>
          <w:p w14:paraId="38423AF8">
            <w:pPr>
              <w:jc w:val="center"/>
              <w:rPr>
                <w:color w:val="auto"/>
                <w:sz w:val="18"/>
                <w:szCs w:val="18"/>
                <w:highlight w:val="none"/>
              </w:rPr>
            </w:pPr>
          </w:p>
        </w:tc>
        <w:tc>
          <w:tcPr>
            <w:tcW w:w="851" w:type="dxa"/>
            <w:vAlign w:val="center"/>
          </w:tcPr>
          <w:p w14:paraId="5FDD1FBF">
            <w:pPr>
              <w:jc w:val="center"/>
              <w:rPr>
                <w:color w:val="auto"/>
                <w:sz w:val="18"/>
                <w:szCs w:val="18"/>
                <w:highlight w:val="none"/>
              </w:rPr>
            </w:pPr>
          </w:p>
        </w:tc>
        <w:tc>
          <w:tcPr>
            <w:tcW w:w="992" w:type="dxa"/>
            <w:vAlign w:val="center"/>
          </w:tcPr>
          <w:p w14:paraId="4117D28E">
            <w:pPr>
              <w:jc w:val="center"/>
              <w:rPr>
                <w:color w:val="auto"/>
                <w:sz w:val="18"/>
                <w:szCs w:val="18"/>
                <w:highlight w:val="none"/>
              </w:rPr>
            </w:pPr>
          </w:p>
        </w:tc>
        <w:tc>
          <w:tcPr>
            <w:tcW w:w="1134" w:type="dxa"/>
            <w:vAlign w:val="center"/>
          </w:tcPr>
          <w:p w14:paraId="49F56834">
            <w:pPr>
              <w:jc w:val="center"/>
              <w:rPr>
                <w:color w:val="auto"/>
                <w:sz w:val="18"/>
                <w:szCs w:val="18"/>
                <w:highlight w:val="none"/>
              </w:rPr>
            </w:pPr>
          </w:p>
        </w:tc>
        <w:tc>
          <w:tcPr>
            <w:tcW w:w="1276" w:type="dxa"/>
            <w:vAlign w:val="center"/>
          </w:tcPr>
          <w:p w14:paraId="66AB6BD4">
            <w:pPr>
              <w:jc w:val="center"/>
              <w:rPr>
                <w:color w:val="auto"/>
                <w:sz w:val="18"/>
                <w:szCs w:val="18"/>
                <w:highlight w:val="none"/>
              </w:rPr>
            </w:pPr>
          </w:p>
        </w:tc>
        <w:tc>
          <w:tcPr>
            <w:tcW w:w="1134" w:type="dxa"/>
            <w:vAlign w:val="center"/>
          </w:tcPr>
          <w:p w14:paraId="59549528">
            <w:pPr>
              <w:jc w:val="center"/>
              <w:rPr>
                <w:color w:val="auto"/>
                <w:sz w:val="18"/>
                <w:szCs w:val="18"/>
                <w:highlight w:val="none"/>
              </w:rPr>
            </w:pPr>
          </w:p>
        </w:tc>
      </w:tr>
      <w:tr w14:paraId="15428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vAlign w:val="center"/>
          </w:tcPr>
          <w:p w14:paraId="7F05B0D1">
            <w:pPr>
              <w:jc w:val="center"/>
              <w:rPr>
                <w:color w:val="auto"/>
                <w:sz w:val="18"/>
                <w:szCs w:val="18"/>
                <w:highlight w:val="none"/>
              </w:rPr>
            </w:pPr>
            <w:r>
              <w:rPr>
                <w:color w:val="auto"/>
                <w:sz w:val="18"/>
                <w:szCs w:val="18"/>
                <w:highlight w:val="none"/>
              </w:rPr>
              <w:t>2</w:t>
            </w:r>
          </w:p>
        </w:tc>
        <w:tc>
          <w:tcPr>
            <w:tcW w:w="1701" w:type="dxa"/>
            <w:vAlign w:val="center"/>
          </w:tcPr>
          <w:p w14:paraId="185D37F1">
            <w:pPr>
              <w:jc w:val="center"/>
              <w:rPr>
                <w:color w:val="auto"/>
                <w:sz w:val="18"/>
                <w:szCs w:val="18"/>
                <w:highlight w:val="none"/>
              </w:rPr>
            </w:pPr>
          </w:p>
        </w:tc>
        <w:tc>
          <w:tcPr>
            <w:tcW w:w="1417" w:type="dxa"/>
            <w:vAlign w:val="center"/>
          </w:tcPr>
          <w:p w14:paraId="4B37CF53">
            <w:pPr>
              <w:jc w:val="center"/>
              <w:rPr>
                <w:color w:val="auto"/>
                <w:sz w:val="18"/>
                <w:szCs w:val="18"/>
                <w:highlight w:val="none"/>
              </w:rPr>
            </w:pPr>
          </w:p>
        </w:tc>
        <w:tc>
          <w:tcPr>
            <w:tcW w:w="851" w:type="dxa"/>
            <w:vAlign w:val="center"/>
          </w:tcPr>
          <w:p w14:paraId="37197486">
            <w:pPr>
              <w:jc w:val="center"/>
              <w:rPr>
                <w:color w:val="auto"/>
                <w:sz w:val="18"/>
                <w:szCs w:val="18"/>
                <w:highlight w:val="none"/>
              </w:rPr>
            </w:pPr>
          </w:p>
        </w:tc>
        <w:tc>
          <w:tcPr>
            <w:tcW w:w="992" w:type="dxa"/>
            <w:vAlign w:val="center"/>
          </w:tcPr>
          <w:p w14:paraId="66981C8F">
            <w:pPr>
              <w:jc w:val="center"/>
              <w:rPr>
                <w:color w:val="auto"/>
                <w:sz w:val="18"/>
                <w:szCs w:val="18"/>
                <w:highlight w:val="none"/>
              </w:rPr>
            </w:pPr>
          </w:p>
        </w:tc>
        <w:tc>
          <w:tcPr>
            <w:tcW w:w="1134" w:type="dxa"/>
            <w:vAlign w:val="center"/>
          </w:tcPr>
          <w:p w14:paraId="748C78A8">
            <w:pPr>
              <w:jc w:val="center"/>
              <w:rPr>
                <w:color w:val="auto"/>
                <w:sz w:val="18"/>
                <w:szCs w:val="18"/>
                <w:highlight w:val="none"/>
              </w:rPr>
            </w:pPr>
          </w:p>
        </w:tc>
        <w:tc>
          <w:tcPr>
            <w:tcW w:w="1276" w:type="dxa"/>
            <w:vAlign w:val="center"/>
          </w:tcPr>
          <w:p w14:paraId="4BFDB5A6">
            <w:pPr>
              <w:jc w:val="center"/>
              <w:rPr>
                <w:color w:val="auto"/>
                <w:sz w:val="18"/>
                <w:szCs w:val="18"/>
                <w:highlight w:val="none"/>
              </w:rPr>
            </w:pPr>
          </w:p>
        </w:tc>
        <w:tc>
          <w:tcPr>
            <w:tcW w:w="1134" w:type="dxa"/>
            <w:vAlign w:val="center"/>
          </w:tcPr>
          <w:p w14:paraId="5F2E7B71">
            <w:pPr>
              <w:jc w:val="center"/>
              <w:rPr>
                <w:color w:val="auto"/>
                <w:sz w:val="18"/>
                <w:szCs w:val="18"/>
                <w:highlight w:val="none"/>
              </w:rPr>
            </w:pPr>
          </w:p>
        </w:tc>
      </w:tr>
      <w:tr w14:paraId="335D5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vAlign w:val="center"/>
          </w:tcPr>
          <w:p w14:paraId="34F2357D">
            <w:pPr>
              <w:jc w:val="center"/>
              <w:rPr>
                <w:color w:val="auto"/>
                <w:sz w:val="18"/>
                <w:szCs w:val="18"/>
                <w:highlight w:val="none"/>
              </w:rPr>
            </w:pPr>
            <w:r>
              <w:rPr>
                <w:color w:val="auto"/>
                <w:sz w:val="18"/>
                <w:szCs w:val="18"/>
                <w:highlight w:val="none"/>
              </w:rPr>
              <w:t>3</w:t>
            </w:r>
          </w:p>
        </w:tc>
        <w:tc>
          <w:tcPr>
            <w:tcW w:w="1701" w:type="dxa"/>
            <w:vAlign w:val="center"/>
          </w:tcPr>
          <w:p w14:paraId="4AFACC22">
            <w:pPr>
              <w:jc w:val="center"/>
              <w:rPr>
                <w:color w:val="auto"/>
                <w:sz w:val="18"/>
                <w:szCs w:val="18"/>
                <w:highlight w:val="none"/>
              </w:rPr>
            </w:pPr>
          </w:p>
        </w:tc>
        <w:tc>
          <w:tcPr>
            <w:tcW w:w="1417" w:type="dxa"/>
            <w:vAlign w:val="center"/>
          </w:tcPr>
          <w:p w14:paraId="12761862">
            <w:pPr>
              <w:jc w:val="center"/>
              <w:rPr>
                <w:color w:val="auto"/>
                <w:sz w:val="18"/>
                <w:szCs w:val="18"/>
                <w:highlight w:val="none"/>
              </w:rPr>
            </w:pPr>
          </w:p>
        </w:tc>
        <w:tc>
          <w:tcPr>
            <w:tcW w:w="851" w:type="dxa"/>
            <w:vAlign w:val="center"/>
          </w:tcPr>
          <w:p w14:paraId="57922DE2">
            <w:pPr>
              <w:jc w:val="center"/>
              <w:rPr>
                <w:color w:val="auto"/>
                <w:sz w:val="18"/>
                <w:szCs w:val="18"/>
                <w:highlight w:val="none"/>
              </w:rPr>
            </w:pPr>
          </w:p>
        </w:tc>
        <w:tc>
          <w:tcPr>
            <w:tcW w:w="992" w:type="dxa"/>
            <w:vAlign w:val="center"/>
          </w:tcPr>
          <w:p w14:paraId="1DF71F7B">
            <w:pPr>
              <w:jc w:val="center"/>
              <w:rPr>
                <w:color w:val="auto"/>
                <w:sz w:val="18"/>
                <w:szCs w:val="18"/>
                <w:highlight w:val="none"/>
              </w:rPr>
            </w:pPr>
          </w:p>
        </w:tc>
        <w:tc>
          <w:tcPr>
            <w:tcW w:w="1134" w:type="dxa"/>
            <w:vAlign w:val="center"/>
          </w:tcPr>
          <w:p w14:paraId="2C7F6623">
            <w:pPr>
              <w:jc w:val="center"/>
              <w:rPr>
                <w:color w:val="auto"/>
                <w:sz w:val="18"/>
                <w:szCs w:val="18"/>
                <w:highlight w:val="none"/>
              </w:rPr>
            </w:pPr>
          </w:p>
        </w:tc>
        <w:tc>
          <w:tcPr>
            <w:tcW w:w="1276" w:type="dxa"/>
            <w:vAlign w:val="center"/>
          </w:tcPr>
          <w:p w14:paraId="2E7E05E3">
            <w:pPr>
              <w:jc w:val="center"/>
              <w:rPr>
                <w:color w:val="auto"/>
                <w:sz w:val="18"/>
                <w:szCs w:val="18"/>
                <w:highlight w:val="none"/>
              </w:rPr>
            </w:pPr>
          </w:p>
        </w:tc>
        <w:tc>
          <w:tcPr>
            <w:tcW w:w="1134" w:type="dxa"/>
            <w:vAlign w:val="center"/>
          </w:tcPr>
          <w:p w14:paraId="33B49FA5">
            <w:pPr>
              <w:jc w:val="center"/>
              <w:rPr>
                <w:color w:val="auto"/>
                <w:sz w:val="18"/>
                <w:szCs w:val="18"/>
                <w:highlight w:val="none"/>
              </w:rPr>
            </w:pPr>
          </w:p>
        </w:tc>
      </w:tr>
      <w:tr w14:paraId="74F30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vAlign w:val="center"/>
          </w:tcPr>
          <w:p w14:paraId="1DD453F8">
            <w:pPr>
              <w:jc w:val="center"/>
              <w:rPr>
                <w:color w:val="auto"/>
                <w:sz w:val="18"/>
                <w:szCs w:val="18"/>
                <w:highlight w:val="none"/>
              </w:rPr>
            </w:pPr>
            <w:r>
              <w:rPr>
                <w:color w:val="auto"/>
                <w:sz w:val="18"/>
                <w:szCs w:val="18"/>
                <w:highlight w:val="none"/>
              </w:rPr>
              <w:t>…</w:t>
            </w:r>
          </w:p>
        </w:tc>
        <w:tc>
          <w:tcPr>
            <w:tcW w:w="1701" w:type="dxa"/>
            <w:vAlign w:val="center"/>
          </w:tcPr>
          <w:p w14:paraId="75A61DBE">
            <w:pPr>
              <w:jc w:val="center"/>
              <w:rPr>
                <w:color w:val="auto"/>
                <w:sz w:val="18"/>
                <w:szCs w:val="18"/>
                <w:highlight w:val="none"/>
              </w:rPr>
            </w:pPr>
          </w:p>
        </w:tc>
        <w:tc>
          <w:tcPr>
            <w:tcW w:w="1417" w:type="dxa"/>
            <w:vAlign w:val="center"/>
          </w:tcPr>
          <w:p w14:paraId="00CFFB43">
            <w:pPr>
              <w:jc w:val="center"/>
              <w:rPr>
                <w:color w:val="auto"/>
                <w:sz w:val="18"/>
                <w:szCs w:val="18"/>
                <w:highlight w:val="none"/>
              </w:rPr>
            </w:pPr>
          </w:p>
        </w:tc>
        <w:tc>
          <w:tcPr>
            <w:tcW w:w="851" w:type="dxa"/>
            <w:vAlign w:val="center"/>
          </w:tcPr>
          <w:p w14:paraId="45E6E8EB">
            <w:pPr>
              <w:jc w:val="center"/>
              <w:rPr>
                <w:color w:val="auto"/>
                <w:sz w:val="18"/>
                <w:szCs w:val="18"/>
                <w:highlight w:val="none"/>
              </w:rPr>
            </w:pPr>
          </w:p>
        </w:tc>
        <w:tc>
          <w:tcPr>
            <w:tcW w:w="992" w:type="dxa"/>
            <w:vAlign w:val="center"/>
          </w:tcPr>
          <w:p w14:paraId="46826653">
            <w:pPr>
              <w:jc w:val="center"/>
              <w:rPr>
                <w:color w:val="auto"/>
                <w:sz w:val="18"/>
                <w:szCs w:val="18"/>
                <w:highlight w:val="none"/>
              </w:rPr>
            </w:pPr>
          </w:p>
        </w:tc>
        <w:tc>
          <w:tcPr>
            <w:tcW w:w="1134" w:type="dxa"/>
            <w:vAlign w:val="center"/>
          </w:tcPr>
          <w:p w14:paraId="139C5320">
            <w:pPr>
              <w:jc w:val="center"/>
              <w:rPr>
                <w:color w:val="auto"/>
                <w:sz w:val="18"/>
                <w:szCs w:val="18"/>
                <w:highlight w:val="none"/>
              </w:rPr>
            </w:pPr>
          </w:p>
        </w:tc>
        <w:tc>
          <w:tcPr>
            <w:tcW w:w="1276" w:type="dxa"/>
            <w:vAlign w:val="center"/>
          </w:tcPr>
          <w:p w14:paraId="6F2DA559">
            <w:pPr>
              <w:jc w:val="center"/>
              <w:rPr>
                <w:color w:val="auto"/>
                <w:sz w:val="18"/>
                <w:szCs w:val="18"/>
                <w:highlight w:val="none"/>
              </w:rPr>
            </w:pPr>
          </w:p>
        </w:tc>
        <w:tc>
          <w:tcPr>
            <w:tcW w:w="1134" w:type="dxa"/>
            <w:vAlign w:val="center"/>
          </w:tcPr>
          <w:p w14:paraId="452D4669">
            <w:pPr>
              <w:jc w:val="center"/>
              <w:rPr>
                <w:color w:val="auto"/>
                <w:sz w:val="18"/>
                <w:szCs w:val="18"/>
                <w:highlight w:val="none"/>
              </w:rPr>
            </w:pPr>
          </w:p>
        </w:tc>
      </w:tr>
    </w:tbl>
    <w:p w14:paraId="2A48A815">
      <w:pPr>
        <w:pStyle w:val="27"/>
        <w:tabs>
          <w:tab w:val="left" w:pos="2127"/>
        </w:tabs>
        <w:spacing w:line="3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备注：</w:t>
      </w:r>
      <w:bookmarkStart w:id="1127" w:name="OLE_LINK26"/>
      <w:r>
        <w:rPr>
          <w:rFonts w:ascii="Times New Roman" w:hAnsi="Times New Roman" w:cs="Times New Roman"/>
          <w:color w:val="auto"/>
          <w:sz w:val="18"/>
          <w:szCs w:val="18"/>
          <w:highlight w:val="none"/>
        </w:rPr>
        <w:t>附以上类似工程的中标（成交）通知书、工程合同协议书</w:t>
      </w:r>
      <w:r>
        <w:rPr>
          <w:rFonts w:hint="eastAsia" w:ascii="Times New Roman" w:hAnsi="Times New Roman" w:cs="Times New Roman"/>
          <w:color w:val="auto"/>
          <w:sz w:val="18"/>
          <w:szCs w:val="18"/>
          <w:highlight w:val="none"/>
          <w:lang w:val="en-US" w:eastAsia="zh-CN"/>
        </w:rPr>
        <w:t>或</w:t>
      </w:r>
      <w:r>
        <w:rPr>
          <w:rFonts w:ascii="Times New Roman" w:hAnsi="Times New Roman" w:cs="Times New Roman"/>
          <w:color w:val="auto"/>
          <w:sz w:val="18"/>
          <w:szCs w:val="18"/>
          <w:highlight w:val="none"/>
        </w:rPr>
        <w:t>工程竣工验收证明材料，</w:t>
      </w:r>
      <w:bookmarkStart w:id="1128" w:name="OLE_LINK22"/>
      <w:r>
        <w:rPr>
          <w:rFonts w:ascii="Times New Roman" w:hAnsi="Times New Roman" w:cs="Times New Roman"/>
          <w:color w:val="auto"/>
          <w:sz w:val="18"/>
          <w:szCs w:val="18"/>
          <w:highlight w:val="none"/>
        </w:rPr>
        <w:t>以及供应商认为需要增加的其他证明材料</w:t>
      </w:r>
      <w:r>
        <w:rPr>
          <w:rFonts w:hint="eastAsia"/>
          <w:color w:val="auto"/>
          <w:sz w:val="18"/>
          <w:szCs w:val="18"/>
          <w:highlight w:val="none"/>
        </w:rPr>
        <w:t>扫描件</w:t>
      </w:r>
      <w:r>
        <w:rPr>
          <w:rFonts w:ascii="Times New Roman" w:hAnsi="Times New Roman" w:cs="Times New Roman"/>
          <w:color w:val="auto"/>
          <w:sz w:val="18"/>
          <w:szCs w:val="18"/>
          <w:highlight w:val="none"/>
        </w:rPr>
        <w:t>，以上</w:t>
      </w:r>
      <w:r>
        <w:rPr>
          <w:rFonts w:hint="eastAsia"/>
          <w:color w:val="auto"/>
          <w:sz w:val="18"/>
          <w:szCs w:val="18"/>
          <w:highlight w:val="none"/>
        </w:rPr>
        <w:t>扫描件</w:t>
      </w:r>
      <w:r>
        <w:rPr>
          <w:rFonts w:ascii="Times New Roman" w:hAnsi="Times New Roman" w:cs="Times New Roman"/>
          <w:color w:val="auto"/>
          <w:sz w:val="18"/>
          <w:szCs w:val="18"/>
          <w:highlight w:val="none"/>
        </w:rPr>
        <w:t>均须加盖</w:t>
      </w:r>
      <w:bookmarkEnd w:id="1128"/>
      <w:r>
        <w:rPr>
          <w:color w:val="auto"/>
          <w:sz w:val="18"/>
          <w:szCs w:val="18"/>
          <w:highlight w:val="none"/>
        </w:rPr>
        <w:t>供应商</w:t>
      </w:r>
      <w:r>
        <w:rPr>
          <w:rFonts w:hint="eastAsia"/>
          <w:color w:val="auto"/>
          <w:sz w:val="18"/>
          <w:szCs w:val="18"/>
          <w:highlight w:val="none"/>
        </w:rPr>
        <w:t>电子签章</w:t>
      </w:r>
      <w:r>
        <w:rPr>
          <w:rFonts w:ascii="Times New Roman" w:hAnsi="Times New Roman" w:cs="Times New Roman"/>
          <w:color w:val="auto"/>
          <w:sz w:val="18"/>
          <w:szCs w:val="18"/>
          <w:highlight w:val="none"/>
        </w:rPr>
        <w:t>。</w:t>
      </w:r>
      <w:bookmarkEnd w:id="1127"/>
    </w:p>
    <w:p w14:paraId="4064F662">
      <w:pPr>
        <w:spacing w:line="360" w:lineRule="exact"/>
        <w:rPr>
          <w:color w:val="auto"/>
          <w:kern w:val="0"/>
          <w:sz w:val="18"/>
          <w:szCs w:val="18"/>
          <w:highlight w:val="none"/>
        </w:rPr>
      </w:pPr>
      <w:r>
        <w:rPr>
          <w:color w:val="auto"/>
          <w:sz w:val="18"/>
          <w:szCs w:val="18"/>
          <w:highlight w:val="none"/>
        </w:rPr>
        <w:br w:type="page"/>
      </w:r>
      <w:r>
        <w:rPr>
          <w:rFonts w:hint="eastAsia"/>
          <w:color w:val="auto"/>
          <w:sz w:val="18"/>
          <w:szCs w:val="18"/>
          <w:highlight w:val="none"/>
        </w:rPr>
        <w:t>4</w:t>
      </w:r>
      <w:r>
        <w:rPr>
          <w:color w:val="auto"/>
          <w:sz w:val="18"/>
          <w:szCs w:val="18"/>
          <w:highlight w:val="none"/>
        </w:rPr>
        <w:t>．</w:t>
      </w:r>
      <w:bookmarkStart w:id="1129" w:name="_Hlk160731747"/>
      <w:r>
        <w:rPr>
          <w:rFonts w:hint="eastAsia"/>
          <w:color w:val="auto"/>
          <w:sz w:val="18"/>
          <w:szCs w:val="18"/>
          <w:highlight w:val="none"/>
        </w:rPr>
        <w:t>符合政府采购政策的证明材料。</w:t>
      </w:r>
      <w:bookmarkEnd w:id="1129"/>
    </w:p>
    <w:p w14:paraId="7C4CF5C0">
      <w:pPr>
        <w:jc w:val="center"/>
        <w:rPr>
          <w:b/>
          <w:color w:val="auto"/>
          <w:sz w:val="18"/>
          <w:szCs w:val="18"/>
          <w:highlight w:val="none"/>
        </w:rPr>
      </w:pPr>
    </w:p>
    <w:p w14:paraId="2F7CB306">
      <w:pPr>
        <w:rPr>
          <w:color w:val="auto"/>
          <w:sz w:val="18"/>
          <w:szCs w:val="18"/>
          <w:highlight w:val="none"/>
        </w:rPr>
      </w:pPr>
    </w:p>
    <w:p w14:paraId="5DECB2C9">
      <w:pPr>
        <w:rPr>
          <w:color w:val="auto"/>
          <w:sz w:val="18"/>
          <w:szCs w:val="18"/>
          <w:highlight w:val="none"/>
        </w:rPr>
      </w:pPr>
      <w:r>
        <w:rPr>
          <w:rFonts w:hint="eastAsia"/>
          <w:color w:val="auto"/>
          <w:sz w:val="18"/>
          <w:szCs w:val="18"/>
          <w:highlight w:val="none"/>
        </w:rPr>
        <w:t>4</w:t>
      </w:r>
      <w:r>
        <w:rPr>
          <w:color w:val="auto"/>
          <w:sz w:val="18"/>
          <w:szCs w:val="18"/>
          <w:highlight w:val="none"/>
        </w:rPr>
        <w:t>.</w:t>
      </w:r>
      <w:r>
        <w:rPr>
          <w:rFonts w:hint="eastAsia"/>
          <w:color w:val="auto"/>
          <w:sz w:val="18"/>
          <w:szCs w:val="18"/>
          <w:highlight w:val="none"/>
        </w:rPr>
        <w:t>1</w:t>
      </w:r>
      <w:r>
        <w:rPr>
          <w:rFonts w:hint="eastAsia"/>
          <w:bCs/>
          <w:color w:val="auto"/>
          <w:sz w:val="18"/>
          <w:szCs w:val="18"/>
          <w:highlight w:val="none"/>
        </w:rPr>
        <w:t>中小企业声明函</w:t>
      </w:r>
    </w:p>
    <w:p w14:paraId="5C93BF68">
      <w:pPr>
        <w:rPr>
          <w:color w:val="auto"/>
          <w:sz w:val="18"/>
          <w:szCs w:val="18"/>
          <w:highlight w:val="none"/>
        </w:rPr>
      </w:pPr>
    </w:p>
    <w:p w14:paraId="2B22D252">
      <w:pPr>
        <w:rPr>
          <w:color w:val="auto"/>
          <w:sz w:val="18"/>
          <w:szCs w:val="18"/>
          <w:highlight w:val="none"/>
        </w:rPr>
      </w:pPr>
    </w:p>
    <w:p w14:paraId="71EB6FF3">
      <w:pPr>
        <w:spacing w:line="360" w:lineRule="auto"/>
        <w:jc w:val="center"/>
        <w:rPr>
          <w:b/>
          <w:color w:val="auto"/>
          <w:sz w:val="18"/>
          <w:szCs w:val="18"/>
          <w:highlight w:val="none"/>
        </w:rPr>
      </w:pPr>
      <w:bookmarkStart w:id="1130" w:name="_Hlk60822128"/>
    </w:p>
    <w:p w14:paraId="7032A726">
      <w:pPr>
        <w:spacing w:line="360" w:lineRule="auto"/>
        <w:ind w:firstLine="420"/>
        <w:jc w:val="center"/>
        <w:rPr>
          <w:b/>
          <w:color w:val="auto"/>
          <w:sz w:val="18"/>
          <w:szCs w:val="18"/>
          <w:highlight w:val="none"/>
        </w:rPr>
      </w:pPr>
      <w:bookmarkStart w:id="1131" w:name="_Hlk133424993"/>
      <w:r>
        <w:rPr>
          <w:rFonts w:hint="eastAsia"/>
          <w:b/>
          <w:color w:val="auto"/>
          <w:sz w:val="18"/>
          <w:szCs w:val="18"/>
          <w:highlight w:val="none"/>
        </w:rPr>
        <w:t>中小企业声明函</w:t>
      </w:r>
      <w:bookmarkEnd w:id="1131"/>
      <w:r>
        <w:rPr>
          <w:rFonts w:hint="eastAsia"/>
          <w:b/>
          <w:color w:val="auto"/>
          <w:sz w:val="18"/>
          <w:szCs w:val="18"/>
          <w:highlight w:val="none"/>
        </w:rPr>
        <w:t>（工程）</w:t>
      </w:r>
    </w:p>
    <w:p w14:paraId="62434FF8">
      <w:pPr>
        <w:spacing w:line="360" w:lineRule="auto"/>
        <w:ind w:firstLine="420"/>
        <w:rPr>
          <w:bCs/>
          <w:color w:val="auto"/>
          <w:sz w:val="18"/>
          <w:szCs w:val="18"/>
          <w:highlight w:val="none"/>
        </w:rPr>
      </w:pPr>
      <w:r>
        <w:rPr>
          <w:rFonts w:hint="eastAsia"/>
          <w:bCs/>
          <w:color w:val="auto"/>
          <w:sz w:val="18"/>
          <w:szCs w:val="18"/>
          <w:highlight w:val="none"/>
        </w:rPr>
        <w:t>本公司（联合体）郑重声明，根据《政府采购促进中小企业发展管理办法》（财库﹝2020﹞46 号）的规定，本公司（联合体）参加</w:t>
      </w:r>
      <w:r>
        <w:rPr>
          <w:rFonts w:hint="eastAsia"/>
          <w:bCs/>
          <w:color w:val="auto"/>
          <w:sz w:val="18"/>
          <w:szCs w:val="18"/>
          <w:highlight w:val="none"/>
          <w:u w:val="single"/>
        </w:rPr>
        <w:t>（单位名称）</w:t>
      </w:r>
      <w:r>
        <w:rPr>
          <w:rFonts w:hint="eastAsia"/>
          <w:bCs/>
          <w:color w:val="auto"/>
          <w:sz w:val="18"/>
          <w:szCs w:val="18"/>
          <w:highlight w:val="none"/>
        </w:rPr>
        <w:t>的</w:t>
      </w:r>
      <w:r>
        <w:rPr>
          <w:rFonts w:hint="eastAsia"/>
          <w:bCs/>
          <w:color w:val="auto"/>
          <w:sz w:val="18"/>
          <w:szCs w:val="18"/>
          <w:highlight w:val="none"/>
          <w:u w:val="single"/>
        </w:rPr>
        <w:t>（项目名称）</w:t>
      </w:r>
      <w:r>
        <w:rPr>
          <w:rFonts w:hint="eastAsia"/>
          <w:bCs/>
          <w:color w:val="auto"/>
          <w:sz w:val="18"/>
          <w:szCs w:val="18"/>
          <w:highlight w:val="none"/>
        </w:rPr>
        <w:t>采购活动，服务全部由符合政策要求的中小企业承接。相关企业（含联合体中的中小企业、签订分包意向协议的中小企业） 的具体情况如下：</w:t>
      </w:r>
    </w:p>
    <w:p w14:paraId="4B5FBDFA">
      <w:pPr>
        <w:spacing w:line="360" w:lineRule="auto"/>
        <w:ind w:firstLine="420"/>
        <w:rPr>
          <w:bCs/>
          <w:color w:val="auto"/>
          <w:sz w:val="18"/>
          <w:szCs w:val="18"/>
          <w:highlight w:val="none"/>
        </w:rPr>
      </w:pPr>
      <w:r>
        <w:rPr>
          <w:bCs/>
          <w:color w:val="auto"/>
          <w:sz w:val="18"/>
          <w:szCs w:val="18"/>
          <w:highlight w:val="none"/>
        </w:rPr>
        <w:t>1.</w:t>
      </w:r>
      <w:r>
        <w:rPr>
          <w:rFonts w:hint="eastAsia"/>
          <w:bCs/>
          <w:color w:val="auto"/>
          <w:sz w:val="18"/>
          <w:szCs w:val="18"/>
          <w:highlight w:val="none"/>
          <w:u w:val="single"/>
        </w:rPr>
        <w:t>（标的名称）</w:t>
      </w:r>
      <w:r>
        <w:rPr>
          <w:rFonts w:hint="eastAsia"/>
          <w:bCs/>
          <w:color w:val="auto"/>
          <w:sz w:val="18"/>
          <w:szCs w:val="18"/>
          <w:highlight w:val="none"/>
        </w:rPr>
        <w:t>，属于</w:t>
      </w:r>
      <w:r>
        <w:rPr>
          <w:rFonts w:hint="eastAsia"/>
          <w:bCs/>
          <w:color w:val="auto"/>
          <w:sz w:val="18"/>
          <w:szCs w:val="18"/>
          <w:highlight w:val="none"/>
          <w:u w:val="single"/>
        </w:rPr>
        <w:t>（采购文件中明确的所属行业）</w:t>
      </w:r>
      <w:r>
        <w:rPr>
          <w:rFonts w:hint="eastAsia"/>
          <w:bCs/>
          <w:color w:val="auto"/>
          <w:sz w:val="18"/>
          <w:szCs w:val="18"/>
          <w:highlight w:val="none"/>
        </w:rPr>
        <w:t>行业；承建（承接）企业为</w:t>
      </w:r>
      <w:r>
        <w:rPr>
          <w:rFonts w:hint="eastAsia"/>
          <w:bCs/>
          <w:color w:val="auto"/>
          <w:sz w:val="18"/>
          <w:szCs w:val="18"/>
          <w:highlight w:val="none"/>
          <w:u w:val="single"/>
        </w:rPr>
        <w:t>（企业名称）</w:t>
      </w:r>
      <w:r>
        <w:rPr>
          <w:rFonts w:hint="eastAsia"/>
          <w:bCs/>
          <w:color w:val="auto"/>
          <w:sz w:val="18"/>
          <w:szCs w:val="18"/>
          <w:highlight w:val="none"/>
        </w:rPr>
        <w:t>，从业人员</w:t>
      </w:r>
      <w:r>
        <w:rPr>
          <w:bCs/>
          <w:color w:val="auto"/>
          <w:sz w:val="18"/>
          <w:szCs w:val="18"/>
          <w:highlight w:val="none"/>
          <w:u w:val="single"/>
        </w:rPr>
        <w:t xml:space="preserve">    </w:t>
      </w:r>
      <w:r>
        <w:rPr>
          <w:rFonts w:hint="eastAsia"/>
          <w:bCs/>
          <w:color w:val="auto"/>
          <w:sz w:val="18"/>
          <w:szCs w:val="18"/>
          <w:highlight w:val="none"/>
        </w:rPr>
        <w:t>人，营业收入为</w:t>
      </w:r>
      <w:r>
        <w:rPr>
          <w:rFonts w:hint="eastAsia"/>
          <w:bCs/>
          <w:color w:val="auto"/>
          <w:sz w:val="18"/>
          <w:szCs w:val="18"/>
          <w:highlight w:val="none"/>
          <w:u w:val="single"/>
        </w:rPr>
        <w:t xml:space="preserve"> </w:t>
      </w:r>
      <w:r>
        <w:rPr>
          <w:bCs/>
          <w:color w:val="auto"/>
          <w:sz w:val="18"/>
          <w:szCs w:val="18"/>
          <w:highlight w:val="none"/>
          <w:u w:val="single"/>
        </w:rPr>
        <w:t xml:space="preserve">  </w:t>
      </w:r>
      <w:r>
        <w:rPr>
          <w:rFonts w:hint="eastAsia"/>
          <w:bCs/>
          <w:color w:val="auto"/>
          <w:sz w:val="18"/>
          <w:szCs w:val="18"/>
          <w:highlight w:val="none"/>
          <w:u w:val="single"/>
        </w:rPr>
        <w:t xml:space="preserve"> </w:t>
      </w:r>
      <w:r>
        <w:rPr>
          <w:rFonts w:hint="eastAsia"/>
          <w:bCs/>
          <w:color w:val="auto"/>
          <w:sz w:val="18"/>
          <w:szCs w:val="18"/>
          <w:highlight w:val="none"/>
        </w:rPr>
        <w:t>万元，资产总额为</w:t>
      </w:r>
      <w:r>
        <w:rPr>
          <w:rFonts w:hint="eastAsia"/>
          <w:bCs/>
          <w:color w:val="auto"/>
          <w:sz w:val="18"/>
          <w:szCs w:val="18"/>
          <w:highlight w:val="none"/>
          <w:u w:val="single"/>
        </w:rPr>
        <w:t xml:space="preserve">    </w:t>
      </w:r>
      <w:r>
        <w:rPr>
          <w:rFonts w:hint="eastAsia"/>
          <w:bCs/>
          <w:color w:val="auto"/>
          <w:sz w:val="18"/>
          <w:szCs w:val="18"/>
          <w:highlight w:val="none"/>
        </w:rPr>
        <w:t>万元，属于</w:t>
      </w:r>
      <w:r>
        <w:rPr>
          <w:rFonts w:hint="eastAsia"/>
          <w:bCs/>
          <w:color w:val="auto"/>
          <w:sz w:val="18"/>
          <w:szCs w:val="18"/>
          <w:highlight w:val="none"/>
          <w:u w:val="single"/>
        </w:rPr>
        <w:t>（中型企业、小型企业、微型企业）</w:t>
      </w:r>
      <w:r>
        <w:rPr>
          <w:rFonts w:hint="eastAsia"/>
          <w:bCs/>
          <w:color w:val="auto"/>
          <w:sz w:val="18"/>
          <w:szCs w:val="18"/>
          <w:highlight w:val="none"/>
        </w:rPr>
        <w:t>；</w:t>
      </w:r>
    </w:p>
    <w:p w14:paraId="3307F457">
      <w:pPr>
        <w:spacing w:line="360" w:lineRule="auto"/>
        <w:ind w:firstLine="420"/>
        <w:rPr>
          <w:bCs/>
          <w:color w:val="auto"/>
          <w:sz w:val="18"/>
          <w:szCs w:val="18"/>
          <w:highlight w:val="none"/>
        </w:rPr>
      </w:pPr>
      <w:r>
        <w:rPr>
          <w:bCs/>
          <w:color w:val="auto"/>
          <w:sz w:val="18"/>
          <w:szCs w:val="18"/>
          <w:highlight w:val="none"/>
        </w:rPr>
        <w:t>2.</w:t>
      </w:r>
      <w:r>
        <w:rPr>
          <w:rFonts w:hint="eastAsia"/>
          <w:bCs/>
          <w:color w:val="auto"/>
          <w:sz w:val="18"/>
          <w:szCs w:val="18"/>
          <w:highlight w:val="none"/>
          <w:u w:val="single"/>
        </w:rPr>
        <w:t>（标的名称）</w:t>
      </w:r>
      <w:r>
        <w:rPr>
          <w:rFonts w:hint="eastAsia"/>
          <w:bCs/>
          <w:color w:val="auto"/>
          <w:sz w:val="18"/>
          <w:szCs w:val="18"/>
          <w:highlight w:val="none"/>
        </w:rPr>
        <w:t>，属于</w:t>
      </w:r>
      <w:r>
        <w:rPr>
          <w:rFonts w:hint="eastAsia"/>
          <w:bCs/>
          <w:color w:val="auto"/>
          <w:sz w:val="18"/>
          <w:szCs w:val="18"/>
          <w:highlight w:val="none"/>
          <w:u w:val="single"/>
        </w:rPr>
        <w:t>（采购文件中明确的所属行业）</w:t>
      </w:r>
      <w:r>
        <w:rPr>
          <w:rFonts w:hint="eastAsia"/>
          <w:bCs/>
          <w:color w:val="auto"/>
          <w:sz w:val="18"/>
          <w:szCs w:val="18"/>
          <w:highlight w:val="none"/>
        </w:rPr>
        <w:t>行业；承建（承接）企业为</w:t>
      </w:r>
      <w:r>
        <w:rPr>
          <w:rFonts w:hint="eastAsia"/>
          <w:bCs/>
          <w:color w:val="auto"/>
          <w:sz w:val="18"/>
          <w:szCs w:val="18"/>
          <w:highlight w:val="none"/>
          <w:u w:val="single"/>
        </w:rPr>
        <w:t>（企业名称）</w:t>
      </w:r>
      <w:r>
        <w:rPr>
          <w:rFonts w:hint="eastAsia"/>
          <w:bCs/>
          <w:color w:val="auto"/>
          <w:sz w:val="18"/>
          <w:szCs w:val="18"/>
          <w:highlight w:val="none"/>
        </w:rPr>
        <w:t>，从业人员</w:t>
      </w:r>
      <w:r>
        <w:rPr>
          <w:rFonts w:hint="eastAsia"/>
          <w:bCs/>
          <w:color w:val="auto"/>
          <w:sz w:val="18"/>
          <w:szCs w:val="18"/>
          <w:highlight w:val="none"/>
          <w:u w:val="single"/>
        </w:rPr>
        <w:t xml:space="preserve">       </w:t>
      </w:r>
      <w:r>
        <w:rPr>
          <w:rFonts w:hint="eastAsia"/>
          <w:bCs/>
          <w:color w:val="auto"/>
          <w:sz w:val="18"/>
          <w:szCs w:val="18"/>
          <w:highlight w:val="none"/>
        </w:rPr>
        <w:t>人，营业收入为</w:t>
      </w:r>
      <w:r>
        <w:rPr>
          <w:rFonts w:hint="eastAsia"/>
          <w:bCs/>
          <w:color w:val="auto"/>
          <w:sz w:val="18"/>
          <w:szCs w:val="18"/>
          <w:highlight w:val="none"/>
          <w:u w:val="single"/>
        </w:rPr>
        <w:t xml:space="preserve">     </w:t>
      </w:r>
      <w:r>
        <w:rPr>
          <w:rFonts w:hint="eastAsia"/>
          <w:bCs/>
          <w:color w:val="auto"/>
          <w:sz w:val="18"/>
          <w:szCs w:val="18"/>
          <w:highlight w:val="none"/>
        </w:rPr>
        <w:t>万元，资产总额为</w:t>
      </w:r>
      <w:r>
        <w:rPr>
          <w:rFonts w:hint="eastAsia"/>
          <w:bCs/>
          <w:color w:val="auto"/>
          <w:sz w:val="18"/>
          <w:szCs w:val="18"/>
          <w:highlight w:val="none"/>
          <w:u w:val="single"/>
        </w:rPr>
        <w:t xml:space="preserve"> </w:t>
      </w:r>
      <w:r>
        <w:rPr>
          <w:bCs/>
          <w:color w:val="auto"/>
          <w:sz w:val="18"/>
          <w:szCs w:val="18"/>
          <w:highlight w:val="none"/>
          <w:u w:val="single"/>
        </w:rPr>
        <w:t xml:space="preserve">     </w:t>
      </w:r>
      <w:r>
        <w:rPr>
          <w:rFonts w:hint="eastAsia"/>
          <w:bCs/>
          <w:color w:val="auto"/>
          <w:sz w:val="18"/>
          <w:szCs w:val="18"/>
          <w:highlight w:val="none"/>
          <w:u w:val="single"/>
        </w:rPr>
        <w:t xml:space="preserve"> </w:t>
      </w:r>
      <w:r>
        <w:rPr>
          <w:rFonts w:hint="eastAsia"/>
          <w:bCs/>
          <w:color w:val="auto"/>
          <w:sz w:val="18"/>
          <w:szCs w:val="18"/>
          <w:highlight w:val="none"/>
        </w:rPr>
        <w:t>万元，属于</w:t>
      </w:r>
      <w:r>
        <w:rPr>
          <w:rFonts w:hint="eastAsia"/>
          <w:bCs/>
          <w:color w:val="auto"/>
          <w:sz w:val="18"/>
          <w:szCs w:val="18"/>
          <w:highlight w:val="none"/>
          <w:u w:val="single"/>
        </w:rPr>
        <w:t>（中型企业、小型企业、微型企业）</w:t>
      </w:r>
      <w:r>
        <w:rPr>
          <w:rFonts w:hint="eastAsia"/>
          <w:bCs/>
          <w:color w:val="auto"/>
          <w:sz w:val="18"/>
          <w:szCs w:val="18"/>
          <w:highlight w:val="none"/>
        </w:rPr>
        <w:t>；</w:t>
      </w:r>
    </w:p>
    <w:p w14:paraId="5335833F">
      <w:pPr>
        <w:spacing w:line="360" w:lineRule="auto"/>
        <w:ind w:firstLine="420"/>
        <w:rPr>
          <w:bCs/>
          <w:color w:val="auto"/>
          <w:sz w:val="18"/>
          <w:szCs w:val="18"/>
          <w:highlight w:val="none"/>
        </w:rPr>
      </w:pPr>
      <w:r>
        <w:rPr>
          <w:rFonts w:hint="eastAsia"/>
          <w:bCs/>
          <w:color w:val="auto"/>
          <w:sz w:val="18"/>
          <w:szCs w:val="18"/>
          <w:highlight w:val="none"/>
        </w:rPr>
        <w:t>……</w:t>
      </w:r>
    </w:p>
    <w:p w14:paraId="46F8F954">
      <w:pPr>
        <w:spacing w:line="360" w:lineRule="auto"/>
        <w:ind w:firstLine="420"/>
        <w:rPr>
          <w:bCs/>
          <w:color w:val="auto"/>
          <w:sz w:val="18"/>
          <w:szCs w:val="18"/>
          <w:highlight w:val="none"/>
        </w:rPr>
      </w:pPr>
      <w:r>
        <w:rPr>
          <w:rFonts w:hint="eastAsia"/>
          <w:bCs/>
          <w:color w:val="auto"/>
          <w:sz w:val="18"/>
          <w:szCs w:val="18"/>
          <w:highlight w:val="none"/>
        </w:rPr>
        <w:t>以上企业，不属于大企业的分支机构，不存在控股股东为大企业的情形，也不存在与大企业的负责人为同一人的情形。</w:t>
      </w:r>
    </w:p>
    <w:p w14:paraId="5881E581">
      <w:pPr>
        <w:spacing w:line="360" w:lineRule="auto"/>
        <w:ind w:firstLine="420"/>
        <w:rPr>
          <w:bCs/>
          <w:color w:val="auto"/>
          <w:sz w:val="18"/>
          <w:szCs w:val="18"/>
          <w:highlight w:val="none"/>
        </w:rPr>
      </w:pPr>
      <w:r>
        <w:rPr>
          <w:rFonts w:hint="eastAsia"/>
          <w:bCs/>
          <w:color w:val="auto"/>
          <w:sz w:val="18"/>
          <w:szCs w:val="18"/>
          <w:highlight w:val="none"/>
        </w:rPr>
        <w:t>本企业对上述声明内容的真实性负责。如有虚假，将依法承担相应责任。</w:t>
      </w:r>
    </w:p>
    <w:p w14:paraId="0A4E657A">
      <w:pPr>
        <w:spacing w:line="360" w:lineRule="auto"/>
        <w:ind w:firstLine="2700" w:firstLineChars="1500"/>
        <w:rPr>
          <w:bCs/>
          <w:color w:val="auto"/>
          <w:sz w:val="18"/>
          <w:szCs w:val="18"/>
          <w:highlight w:val="none"/>
        </w:rPr>
      </w:pPr>
      <w:r>
        <w:rPr>
          <w:rFonts w:hint="eastAsia"/>
          <w:bCs/>
          <w:color w:val="auto"/>
          <w:sz w:val="18"/>
          <w:szCs w:val="18"/>
          <w:highlight w:val="none"/>
        </w:rPr>
        <w:t>企业名称（</w:t>
      </w:r>
      <w:bookmarkStart w:id="1132" w:name="_Hlk89191194"/>
      <w:r>
        <w:rPr>
          <w:rFonts w:hint="eastAsia"/>
          <w:color w:val="auto"/>
          <w:sz w:val="18"/>
          <w:szCs w:val="18"/>
          <w:highlight w:val="none"/>
        </w:rPr>
        <w:t>电子签章</w:t>
      </w:r>
      <w:bookmarkEnd w:id="1132"/>
      <w:r>
        <w:rPr>
          <w:rFonts w:hint="eastAsia"/>
          <w:bCs/>
          <w:color w:val="auto"/>
          <w:sz w:val="18"/>
          <w:szCs w:val="18"/>
          <w:highlight w:val="none"/>
        </w:rPr>
        <w:t>）：日期：</w:t>
      </w:r>
    </w:p>
    <w:bookmarkEnd w:id="1130"/>
    <w:p w14:paraId="7C97A41A">
      <w:pPr>
        <w:spacing w:line="360" w:lineRule="auto"/>
        <w:jc w:val="left"/>
        <w:rPr>
          <w:bCs/>
          <w:color w:val="auto"/>
          <w:sz w:val="18"/>
          <w:szCs w:val="18"/>
          <w:highlight w:val="none"/>
        </w:rPr>
      </w:pPr>
      <w:bookmarkStart w:id="1133" w:name="_Hlk65852026"/>
      <w:r>
        <w:rPr>
          <w:rFonts w:hint="eastAsia"/>
          <w:bCs/>
          <w:color w:val="auto"/>
          <w:sz w:val="18"/>
          <w:szCs w:val="18"/>
          <w:highlight w:val="none"/>
        </w:rPr>
        <w:t>注：</w:t>
      </w:r>
      <w:bookmarkEnd w:id="1133"/>
      <w:r>
        <w:rPr>
          <w:rFonts w:hint="eastAsia"/>
          <w:bCs/>
          <w:color w:val="auto"/>
          <w:sz w:val="18"/>
          <w:szCs w:val="18"/>
          <w:highlight w:val="none"/>
        </w:rPr>
        <w:t>（1）标的名称按照第二章采购需求中的名称填写，</w:t>
      </w:r>
      <w:r>
        <w:rPr>
          <w:color w:val="auto"/>
          <w:sz w:val="18"/>
          <w:szCs w:val="18"/>
          <w:highlight w:val="none"/>
        </w:rPr>
        <w:t>所属行业标明“/”的</w:t>
      </w:r>
      <w:r>
        <w:rPr>
          <w:rFonts w:hint="eastAsia"/>
          <w:bCs/>
          <w:color w:val="auto"/>
          <w:sz w:val="18"/>
          <w:szCs w:val="18"/>
          <w:highlight w:val="none"/>
        </w:rPr>
        <w:t>，无需在上表填写。</w:t>
      </w:r>
    </w:p>
    <w:p w14:paraId="607F6EC8">
      <w:pPr>
        <w:spacing w:line="360" w:lineRule="auto"/>
        <w:jc w:val="left"/>
        <w:rPr>
          <w:bCs/>
          <w:color w:val="auto"/>
          <w:sz w:val="18"/>
          <w:szCs w:val="18"/>
          <w:highlight w:val="none"/>
        </w:rPr>
      </w:pPr>
      <w:r>
        <w:rPr>
          <w:rFonts w:hint="eastAsia"/>
          <w:bCs/>
          <w:color w:val="auto"/>
          <w:sz w:val="18"/>
          <w:szCs w:val="18"/>
          <w:highlight w:val="none"/>
        </w:rPr>
        <w:t>（</w:t>
      </w:r>
      <w:r>
        <w:rPr>
          <w:bCs/>
          <w:color w:val="auto"/>
          <w:sz w:val="18"/>
          <w:szCs w:val="18"/>
          <w:highlight w:val="none"/>
        </w:rPr>
        <w:t>2</w:t>
      </w:r>
      <w:r>
        <w:rPr>
          <w:rFonts w:hint="eastAsia"/>
          <w:bCs/>
          <w:color w:val="auto"/>
          <w:sz w:val="18"/>
          <w:szCs w:val="18"/>
          <w:highlight w:val="none"/>
        </w:rPr>
        <w:t>）如供应商为联合体或分包的，声明函中“项目名称”应填写联合体中小微企业承担的具体内容或者小微企业具体分包内容。</w:t>
      </w:r>
    </w:p>
    <w:p w14:paraId="13C9D9E2">
      <w:pPr>
        <w:spacing w:line="360" w:lineRule="auto"/>
        <w:jc w:val="left"/>
        <w:rPr>
          <w:bCs/>
          <w:color w:val="auto"/>
          <w:sz w:val="18"/>
          <w:szCs w:val="18"/>
          <w:highlight w:val="none"/>
        </w:rPr>
      </w:pPr>
      <w:r>
        <w:rPr>
          <w:rFonts w:hint="eastAsia"/>
          <w:bCs/>
          <w:color w:val="auto"/>
          <w:sz w:val="18"/>
          <w:szCs w:val="18"/>
          <w:highlight w:val="none"/>
        </w:rPr>
        <w:t>（</w:t>
      </w:r>
      <w:r>
        <w:rPr>
          <w:bCs/>
          <w:color w:val="auto"/>
          <w:sz w:val="18"/>
          <w:szCs w:val="18"/>
          <w:highlight w:val="none"/>
        </w:rPr>
        <w:t>3</w:t>
      </w:r>
      <w:r>
        <w:rPr>
          <w:rFonts w:hint="eastAsia"/>
          <w:bCs/>
          <w:color w:val="auto"/>
          <w:sz w:val="18"/>
          <w:szCs w:val="18"/>
          <w:highlight w:val="none"/>
        </w:rPr>
        <w:t>）从业人员、营业收入、资产总额填报上一年度数据，无上一年度数据的新成立企业参照国务院批准的中小企业划分标准，根据企业自身情况如实判断。</w:t>
      </w:r>
    </w:p>
    <w:p w14:paraId="41B863CE">
      <w:pPr>
        <w:spacing w:line="360" w:lineRule="auto"/>
        <w:jc w:val="left"/>
        <w:rPr>
          <w:bCs/>
          <w:color w:val="auto"/>
          <w:sz w:val="18"/>
          <w:szCs w:val="18"/>
          <w:highlight w:val="none"/>
        </w:rPr>
      </w:pPr>
      <w:r>
        <w:rPr>
          <w:rFonts w:hint="eastAsia"/>
          <w:bCs/>
          <w:color w:val="auto"/>
          <w:sz w:val="18"/>
          <w:szCs w:val="18"/>
          <w:highlight w:val="none"/>
        </w:rPr>
        <w:t>（</w:t>
      </w:r>
      <w:r>
        <w:rPr>
          <w:bCs/>
          <w:color w:val="auto"/>
          <w:sz w:val="18"/>
          <w:szCs w:val="18"/>
          <w:highlight w:val="none"/>
        </w:rPr>
        <w:t>4</w:t>
      </w:r>
      <w:r>
        <w:rPr>
          <w:rFonts w:hint="eastAsia"/>
          <w:bCs/>
          <w:color w:val="auto"/>
          <w:sz w:val="18"/>
          <w:szCs w:val="18"/>
          <w:highlight w:val="none"/>
        </w:rPr>
        <w:t>）根据工业和信息化部对“从业人员”定义的答复，《民法典》、《公司法》等法律规定，分公司不具有法人资格，其民事责任由总公司承担。企业划型时，应将分公司的从业人员、营业收入、资产总额等指标数据纳入合并计算。</w:t>
      </w:r>
    </w:p>
    <w:p w14:paraId="59D9B239">
      <w:pPr>
        <w:spacing w:line="360" w:lineRule="auto"/>
        <w:jc w:val="left"/>
        <w:rPr>
          <w:bCs/>
          <w:color w:val="auto"/>
          <w:sz w:val="18"/>
          <w:szCs w:val="18"/>
          <w:highlight w:val="none"/>
        </w:rPr>
      </w:pPr>
      <w:r>
        <w:rPr>
          <w:rFonts w:hint="eastAsia"/>
          <w:bCs/>
          <w:color w:val="auto"/>
          <w:sz w:val="18"/>
          <w:szCs w:val="18"/>
          <w:highlight w:val="none"/>
        </w:rPr>
        <w:t>（5）根据国际统计局《劳动工资统计报表制度》，从业人员数是指本单位工作，并取得工资活其他形式劳动报酬的人员数，是在岗职工、劳务派遣人员及其他从业人员之和。</w:t>
      </w:r>
    </w:p>
    <w:p w14:paraId="0F970D20">
      <w:pPr>
        <w:spacing w:line="360" w:lineRule="auto"/>
        <w:jc w:val="left"/>
        <w:rPr>
          <w:bCs/>
          <w:color w:val="auto"/>
          <w:sz w:val="18"/>
          <w:szCs w:val="18"/>
          <w:highlight w:val="none"/>
        </w:rPr>
      </w:pPr>
      <w:r>
        <w:rPr>
          <w:rFonts w:hint="eastAsia"/>
          <w:bCs/>
          <w:color w:val="auto"/>
          <w:sz w:val="18"/>
          <w:szCs w:val="18"/>
          <w:highlight w:val="none"/>
        </w:rPr>
        <w:t>（</w:t>
      </w:r>
      <w:r>
        <w:rPr>
          <w:bCs/>
          <w:color w:val="auto"/>
          <w:sz w:val="18"/>
          <w:szCs w:val="18"/>
          <w:highlight w:val="none"/>
        </w:rPr>
        <w:t>6</w:t>
      </w:r>
      <w:r>
        <w:rPr>
          <w:rFonts w:hint="eastAsia"/>
          <w:bCs/>
          <w:color w:val="auto"/>
          <w:sz w:val="18"/>
          <w:szCs w:val="18"/>
          <w:highlight w:val="none"/>
        </w:rPr>
        <w:t>）本声明函由供应商填写，供应商应按中小企业划分标准《关于印发中小企业划型标准规定的通知》（工信部联企业〔2011〕300号</w:t>
      </w:r>
      <w:r>
        <w:rPr>
          <w:rFonts w:hint="eastAsia"/>
          <w:color w:val="auto"/>
          <w:sz w:val="18"/>
          <w:szCs w:val="18"/>
          <w:highlight w:val="none"/>
        </w:rPr>
        <w:t>以及《金融业企业划型标准规定》（银发〔2015〕309号）</w:t>
      </w:r>
      <w:r>
        <w:rPr>
          <w:rFonts w:hint="eastAsia"/>
          <w:bCs/>
          <w:color w:val="auto"/>
          <w:sz w:val="18"/>
          <w:szCs w:val="18"/>
          <w:highlight w:val="none"/>
        </w:rPr>
        <w:t>）判断是否为中小企业。</w:t>
      </w:r>
    </w:p>
    <w:p w14:paraId="30DF44FD">
      <w:pPr>
        <w:spacing w:line="360" w:lineRule="auto"/>
        <w:jc w:val="left"/>
        <w:rPr>
          <w:bCs/>
          <w:color w:val="auto"/>
          <w:sz w:val="18"/>
          <w:szCs w:val="18"/>
          <w:highlight w:val="none"/>
        </w:rPr>
      </w:pPr>
      <w:r>
        <w:rPr>
          <w:rFonts w:hint="eastAsia"/>
          <w:bCs/>
          <w:color w:val="auto"/>
          <w:sz w:val="18"/>
          <w:szCs w:val="18"/>
          <w:highlight w:val="none"/>
        </w:rPr>
        <w:t>（</w:t>
      </w:r>
      <w:r>
        <w:rPr>
          <w:bCs/>
          <w:color w:val="auto"/>
          <w:sz w:val="18"/>
          <w:szCs w:val="18"/>
          <w:highlight w:val="none"/>
        </w:rPr>
        <w:t>7</w:t>
      </w:r>
      <w:r>
        <w:rPr>
          <w:rFonts w:hint="eastAsia"/>
          <w:bCs/>
          <w:color w:val="auto"/>
          <w:sz w:val="18"/>
          <w:szCs w:val="18"/>
          <w:highlight w:val="none"/>
        </w:rPr>
        <w:t>）供应商对《中小企业声明函》的真实性负责，如有虚假则需承担不利后果。依法享受中小企业优惠政策的，采购人或采购代理机构在公告成交结果时，同时公告其《中小企业声明函》，接受社会监督。</w:t>
      </w:r>
    </w:p>
    <w:p w14:paraId="006678E1">
      <w:pPr>
        <w:spacing w:line="360" w:lineRule="auto"/>
        <w:jc w:val="left"/>
        <w:rPr>
          <w:bCs/>
          <w:color w:val="auto"/>
          <w:sz w:val="18"/>
          <w:szCs w:val="18"/>
          <w:highlight w:val="none"/>
        </w:rPr>
      </w:pPr>
      <w:r>
        <w:rPr>
          <w:rFonts w:hint="eastAsia"/>
          <w:bCs/>
          <w:color w:val="auto"/>
          <w:sz w:val="18"/>
          <w:szCs w:val="18"/>
          <w:highlight w:val="none"/>
        </w:rPr>
        <w:t>（</w:t>
      </w:r>
      <w:r>
        <w:rPr>
          <w:bCs/>
          <w:color w:val="auto"/>
          <w:sz w:val="18"/>
          <w:szCs w:val="18"/>
          <w:highlight w:val="none"/>
        </w:rPr>
        <w:t>8</w:t>
      </w:r>
      <w:r>
        <w:rPr>
          <w:rFonts w:hint="eastAsia"/>
          <w:bCs/>
          <w:color w:val="auto"/>
          <w:sz w:val="18"/>
          <w:szCs w:val="18"/>
          <w:highlight w:val="none"/>
        </w:rPr>
        <w:t>）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7637F07B">
      <w:pPr>
        <w:spacing w:line="360" w:lineRule="auto"/>
        <w:jc w:val="left"/>
        <w:rPr>
          <w:color w:val="auto"/>
          <w:sz w:val="18"/>
          <w:szCs w:val="18"/>
          <w:highlight w:val="none"/>
        </w:rPr>
      </w:pPr>
    </w:p>
    <w:p w14:paraId="5B1186FC">
      <w:pPr>
        <w:ind w:right="420" w:firstLine="4590" w:firstLineChars="2550"/>
        <w:rPr>
          <w:color w:val="auto"/>
          <w:sz w:val="18"/>
          <w:szCs w:val="18"/>
          <w:highlight w:val="none"/>
        </w:rPr>
      </w:pPr>
    </w:p>
    <w:p w14:paraId="4A7453C7">
      <w:pPr>
        <w:snapToGrid w:val="0"/>
        <w:spacing w:before="50" w:after="120" w:afterLines="50"/>
        <w:jc w:val="left"/>
        <w:rPr>
          <w:color w:val="auto"/>
          <w:sz w:val="18"/>
          <w:szCs w:val="18"/>
          <w:highlight w:val="none"/>
        </w:rPr>
      </w:pPr>
      <w:r>
        <w:rPr>
          <w:rFonts w:hint="eastAsia"/>
          <w:color w:val="auto"/>
          <w:sz w:val="18"/>
          <w:szCs w:val="18"/>
          <w:highlight w:val="none"/>
        </w:rPr>
        <w:t>4</w:t>
      </w:r>
      <w:r>
        <w:rPr>
          <w:color w:val="auto"/>
          <w:sz w:val="18"/>
          <w:szCs w:val="18"/>
          <w:highlight w:val="none"/>
        </w:rPr>
        <w:t>.</w:t>
      </w:r>
      <w:r>
        <w:rPr>
          <w:rFonts w:hint="eastAsia"/>
          <w:color w:val="auto"/>
          <w:sz w:val="18"/>
          <w:szCs w:val="18"/>
          <w:highlight w:val="none"/>
        </w:rPr>
        <w:t>2</w:t>
      </w:r>
      <w:r>
        <w:rPr>
          <w:color w:val="auto"/>
          <w:sz w:val="18"/>
          <w:szCs w:val="18"/>
          <w:highlight w:val="none"/>
        </w:rPr>
        <w:t xml:space="preserve"> 监狱企业须提供最新一期《XX省监狱企业</w:t>
      </w:r>
      <w:r>
        <w:rPr>
          <w:rFonts w:hint="eastAsia"/>
          <w:color w:val="auto"/>
          <w:sz w:val="18"/>
          <w:szCs w:val="18"/>
          <w:highlight w:val="none"/>
        </w:rPr>
        <w:t>产品</w:t>
      </w:r>
      <w:r>
        <w:rPr>
          <w:color w:val="auto"/>
          <w:sz w:val="18"/>
          <w:szCs w:val="18"/>
          <w:highlight w:val="none"/>
        </w:rPr>
        <w:t>目录》或其他监狱企业证明材料。（非监狱企业无需提供）</w:t>
      </w:r>
    </w:p>
    <w:p w14:paraId="6BBED826">
      <w:pPr>
        <w:snapToGrid w:val="0"/>
        <w:spacing w:before="50" w:after="120" w:afterLines="50"/>
        <w:jc w:val="left"/>
        <w:rPr>
          <w:color w:val="auto"/>
          <w:sz w:val="18"/>
          <w:szCs w:val="18"/>
          <w:highlight w:val="none"/>
        </w:rPr>
      </w:pPr>
    </w:p>
    <w:p w14:paraId="1377285D">
      <w:pPr>
        <w:snapToGrid w:val="0"/>
        <w:spacing w:before="50" w:after="120" w:afterLines="50"/>
        <w:jc w:val="left"/>
        <w:rPr>
          <w:color w:val="auto"/>
          <w:sz w:val="18"/>
          <w:szCs w:val="18"/>
          <w:highlight w:val="none"/>
        </w:rPr>
      </w:pPr>
    </w:p>
    <w:p w14:paraId="5D542351">
      <w:pPr>
        <w:snapToGrid w:val="0"/>
        <w:spacing w:before="50" w:after="120" w:afterLines="50"/>
        <w:jc w:val="left"/>
        <w:rPr>
          <w:color w:val="auto"/>
          <w:sz w:val="18"/>
          <w:szCs w:val="18"/>
          <w:highlight w:val="none"/>
        </w:rPr>
      </w:pPr>
      <w:r>
        <w:rPr>
          <w:rFonts w:hint="eastAsia"/>
          <w:color w:val="auto"/>
          <w:sz w:val="18"/>
          <w:szCs w:val="18"/>
          <w:highlight w:val="none"/>
        </w:rPr>
        <w:t>4</w:t>
      </w:r>
      <w:r>
        <w:rPr>
          <w:color w:val="auto"/>
          <w:sz w:val="18"/>
          <w:szCs w:val="18"/>
          <w:highlight w:val="none"/>
        </w:rPr>
        <w:t>.</w:t>
      </w:r>
      <w:r>
        <w:rPr>
          <w:rFonts w:hint="eastAsia"/>
          <w:color w:val="auto"/>
          <w:sz w:val="18"/>
          <w:szCs w:val="18"/>
          <w:highlight w:val="none"/>
        </w:rPr>
        <w:t>3</w:t>
      </w:r>
      <w:r>
        <w:rPr>
          <w:color w:val="auto"/>
          <w:sz w:val="18"/>
          <w:szCs w:val="18"/>
          <w:highlight w:val="none"/>
        </w:rPr>
        <w:t>残疾人福利性单位须提供《残疾人福利性单位声明函》，格式如下。（非残疾人福利性单位无需提供）</w:t>
      </w:r>
      <w:r>
        <w:rPr>
          <w:rFonts w:hint="eastAsia"/>
          <w:color w:val="auto"/>
          <w:sz w:val="18"/>
          <w:szCs w:val="18"/>
          <w:highlight w:val="none"/>
        </w:rPr>
        <w:t>。</w:t>
      </w:r>
      <w:bookmarkStart w:id="1134" w:name="OLE_LINK13"/>
      <w:bookmarkStart w:id="1135" w:name="OLE_LINK14"/>
    </w:p>
    <w:p w14:paraId="7FDBC8B7">
      <w:pPr>
        <w:spacing w:line="360" w:lineRule="auto"/>
        <w:jc w:val="center"/>
        <w:rPr>
          <w:b/>
          <w:color w:val="auto"/>
          <w:sz w:val="18"/>
          <w:szCs w:val="18"/>
          <w:highlight w:val="none"/>
        </w:rPr>
      </w:pPr>
      <w:r>
        <w:rPr>
          <w:b/>
          <w:color w:val="auto"/>
          <w:sz w:val="18"/>
          <w:szCs w:val="18"/>
          <w:highlight w:val="none"/>
        </w:rPr>
        <w:t>残疾人福利性单位声明函</w:t>
      </w:r>
    </w:p>
    <w:bookmarkEnd w:id="1134"/>
    <w:bookmarkEnd w:id="1135"/>
    <w:p w14:paraId="2DB02312">
      <w:pPr>
        <w:spacing w:line="588" w:lineRule="exact"/>
        <w:rPr>
          <w:rFonts w:eastAsia="仿宋_GB2312"/>
          <w:b/>
          <w:color w:val="auto"/>
          <w:spacing w:val="6"/>
          <w:sz w:val="18"/>
          <w:szCs w:val="18"/>
          <w:highlight w:val="none"/>
        </w:rPr>
      </w:pPr>
    </w:p>
    <w:p w14:paraId="593E367D">
      <w:pPr>
        <w:spacing w:line="360" w:lineRule="auto"/>
        <w:ind w:firstLine="420"/>
        <w:jc w:val="left"/>
        <w:rPr>
          <w:color w:val="auto"/>
          <w:sz w:val="18"/>
          <w:szCs w:val="18"/>
          <w:highlight w:val="none"/>
        </w:rPr>
      </w:pPr>
      <w:r>
        <w:rPr>
          <w:color w:val="auto"/>
          <w:sz w:val="18"/>
          <w:szCs w:val="18"/>
          <w:highlight w:val="none"/>
        </w:rPr>
        <w:t>本单位郑重声明，根据《财政部 民政部 中国残疾人联合会关于促进残疾人就业政府采购政策的通知》（财库〔2017〕141号）的规定，本单位为符合条件的残疾人福利性单位，且本单位参加</w:t>
      </w:r>
      <w:r>
        <w:rPr>
          <w:color w:val="auto"/>
          <w:sz w:val="18"/>
          <w:szCs w:val="18"/>
          <w:highlight w:val="none"/>
          <w:u w:val="single"/>
        </w:rPr>
        <w:t xml:space="preserve">        </w:t>
      </w:r>
      <w:r>
        <w:rPr>
          <w:color w:val="auto"/>
          <w:sz w:val="18"/>
          <w:szCs w:val="18"/>
          <w:highlight w:val="none"/>
        </w:rPr>
        <w:t>单位的</w:t>
      </w:r>
      <w:r>
        <w:rPr>
          <w:color w:val="auto"/>
          <w:sz w:val="18"/>
          <w:szCs w:val="18"/>
          <w:highlight w:val="none"/>
          <w:u w:val="single"/>
        </w:rPr>
        <w:t xml:space="preserve">           </w:t>
      </w:r>
      <w:r>
        <w:rPr>
          <w:color w:val="auto"/>
          <w:sz w:val="18"/>
          <w:szCs w:val="18"/>
          <w:highlight w:val="none"/>
        </w:rPr>
        <w:t>项目采购活动提供本单位制造的货物（由本单位承担工程/提供服务），或者提供其他残疾人福利性单位制造的货物（不包括使用非残疾人福利性单位注册商标的货物）。</w:t>
      </w:r>
    </w:p>
    <w:p w14:paraId="42BD4828">
      <w:pPr>
        <w:spacing w:line="360" w:lineRule="auto"/>
        <w:ind w:firstLine="420"/>
        <w:rPr>
          <w:color w:val="auto"/>
          <w:sz w:val="18"/>
          <w:szCs w:val="18"/>
          <w:highlight w:val="none"/>
        </w:rPr>
      </w:pPr>
      <w:r>
        <w:rPr>
          <w:color w:val="auto"/>
          <w:sz w:val="18"/>
          <w:szCs w:val="18"/>
          <w:highlight w:val="none"/>
        </w:rPr>
        <w:t>本单位对上述声明的真实性负责。如有虚假，将依法承担相应责任。</w:t>
      </w:r>
    </w:p>
    <w:p w14:paraId="7285EBD6">
      <w:pPr>
        <w:tabs>
          <w:tab w:val="left" w:pos="4860"/>
        </w:tabs>
        <w:spacing w:line="588" w:lineRule="exact"/>
        <w:ind w:right="1560" w:firstLine="384" w:firstLineChars="200"/>
        <w:jc w:val="center"/>
        <w:rPr>
          <w:color w:val="auto"/>
          <w:spacing w:val="6"/>
          <w:sz w:val="18"/>
          <w:szCs w:val="18"/>
          <w:highlight w:val="none"/>
        </w:rPr>
      </w:pPr>
      <w:r>
        <w:rPr>
          <w:rFonts w:eastAsia="仿宋_GB2312"/>
          <w:color w:val="auto"/>
          <w:spacing w:val="6"/>
          <w:sz w:val="18"/>
          <w:szCs w:val="18"/>
          <w:highlight w:val="none"/>
        </w:rPr>
        <w:t xml:space="preserve">              </w:t>
      </w:r>
      <w:r>
        <w:rPr>
          <w:color w:val="auto"/>
          <w:spacing w:val="6"/>
          <w:sz w:val="18"/>
          <w:szCs w:val="18"/>
          <w:highlight w:val="none"/>
        </w:rPr>
        <w:t xml:space="preserve"> </w:t>
      </w:r>
      <w:r>
        <w:rPr>
          <w:rFonts w:hint="eastAsia"/>
          <w:color w:val="auto"/>
          <w:spacing w:val="6"/>
          <w:sz w:val="18"/>
          <w:szCs w:val="18"/>
          <w:highlight w:val="none"/>
        </w:rPr>
        <w:t xml:space="preserve">    </w:t>
      </w:r>
      <w:r>
        <w:rPr>
          <w:color w:val="auto"/>
          <w:spacing w:val="6"/>
          <w:sz w:val="18"/>
          <w:szCs w:val="18"/>
          <w:highlight w:val="none"/>
        </w:rPr>
        <w:t>单位名称（</w:t>
      </w:r>
      <w:r>
        <w:rPr>
          <w:rFonts w:hint="eastAsia"/>
          <w:color w:val="auto"/>
          <w:sz w:val="18"/>
          <w:szCs w:val="18"/>
          <w:highlight w:val="none"/>
        </w:rPr>
        <w:t>电子签章</w:t>
      </w:r>
      <w:r>
        <w:rPr>
          <w:color w:val="auto"/>
          <w:spacing w:val="6"/>
          <w:sz w:val="18"/>
          <w:szCs w:val="18"/>
          <w:highlight w:val="none"/>
        </w:rPr>
        <w:t>）：</w:t>
      </w:r>
    </w:p>
    <w:p w14:paraId="16B5719F">
      <w:pPr>
        <w:snapToGrid w:val="0"/>
        <w:spacing w:before="50" w:after="120" w:afterLines="50"/>
        <w:jc w:val="left"/>
        <w:rPr>
          <w:color w:val="auto"/>
          <w:spacing w:val="6"/>
          <w:sz w:val="18"/>
          <w:szCs w:val="18"/>
          <w:highlight w:val="none"/>
        </w:rPr>
      </w:pPr>
      <w:r>
        <w:rPr>
          <w:color w:val="auto"/>
          <w:spacing w:val="6"/>
          <w:sz w:val="18"/>
          <w:szCs w:val="18"/>
          <w:highlight w:val="none"/>
        </w:rPr>
        <w:t xml:space="preserve">                                           </w:t>
      </w:r>
      <w:r>
        <w:rPr>
          <w:rFonts w:hint="eastAsia"/>
          <w:color w:val="auto"/>
          <w:spacing w:val="6"/>
          <w:sz w:val="18"/>
          <w:szCs w:val="18"/>
          <w:highlight w:val="none"/>
        </w:rPr>
        <w:t xml:space="preserve">     </w:t>
      </w:r>
      <w:r>
        <w:rPr>
          <w:color w:val="auto"/>
          <w:spacing w:val="6"/>
          <w:sz w:val="18"/>
          <w:szCs w:val="18"/>
          <w:highlight w:val="none"/>
        </w:rPr>
        <w:t xml:space="preserve"> 日  期：</w:t>
      </w:r>
    </w:p>
    <w:p w14:paraId="49D4A46C">
      <w:pPr>
        <w:rPr>
          <w:color w:val="auto"/>
          <w:sz w:val="18"/>
          <w:szCs w:val="18"/>
          <w:highlight w:val="none"/>
        </w:rPr>
      </w:pPr>
    </w:p>
    <w:p w14:paraId="7DB49DE5">
      <w:pPr>
        <w:pStyle w:val="7"/>
        <w:overflowPunct w:val="0"/>
        <w:ind w:firstLine="0"/>
        <w:rPr>
          <w:color w:val="auto"/>
          <w:sz w:val="18"/>
          <w:szCs w:val="18"/>
          <w:highlight w:val="none"/>
        </w:rPr>
      </w:pPr>
    </w:p>
    <w:p w14:paraId="151A5228">
      <w:pPr>
        <w:snapToGrid w:val="0"/>
        <w:spacing w:before="50" w:after="120" w:afterLines="50"/>
        <w:jc w:val="left"/>
        <w:rPr>
          <w:color w:val="auto"/>
          <w:sz w:val="18"/>
          <w:szCs w:val="18"/>
          <w:highlight w:val="none"/>
        </w:rPr>
      </w:pPr>
    </w:p>
    <w:p w14:paraId="2DCE74AA">
      <w:pPr>
        <w:snapToGrid w:val="0"/>
        <w:spacing w:before="50" w:after="120" w:afterLines="50"/>
        <w:jc w:val="left"/>
        <w:rPr>
          <w:color w:val="auto"/>
          <w:sz w:val="18"/>
          <w:szCs w:val="18"/>
          <w:highlight w:val="none"/>
        </w:rPr>
      </w:pPr>
    </w:p>
    <w:p w14:paraId="645E7712">
      <w:pPr>
        <w:snapToGrid w:val="0"/>
        <w:spacing w:before="50" w:after="120" w:afterLines="50"/>
        <w:jc w:val="left"/>
        <w:rPr>
          <w:color w:val="auto"/>
          <w:sz w:val="18"/>
          <w:szCs w:val="18"/>
          <w:highlight w:val="none"/>
        </w:rPr>
      </w:pPr>
    </w:p>
    <w:p w14:paraId="170ADB29">
      <w:pPr>
        <w:snapToGrid w:val="0"/>
        <w:spacing w:before="50" w:after="120" w:afterLines="50"/>
        <w:jc w:val="left"/>
        <w:rPr>
          <w:b/>
          <w:bCs/>
          <w:color w:val="auto"/>
          <w:sz w:val="18"/>
          <w:szCs w:val="18"/>
          <w:highlight w:val="none"/>
        </w:rPr>
      </w:pPr>
      <w:r>
        <w:rPr>
          <w:color w:val="auto"/>
          <w:sz w:val="18"/>
          <w:szCs w:val="18"/>
          <w:highlight w:val="none"/>
        </w:rPr>
        <w:br w:type="page"/>
      </w:r>
      <w:r>
        <w:rPr>
          <w:rFonts w:hint="eastAsia"/>
          <w:color w:val="auto"/>
          <w:sz w:val="18"/>
          <w:szCs w:val="18"/>
          <w:highlight w:val="none"/>
        </w:rPr>
        <w:t>5</w:t>
      </w:r>
      <w:r>
        <w:rPr>
          <w:color w:val="auto"/>
          <w:sz w:val="18"/>
          <w:szCs w:val="18"/>
          <w:highlight w:val="none"/>
        </w:rPr>
        <w:t>.</w:t>
      </w:r>
      <w:r>
        <w:rPr>
          <w:rFonts w:hint="eastAsia"/>
          <w:b/>
          <w:bCs/>
          <w:color w:val="auto"/>
          <w:sz w:val="18"/>
          <w:szCs w:val="18"/>
          <w:highlight w:val="none"/>
        </w:rPr>
        <w:t>无串标行为承诺函</w:t>
      </w:r>
    </w:p>
    <w:p w14:paraId="168683C5">
      <w:pPr>
        <w:snapToGrid w:val="0"/>
        <w:spacing w:before="50" w:after="120" w:afterLines="50"/>
        <w:jc w:val="center"/>
        <w:rPr>
          <w:color w:val="auto"/>
          <w:sz w:val="18"/>
          <w:szCs w:val="18"/>
          <w:highlight w:val="none"/>
        </w:rPr>
      </w:pPr>
    </w:p>
    <w:p w14:paraId="4179E82B">
      <w:pPr>
        <w:snapToGrid w:val="0"/>
        <w:spacing w:before="50" w:after="120" w:afterLines="50"/>
        <w:jc w:val="center"/>
        <w:rPr>
          <w:color w:val="auto"/>
          <w:sz w:val="18"/>
          <w:szCs w:val="18"/>
          <w:highlight w:val="none"/>
        </w:rPr>
      </w:pPr>
      <w:r>
        <w:rPr>
          <w:rFonts w:hint="eastAsia"/>
          <w:color w:val="auto"/>
          <w:sz w:val="18"/>
          <w:szCs w:val="18"/>
          <w:highlight w:val="none"/>
        </w:rPr>
        <w:t>供应商参加本项目无围标串标行为的承诺函</w:t>
      </w:r>
    </w:p>
    <w:p w14:paraId="7CCC9E06">
      <w:pPr>
        <w:snapToGrid w:val="0"/>
        <w:spacing w:before="50" w:after="120" w:afterLines="50"/>
        <w:jc w:val="left"/>
        <w:rPr>
          <w:color w:val="auto"/>
          <w:sz w:val="18"/>
          <w:szCs w:val="18"/>
          <w:highlight w:val="none"/>
        </w:rPr>
      </w:pPr>
    </w:p>
    <w:p w14:paraId="50D7354E">
      <w:pPr>
        <w:snapToGrid w:val="0"/>
        <w:spacing w:before="50" w:after="120" w:afterLines="50"/>
        <w:jc w:val="left"/>
        <w:rPr>
          <w:color w:val="auto"/>
          <w:sz w:val="18"/>
          <w:szCs w:val="18"/>
          <w:highlight w:val="none"/>
        </w:rPr>
      </w:pPr>
      <w:r>
        <w:rPr>
          <w:rFonts w:hint="eastAsia"/>
          <w:color w:val="auto"/>
          <w:sz w:val="18"/>
          <w:szCs w:val="18"/>
          <w:highlight w:val="none"/>
        </w:rPr>
        <w:t>一、我方承诺无下列相互串通投标的情形：</w:t>
      </w:r>
    </w:p>
    <w:p w14:paraId="6B24C52E">
      <w:pPr>
        <w:snapToGrid w:val="0"/>
        <w:spacing w:before="50" w:after="120" w:afterLines="50"/>
        <w:jc w:val="left"/>
        <w:rPr>
          <w:color w:val="auto"/>
          <w:sz w:val="18"/>
          <w:szCs w:val="18"/>
          <w:highlight w:val="none"/>
        </w:rPr>
      </w:pPr>
      <w:r>
        <w:rPr>
          <w:rFonts w:hint="eastAsia"/>
          <w:color w:val="auto"/>
          <w:sz w:val="18"/>
          <w:szCs w:val="18"/>
          <w:highlight w:val="none"/>
        </w:rPr>
        <w:t>1.不同供应商的响应文件由同一单位或者个人编制；或者不同供应商报名的IP地址一致的；</w:t>
      </w:r>
    </w:p>
    <w:p w14:paraId="7CAD595D">
      <w:pPr>
        <w:snapToGrid w:val="0"/>
        <w:spacing w:before="50" w:after="120" w:afterLines="50"/>
        <w:jc w:val="left"/>
        <w:rPr>
          <w:color w:val="auto"/>
          <w:sz w:val="18"/>
          <w:szCs w:val="18"/>
          <w:highlight w:val="none"/>
        </w:rPr>
      </w:pPr>
      <w:r>
        <w:rPr>
          <w:rFonts w:hint="eastAsia"/>
          <w:color w:val="auto"/>
          <w:sz w:val="18"/>
          <w:szCs w:val="18"/>
          <w:highlight w:val="none"/>
        </w:rPr>
        <w:t>2.不同供应商委托同一单位或者个人办理投标事宜；</w:t>
      </w:r>
    </w:p>
    <w:p w14:paraId="214A351B">
      <w:pPr>
        <w:snapToGrid w:val="0"/>
        <w:spacing w:before="50" w:after="120" w:afterLines="50"/>
        <w:jc w:val="left"/>
        <w:rPr>
          <w:color w:val="auto"/>
          <w:sz w:val="18"/>
          <w:szCs w:val="18"/>
          <w:highlight w:val="none"/>
        </w:rPr>
      </w:pPr>
      <w:r>
        <w:rPr>
          <w:rFonts w:hint="eastAsia"/>
          <w:color w:val="auto"/>
          <w:sz w:val="18"/>
          <w:szCs w:val="18"/>
          <w:highlight w:val="none"/>
        </w:rPr>
        <w:t>3.不同的供应商的响应文件载明的项目管理员为同一个人；</w:t>
      </w:r>
    </w:p>
    <w:p w14:paraId="36E40B13">
      <w:pPr>
        <w:snapToGrid w:val="0"/>
        <w:spacing w:before="50" w:after="120" w:afterLines="50"/>
        <w:jc w:val="left"/>
        <w:rPr>
          <w:color w:val="auto"/>
          <w:sz w:val="18"/>
          <w:szCs w:val="18"/>
          <w:highlight w:val="none"/>
        </w:rPr>
      </w:pPr>
      <w:r>
        <w:rPr>
          <w:rFonts w:hint="eastAsia"/>
          <w:color w:val="auto"/>
          <w:sz w:val="18"/>
          <w:szCs w:val="18"/>
          <w:highlight w:val="none"/>
        </w:rPr>
        <w:t>4.不同供应商的响应文件异常一致或者投标报价呈规律性差异；</w:t>
      </w:r>
    </w:p>
    <w:p w14:paraId="6589AF91">
      <w:pPr>
        <w:snapToGrid w:val="0"/>
        <w:spacing w:before="50" w:after="120" w:afterLines="50"/>
        <w:jc w:val="left"/>
        <w:rPr>
          <w:color w:val="auto"/>
          <w:sz w:val="18"/>
          <w:szCs w:val="18"/>
          <w:highlight w:val="none"/>
        </w:rPr>
      </w:pPr>
      <w:r>
        <w:rPr>
          <w:rFonts w:hint="eastAsia"/>
          <w:color w:val="auto"/>
          <w:sz w:val="18"/>
          <w:szCs w:val="18"/>
          <w:highlight w:val="none"/>
        </w:rPr>
        <w:t>5.不同供应商的响应文件相互混装；</w:t>
      </w:r>
    </w:p>
    <w:p w14:paraId="6E213B71">
      <w:pPr>
        <w:snapToGrid w:val="0"/>
        <w:spacing w:before="50" w:after="120" w:afterLines="50"/>
        <w:jc w:val="left"/>
        <w:rPr>
          <w:color w:val="auto"/>
          <w:sz w:val="18"/>
          <w:szCs w:val="18"/>
          <w:highlight w:val="none"/>
        </w:rPr>
      </w:pPr>
      <w:r>
        <w:rPr>
          <w:rFonts w:hint="eastAsia"/>
          <w:color w:val="auto"/>
          <w:sz w:val="18"/>
          <w:szCs w:val="18"/>
          <w:highlight w:val="none"/>
        </w:rPr>
        <w:t>6.不同供应商的磋商保证金从同一单位或者个人账户转出。</w:t>
      </w:r>
    </w:p>
    <w:p w14:paraId="0BF2623A">
      <w:pPr>
        <w:snapToGrid w:val="0"/>
        <w:spacing w:before="50" w:after="120" w:afterLines="50"/>
        <w:jc w:val="left"/>
        <w:rPr>
          <w:color w:val="auto"/>
          <w:sz w:val="18"/>
          <w:szCs w:val="18"/>
          <w:highlight w:val="none"/>
        </w:rPr>
      </w:pPr>
      <w:r>
        <w:rPr>
          <w:rFonts w:hint="eastAsia"/>
          <w:color w:val="auto"/>
          <w:sz w:val="18"/>
          <w:szCs w:val="18"/>
          <w:highlight w:val="none"/>
        </w:rPr>
        <w:t>二、我方承诺无下列恶意串通的情形：</w:t>
      </w:r>
    </w:p>
    <w:p w14:paraId="6CAF0E6E">
      <w:pPr>
        <w:snapToGrid w:val="0"/>
        <w:spacing w:before="50" w:after="120" w:afterLines="50"/>
        <w:jc w:val="left"/>
        <w:rPr>
          <w:color w:val="auto"/>
          <w:sz w:val="18"/>
          <w:szCs w:val="18"/>
          <w:highlight w:val="none"/>
        </w:rPr>
      </w:pPr>
      <w:r>
        <w:rPr>
          <w:rFonts w:hint="eastAsia"/>
          <w:color w:val="auto"/>
          <w:sz w:val="18"/>
          <w:szCs w:val="18"/>
          <w:highlight w:val="none"/>
        </w:rPr>
        <w:t>1.供应商直接或者间接从采购人或者采购代理机构处获得其他供应商的相关信息并修改其响应文件或者响应文件；</w:t>
      </w:r>
    </w:p>
    <w:p w14:paraId="12C9771E">
      <w:pPr>
        <w:snapToGrid w:val="0"/>
        <w:spacing w:before="50" w:after="120" w:afterLines="50"/>
        <w:jc w:val="left"/>
        <w:rPr>
          <w:color w:val="auto"/>
          <w:sz w:val="18"/>
          <w:szCs w:val="18"/>
          <w:highlight w:val="none"/>
        </w:rPr>
      </w:pPr>
      <w:r>
        <w:rPr>
          <w:rFonts w:hint="eastAsia"/>
          <w:color w:val="auto"/>
          <w:sz w:val="18"/>
          <w:szCs w:val="18"/>
          <w:highlight w:val="none"/>
        </w:rPr>
        <w:t>2.供应商按照采购人或者采购代理机构的授意撤换、修改响应文件或者响应文件；</w:t>
      </w:r>
    </w:p>
    <w:p w14:paraId="55EB75C4">
      <w:pPr>
        <w:snapToGrid w:val="0"/>
        <w:spacing w:before="50" w:after="120" w:afterLines="50"/>
        <w:jc w:val="left"/>
        <w:rPr>
          <w:color w:val="auto"/>
          <w:sz w:val="18"/>
          <w:szCs w:val="18"/>
          <w:highlight w:val="none"/>
        </w:rPr>
      </w:pPr>
      <w:r>
        <w:rPr>
          <w:rFonts w:hint="eastAsia"/>
          <w:color w:val="auto"/>
          <w:sz w:val="18"/>
          <w:szCs w:val="18"/>
          <w:highlight w:val="none"/>
        </w:rPr>
        <w:t>3.供应商之间协商报价、技术方案等响应文件或者响应文件的实质性内容；</w:t>
      </w:r>
    </w:p>
    <w:p w14:paraId="4511BF10">
      <w:pPr>
        <w:snapToGrid w:val="0"/>
        <w:spacing w:before="50" w:after="120" w:afterLines="50"/>
        <w:jc w:val="left"/>
        <w:rPr>
          <w:color w:val="auto"/>
          <w:sz w:val="18"/>
          <w:szCs w:val="18"/>
          <w:highlight w:val="none"/>
        </w:rPr>
      </w:pPr>
      <w:r>
        <w:rPr>
          <w:rFonts w:hint="eastAsia"/>
          <w:color w:val="auto"/>
          <w:sz w:val="18"/>
          <w:szCs w:val="18"/>
          <w:highlight w:val="none"/>
        </w:rPr>
        <w:t>4.属于同一集团、协会、商会等组织成员的供应商按照该组织要求协同参加政府采购活动；</w:t>
      </w:r>
    </w:p>
    <w:p w14:paraId="54DBA101">
      <w:pPr>
        <w:snapToGrid w:val="0"/>
        <w:spacing w:before="50" w:after="120" w:afterLines="50"/>
        <w:jc w:val="left"/>
        <w:rPr>
          <w:color w:val="auto"/>
          <w:sz w:val="18"/>
          <w:szCs w:val="18"/>
          <w:highlight w:val="none"/>
        </w:rPr>
      </w:pPr>
      <w:r>
        <w:rPr>
          <w:rFonts w:hint="eastAsia"/>
          <w:color w:val="auto"/>
          <w:sz w:val="18"/>
          <w:szCs w:val="18"/>
          <w:highlight w:val="none"/>
        </w:rPr>
        <w:t>5.供应商之间事先约定一致抬高或者压低投标报价，或者在招标项目中事先约定轮流以高价位或者低价位中标，或者事先约定由某一特定供应商中标，然后再参加投标；</w:t>
      </w:r>
    </w:p>
    <w:p w14:paraId="08BC7530">
      <w:pPr>
        <w:snapToGrid w:val="0"/>
        <w:spacing w:before="50" w:after="120" w:afterLines="50"/>
        <w:jc w:val="left"/>
        <w:rPr>
          <w:color w:val="auto"/>
          <w:sz w:val="18"/>
          <w:szCs w:val="18"/>
          <w:highlight w:val="none"/>
        </w:rPr>
      </w:pPr>
      <w:r>
        <w:rPr>
          <w:rFonts w:hint="eastAsia"/>
          <w:color w:val="auto"/>
          <w:sz w:val="18"/>
          <w:szCs w:val="18"/>
          <w:highlight w:val="none"/>
        </w:rPr>
        <w:t>6.供应商之间商定部分供应商放弃参加政府采购活动或者放弃中标；</w:t>
      </w:r>
    </w:p>
    <w:p w14:paraId="40E87367">
      <w:pPr>
        <w:snapToGrid w:val="0"/>
        <w:spacing w:before="50" w:after="120" w:afterLines="50"/>
        <w:jc w:val="left"/>
        <w:rPr>
          <w:color w:val="auto"/>
          <w:sz w:val="18"/>
          <w:szCs w:val="18"/>
          <w:highlight w:val="none"/>
        </w:rPr>
      </w:pPr>
      <w:r>
        <w:rPr>
          <w:rFonts w:hint="eastAsia"/>
          <w:color w:val="auto"/>
          <w:sz w:val="18"/>
          <w:szCs w:val="18"/>
          <w:highlight w:val="none"/>
        </w:rPr>
        <w:t>7.供应商与采购人或者采购代理机构之间、供应商相互之间，为谋求特定供应商中标或者排斥其他供应商的其他串通行为。</w:t>
      </w:r>
    </w:p>
    <w:p w14:paraId="309FFC67">
      <w:pPr>
        <w:snapToGrid w:val="0"/>
        <w:spacing w:before="50" w:after="120" w:afterLines="50"/>
        <w:jc w:val="left"/>
        <w:rPr>
          <w:color w:val="auto"/>
          <w:sz w:val="18"/>
          <w:szCs w:val="18"/>
          <w:highlight w:val="none"/>
        </w:rPr>
      </w:pPr>
      <w:r>
        <w:rPr>
          <w:rFonts w:hint="eastAsia"/>
          <w:color w:val="auto"/>
          <w:sz w:val="18"/>
          <w:szCs w:val="18"/>
          <w:highlight w:val="none"/>
        </w:rPr>
        <w:t>以上情形一经核查属实，我方愿意承担一切后果，并不再寻求任何旨在减轻或者免除法律责任的辩解。</w:t>
      </w:r>
    </w:p>
    <w:p w14:paraId="04A2C7EC">
      <w:pPr>
        <w:snapToGrid w:val="0"/>
        <w:spacing w:before="50" w:after="120" w:afterLines="50"/>
        <w:jc w:val="center"/>
        <w:rPr>
          <w:color w:val="auto"/>
          <w:sz w:val="18"/>
          <w:szCs w:val="18"/>
          <w:highlight w:val="none"/>
        </w:rPr>
      </w:pPr>
      <w:r>
        <w:rPr>
          <w:rFonts w:hint="eastAsia"/>
          <w:color w:val="auto"/>
          <w:sz w:val="18"/>
          <w:szCs w:val="18"/>
          <w:highlight w:val="none"/>
        </w:rPr>
        <w:t xml:space="preserve"> </w:t>
      </w:r>
      <w:r>
        <w:rPr>
          <w:color w:val="auto"/>
          <w:sz w:val="18"/>
          <w:szCs w:val="18"/>
          <w:highlight w:val="none"/>
        </w:rPr>
        <w:t xml:space="preserve"> </w:t>
      </w:r>
    </w:p>
    <w:p w14:paraId="73DC6DAA">
      <w:pPr>
        <w:snapToGrid w:val="0"/>
        <w:spacing w:before="50" w:after="120" w:afterLines="50"/>
        <w:jc w:val="center"/>
        <w:rPr>
          <w:color w:val="auto"/>
          <w:sz w:val="18"/>
          <w:szCs w:val="18"/>
          <w:highlight w:val="none"/>
        </w:rPr>
      </w:pPr>
    </w:p>
    <w:p w14:paraId="6A681727">
      <w:pPr>
        <w:snapToGrid w:val="0"/>
        <w:spacing w:before="50" w:after="120" w:afterLines="50"/>
        <w:jc w:val="center"/>
        <w:rPr>
          <w:color w:val="auto"/>
          <w:sz w:val="18"/>
          <w:szCs w:val="18"/>
          <w:highlight w:val="none"/>
        </w:rPr>
      </w:pPr>
    </w:p>
    <w:p w14:paraId="364D31DF">
      <w:pPr>
        <w:snapToGrid w:val="0"/>
        <w:spacing w:before="50" w:after="120" w:afterLines="50"/>
        <w:jc w:val="center"/>
        <w:rPr>
          <w:color w:val="auto"/>
          <w:sz w:val="18"/>
          <w:szCs w:val="18"/>
          <w:highlight w:val="none"/>
        </w:rPr>
      </w:pPr>
      <w:r>
        <w:rPr>
          <w:color w:val="auto"/>
          <w:sz w:val="18"/>
          <w:szCs w:val="18"/>
          <w:highlight w:val="none"/>
        </w:rPr>
        <w:t>供应商</w:t>
      </w:r>
      <w:r>
        <w:rPr>
          <w:rFonts w:hint="eastAsia"/>
          <w:color w:val="auto"/>
          <w:sz w:val="18"/>
          <w:szCs w:val="18"/>
          <w:highlight w:val="none"/>
        </w:rPr>
        <w:t>名称(电子签章</w:t>
      </w:r>
      <w:r>
        <w:rPr>
          <w:color w:val="auto"/>
          <w:sz w:val="18"/>
          <w:szCs w:val="18"/>
          <w:highlight w:val="none"/>
        </w:rPr>
        <w:t>)</w:t>
      </w:r>
      <w:r>
        <w:rPr>
          <w:rFonts w:hint="eastAsia"/>
          <w:color w:val="auto"/>
          <w:sz w:val="18"/>
          <w:szCs w:val="18"/>
          <w:highlight w:val="none"/>
        </w:rPr>
        <w:t>：</w:t>
      </w:r>
    </w:p>
    <w:p w14:paraId="4A7F17C5">
      <w:pPr>
        <w:snapToGrid w:val="0"/>
        <w:spacing w:before="50" w:after="120" w:afterLines="50"/>
        <w:jc w:val="center"/>
        <w:rPr>
          <w:color w:val="auto"/>
          <w:sz w:val="18"/>
          <w:szCs w:val="18"/>
          <w:highlight w:val="none"/>
        </w:rPr>
      </w:pPr>
      <w:r>
        <w:rPr>
          <w:rFonts w:hint="eastAsia"/>
          <w:color w:val="auto"/>
          <w:sz w:val="18"/>
          <w:szCs w:val="18"/>
          <w:highlight w:val="none"/>
        </w:rPr>
        <w:t>日期：  年  月   日</w:t>
      </w:r>
    </w:p>
    <w:p w14:paraId="08BFBFA7">
      <w:pPr>
        <w:spacing w:line="360" w:lineRule="exact"/>
        <w:rPr>
          <w:color w:val="auto"/>
          <w:sz w:val="18"/>
          <w:szCs w:val="18"/>
          <w:highlight w:val="none"/>
        </w:rPr>
      </w:pPr>
    </w:p>
    <w:p w14:paraId="3F283067">
      <w:pPr>
        <w:spacing w:line="360" w:lineRule="exact"/>
        <w:rPr>
          <w:b/>
          <w:bCs/>
          <w:color w:val="auto"/>
          <w:sz w:val="18"/>
          <w:szCs w:val="18"/>
          <w:highlight w:val="none"/>
        </w:rPr>
      </w:pPr>
      <w:r>
        <w:rPr>
          <w:color w:val="auto"/>
          <w:sz w:val="18"/>
          <w:szCs w:val="18"/>
          <w:highlight w:val="none"/>
        </w:rPr>
        <w:br w:type="page"/>
      </w:r>
      <w:r>
        <w:rPr>
          <w:rFonts w:hint="eastAsia"/>
          <w:color w:val="auto"/>
          <w:sz w:val="18"/>
          <w:szCs w:val="18"/>
          <w:highlight w:val="none"/>
        </w:rPr>
        <w:t>6</w:t>
      </w:r>
      <w:r>
        <w:rPr>
          <w:color w:val="auto"/>
          <w:sz w:val="18"/>
          <w:szCs w:val="18"/>
          <w:highlight w:val="none"/>
        </w:rPr>
        <w:t>.</w:t>
      </w:r>
      <w:r>
        <w:rPr>
          <w:b/>
          <w:bCs/>
          <w:color w:val="auto"/>
          <w:sz w:val="18"/>
          <w:szCs w:val="18"/>
          <w:highlight w:val="none"/>
        </w:rPr>
        <w:t>代理服务费承诺书</w:t>
      </w:r>
    </w:p>
    <w:p w14:paraId="03D5A4E1">
      <w:pPr>
        <w:spacing w:line="360" w:lineRule="exact"/>
        <w:rPr>
          <w:color w:val="auto"/>
          <w:sz w:val="18"/>
          <w:szCs w:val="18"/>
          <w:highlight w:val="none"/>
        </w:rPr>
      </w:pPr>
      <w:r>
        <w:rPr>
          <w:color w:val="auto"/>
          <w:sz w:val="18"/>
          <w:szCs w:val="18"/>
          <w:highlight w:val="none"/>
        </w:rPr>
        <w:t>致：广西机电设备招标有限公司</w:t>
      </w:r>
    </w:p>
    <w:p w14:paraId="36230DD3">
      <w:pPr>
        <w:spacing w:line="360" w:lineRule="exact"/>
        <w:ind w:firstLine="360" w:firstLineChars="200"/>
        <w:rPr>
          <w:color w:val="auto"/>
          <w:sz w:val="18"/>
          <w:szCs w:val="18"/>
          <w:highlight w:val="none"/>
        </w:rPr>
      </w:pPr>
      <w:r>
        <w:rPr>
          <w:color w:val="auto"/>
          <w:sz w:val="18"/>
          <w:szCs w:val="18"/>
          <w:highlight w:val="none"/>
        </w:rPr>
        <w:t>我单位参加了贵方组织的</w:t>
      </w:r>
      <w:r>
        <w:rPr>
          <w:rFonts w:hint="eastAsia"/>
          <w:color w:val="auto"/>
          <w:sz w:val="18"/>
          <w:szCs w:val="18"/>
          <w:highlight w:val="none"/>
        </w:rPr>
        <w:t>磋商</w:t>
      </w:r>
      <w:r>
        <w:rPr>
          <w:color w:val="auto"/>
          <w:sz w:val="18"/>
          <w:szCs w:val="18"/>
          <w:highlight w:val="none"/>
        </w:rPr>
        <w:t>项目编号为</w:t>
      </w:r>
      <w:r>
        <w:rPr>
          <w:b/>
          <w:color w:val="auto"/>
          <w:sz w:val="18"/>
          <w:szCs w:val="18"/>
          <w:highlight w:val="none"/>
        </w:rPr>
        <w:t>（</w:t>
      </w:r>
      <w:r>
        <w:rPr>
          <w:color w:val="auto"/>
          <w:sz w:val="18"/>
          <w:szCs w:val="18"/>
          <w:highlight w:val="none"/>
          <w:u w:val="single"/>
        </w:rPr>
        <w:t xml:space="preserve">                    )</w:t>
      </w:r>
      <w:r>
        <w:rPr>
          <w:color w:val="auto"/>
          <w:sz w:val="18"/>
          <w:szCs w:val="18"/>
          <w:highlight w:val="none"/>
        </w:rPr>
        <w:t>的响应，并递交了</w:t>
      </w:r>
      <w:r>
        <w:rPr>
          <w:rFonts w:hint="eastAsia"/>
          <w:color w:val="auto"/>
          <w:sz w:val="18"/>
          <w:szCs w:val="18"/>
          <w:highlight w:val="none"/>
        </w:rPr>
        <w:t>磋商</w:t>
      </w:r>
      <w:r>
        <w:rPr>
          <w:color w:val="auto"/>
          <w:sz w:val="18"/>
          <w:szCs w:val="18"/>
          <w:highlight w:val="none"/>
        </w:rPr>
        <w:t>保证金</w:t>
      </w:r>
      <w:r>
        <w:rPr>
          <w:color w:val="auto"/>
          <w:sz w:val="18"/>
          <w:szCs w:val="18"/>
          <w:highlight w:val="none"/>
          <w:u w:val="single"/>
        </w:rPr>
        <w:t xml:space="preserve">                  </w:t>
      </w:r>
      <w:r>
        <w:rPr>
          <w:color w:val="auto"/>
          <w:sz w:val="18"/>
          <w:szCs w:val="18"/>
          <w:highlight w:val="none"/>
        </w:rPr>
        <w:t>（</w:t>
      </w:r>
      <w:r>
        <w:rPr>
          <w:color w:val="auto"/>
          <w:kern w:val="0"/>
          <w:sz w:val="18"/>
          <w:szCs w:val="18"/>
          <w:highlight w:val="none"/>
        </w:rPr>
        <w:t>¥</w:t>
      </w:r>
      <w:r>
        <w:rPr>
          <w:color w:val="auto"/>
          <w:sz w:val="18"/>
          <w:szCs w:val="18"/>
          <w:highlight w:val="none"/>
          <w:u w:val="single"/>
        </w:rPr>
        <w:t xml:space="preserve">       </w:t>
      </w:r>
      <w:r>
        <w:rPr>
          <w:color w:val="auto"/>
          <w:sz w:val="18"/>
          <w:szCs w:val="18"/>
          <w:highlight w:val="none"/>
        </w:rPr>
        <w:t>），在此我方说明如下：</w:t>
      </w:r>
    </w:p>
    <w:p w14:paraId="79D6396E">
      <w:pPr>
        <w:spacing w:line="360" w:lineRule="exact"/>
        <w:ind w:firstLine="360" w:firstLineChars="200"/>
        <w:rPr>
          <w:color w:val="auto"/>
          <w:sz w:val="18"/>
          <w:szCs w:val="18"/>
          <w:highlight w:val="none"/>
        </w:rPr>
      </w:pPr>
      <w:r>
        <w:rPr>
          <w:color w:val="auto"/>
          <w:sz w:val="18"/>
          <w:szCs w:val="18"/>
          <w:highlight w:val="none"/>
        </w:rPr>
        <w:t>1．我方承诺，若我单位</w:t>
      </w:r>
      <w:r>
        <w:rPr>
          <w:rFonts w:hint="eastAsia"/>
          <w:color w:val="auto"/>
          <w:sz w:val="18"/>
          <w:szCs w:val="18"/>
          <w:highlight w:val="none"/>
        </w:rPr>
        <w:t>成交</w:t>
      </w:r>
      <w:r>
        <w:rPr>
          <w:color w:val="auto"/>
          <w:sz w:val="18"/>
          <w:szCs w:val="18"/>
          <w:highlight w:val="none"/>
        </w:rPr>
        <w:t>，保证在领取</w:t>
      </w:r>
      <w:r>
        <w:rPr>
          <w:rFonts w:hint="eastAsia"/>
          <w:color w:val="auto"/>
          <w:sz w:val="18"/>
          <w:szCs w:val="18"/>
          <w:highlight w:val="none"/>
        </w:rPr>
        <w:t>成交</w:t>
      </w:r>
      <w:r>
        <w:rPr>
          <w:color w:val="auto"/>
          <w:sz w:val="18"/>
          <w:szCs w:val="18"/>
          <w:highlight w:val="none"/>
        </w:rPr>
        <w:t>通知书之前，按本项目</w:t>
      </w:r>
      <w:r>
        <w:rPr>
          <w:rFonts w:hint="eastAsia"/>
          <w:color w:val="auto"/>
          <w:sz w:val="18"/>
          <w:szCs w:val="18"/>
          <w:highlight w:val="none"/>
        </w:rPr>
        <w:t>采购文件</w:t>
      </w:r>
      <w:r>
        <w:rPr>
          <w:color w:val="auto"/>
          <w:sz w:val="18"/>
          <w:szCs w:val="18"/>
          <w:highlight w:val="none"/>
        </w:rPr>
        <w:t>的规定标准向贵单位支付代理服务费。如我单位未按规定缴纳代理服务费，贵方可</w:t>
      </w:r>
      <w:r>
        <w:rPr>
          <w:rFonts w:hint="eastAsia"/>
          <w:color w:val="auto"/>
          <w:sz w:val="18"/>
          <w:szCs w:val="18"/>
          <w:highlight w:val="none"/>
        </w:rPr>
        <w:t>不退还</w:t>
      </w:r>
      <w:r>
        <w:rPr>
          <w:color w:val="auto"/>
          <w:sz w:val="18"/>
          <w:szCs w:val="18"/>
          <w:highlight w:val="none"/>
        </w:rPr>
        <w:t>我单位提交的</w:t>
      </w:r>
      <w:r>
        <w:rPr>
          <w:rFonts w:hint="eastAsia"/>
          <w:color w:val="auto"/>
          <w:sz w:val="18"/>
          <w:szCs w:val="18"/>
          <w:highlight w:val="none"/>
        </w:rPr>
        <w:t>磋商</w:t>
      </w:r>
      <w:r>
        <w:rPr>
          <w:color w:val="auto"/>
          <w:sz w:val="18"/>
          <w:szCs w:val="18"/>
          <w:highlight w:val="none"/>
        </w:rPr>
        <w:t>保证金</w:t>
      </w:r>
      <w:r>
        <w:rPr>
          <w:rFonts w:hint="eastAsia"/>
          <w:color w:val="auto"/>
          <w:sz w:val="18"/>
          <w:szCs w:val="18"/>
          <w:highlight w:val="none"/>
        </w:rPr>
        <w:t>，并从中</w:t>
      </w:r>
      <w:r>
        <w:rPr>
          <w:color w:val="auto"/>
          <w:sz w:val="18"/>
          <w:szCs w:val="18"/>
          <w:highlight w:val="none"/>
        </w:rPr>
        <w:t>扣除</w:t>
      </w:r>
      <w:r>
        <w:rPr>
          <w:rFonts w:hint="eastAsia"/>
          <w:color w:val="auto"/>
          <w:sz w:val="18"/>
          <w:szCs w:val="18"/>
          <w:highlight w:val="none"/>
        </w:rPr>
        <w:t>代理服务费</w:t>
      </w:r>
      <w:r>
        <w:rPr>
          <w:color w:val="auto"/>
          <w:sz w:val="18"/>
          <w:szCs w:val="18"/>
          <w:highlight w:val="none"/>
        </w:rPr>
        <w:t>，余款按下列账户退回。</w:t>
      </w:r>
    </w:p>
    <w:p w14:paraId="2A6632BD">
      <w:pPr>
        <w:snapToGrid w:val="0"/>
        <w:spacing w:before="50" w:after="120" w:afterLines="50"/>
        <w:ind w:firstLine="360" w:firstLineChars="200"/>
        <w:jc w:val="left"/>
        <w:rPr>
          <w:color w:val="auto"/>
          <w:sz w:val="18"/>
          <w:szCs w:val="18"/>
          <w:highlight w:val="none"/>
        </w:rPr>
      </w:pPr>
      <w:r>
        <w:rPr>
          <w:color w:val="auto"/>
          <w:sz w:val="18"/>
          <w:szCs w:val="18"/>
          <w:highlight w:val="none"/>
        </w:rPr>
        <w:t>我公司选择第</w:t>
      </w:r>
      <w:r>
        <w:rPr>
          <w:color w:val="auto"/>
          <w:sz w:val="18"/>
          <w:szCs w:val="18"/>
          <w:highlight w:val="none"/>
          <w:u w:val="single"/>
        </w:rPr>
        <w:t xml:space="preserve">     </w:t>
      </w:r>
      <w:r>
        <w:rPr>
          <w:color w:val="auto"/>
          <w:sz w:val="18"/>
          <w:szCs w:val="18"/>
          <w:highlight w:val="none"/>
        </w:rPr>
        <w:t>种方式缴纳代理服务费。</w:t>
      </w:r>
    </w:p>
    <w:p w14:paraId="2DB54737">
      <w:pPr>
        <w:spacing w:line="360" w:lineRule="exact"/>
        <w:ind w:firstLine="360" w:firstLineChars="200"/>
        <w:rPr>
          <w:color w:val="auto"/>
          <w:sz w:val="18"/>
          <w:szCs w:val="18"/>
          <w:highlight w:val="none"/>
        </w:rPr>
      </w:pPr>
      <w:r>
        <w:rPr>
          <w:color w:val="auto"/>
          <w:sz w:val="18"/>
          <w:szCs w:val="18"/>
          <w:highlight w:val="none"/>
        </w:rPr>
        <w:t>第一种方式：一次性足额缴纳代理服务费。</w:t>
      </w:r>
    </w:p>
    <w:p w14:paraId="1E79D88F">
      <w:pPr>
        <w:spacing w:line="360" w:lineRule="exact"/>
        <w:ind w:firstLine="360" w:firstLineChars="200"/>
        <w:rPr>
          <w:color w:val="auto"/>
          <w:sz w:val="18"/>
          <w:szCs w:val="18"/>
          <w:highlight w:val="none"/>
        </w:rPr>
      </w:pPr>
      <w:r>
        <w:rPr>
          <w:color w:val="auto"/>
          <w:sz w:val="18"/>
          <w:szCs w:val="18"/>
          <w:highlight w:val="none"/>
        </w:rPr>
        <w:t>第二种方式：从磋商保证金中抵扣代理服务费，不足部分补交。</w:t>
      </w:r>
    </w:p>
    <w:p w14:paraId="437595AE">
      <w:pPr>
        <w:spacing w:line="360" w:lineRule="exact"/>
        <w:ind w:firstLine="360" w:firstLineChars="200"/>
        <w:rPr>
          <w:color w:val="auto"/>
          <w:sz w:val="18"/>
          <w:szCs w:val="18"/>
          <w:highlight w:val="none"/>
        </w:rPr>
      </w:pPr>
      <w:r>
        <w:rPr>
          <w:color w:val="auto"/>
          <w:sz w:val="18"/>
          <w:szCs w:val="18"/>
          <w:highlight w:val="none"/>
        </w:rPr>
        <w:t>2．如我单位磋商保证金无法原路返回，请按下表账户信息无息退还。</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3"/>
        <w:gridCol w:w="5431"/>
      </w:tblGrid>
      <w:tr w14:paraId="7345B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10FC02BD">
            <w:pPr>
              <w:spacing w:line="360" w:lineRule="exact"/>
              <w:jc w:val="center"/>
              <w:rPr>
                <w:color w:val="auto"/>
                <w:sz w:val="18"/>
                <w:szCs w:val="18"/>
                <w:highlight w:val="none"/>
              </w:rPr>
            </w:pPr>
            <w:r>
              <w:rPr>
                <w:color w:val="auto"/>
                <w:sz w:val="18"/>
                <w:szCs w:val="18"/>
                <w:highlight w:val="none"/>
              </w:rPr>
              <w:t>收款户名</w:t>
            </w:r>
          </w:p>
        </w:tc>
        <w:tc>
          <w:tcPr>
            <w:tcW w:w="5431" w:type="dxa"/>
            <w:vAlign w:val="center"/>
          </w:tcPr>
          <w:p w14:paraId="2F01CDED">
            <w:pPr>
              <w:spacing w:line="360" w:lineRule="exact"/>
              <w:jc w:val="center"/>
              <w:rPr>
                <w:color w:val="auto"/>
                <w:sz w:val="18"/>
                <w:szCs w:val="18"/>
                <w:highlight w:val="none"/>
              </w:rPr>
            </w:pPr>
          </w:p>
        </w:tc>
      </w:tr>
      <w:tr w14:paraId="568DE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54C75B3C">
            <w:pPr>
              <w:spacing w:line="360" w:lineRule="exact"/>
              <w:jc w:val="center"/>
              <w:rPr>
                <w:color w:val="auto"/>
                <w:sz w:val="18"/>
                <w:szCs w:val="18"/>
                <w:highlight w:val="none"/>
              </w:rPr>
            </w:pPr>
            <w:r>
              <w:rPr>
                <w:color w:val="auto"/>
                <w:sz w:val="18"/>
                <w:szCs w:val="18"/>
                <w:highlight w:val="none"/>
              </w:rPr>
              <w:t>账    号</w:t>
            </w:r>
          </w:p>
        </w:tc>
        <w:tc>
          <w:tcPr>
            <w:tcW w:w="5431" w:type="dxa"/>
            <w:vAlign w:val="center"/>
          </w:tcPr>
          <w:p w14:paraId="7F03F9AA">
            <w:pPr>
              <w:spacing w:line="360" w:lineRule="exact"/>
              <w:jc w:val="center"/>
              <w:rPr>
                <w:color w:val="auto"/>
                <w:sz w:val="18"/>
                <w:szCs w:val="18"/>
                <w:highlight w:val="none"/>
              </w:rPr>
            </w:pPr>
          </w:p>
        </w:tc>
      </w:tr>
      <w:tr w14:paraId="65C4D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1DA50A16">
            <w:pPr>
              <w:spacing w:line="360" w:lineRule="exact"/>
              <w:jc w:val="center"/>
              <w:rPr>
                <w:color w:val="auto"/>
                <w:sz w:val="18"/>
                <w:szCs w:val="18"/>
                <w:highlight w:val="none"/>
              </w:rPr>
            </w:pPr>
            <w:r>
              <w:rPr>
                <w:color w:val="auto"/>
                <w:sz w:val="18"/>
                <w:szCs w:val="18"/>
                <w:highlight w:val="none"/>
              </w:rPr>
              <w:t>开户银行</w:t>
            </w:r>
          </w:p>
        </w:tc>
        <w:tc>
          <w:tcPr>
            <w:tcW w:w="5431" w:type="dxa"/>
            <w:vAlign w:val="center"/>
          </w:tcPr>
          <w:p w14:paraId="5F80A849">
            <w:pPr>
              <w:spacing w:line="360" w:lineRule="exact"/>
              <w:jc w:val="center"/>
              <w:rPr>
                <w:color w:val="auto"/>
                <w:sz w:val="18"/>
                <w:szCs w:val="18"/>
                <w:highlight w:val="none"/>
              </w:rPr>
            </w:pPr>
          </w:p>
        </w:tc>
      </w:tr>
      <w:tr w14:paraId="5F7BF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4C989024">
            <w:pPr>
              <w:spacing w:line="360" w:lineRule="exact"/>
              <w:jc w:val="center"/>
              <w:rPr>
                <w:color w:val="auto"/>
                <w:sz w:val="18"/>
                <w:szCs w:val="18"/>
                <w:highlight w:val="none"/>
              </w:rPr>
            </w:pPr>
            <w:r>
              <w:rPr>
                <w:color w:val="auto"/>
                <w:sz w:val="18"/>
                <w:szCs w:val="18"/>
                <w:highlight w:val="none"/>
              </w:rPr>
              <w:t>银行行号</w:t>
            </w:r>
          </w:p>
        </w:tc>
        <w:tc>
          <w:tcPr>
            <w:tcW w:w="5431" w:type="dxa"/>
            <w:vAlign w:val="center"/>
          </w:tcPr>
          <w:p w14:paraId="13DEA566">
            <w:pPr>
              <w:spacing w:line="360" w:lineRule="exact"/>
              <w:jc w:val="center"/>
              <w:rPr>
                <w:color w:val="auto"/>
                <w:sz w:val="18"/>
                <w:szCs w:val="18"/>
                <w:highlight w:val="none"/>
              </w:rPr>
            </w:pPr>
          </w:p>
        </w:tc>
      </w:tr>
    </w:tbl>
    <w:p w14:paraId="31EF5996">
      <w:pPr>
        <w:spacing w:line="360" w:lineRule="exact"/>
        <w:ind w:firstLine="360" w:firstLineChars="200"/>
        <w:rPr>
          <w:color w:val="auto"/>
          <w:sz w:val="18"/>
          <w:szCs w:val="18"/>
          <w:highlight w:val="none"/>
        </w:rPr>
      </w:pPr>
      <w:r>
        <w:rPr>
          <w:color w:val="auto"/>
          <w:sz w:val="18"/>
          <w:szCs w:val="18"/>
          <w:highlight w:val="none"/>
        </w:rPr>
        <w:t>3．如果我单位未遵守有关采购文件关于磋商保证金的规定，贵方可以没收我单位磋商保证金。</w:t>
      </w:r>
    </w:p>
    <w:p w14:paraId="464C9B05">
      <w:pPr>
        <w:spacing w:line="360" w:lineRule="exact"/>
        <w:ind w:firstLine="360" w:firstLineChars="200"/>
        <w:rPr>
          <w:color w:val="auto"/>
          <w:sz w:val="18"/>
          <w:szCs w:val="18"/>
          <w:highlight w:val="none"/>
        </w:rPr>
      </w:pPr>
      <w:r>
        <w:rPr>
          <w:color w:val="auto"/>
          <w:sz w:val="18"/>
          <w:szCs w:val="18"/>
          <w:highlight w:val="none"/>
        </w:rPr>
        <w:t>4. 我单位选择第</w:t>
      </w:r>
      <w:r>
        <w:rPr>
          <w:color w:val="auto"/>
          <w:sz w:val="18"/>
          <w:szCs w:val="18"/>
          <w:highlight w:val="none"/>
          <w:u w:val="single"/>
        </w:rPr>
        <w:t xml:space="preserve">     </w:t>
      </w:r>
      <w:r>
        <w:rPr>
          <w:color w:val="auto"/>
          <w:sz w:val="18"/>
          <w:szCs w:val="18"/>
          <w:highlight w:val="none"/>
        </w:rPr>
        <w:t>种方式作为代理服务费开票类型：</w:t>
      </w:r>
    </w:p>
    <w:p w14:paraId="03E3EC42">
      <w:pPr>
        <w:spacing w:line="360" w:lineRule="exact"/>
        <w:ind w:firstLine="360" w:firstLineChars="200"/>
        <w:rPr>
          <w:color w:val="auto"/>
          <w:sz w:val="18"/>
          <w:szCs w:val="18"/>
          <w:highlight w:val="none"/>
        </w:rPr>
      </w:pPr>
      <w:r>
        <w:rPr>
          <w:color w:val="auto"/>
          <w:sz w:val="18"/>
          <w:szCs w:val="18"/>
          <w:highlight w:val="none"/>
        </w:rPr>
        <w:t>第一种方式：开具收据。</w:t>
      </w:r>
    </w:p>
    <w:p w14:paraId="59EB407F">
      <w:pPr>
        <w:spacing w:line="360" w:lineRule="exact"/>
        <w:ind w:firstLine="360" w:firstLineChars="200"/>
        <w:rPr>
          <w:color w:val="auto"/>
          <w:sz w:val="18"/>
          <w:szCs w:val="18"/>
          <w:highlight w:val="none"/>
        </w:rPr>
      </w:pPr>
      <w:r>
        <w:rPr>
          <w:color w:val="auto"/>
          <w:sz w:val="18"/>
          <w:szCs w:val="18"/>
          <w:highlight w:val="none"/>
        </w:rPr>
        <w:t>第二种方式：开具增值税普通发票。 1.公司名称</w:t>
      </w:r>
      <w:r>
        <w:rPr>
          <w:color w:val="auto"/>
          <w:sz w:val="18"/>
          <w:szCs w:val="18"/>
          <w:highlight w:val="none"/>
          <w:u w:val="single"/>
        </w:rPr>
        <w:t xml:space="preserve">                      </w:t>
      </w:r>
      <w:r>
        <w:rPr>
          <w:color w:val="auto"/>
          <w:sz w:val="18"/>
          <w:szCs w:val="18"/>
          <w:highlight w:val="none"/>
        </w:rPr>
        <w:t>；2.纳税人识别号</w:t>
      </w:r>
      <w:r>
        <w:rPr>
          <w:color w:val="auto"/>
          <w:sz w:val="18"/>
          <w:szCs w:val="18"/>
          <w:highlight w:val="none"/>
          <w:u w:val="single"/>
        </w:rPr>
        <w:t xml:space="preserve">                     </w:t>
      </w:r>
      <w:r>
        <w:rPr>
          <w:color w:val="auto"/>
          <w:sz w:val="18"/>
          <w:szCs w:val="18"/>
          <w:highlight w:val="none"/>
        </w:rPr>
        <w:t>；</w:t>
      </w:r>
    </w:p>
    <w:p w14:paraId="31161B88">
      <w:pPr>
        <w:spacing w:line="360" w:lineRule="exact"/>
        <w:ind w:firstLine="360" w:firstLineChars="200"/>
        <w:rPr>
          <w:color w:val="auto"/>
          <w:sz w:val="18"/>
          <w:szCs w:val="18"/>
          <w:highlight w:val="none"/>
        </w:rPr>
      </w:pPr>
      <w:r>
        <w:rPr>
          <w:color w:val="auto"/>
          <w:sz w:val="18"/>
          <w:szCs w:val="18"/>
          <w:highlight w:val="none"/>
        </w:rPr>
        <w:t>第三种方式：开具增值税专用发票，开票信息如下：1.公司名称</w:t>
      </w:r>
      <w:r>
        <w:rPr>
          <w:color w:val="auto"/>
          <w:sz w:val="18"/>
          <w:szCs w:val="18"/>
          <w:highlight w:val="none"/>
          <w:u w:val="single"/>
        </w:rPr>
        <w:t xml:space="preserve">                      </w:t>
      </w:r>
      <w:r>
        <w:rPr>
          <w:color w:val="auto"/>
          <w:sz w:val="18"/>
          <w:szCs w:val="18"/>
          <w:highlight w:val="none"/>
        </w:rPr>
        <w:t>；2.纳税人识别号</w:t>
      </w:r>
      <w:r>
        <w:rPr>
          <w:color w:val="auto"/>
          <w:sz w:val="18"/>
          <w:szCs w:val="18"/>
          <w:highlight w:val="none"/>
          <w:u w:val="single"/>
        </w:rPr>
        <w:t xml:space="preserve">                     </w:t>
      </w:r>
      <w:r>
        <w:rPr>
          <w:color w:val="auto"/>
          <w:sz w:val="18"/>
          <w:szCs w:val="18"/>
          <w:highlight w:val="none"/>
        </w:rPr>
        <w:t>；3.税局登记地址</w:t>
      </w:r>
      <w:r>
        <w:rPr>
          <w:color w:val="auto"/>
          <w:sz w:val="18"/>
          <w:szCs w:val="18"/>
          <w:highlight w:val="none"/>
          <w:u w:val="single"/>
        </w:rPr>
        <w:t xml:space="preserve">                     </w:t>
      </w:r>
      <w:r>
        <w:rPr>
          <w:color w:val="auto"/>
          <w:sz w:val="18"/>
          <w:szCs w:val="18"/>
          <w:highlight w:val="none"/>
        </w:rPr>
        <w:t>；4.税局登记电话</w:t>
      </w:r>
      <w:r>
        <w:rPr>
          <w:color w:val="auto"/>
          <w:sz w:val="18"/>
          <w:szCs w:val="18"/>
          <w:highlight w:val="none"/>
          <w:u w:val="single"/>
        </w:rPr>
        <w:t xml:space="preserve">             </w:t>
      </w:r>
      <w:r>
        <w:rPr>
          <w:color w:val="auto"/>
          <w:sz w:val="18"/>
          <w:szCs w:val="18"/>
          <w:highlight w:val="none"/>
        </w:rPr>
        <w:t>；5.开户银行</w:t>
      </w:r>
      <w:r>
        <w:rPr>
          <w:color w:val="auto"/>
          <w:sz w:val="18"/>
          <w:szCs w:val="18"/>
          <w:highlight w:val="none"/>
          <w:u w:val="single"/>
        </w:rPr>
        <w:t xml:space="preserve">                 </w:t>
      </w:r>
      <w:r>
        <w:rPr>
          <w:color w:val="auto"/>
          <w:sz w:val="18"/>
          <w:szCs w:val="18"/>
          <w:highlight w:val="none"/>
        </w:rPr>
        <w:t>；6.银行账户</w:t>
      </w:r>
      <w:r>
        <w:rPr>
          <w:color w:val="auto"/>
          <w:sz w:val="18"/>
          <w:szCs w:val="18"/>
          <w:highlight w:val="none"/>
          <w:u w:val="single"/>
        </w:rPr>
        <w:t xml:space="preserve">                         </w:t>
      </w:r>
      <w:r>
        <w:rPr>
          <w:color w:val="auto"/>
          <w:sz w:val="18"/>
          <w:szCs w:val="18"/>
          <w:highlight w:val="none"/>
        </w:rPr>
        <w:t>。</w:t>
      </w:r>
    </w:p>
    <w:p w14:paraId="382B109D">
      <w:pPr>
        <w:spacing w:before="120" w:beforeLines="50" w:line="360" w:lineRule="auto"/>
        <w:jc w:val="left"/>
        <w:rPr>
          <w:color w:val="auto"/>
          <w:sz w:val="18"/>
          <w:szCs w:val="18"/>
          <w:highlight w:val="none"/>
        </w:rPr>
      </w:pPr>
    </w:p>
    <w:p w14:paraId="67293990">
      <w:pPr>
        <w:spacing w:before="120" w:beforeLines="50" w:line="360" w:lineRule="auto"/>
        <w:jc w:val="left"/>
        <w:rPr>
          <w:color w:val="auto"/>
          <w:sz w:val="18"/>
          <w:szCs w:val="18"/>
          <w:highlight w:val="none"/>
          <w:u w:val="single"/>
        </w:rPr>
      </w:pPr>
      <w:r>
        <w:rPr>
          <w:color w:val="auto"/>
          <w:sz w:val="18"/>
          <w:szCs w:val="18"/>
          <w:highlight w:val="none"/>
        </w:rPr>
        <w:t>供应商</w:t>
      </w:r>
      <w:r>
        <w:rPr>
          <w:rFonts w:hint="eastAsia"/>
          <w:color w:val="auto"/>
          <w:sz w:val="18"/>
          <w:szCs w:val="18"/>
          <w:highlight w:val="none"/>
        </w:rPr>
        <w:t>名称(电子签章</w:t>
      </w:r>
      <w:r>
        <w:rPr>
          <w:color w:val="auto"/>
          <w:sz w:val="18"/>
          <w:szCs w:val="18"/>
          <w:highlight w:val="none"/>
        </w:rPr>
        <w:t>)：</w:t>
      </w:r>
      <w:r>
        <w:rPr>
          <w:color w:val="auto"/>
          <w:sz w:val="18"/>
          <w:szCs w:val="18"/>
          <w:highlight w:val="none"/>
          <w:u w:val="single"/>
        </w:rPr>
        <w:t xml:space="preserve">                              </w:t>
      </w:r>
    </w:p>
    <w:p w14:paraId="3392440C">
      <w:pPr>
        <w:spacing w:before="120" w:beforeLines="50" w:line="360" w:lineRule="auto"/>
        <w:jc w:val="left"/>
        <w:rPr>
          <w:color w:val="auto"/>
          <w:sz w:val="18"/>
          <w:szCs w:val="18"/>
          <w:highlight w:val="none"/>
        </w:rPr>
      </w:pPr>
      <w:r>
        <w:rPr>
          <w:color w:val="auto"/>
          <w:sz w:val="18"/>
          <w:szCs w:val="18"/>
          <w:highlight w:val="none"/>
        </w:rPr>
        <w:t>供应商地址：</w:t>
      </w:r>
      <w:r>
        <w:rPr>
          <w:color w:val="auto"/>
          <w:sz w:val="18"/>
          <w:szCs w:val="18"/>
          <w:highlight w:val="none"/>
          <w:u w:val="single"/>
        </w:rPr>
        <w:t xml:space="preserve">                                     </w:t>
      </w:r>
    </w:p>
    <w:p w14:paraId="0D494812">
      <w:pPr>
        <w:wordWrap w:val="0"/>
        <w:spacing w:before="120" w:beforeLines="50" w:line="360" w:lineRule="auto"/>
        <w:jc w:val="right"/>
        <w:rPr>
          <w:color w:val="auto"/>
          <w:sz w:val="18"/>
          <w:szCs w:val="18"/>
          <w:highlight w:val="none"/>
        </w:rPr>
      </w:pPr>
      <w:r>
        <w:rPr>
          <w:color w:val="auto"/>
          <w:sz w:val="18"/>
          <w:szCs w:val="18"/>
          <w:highlight w:val="none"/>
        </w:rPr>
        <w:t>日期：</w:t>
      </w:r>
      <w:r>
        <w:rPr>
          <w:color w:val="auto"/>
          <w:sz w:val="18"/>
          <w:szCs w:val="18"/>
          <w:highlight w:val="none"/>
          <w:u w:val="single"/>
        </w:rPr>
        <w:t xml:space="preserve">      </w:t>
      </w:r>
      <w:r>
        <w:rPr>
          <w:color w:val="auto"/>
          <w:sz w:val="18"/>
          <w:szCs w:val="18"/>
          <w:highlight w:val="none"/>
        </w:rPr>
        <w:t>年</w:t>
      </w:r>
      <w:r>
        <w:rPr>
          <w:color w:val="auto"/>
          <w:sz w:val="18"/>
          <w:szCs w:val="18"/>
          <w:highlight w:val="none"/>
          <w:u w:val="single"/>
        </w:rPr>
        <w:t xml:space="preserve">    </w:t>
      </w:r>
      <w:r>
        <w:rPr>
          <w:color w:val="auto"/>
          <w:sz w:val="18"/>
          <w:szCs w:val="18"/>
          <w:highlight w:val="none"/>
        </w:rPr>
        <w:t>月</w:t>
      </w:r>
      <w:r>
        <w:rPr>
          <w:color w:val="auto"/>
          <w:sz w:val="18"/>
          <w:szCs w:val="18"/>
          <w:highlight w:val="none"/>
          <w:u w:val="single"/>
        </w:rPr>
        <w:t xml:space="preserve">    </w:t>
      </w:r>
      <w:r>
        <w:rPr>
          <w:color w:val="auto"/>
          <w:sz w:val="18"/>
          <w:szCs w:val="18"/>
          <w:highlight w:val="none"/>
        </w:rPr>
        <w:t>日</w:t>
      </w:r>
    </w:p>
    <w:p w14:paraId="4F5E877F">
      <w:pPr>
        <w:spacing w:before="120" w:beforeLines="50"/>
        <w:rPr>
          <w:color w:val="auto"/>
          <w:sz w:val="18"/>
          <w:szCs w:val="18"/>
          <w:highlight w:val="none"/>
        </w:rPr>
      </w:pPr>
      <w:r>
        <w:rPr>
          <w:color w:val="auto"/>
          <w:sz w:val="18"/>
          <w:szCs w:val="18"/>
          <w:highlight w:val="none"/>
        </w:rPr>
        <w:t>说明：</w:t>
      </w:r>
    </w:p>
    <w:p w14:paraId="7880EC60">
      <w:pPr>
        <w:spacing w:line="340" w:lineRule="exact"/>
        <w:ind w:firstLine="360" w:firstLineChars="200"/>
        <w:rPr>
          <w:color w:val="auto"/>
          <w:sz w:val="18"/>
          <w:szCs w:val="18"/>
          <w:highlight w:val="none"/>
        </w:rPr>
      </w:pPr>
      <w:r>
        <w:rPr>
          <w:color w:val="auto"/>
          <w:sz w:val="18"/>
          <w:szCs w:val="18"/>
          <w:highlight w:val="none"/>
        </w:rPr>
        <w:t>（1）为保障资金安全，上述账户不能为私人账户。</w:t>
      </w:r>
    </w:p>
    <w:p w14:paraId="04F90588">
      <w:pPr>
        <w:spacing w:line="340" w:lineRule="exact"/>
        <w:ind w:firstLine="360" w:firstLineChars="200"/>
        <w:rPr>
          <w:color w:val="auto"/>
          <w:sz w:val="18"/>
          <w:szCs w:val="18"/>
          <w:highlight w:val="none"/>
        </w:rPr>
      </w:pPr>
      <w:r>
        <w:rPr>
          <w:color w:val="auto"/>
          <w:sz w:val="18"/>
          <w:szCs w:val="18"/>
          <w:highlight w:val="none"/>
        </w:rPr>
        <w:t>（2）如因未按要求缴纳磋商保证金，导致磋商保证金无法退还或丢失等可能产生的一切后果由供应商自行负责。如需要，采购代理机构将按上述所填信息办理代理服务费发票事宜。如所填信息有误导致开票信息错误等可能产生的一切后果由供应商自行负责。</w:t>
      </w:r>
    </w:p>
    <w:p w14:paraId="6055E030">
      <w:pPr>
        <w:spacing w:line="340" w:lineRule="exact"/>
        <w:ind w:firstLine="360" w:firstLineChars="200"/>
        <w:rPr>
          <w:color w:val="auto"/>
          <w:sz w:val="18"/>
          <w:szCs w:val="18"/>
          <w:highlight w:val="none"/>
        </w:rPr>
      </w:pPr>
      <w:r>
        <w:rPr>
          <w:color w:val="auto"/>
          <w:sz w:val="18"/>
          <w:szCs w:val="18"/>
          <w:highlight w:val="none"/>
        </w:rPr>
        <w:t>（3）如供应商未及时收到退回款项，请与广西机电设备招标有限公司财务部联系。广西机电设备招标有限公司财务部联系方式：联系人：吴茜；电话：0771-2821398；传真：0771-2843545。</w:t>
      </w:r>
    </w:p>
    <w:p w14:paraId="59866A9A">
      <w:pPr>
        <w:snapToGrid w:val="0"/>
        <w:spacing w:before="50" w:after="120" w:afterLines="50"/>
        <w:jc w:val="left"/>
        <w:rPr>
          <w:color w:val="auto"/>
          <w:sz w:val="18"/>
          <w:szCs w:val="18"/>
          <w:highlight w:val="none"/>
        </w:rPr>
      </w:pPr>
    </w:p>
    <w:p w14:paraId="14B475A2">
      <w:pPr>
        <w:snapToGrid w:val="0"/>
        <w:spacing w:before="50" w:after="120" w:afterLines="50"/>
        <w:jc w:val="left"/>
        <w:rPr>
          <w:color w:val="auto"/>
          <w:sz w:val="18"/>
          <w:szCs w:val="18"/>
          <w:highlight w:val="none"/>
        </w:rPr>
      </w:pPr>
    </w:p>
    <w:p w14:paraId="6A11799A">
      <w:pPr>
        <w:snapToGrid w:val="0"/>
        <w:spacing w:before="120" w:beforeLines="50" w:after="50" w:line="440" w:lineRule="exact"/>
        <w:outlineLvl w:val="1"/>
        <w:rPr>
          <w:bCs/>
          <w:color w:val="auto"/>
          <w:sz w:val="18"/>
          <w:szCs w:val="18"/>
          <w:highlight w:val="none"/>
        </w:rPr>
      </w:pPr>
      <w:r>
        <w:rPr>
          <w:bCs/>
          <w:color w:val="auto"/>
          <w:sz w:val="18"/>
          <w:szCs w:val="18"/>
          <w:highlight w:val="none"/>
        </w:rPr>
        <w:br w:type="page"/>
      </w:r>
      <w:r>
        <w:rPr>
          <w:bCs/>
          <w:color w:val="auto"/>
          <w:sz w:val="18"/>
          <w:szCs w:val="18"/>
          <w:highlight w:val="none"/>
        </w:rPr>
        <w:t>第三部分 报价文件</w:t>
      </w:r>
    </w:p>
    <w:p w14:paraId="3B72FA2A">
      <w:pPr>
        <w:jc w:val="center"/>
        <w:rPr>
          <w:b/>
          <w:bCs/>
          <w:color w:val="auto"/>
          <w:sz w:val="18"/>
          <w:szCs w:val="18"/>
          <w:highlight w:val="none"/>
        </w:rPr>
      </w:pPr>
    </w:p>
    <w:p w14:paraId="44F3E257">
      <w:pPr>
        <w:rPr>
          <w:color w:val="auto"/>
          <w:sz w:val="18"/>
          <w:szCs w:val="18"/>
          <w:highlight w:val="none"/>
        </w:rPr>
      </w:pPr>
      <w:r>
        <w:rPr>
          <w:color w:val="auto"/>
          <w:sz w:val="18"/>
          <w:szCs w:val="18"/>
          <w:highlight w:val="none"/>
        </w:rPr>
        <w:t>1．</w:t>
      </w:r>
      <w:r>
        <w:rPr>
          <w:rFonts w:hint="eastAsia"/>
          <w:color w:val="auto"/>
          <w:sz w:val="18"/>
          <w:szCs w:val="18"/>
          <w:highlight w:val="none"/>
        </w:rPr>
        <w:t>响应</w:t>
      </w:r>
      <w:r>
        <w:rPr>
          <w:color w:val="auto"/>
          <w:sz w:val="18"/>
          <w:szCs w:val="18"/>
          <w:highlight w:val="none"/>
        </w:rPr>
        <w:t>函格式：</w:t>
      </w:r>
    </w:p>
    <w:p w14:paraId="5B3F0F93">
      <w:pPr>
        <w:jc w:val="center"/>
        <w:rPr>
          <w:b/>
          <w:bCs/>
          <w:color w:val="auto"/>
          <w:sz w:val="18"/>
          <w:szCs w:val="18"/>
          <w:highlight w:val="none"/>
        </w:rPr>
      </w:pPr>
    </w:p>
    <w:p w14:paraId="1D4570CB">
      <w:pPr>
        <w:jc w:val="center"/>
        <w:rPr>
          <w:b/>
          <w:color w:val="auto"/>
          <w:sz w:val="18"/>
          <w:szCs w:val="18"/>
          <w:highlight w:val="none"/>
        </w:rPr>
      </w:pPr>
      <w:r>
        <w:rPr>
          <w:b/>
          <w:color w:val="auto"/>
          <w:sz w:val="18"/>
          <w:szCs w:val="18"/>
          <w:highlight w:val="none"/>
        </w:rPr>
        <w:t>响 应 函</w:t>
      </w:r>
    </w:p>
    <w:p w14:paraId="0C04CEED">
      <w:pPr>
        <w:rPr>
          <w:b/>
          <w:color w:val="auto"/>
          <w:sz w:val="18"/>
          <w:szCs w:val="18"/>
          <w:highlight w:val="none"/>
        </w:rPr>
      </w:pPr>
    </w:p>
    <w:p w14:paraId="2F830FE6">
      <w:pPr>
        <w:snapToGrid w:val="0"/>
        <w:spacing w:before="120" w:beforeLines="50" w:after="50" w:line="360" w:lineRule="exact"/>
        <w:rPr>
          <w:color w:val="auto"/>
          <w:sz w:val="18"/>
          <w:szCs w:val="18"/>
          <w:highlight w:val="none"/>
        </w:rPr>
      </w:pPr>
      <w:r>
        <w:rPr>
          <w:color w:val="auto"/>
          <w:sz w:val="18"/>
          <w:szCs w:val="18"/>
          <w:highlight w:val="none"/>
        </w:rPr>
        <w:t>致：</w:t>
      </w:r>
      <w:bookmarkStart w:id="1136" w:name="_Hlk19051378"/>
      <w:r>
        <w:rPr>
          <w:i/>
          <w:iCs/>
          <w:color w:val="auto"/>
          <w:sz w:val="18"/>
          <w:szCs w:val="18"/>
          <w:highlight w:val="none"/>
          <w:u w:val="single"/>
        </w:rPr>
        <w:t>（采购</w:t>
      </w:r>
      <w:r>
        <w:rPr>
          <w:rFonts w:hint="eastAsia"/>
          <w:i/>
          <w:iCs/>
          <w:color w:val="auto"/>
          <w:sz w:val="18"/>
          <w:szCs w:val="18"/>
          <w:highlight w:val="none"/>
          <w:u w:val="single"/>
        </w:rPr>
        <w:t>人</w:t>
      </w:r>
      <w:r>
        <w:rPr>
          <w:i/>
          <w:iCs/>
          <w:color w:val="auto"/>
          <w:sz w:val="18"/>
          <w:szCs w:val="18"/>
          <w:highlight w:val="none"/>
          <w:u w:val="single"/>
        </w:rPr>
        <w:t>名称）</w:t>
      </w:r>
      <w:bookmarkEnd w:id="1136"/>
      <w:r>
        <w:rPr>
          <w:color w:val="auto"/>
          <w:sz w:val="18"/>
          <w:szCs w:val="18"/>
          <w:highlight w:val="none"/>
        </w:rPr>
        <w:t>：</w:t>
      </w:r>
    </w:p>
    <w:p w14:paraId="5205AE10">
      <w:pPr>
        <w:rPr>
          <w:b/>
          <w:color w:val="auto"/>
          <w:sz w:val="18"/>
          <w:szCs w:val="18"/>
          <w:highlight w:val="none"/>
        </w:rPr>
      </w:pPr>
    </w:p>
    <w:p w14:paraId="3EF38EE7">
      <w:pPr>
        <w:spacing w:line="360" w:lineRule="auto"/>
        <w:ind w:firstLine="360" w:firstLineChars="200"/>
        <w:rPr>
          <w:color w:val="auto"/>
          <w:sz w:val="18"/>
          <w:szCs w:val="18"/>
          <w:highlight w:val="none"/>
        </w:rPr>
      </w:pPr>
      <w:r>
        <w:rPr>
          <w:color w:val="auto"/>
          <w:sz w:val="18"/>
          <w:szCs w:val="18"/>
          <w:highlight w:val="none"/>
        </w:rPr>
        <w:t>1.根据你方项目编号为</w:t>
      </w:r>
      <w:r>
        <w:rPr>
          <w:color w:val="auto"/>
          <w:sz w:val="18"/>
          <w:szCs w:val="18"/>
          <w:highlight w:val="none"/>
          <w:u w:val="single"/>
        </w:rPr>
        <w:t xml:space="preserve">  </w:t>
      </w:r>
      <w:r>
        <w:rPr>
          <w:i/>
          <w:iCs/>
          <w:color w:val="auto"/>
          <w:sz w:val="18"/>
          <w:szCs w:val="18"/>
          <w:highlight w:val="none"/>
          <w:u w:val="single"/>
        </w:rPr>
        <w:t>（项目编号）</w:t>
      </w:r>
      <w:r>
        <w:rPr>
          <w:color w:val="auto"/>
          <w:sz w:val="18"/>
          <w:szCs w:val="18"/>
          <w:highlight w:val="none"/>
          <w:u w:val="single"/>
        </w:rPr>
        <w:t xml:space="preserve">  </w:t>
      </w:r>
      <w:r>
        <w:rPr>
          <w:color w:val="auto"/>
          <w:sz w:val="18"/>
          <w:szCs w:val="18"/>
          <w:highlight w:val="none"/>
        </w:rPr>
        <w:t>的</w:t>
      </w:r>
      <w:r>
        <w:rPr>
          <w:color w:val="auto"/>
          <w:sz w:val="18"/>
          <w:szCs w:val="18"/>
          <w:highlight w:val="none"/>
          <w:u w:val="single"/>
        </w:rPr>
        <w:t xml:space="preserve">  </w:t>
      </w:r>
      <w:r>
        <w:rPr>
          <w:i/>
          <w:iCs/>
          <w:color w:val="auto"/>
          <w:sz w:val="18"/>
          <w:szCs w:val="18"/>
          <w:highlight w:val="none"/>
          <w:u w:val="single"/>
        </w:rPr>
        <w:t>（工程项目名称）</w:t>
      </w:r>
      <w:r>
        <w:rPr>
          <w:color w:val="auto"/>
          <w:sz w:val="18"/>
          <w:szCs w:val="18"/>
          <w:highlight w:val="none"/>
          <w:u w:val="single"/>
        </w:rPr>
        <w:t xml:space="preserve">  </w:t>
      </w:r>
      <w:r>
        <w:rPr>
          <w:color w:val="auto"/>
          <w:sz w:val="18"/>
          <w:szCs w:val="18"/>
          <w:highlight w:val="none"/>
        </w:rPr>
        <w:t>工程采购文件，遵照《中华人民共和国政府采购法》、《中华人民共和国</w:t>
      </w:r>
      <w:r>
        <w:rPr>
          <w:rFonts w:hint="eastAsia"/>
          <w:color w:val="auto"/>
          <w:sz w:val="18"/>
          <w:szCs w:val="18"/>
          <w:highlight w:val="none"/>
        </w:rPr>
        <w:t>建筑</w:t>
      </w:r>
      <w:r>
        <w:rPr>
          <w:color w:val="auto"/>
          <w:sz w:val="18"/>
          <w:szCs w:val="18"/>
          <w:highlight w:val="none"/>
        </w:rPr>
        <w:t>法》等有关规定，经踏勘项目现场和研究上述采购文件的供应商须知、合同条款、图纸、工程建设内容和工程量清单及其他有关文件后，我方愿以人民币</w:t>
      </w:r>
      <w:r>
        <w:rPr>
          <w:color w:val="auto"/>
          <w:sz w:val="18"/>
          <w:szCs w:val="18"/>
          <w:highlight w:val="none"/>
          <w:u w:val="single"/>
        </w:rPr>
        <w:t>（大写）    元（RMB￥    元）</w:t>
      </w:r>
      <w:r>
        <w:rPr>
          <w:color w:val="auto"/>
          <w:sz w:val="18"/>
          <w:szCs w:val="18"/>
          <w:highlight w:val="none"/>
        </w:rPr>
        <w:t>的磋商报价并按上述图纸、合同条款、工程建设内容和工程量清单的条件要求承包上述工程的施工、竣工，并承担任何质量缺陷保修责任。我方保证工程质量达到</w:t>
      </w:r>
      <w:r>
        <w:rPr>
          <w:color w:val="auto"/>
          <w:sz w:val="18"/>
          <w:szCs w:val="18"/>
          <w:highlight w:val="none"/>
          <w:u w:val="single"/>
        </w:rPr>
        <w:t xml:space="preserve">     </w:t>
      </w:r>
      <w:r>
        <w:rPr>
          <w:color w:val="auto"/>
          <w:sz w:val="18"/>
          <w:szCs w:val="18"/>
          <w:highlight w:val="none"/>
        </w:rPr>
        <w:t>等级。</w:t>
      </w:r>
    </w:p>
    <w:p w14:paraId="20BE0DC2">
      <w:pPr>
        <w:spacing w:line="360" w:lineRule="auto"/>
        <w:ind w:firstLine="360" w:firstLineChars="200"/>
        <w:rPr>
          <w:color w:val="auto"/>
          <w:sz w:val="18"/>
          <w:szCs w:val="18"/>
          <w:highlight w:val="none"/>
        </w:rPr>
      </w:pPr>
      <w:r>
        <w:rPr>
          <w:color w:val="auto"/>
          <w:sz w:val="18"/>
          <w:szCs w:val="18"/>
          <w:highlight w:val="none"/>
        </w:rPr>
        <w:t>2.我方已详细审核全部采购文件，包括修改文件（如有时）及有关附件。</w:t>
      </w:r>
    </w:p>
    <w:p w14:paraId="36229D26">
      <w:pPr>
        <w:spacing w:line="360" w:lineRule="auto"/>
        <w:ind w:firstLine="360" w:firstLineChars="200"/>
        <w:rPr>
          <w:color w:val="auto"/>
          <w:sz w:val="18"/>
          <w:szCs w:val="18"/>
          <w:highlight w:val="none"/>
        </w:rPr>
      </w:pPr>
      <w:r>
        <w:rPr>
          <w:color w:val="auto"/>
          <w:sz w:val="18"/>
          <w:szCs w:val="18"/>
          <w:highlight w:val="none"/>
        </w:rPr>
        <w:t>3.我方承认响应函附录是我方响应函的组成部分。</w:t>
      </w:r>
    </w:p>
    <w:p w14:paraId="68F39431">
      <w:pPr>
        <w:spacing w:line="360" w:lineRule="auto"/>
        <w:ind w:firstLine="360" w:firstLineChars="200"/>
        <w:rPr>
          <w:color w:val="auto"/>
          <w:sz w:val="18"/>
          <w:szCs w:val="18"/>
          <w:highlight w:val="none"/>
        </w:rPr>
      </w:pPr>
      <w:r>
        <w:rPr>
          <w:color w:val="auto"/>
          <w:sz w:val="18"/>
          <w:szCs w:val="18"/>
          <w:highlight w:val="none"/>
        </w:rPr>
        <w:t>4.一旦我方成交，我方保证按合同书中规定的工期</w:t>
      </w:r>
      <w:r>
        <w:rPr>
          <w:color w:val="auto"/>
          <w:sz w:val="18"/>
          <w:szCs w:val="18"/>
          <w:highlight w:val="none"/>
          <w:u w:val="single"/>
        </w:rPr>
        <w:t xml:space="preserve">        </w:t>
      </w:r>
      <w:r>
        <w:rPr>
          <w:color w:val="auto"/>
          <w:sz w:val="18"/>
          <w:szCs w:val="18"/>
          <w:highlight w:val="none"/>
        </w:rPr>
        <w:t>日历天内完成并移交全部工程</w:t>
      </w:r>
      <w:r>
        <w:rPr>
          <w:rFonts w:hint="eastAsia"/>
          <w:color w:val="auto"/>
          <w:sz w:val="18"/>
          <w:szCs w:val="18"/>
          <w:highlight w:val="none"/>
        </w:rPr>
        <w:t>，并承诺</w:t>
      </w:r>
      <w:r>
        <w:rPr>
          <w:color w:val="auto"/>
          <w:sz w:val="18"/>
          <w:szCs w:val="18"/>
          <w:highlight w:val="none"/>
        </w:rPr>
        <w:t>不分包及转包他人。</w:t>
      </w:r>
    </w:p>
    <w:p w14:paraId="63891063">
      <w:pPr>
        <w:spacing w:line="360" w:lineRule="auto"/>
        <w:ind w:firstLine="360" w:firstLineChars="200"/>
        <w:rPr>
          <w:color w:val="auto"/>
          <w:sz w:val="18"/>
          <w:szCs w:val="18"/>
          <w:highlight w:val="none"/>
        </w:rPr>
      </w:pPr>
      <w:r>
        <w:rPr>
          <w:color w:val="auto"/>
          <w:sz w:val="18"/>
          <w:szCs w:val="18"/>
          <w:highlight w:val="none"/>
        </w:rPr>
        <w:t>5.如果我方成交，我方将按照文件规定提交履约保证金作为履约担保。</w:t>
      </w:r>
    </w:p>
    <w:p w14:paraId="1C469815">
      <w:pPr>
        <w:spacing w:line="360" w:lineRule="auto"/>
        <w:ind w:firstLine="360" w:firstLineChars="200"/>
        <w:rPr>
          <w:color w:val="auto"/>
          <w:sz w:val="18"/>
          <w:szCs w:val="18"/>
          <w:highlight w:val="none"/>
        </w:rPr>
      </w:pPr>
      <w:r>
        <w:rPr>
          <w:color w:val="auto"/>
          <w:sz w:val="18"/>
          <w:szCs w:val="18"/>
          <w:highlight w:val="none"/>
        </w:rPr>
        <w:t>6.我方同意所提交的响应文件在采购文件的“供应商须知”中规定的</w:t>
      </w:r>
      <w:r>
        <w:rPr>
          <w:rFonts w:hint="eastAsia"/>
          <w:color w:val="auto"/>
          <w:sz w:val="18"/>
          <w:szCs w:val="18"/>
          <w:highlight w:val="none"/>
        </w:rPr>
        <w:t>响应</w:t>
      </w:r>
      <w:r>
        <w:rPr>
          <w:color w:val="auto"/>
          <w:sz w:val="18"/>
          <w:szCs w:val="18"/>
          <w:highlight w:val="none"/>
        </w:rPr>
        <w:t>有效期内有效，在此期间内如果成交，我方将受此约束。</w:t>
      </w:r>
    </w:p>
    <w:p w14:paraId="5B45299B">
      <w:pPr>
        <w:spacing w:line="360" w:lineRule="auto"/>
        <w:ind w:firstLine="360" w:firstLineChars="200"/>
        <w:rPr>
          <w:color w:val="auto"/>
          <w:sz w:val="18"/>
          <w:szCs w:val="18"/>
          <w:highlight w:val="none"/>
        </w:rPr>
      </w:pPr>
      <w:r>
        <w:rPr>
          <w:color w:val="auto"/>
          <w:sz w:val="18"/>
          <w:szCs w:val="18"/>
          <w:highlight w:val="none"/>
        </w:rPr>
        <w:t>7.除非另外达成协议并生效，你方的成交通知书和本响应文件将成为约束双方的合同文件的组成部分。</w:t>
      </w:r>
    </w:p>
    <w:p w14:paraId="075A0032">
      <w:pPr>
        <w:spacing w:line="360" w:lineRule="auto"/>
        <w:ind w:firstLine="360" w:firstLineChars="200"/>
        <w:rPr>
          <w:color w:val="auto"/>
          <w:sz w:val="18"/>
          <w:szCs w:val="18"/>
          <w:highlight w:val="none"/>
        </w:rPr>
      </w:pPr>
      <w:r>
        <w:rPr>
          <w:color w:val="auto"/>
          <w:sz w:val="18"/>
          <w:szCs w:val="18"/>
          <w:highlight w:val="none"/>
        </w:rPr>
        <w:t>8.我方将与本响应函一起，提交人民币</w:t>
      </w:r>
      <w:r>
        <w:rPr>
          <w:color w:val="auto"/>
          <w:sz w:val="18"/>
          <w:szCs w:val="18"/>
          <w:highlight w:val="none"/>
          <w:u w:val="single"/>
        </w:rPr>
        <w:t>       </w:t>
      </w:r>
      <w:r>
        <w:rPr>
          <w:color w:val="auto"/>
          <w:sz w:val="18"/>
          <w:szCs w:val="18"/>
          <w:highlight w:val="none"/>
        </w:rPr>
        <w:t>元作为磋商保证金。</w:t>
      </w:r>
    </w:p>
    <w:p w14:paraId="22C62C52">
      <w:pPr>
        <w:spacing w:line="360" w:lineRule="auto"/>
        <w:ind w:firstLine="360" w:firstLineChars="200"/>
        <w:rPr>
          <w:color w:val="auto"/>
          <w:sz w:val="18"/>
          <w:szCs w:val="18"/>
          <w:highlight w:val="none"/>
        </w:rPr>
      </w:pPr>
      <w:bookmarkStart w:id="1137" w:name="_Hlk33002211"/>
      <w:r>
        <w:rPr>
          <w:rFonts w:hint="eastAsia"/>
          <w:color w:val="auto"/>
          <w:sz w:val="18"/>
          <w:szCs w:val="18"/>
          <w:highlight w:val="none"/>
        </w:rPr>
        <w:t>9</w:t>
      </w:r>
      <w:r>
        <w:rPr>
          <w:color w:val="auto"/>
          <w:sz w:val="18"/>
          <w:szCs w:val="18"/>
          <w:highlight w:val="none"/>
        </w:rPr>
        <w:t>.</w:t>
      </w:r>
      <w:r>
        <w:rPr>
          <w:rFonts w:hint="eastAsia"/>
          <w:color w:val="auto"/>
          <w:sz w:val="18"/>
          <w:szCs w:val="18"/>
          <w:highlight w:val="none"/>
        </w:rPr>
        <w:t xml:space="preserve"> 与本项目有关的一切正式往来信函请寄：</w:t>
      </w:r>
    </w:p>
    <w:p w14:paraId="279F1B6F">
      <w:pPr>
        <w:spacing w:line="360" w:lineRule="auto"/>
        <w:ind w:firstLine="360" w:firstLineChars="200"/>
        <w:rPr>
          <w:color w:val="auto"/>
          <w:sz w:val="18"/>
          <w:szCs w:val="18"/>
          <w:highlight w:val="none"/>
          <w:u w:val="single"/>
        </w:rPr>
      </w:pPr>
      <w:r>
        <w:rPr>
          <w:rFonts w:hint="eastAsia"/>
          <w:color w:val="auto"/>
          <w:sz w:val="18"/>
          <w:szCs w:val="18"/>
          <w:highlight w:val="none"/>
        </w:rPr>
        <w:t>地址：</w:t>
      </w:r>
      <w:r>
        <w:rPr>
          <w:rFonts w:hint="eastAsia"/>
          <w:color w:val="auto"/>
          <w:sz w:val="18"/>
          <w:szCs w:val="18"/>
          <w:highlight w:val="none"/>
          <w:u w:val="single"/>
        </w:rPr>
        <w:t xml:space="preserve">                     </w:t>
      </w:r>
      <w:r>
        <w:rPr>
          <w:rFonts w:hint="eastAsia"/>
          <w:color w:val="auto"/>
          <w:sz w:val="18"/>
          <w:szCs w:val="18"/>
          <w:highlight w:val="none"/>
        </w:rPr>
        <w:t xml:space="preserve"> 邮编：</w:t>
      </w:r>
      <w:r>
        <w:rPr>
          <w:rFonts w:hint="eastAsia"/>
          <w:color w:val="auto"/>
          <w:sz w:val="18"/>
          <w:szCs w:val="18"/>
          <w:highlight w:val="none"/>
          <w:u w:val="single"/>
        </w:rPr>
        <w:t xml:space="preserve">           </w:t>
      </w:r>
      <w:r>
        <w:rPr>
          <w:rFonts w:hint="eastAsia"/>
          <w:color w:val="auto"/>
          <w:sz w:val="18"/>
          <w:szCs w:val="18"/>
          <w:highlight w:val="none"/>
        </w:rPr>
        <w:t>电话：</w:t>
      </w:r>
      <w:r>
        <w:rPr>
          <w:rFonts w:hint="eastAsia"/>
          <w:color w:val="auto"/>
          <w:sz w:val="18"/>
          <w:szCs w:val="18"/>
          <w:highlight w:val="none"/>
          <w:u w:val="single"/>
        </w:rPr>
        <w:t xml:space="preserve">            </w:t>
      </w:r>
    </w:p>
    <w:p w14:paraId="1DEC3C68">
      <w:pPr>
        <w:spacing w:line="360" w:lineRule="auto"/>
        <w:ind w:firstLine="360" w:firstLineChars="200"/>
        <w:rPr>
          <w:color w:val="auto"/>
          <w:sz w:val="18"/>
          <w:szCs w:val="18"/>
          <w:highlight w:val="none"/>
          <w:u w:val="single"/>
        </w:rPr>
      </w:pPr>
      <w:r>
        <w:rPr>
          <w:rFonts w:hint="eastAsia"/>
          <w:color w:val="auto"/>
          <w:sz w:val="18"/>
          <w:szCs w:val="18"/>
          <w:highlight w:val="none"/>
        </w:rPr>
        <w:t>传真：</w:t>
      </w:r>
      <w:r>
        <w:rPr>
          <w:rFonts w:hint="eastAsia"/>
          <w:color w:val="auto"/>
          <w:sz w:val="18"/>
          <w:szCs w:val="18"/>
          <w:highlight w:val="none"/>
          <w:u w:val="single"/>
        </w:rPr>
        <w:t xml:space="preserve">             </w:t>
      </w:r>
    </w:p>
    <w:p w14:paraId="0AD61569">
      <w:pPr>
        <w:spacing w:line="360" w:lineRule="auto"/>
        <w:ind w:firstLine="360" w:firstLineChars="200"/>
        <w:rPr>
          <w:color w:val="auto"/>
          <w:sz w:val="18"/>
          <w:szCs w:val="18"/>
          <w:highlight w:val="none"/>
          <w:u w:val="single"/>
        </w:rPr>
      </w:pPr>
      <w:r>
        <w:rPr>
          <w:rFonts w:hint="eastAsia"/>
          <w:color w:val="auto"/>
          <w:sz w:val="18"/>
          <w:szCs w:val="18"/>
          <w:highlight w:val="none"/>
        </w:rPr>
        <w:t>供应商代表姓名</w:t>
      </w:r>
      <w:r>
        <w:rPr>
          <w:rFonts w:hint="eastAsia"/>
          <w:color w:val="auto"/>
          <w:sz w:val="18"/>
          <w:szCs w:val="18"/>
          <w:highlight w:val="none"/>
          <w:u w:val="single"/>
        </w:rPr>
        <w:t xml:space="preserve">          </w:t>
      </w:r>
      <w:r>
        <w:rPr>
          <w:rFonts w:hint="eastAsia"/>
          <w:color w:val="auto"/>
          <w:sz w:val="18"/>
          <w:szCs w:val="18"/>
          <w:highlight w:val="none"/>
        </w:rPr>
        <w:t xml:space="preserve"> 职务：</w:t>
      </w:r>
      <w:r>
        <w:rPr>
          <w:rFonts w:hint="eastAsia"/>
          <w:color w:val="auto"/>
          <w:sz w:val="18"/>
          <w:szCs w:val="18"/>
          <w:highlight w:val="none"/>
          <w:u w:val="single"/>
        </w:rPr>
        <w:t xml:space="preserve">            </w:t>
      </w:r>
      <w:r>
        <w:rPr>
          <w:rFonts w:hint="eastAsia"/>
          <w:color w:val="auto"/>
          <w:sz w:val="18"/>
          <w:szCs w:val="18"/>
          <w:highlight w:val="none"/>
        </w:rPr>
        <w:t>邮箱：</w:t>
      </w:r>
      <w:r>
        <w:rPr>
          <w:rFonts w:hint="eastAsia"/>
          <w:color w:val="auto"/>
          <w:sz w:val="18"/>
          <w:szCs w:val="18"/>
          <w:highlight w:val="none"/>
          <w:u w:val="single"/>
        </w:rPr>
        <w:t xml:space="preserve">              </w:t>
      </w:r>
    </w:p>
    <w:bookmarkEnd w:id="1137"/>
    <w:p w14:paraId="52001664">
      <w:pPr>
        <w:spacing w:line="360" w:lineRule="auto"/>
        <w:ind w:firstLine="360" w:firstLineChars="200"/>
        <w:rPr>
          <w:color w:val="auto"/>
          <w:sz w:val="18"/>
          <w:szCs w:val="18"/>
          <w:highlight w:val="none"/>
        </w:rPr>
      </w:pPr>
    </w:p>
    <w:p w14:paraId="6867CB79">
      <w:pPr>
        <w:spacing w:line="360" w:lineRule="auto"/>
        <w:rPr>
          <w:color w:val="auto"/>
          <w:sz w:val="18"/>
          <w:szCs w:val="18"/>
          <w:highlight w:val="none"/>
        </w:rPr>
      </w:pPr>
    </w:p>
    <w:p w14:paraId="70F5D64B">
      <w:pPr>
        <w:spacing w:line="360" w:lineRule="auto"/>
        <w:rPr>
          <w:color w:val="auto"/>
          <w:sz w:val="18"/>
          <w:szCs w:val="18"/>
          <w:highlight w:val="none"/>
        </w:rPr>
      </w:pPr>
      <w:bookmarkStart w:id="1138" w:name="_Hlk89191117"/>
      <w:r>
        <w:rPr>
          <w:color w:val="auto"/>
          <w:sz w:val="18"/>
          <w:szCs w:val="18"/>
          <w:highlight w:val="none"/>
        </w:rPr>
        <w:t>供应商名称</w:t>
      </w:r>
      <w:r>
        <w:rPr>
          <w:rFonts w:hint="eastAsia"/>
          <w:color w:val="auto"/>
          <w:sz w:val="18"/>
          <w:szCs w:val="18"/>
          <w:highlight w:val="none"/>
        </w:rPr>
        <w:t>(电子签章</w:t>
      </w:r>
      <w:r>
        <w:rPr>
          <w:color w:val="auto"/>
          <w:sz w:val="18"/>
          <w:szCs w:val="18"/>
          <w:highlight w:val="none"/>
        </w:rPr>
        <w:t>)：</w:t>
      </w:r>
      <w:r>
        <w:rPr>
          <w:color w:val="auto"/>
          <w:sz w:val="18"/>
          <w:szCs w:val="18"/>
          <w:highlight w:val="none"/>
          <w:u w:val="single"/>
        </w:rPr>
        <w:t xml:space="preserve">                  </w:t>
      </w:r>
    </w:p>
    <w:bookmarkEnd w:id="1138"/>
    <w:p w14:paraId="222AE652">
      <w:pPr>
        <w:spacing w:line="360" w:lineRule="auto"/>
        <w:rPr>
          <w:color w:val="auto"/>
          <w:sz w:val="18"/>
          <w:szCs w:val="18"/>
          <w:highlight w:val="none"/>
        </w:rPr>
      </w:pPr>
    </w:p>
    <w:p w14:paraId="62D2A0FE">
      <w:pPr>
        <w:spacing w:line="360" w:lineRule="auto"/>
        <w:rPr>
          <w:color w:val="auto"/>
          <w:sz w:val="18"/>
          <w:szCs w:val="18"/>
          <w:highlight w:val="none"/>
        </w:rPr>
      </w:pPr>
      <w:r>
        <w:rPr>
          <w:color w:val="auto"/>
          <w:sz w:val="18"/>
          <w:szCs w:val="18"/>
          <w:highlight w:val="none"/>
        </w:rPr>
        <w:t>日期：</w:t>
      </w:r>
      <w:r>
        <w:rPr>
          <w:color w:val="auto"/>
          <w:sz w:val="18"/>
          <w:szCs w:val="18"/>
          <w:highlight w:val="none"/>
          <w:u w:val="single"/>
        </w:rPr>
        <w:t xml:space="preserve">      </w:t>
      </w:r>
      <w:r>
        <w:rPr>
          <w:color w:val="auto"/>
          <w:sz w:val="18"/>
          <w:szCs w:val="18"/>
          <w:highlight w:val="none"/>
        </w:rPr>
        <w:t>年</w:t>
      </w:r>
      <w:r>
        <w:rPr>
          <w:color w:val="auto"/>
          <w:sz w:val="18"/>
          <w:szCs w:val="18"/>
          <w:highlight w:val="none"/>
          <w:u w:val="single"/>
        </w:rPr>
        <w:t xml:space="preserve">    </w:t>
      </w:r>
      <w:r>
        <w:rPr>
          <w:color w:val="auto"/>
          <w:sz w:val="18"/>
          <w:szCs w:val="18"/>
          <w:highlight w:val="none"/>
        </w:rPr>
        <w:t>月</w:t>
      </w:r>
      <w:r>
        <w:rPr>
          <w:color w:val="auto"/>
          <w:sz w:val="18"/>
          <w:szCs w:val="18"/>
          <w:highlight w:val="none"/>
          <w:u w:val="single"/>
        </w:rPr>
        <w:t xml:space="preserve">   </w:t>
      </w:r>
      <w:r>
        <w:rPr>
          <w:color w:val="auto"/>
          <w:sz w:val="18"/>
          <w:szCs w:val="18"/>
          <w:highlight w:val="none"/>
        </w:rPr>
        <w:t>日</w:t>
      </w:r>
    </w:p>
    <w:p w14:paraId="45771BDF">
      <w:pPr>
        <w:jc w:val="left"/>
        <w:rPr>
          <w:b/>
          <w:color w:val="auto"/>
          <w:sz w:val="18"/>
          <w:szCs w:val="18"/>
          <w:highlight w:val="none"/>
        </w:rPr>
      </w:pPr>
      <w:r>
        <w:rPr>
          <w:b/>
          <w:color w:val="auto"/>
          <w:sz w:val="18"/>
          <w:szCs w:val="18"/>
          <w:highlight w:val="none"/>
        </w:rPr>
        <w:br w:type="page"/>
      </w:r>
      <w:r>
        <w:rPr>
          <w:color w:val="auto"/>
          <w:sz w:val="18"/>
          <w:szCs w:val="18"/>
          <w:highlight w:val="none"/>
        </w:rPr>
        <w:t>2．</w:t>
      </w:r>
      <w:r>
        <w:rPr>
          <w:rFonts w:hint="eastAsia"/>
          <w:color w:val="auto"/>
          <w:sz w:val="18"/>
          <w:szCs w:val="18"/>
          <w:highlight w:val="none"/>
        </w:rPr>
        <w:t>响应函附录</w:t>
      </w:r>
      <w:r>
        <w:rPr>
          <w:color w:val="auto"/>
          <w:sz w:val="18"/>
          <w:szCs w:val="18"/>
          <w:highlight w:val="none"/>
        </w:rPr>
        <w:t>格式：</w:t>
      </w:r>
    </w:p>
    <w:p w14:paraId="05750D90">
      <w:pPr>
        <w:jc w:val="center"/>
        <w:rPr>
          <w:b/>
          <w:color w:val="auto"/>
          <w:sz w:val="18"/>
          <w:szCs w:val="18"/>
          <w:highlight w:val="none"/>
        </w:rPr>
      </w:pPr>
      <w:r>
        <w:rPr>
          <w:b/>
          <w:color w:val="auto"/>
          <w:sz w:val="18"/>
          <w:szCs w:val="18"/>
          <w:highlight w:val="none"/>
        </w:rPr>
        <w:t>响应函附录</w:t>
      </w:r>
    </w:p>
    <w:p w14:paraId="7695EEBA">
      <w:pPr>
        <w:rPr>
          <w:b/>
          <w:color w:val="auto"/>
          <w:sz w:val="18"/>
          <w:szCs w:val="18"/>
          <w:highlight w:val="none"/>
        </w:rPr>
      </w:pPr>
    </w:p>
    <w:p w14:paraId="70F45638">
      <w:pPr>
        <w:ind w:firstLine="441" w:firstLineChars="245"/>
        <w:rPr>
          <w:color w:val="auto"/>
          <w:sz w:val="18"/>
          <w:szCs w:val="18"/>
          <w:highlight w:val="none"/>
        </w:rPr>
      </w:pPr>
      <w:r>
        <w:rPr>
          <w:color w:val="auto"/>
          <w:sz w:val="18"/>
          <w:szCs w:val="18"/>
          <w:highlight w:val="none"/>
        </w:rPr>
        <w:t>项目名称：</w:t>
      </w:r>
      <w:r>
        <w:rPr>
          <w:color w:val="auto"/>
          <w:sz w:val="18"/>
          <w:szCs w:val="18"/>
          <w:highlight w:val="none"/>
          <w:u w:val="single"/>
        </w:rPr>
        <w:t xml:space="preserve">                               </w:t>
      </w:r>
      <w:r>
        <w:rPr>
          <w:color w:val="auto"/>
          <w:sz w:val="18"/>
          <w:szCs w:val="18"/>
          <w:highlight w:val="none"/>
        </w:rPr>
        <w:t xml:space="preserve"> 项目编号：</w:t>
      </w:r>
      <w:r>
        <w:rPr>
          <w:color w:val="auto"/>
          <w:sz w:val="18"/>
          <w:szCs w:val="18"/>
          <w:highlight w:val="none"/>
          <w:u w:val="single"/>
        </w:rPr>
        <w:t xml:space="preserve">            </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985"/>
        <w:gridCol w:w="2126"/>
        <w:gridCol w:w="1984"/>
        <w:gridCol w:w="1843"/>
      </w:tblGrid>
      <w:tr w14:paraId="42C1E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689C9DE6">
            <w:pPr>
              <w:jc w:val="center"/>
              <w:rPr>
                <w:color w:val="auto"/>
                <w:sz w:val="18"/>
                <w:szCs w:val="18"/>
                <w:highlight w:val="none"/>
              </w:rPr>
            </w:pPr>
            <w:r>
              <w:rPr>
                <w:color w:val="auto"/>
                <w:sz w:val="18"/>
                <w:szCs w:val="18"/>
                <w:highlight w:val="none"/>
              </w:rPr>
              <w:t>序 号</w:t>
            </w:r>
          </w:p>
        </w:tc>
        <w:tc>
          <w:tcPr>
            <w:tcW w:w="1985" w:type="dxa"/>
            <w:vAlign w:val="center"/>
          </w:tcPr>
          <w:p w14:paraId="5B626E9F">
            <w:pPr>
              <w:jc w:val="center"/>
              <w:rPr>
                <w:color w:val="auto"/>
                <w:sz w:val="18"/>
                <w:szCs w:val="18"/>
                <w:highlight w:val="none"/>
              </w:rPr>
            </w:pPr>
            <w:r>
              <w:rPr>
                <w:color w:val="auto"/>
                <w:sz w:val="18"/>
                <w:szCs w:val="18"/>
                <w:highlight w:val="none"/>
              </w:rPr>
              <w:t>条款内容</w:t>
            </w:r>
          </w:p>
        </w:tc>
        <w:tc>
          <w:tcPr>
            <w:tcW w:w="2126" w:type="dxa"/>
            <w:vAlign w:val="center"/>
          </w:tcPr>
          <w:p w14:paraId="6A3AC371">
            <w:pPr>
              <w:jc w:val="center"/>
              <w:rPr>
                <w:color w:val="auto"/>
                <w:sz w:val="18"/>
                <w:szCs w:val="18"/>
                <w:highlight w:val="none"/>
              </w:rPr>
            </w:pPr>
            <w:r>
              <w:rPr>
                <w:color w:val="auto"/>
                <w:sz w:val="18"/>
                <w:szCs w:val="18"/>
                <w:highlight w:val="none"/>
              </w:rPr>
              <w:t>合同条款号</w:t>
            </w:r>
          </w:p>
        </w:tc>
        <w:tc>
          <w:tcPr>
            <w:tcW w:w="1984" w:type="dxa"/>
            <w:vAlign w:val="center"/>
          </w:tcPr>
          <w:p w14:paraId="6B68C5A7">
            <w:pPr>
              <w:jc w:val="center"/>
              <w:rPr>
                <w:color w:val="auto"/>
                <w:sz w:val="18"/>
                <w:szCs w:val="18"/>
                <w:highlight w:val="none"/>
              </w:rPr>
            </w:pPr>
            <w:r>
              <w:rPr>
                <w:color w:val="auto"/>
                <w:sz w:val="18"/>
                <w:szCs w:val="18"/>
                <w:highlight w:val="none"/>
              </w:rPr>
              <w:t>约定内容</w:t>
            </w:r>
          </w:p>
        </w:tc>
        <w:tc>
          <w:tcPr>
            <w:tcW w:w="1843" w:type="dxa"/>
            <w:vAlign w:val="center"/>
          </w:tcPr>
          <w:p w14:paraId="2D737E52">
            <w:pPr>
              <w:jc w:val="center"/>
              <w:rPr>
                <w:color w:val="auto"/>
                <w:sz w:val="18"/>
                <w:szCs w:val="18"/>
                <w:highlight w:val="none"/>
              </w:rPr>
            </w:pPr>
            <w:r>
              <w:rPr>
                <w:color w:val="auto"/>
                <w:sz w:val="18"/>
                <w:szCs w:val="18"/>
                <w:highlight w:val="none"/>
              </w:rPr>
              <w:t>备注</w:t>
            </w:r>
          </w:p>
        </w:tc>
      </w:tr>
      <w:tr w14:paraId="61119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235220FE">
            <w:pPr>
              <w:jc w:val="center"/>
              <w:rPr>
                <w:color w:val="auto"/>
                <w:sz w:val="18"/>
                <w:szCs w:val="18"/>
                <w:highlight w:val="none"/>
              </w:rPr>
            </w:pPr>
            <w:r>
              <w:rPr>
                <w:color w:val="auto"/>
                <w:sz w:val="18"/>
                <w:szCs w:val="18"/>
                <w:highlight w:val="none"/>
              </w:rPr>
              <w:t>1</w:t>
            </w:r>
          </w:p>
        </w:tc>
        <w:tc>
          <w:tcPr>
            <w:tcW w:w="1985" w:type="dxa"/>
            <w:vAlign w:val="center"/>
          </w:tcPr>
          <w:p w14:paraId="20C86999">
            <w:pPr>
              <w:rPr>
                <w:color w:val="auto"/>
                <w:sz w:val="18"/>
                <w:szCs w:val="18"/>
                <w:highlight w:val="none"/>
              </w:rPr>
            </w:pPr>
            <w:r>
              <w:rPr>
                <w:color w:val="auto"/>
                <w:sz w:val="18"/>
                <w:szCs w:val="18"/>
                <w:highlight w:val="none"/>
              </w:rPr>
              <w:t>项目经理</w:t>
            </w:r>
          </w:p>
        </w:tc>
        <w:tc>
          <w:tcPr>
            <w:tcW w:w="2126" w:type="dxa"/>
            <w:tcMar>
              <w:left w:w="170" w:type="dxa"/>
            </w:tcMar>
            <w:vAlign w:val="center"/>
          </w:tcPr>
          <w:p w14:paraId="4387C456">
            <w:pPr>
              <w:jc w:val="center"/>
              <w:rPr>
                <w:color w:val="auto"/>
                <w:sz w:val="18"/>
                <w:szCs w:val="18"/>
                <w:highlight w:val="none"/>
              </w:rPr>
            </w:pPr>
            <w:r>
              <w:rPr>
                <w:color w:val="auto"/>
                <w:sz w:val="18"/>
                <w:szCs w:val="18"/>
                <w:highlight w:val="none"/>
              </w:rPr>
              <w:t>专用条款</w:t>
            </w:r>
          </w:p>
        </w:tc>
        <w:tc>
          <w:tcPr>
            <w:tcW w:w="1984" w:type="dxa"/>
            <w:vAlign w:val="center"/>
          </w:tcPr>
          <w:p w14:paraId="4A83E218">
            <w:pPr>
              <w:rPr>
                <w:color w:val="auto"/>
                <w:sz w:val="18"/>
                <w:szCs w:val="18"/>
                <w:highlight w:val="none"/>
              </w:rPr>
            </w:pPr>
            <w:r>
              <w:rPr>
                <w:color w:val="auto"/>
                <w:sz w:val="18"/>
                <w:szCs w:val="18"/>
                <w:highlight w:val="none"/>
              </w:rPr>
              <w:t>姓名：</w:t>
            </w:r>
            <w:r>
              <w:rPr>
                <w:color w:val="auto"/>
                <w:sz w:val="18"/>
                <w:szCs w:val="18"/>
                <w:highlight w:val="none"/>
                <w:u w:val="single"/>
              </w:rPr>
              <w:t xml:space="preserve">          </w:t>
            </w:r>
          </w:p>
        </w:tc>
        <w:tc>
          <w:tcPr>
            <w:tcW w:w="1843" w:type="dxa"/>
            <w:vAlign w:val="center"/>
          </w:tcPr>
          <w:p w14:paraId="40859E2B">
            <w:pPr>
              <w:jc w:val="center"/>
              <w:rPr>
                <w:color w:val="auto"/>
                <w:sz w:val="18"/>
                <w:szCs w:val="18"/>
                <w:highlight w:val="none"/>
              </w:rPr>
            </w:pPr>
          </w:p>
        </w:tc>
      </w:tr>
      <w:tr w14:paraId="7474E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7BC9B074">
            <w:pPr>
              <w:jc w:val="center"/>
              <w:rPr>
                <w:color w:val="auto"/>
                <w:sz w:val="18"/>
                <w:szCs w:val="18"/>
                <w:highlight w:val="none"/>
              </w:rPr>
            </w:pPr>
            <w:r>
              <w:rPr>
                <w:color w:val="auto"/>
                <w:sz w:val="18"/>
                <w:szCs w:val="18"/>
                <w:highlight w:val="none"/>
              </w:rPr>
              <w:t>2</w:t>
            </w:r>
          </w:p>
        </w:tc>
        <w:tc>
          <w:tcPr>
            <w:tcW w:w="1985" w:type="dxa"/>
            <w:vAlign w:val="center"/>
          </w:tcPr>
          <w:p w14:paraId="0383520C">
            <w:pPr>
              <w:rPr>
                <w:color w:val="auto"/>
                <w:sz w:val="18"/>
                <w:szCs w:val="18"/>
                <w:highlight w:val="none"/>
              </w:rPr>
            </w:pPr>
            <w:r>
              <w:rPr>
                <w:rFonts w:hint="eastAsia"/>
                <w:color w:val="auto"/>
                <w:sz w:val="18"/>
                <w:szCs w:val="18"/>
                <w:highlight w:val="none"/>
              </w:rPr>
              <w:t>响应</w:t>
            </w:r>
            <w:r>
              <w:rPr>
                <w:color w:val="auto"/>
                <w:sz w:val="18"/>
                <w:szCs w:val="18"/>
                <w:highlight w:val="none"/>
              </w:rPr>
              <w:t>有效期</w:t>
            </w:r>
          </w:p>
        </w:tc>
        <w:tc>
          <w:tcPr>
            <w:tcW w:w="2126" w:type="dxa"/>
            <w:tcMar>
              <w:left w:w="170" w:type="dxa"/>
            </w:tcMar>
            <w:vAlign w:val="center"/>
          </w:tcPr>
          <w:p w14:paraId="5FEF4C3B">
            <w:pPr>
              <w:rPr>
                <w:color w:val="auto"/>
                <w:sz w:val="18"/>
                <w:szCs w:val="18"/>
                <w:highlight w:val="none"/>
              </w:rPr>
            </w:pPr>
          </w:p>
        </w:tc>
        <w:tc>
          <w:tcPr>
            <w:tcW w:w="1984" w:type="dxa"/>
            <w:vAlign w:val="center"/>
          </w:tcPr>
          <w:p w14:paraId="7A4C6446">
            <w:pPr>
              <w:jc w:val="center"/>
              <w:rPr>
                <w:color w:val="auto"/>
                <w:sz w:val="18"/>
                <w:szCs w:val="18"/>
                <w:highlight w:val="none"/>
                <w:u w:val="single"/>
              </w:rPr>
            </w:pPr>
            <w:r>
              <w:rPr>
                <w:color w:val="auto"/>
                <w:sz w:val="18"/>
                <w:szCs w:val="18"/>
                <w:highlight w:val="none"/>
                <w:u w:val="single"/>
              </w:rPr>
              <w:t xml:space="preserve">          </w:t>
            </w:r>
            <w:r>
              <w:rPr>
                <w:color w:val="auto"/>
                <w:sz w:val="18"/>
                <w:szCs w:val="18"/>
                <w:highlight w:val="none"/>
              </w:rPr>
              <w:t>日历天</w:t>
            </w:r>
          </w:p>
        </w:tc>
        <w:tc>
          <w:tcPr>
            <w:tcW w:w="1843" w:type="dxa"/>
            <w:vAlign w:val="center"/>
          </w:tcPr>
          <w:p w14:paraId="5FAFC066">
            <w:pPr>
              <w:jc w:val="center"/>
              <w:rPr>
                <w:color w:val="auto"/>
                <w:sz w:val="18"/>
                <w:szCs w:val="18"/>
                <w:highlight w:val="none"/>
              </w:rPr>
            </w:pPr>
          </w:p>
        </w:tc>
      </w:tr>
      <w:tr w14:paraId="430CC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43427C16">
            <w:pPr>
              <w:jc w:val="center"/>
              <w:rPr>
                <w:color w:val="auto"/>
                <w:sz w:val="18"/>
                <w:szCs w:val="18"/>
                <w:highlight w:val="none"/>
              </w:rPr>
            </w:pPr>
            <w:r>
              <w:rPr>
                <w:color w:val="auto"/>
                <w:sz w:val="18"/>
                <w:szCs w:val="18"/>
                <w:highlight w:val="none"/>
              </w:rPr>
              <w:t>3</w:t>
            </w:r>
          </w:p>
        </w:tc>
        <w:tc>
          <w:tcPr>
            <w:tcW w:w="1985" w:type="dxa"/>
            <w:vAlign w:val="center"/>
          </w:tcPr>
          <w:p w14:paraId="689F3F04">
            <w:pPr>
              <w:rPr>
                <w:color w:val="auto"/>
                <w:sz w:val="18"/>
                <w:szCs w:val="18"/>
                <w:highlight w:val="none"/>
              </w:rPr>
            </w:pPr>
            <w:r>
              <w:rPr>
                <w:color w:val="auto"/>
                <w:sz w:val="18"/>
                <w:szCs w:val="18"/>
                <w:highlight w:val="none"/>
              </w:rPr>
              <w:t>工期</w:t>
            </w:r>
          </w:p>
        </w:tc>
        <w:tc>
          <w:tcPr>
            <w:tcW w:w="2126" w:type="dxa"/>
            <w:tcMar>
              <w:left w:w="170" w:type="dxa"/>
            </w:tcMar>
            <w:vAlign w:val="center"/>
          </w:tcPr>
          <w:p w14:paraId="4041734A">
            <w:pPr>
              <w:jc w:val="center"/>
              <w:rPr>
                <w:color w:val="auto"/>
                <w:sz w:val="18"/>
                <w:szCs w:val="18"/>
                <w:highlight w:val="none"/>
              </w:rPr>
            </w:pPr>
            <w:r>
              <w:rPr>
                <w:color w:val="auto"/>
                <w:sz w:val="18"/>
                <w:szCs w:val="18"/>
                <w:highlight w:val="none"/>
              </w:rPr>
              <w:t>专用条款</w:t>
            </w:r>
          </w:p>
        </w:tc>
        <w:tc>
          <w:tcPr>
            <w:tcW w:w="1984" w:type="dxa"/>
            <w:vAlign w:val="center"/>
          </w:tcPr>
          <w:p w14:paraId="29F0BADF">
            <w:pPr>
              <w:jc w:val="center"/>
              <w:rPr>
                <w:color w:val="auto"/>
                <w:sz w:val="18"/>
                <w:szCs w:val="18"/>
                <w:highlight w:val="none"/>
              </w:rPr>
            </w:pPr>
            <w:r>
              <w:rPr>
                <w:color w:val="auto"/>
                <w:sz w:val="18"/>
                <w:szCs w:val="18"/>
                <w:highlight w:val="none"/>
                <w:u w:val="single"/>
              </w:rPr>
              <w:t xml:space="preserve">          </w:t>
            </w:r>
            <w:r>
              <w:rPr>
                <w:color w:val="auto"/>
                <w:sz w:val="18"/>
                <w:szCs w:val="18"/>
                <w:highlight w:val="none"/>
              </w:rPr>
              <w:t>日历天</w:t>
            </w:r>
          </w:p>
        </w:tc>
        <w:tc>
          <w:tcPr>
            <w:tcW w:w="1843" w:type="dxa"/>
            <w:vAlign w:val="center"/>
          </w:tcPr>
          <w:p w14:paraId="133DC073">
            <w:pPr>
              <w:jc w:val="center"/>
              <w:rPr>
                <w:color w:val="auto"/>
                <w:sz w:val="18"/>
                <w:szCs w:val="18"/>
                <w:highlight w:val="none"/>
              </w:rPr>
            </w:pPr>
          </w:p>
        </w:tc>
      </w:tr>
      <w:tr w14:paraId="2F011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5B6982BA">
            <w:pPr>
              <w:jc w:val="center"/>
              <w:rPr>
                <w:color w:val="auto"/>
                <w:sz w:val="18"/>
                <w:szCs w:val="18"/>
                <w:highlight w:val="none"/>
              </w:rPr>
            </w:pPr>
            <w:r>
              <w:rPr>
                <w:color w:val="auto"/>
                <w:sz w:val="18"/>
                <w:szCs w:val="18"/>
                <w:highlight w:val="none"/>
              </w:rPr>
              <w:t>4</w:t>
            </w:r>
          </w:p>
        </w:tc>
        <w:tc>
          <w:tcPr>
            <w:tcW w:w="1985" w:type="dxa"/>
            <w:vAlign w:val="center"/>
          </w:tcPr>
          <w:p w14:paraId="79C9113A">
            <w:pPr>
              <w:rPr>
                <w:color w:val="auto"/>
                <w:sz w:val="18"/>
                <w:szCs w:val="18"/>
                <w:highlight w:val="none"/>
              </w:rPr>
            </w:pPr>
            <w:r>
              <w:rPr>
                <w:color w:val="auto"/>
                <w:sz w:val="18"/>
                <w:szCs w:val="18"/>
                <w:highlight w:val="none"/>
              </w:rPr>
              <w:t>缺陷责任期</w:t>
            </w:r>
          </w:p>
        </w:tc>
        <w:tc>
          <w:tcPr>
            <w:tcW w:w="2126" w:type="dxa"/>
            <w:tcMar>
              <w:left w:w="170" w:type="dxa"/>
            </w:tcMar>
            <w:vAlign w:val="center"/>
          </w:tcPr>
          <w:p w14:paraId="31A6E159">
            <w:pPr>
              <w:jc w:val="center"/>
              <w:rPr>
                <w:color w:val="auto"/>
                <w:sz w:val="18"/>
                <w:szCs w:val="18"/>
                <w:highlight w:val="none"/>
              </w:rPr>
            </w:pPr>
            <w:r>
              <w:rPr>
                <w:color w:val="auto"/>
                <w:sz w:val="18"/>
                <w:szCs w:val="18"/>
                <w:highlight w:val="none"/>
              </w:rPr>
              <w:t>专用条款</w:t>
            </w:r>
          </w:p>
        </w:tc>
        <w:tc>
          <w:tcPr>
            <w:tcW w:w="1984" w:type="dxa"/>
            <w:vAlign w:val="center"/>
          </w:tcPr>
          <w:p w14:paraId="6A1FCFCC">
            <w:pPr>
              <w:jc w:val="center"/>
              <w:rPr>
                <w:color w:val="auto"/>
                <w:sz w:val="18"/>
                <w:szCs w:val="18"/>
                <w:highlight w:val="none"/>
              </w:rPr>
            </w:pPr>
          </w:p>
        </w:tc>
        <w:tc>
          <w:tcPr>
            <w:tcW w:w="1843" w:type="dxa"/>
            <w:vAlign w:val="center"/>
          </w:tcPr>
          <w:p w14:paraId="6173B55A">
            <w:pPr>
              <w:jc w:val="center"/>
              <w:rPr>
                <w:color w:val="auto"/>
                <w:sz w:val="18"/>
                <w:szCs w:val="18"/>
                <w:highlight w:val="none"/>
              </w:rPr>
            </w:pPr>
          </w:p>
        </w:tc>
      </w:tr>
      <w:tr w14:paraId="16482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58806DF9">
            <w:pPr>
              <w:jc w:val="center"/>
              <w:rPr>
                <w:color w:val="auto"/>
                <w:sz w:val="18"/>
                <w:szCs w:val="18"/>
                <w:highlight w:val="none"/>
              </w:rPr>
            </w:pPr>
            <w:r>
              <w:rPr>
                <w:color w:val="auto"/>
                <w:sz w:val="18"/>
                <w:szCs w:val="18"/>
                <w:highlight w:val="none"/>
              </w:rPr>
              <w:t>5</w:t>
            </w:r>
          </w:p>
        </w:tc>
        <w:tc>
          <w:tcPr>
            <w:tcW w:w="1985" w:type="dxa"/>
            <w:vAlign w:val="center"/>
          </w:tcPr>
          <w:p w14:paraId="5207DAF9">
            <w:pPr>
              <w:rPr>
                <w:color w:val="auto"/>
                <w:sz w:val="18"/>
                <w:szCs w:val="18"/>
                <w:highlight w:val="none"/>
              </w:rPr>
            </w:pPr>
            <w:r>
              <w:rPr>
                <w:color w:val="auto"/>
                <w:sz w:val="18"/>
                <w:szCs w:val="18"/>
                <w:highlight w:val="none"/>
              </w:rPr>
              <w:t>发包人支付担保</w:t>
            </w:r>
          </w:p>
        </w:tc>
        <w:tc>
          <w:tcPr>
            <w:tcW w:w="2126" w:type="dxa"/>
            <w:tcMar>
              <w:left w:w="170" w:type="dxa"/>
            </w:tcMar>
            <w:vAlign w:val="center"/>
          </w:tcPr>
          <w:p w14:paraId="1268636B">
            <w:pPr>
              <w:jc w:val="center"/>
              <w:rPr>
                <w:color w:val="auto"/>
                <w:sz w:val="18"/>
                <w:szCs w:val="18"/>
                <w:highlight w:val="none"/>
              </w:rPr>
            </w:pPr>
            <w:r>
              <w:rPr>
                <w:color w:val="auto"/>
                <w:sz w:val="18"/>
                <w:szCs w:val="18"/>
                <w:highlight w:val="none"/>
              </w:rPr>
              <w:t>专用条款</w:t>
            </w:r>
          </w:p>
        </w:tc>
        <w:tc>
          <w:tcPr>
            <w:tcW w:w="1984" w:type="dxa"/>
            <w:vAlign w:val="center"/>
          </w:tcPr>
          <w:p w14:paraId="49BAB4FF">
            <w:pPr>
              <w:jc w:val="center"/>
              <w:rPr>
                <w:color w:val="auto"/>
                <w:sz w:val="18"/>
                <w:szCs w:val="18"/>
                <w:highlight w:val="none"/>
              </w:rPr>
            </w:pPr>
          </w:p>
        </w:tc>
        <w:tc>
          <w:tcPr>
            <w:tcW w:w="1843" w:type="dxa"/>
            <w:vAlign w:val="center"/>
          </w:tcPr>
          <w:p w14:paraId="1ABE6C29">
            <w:pPr>
              <w:jc w:val="center"/>
              <w:rPr>
                <w:color w:val="auto"/>
                <w:sz w:val="18"/>
                <w:szCs w:val="18"/>
                <w:highlight w:val="none"/>
              </w:rPr>
            </w:pPr>
          </w:p>
        </w:tc>
      </w:tr>
      <w:tr w14:paraId="0CB8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69DA28CC">
            <w:pPr>
              <w:jc w:val="center"/>
              <w:rPr>
                <w:color w:val="auto"/>
                <w:sz w:val="18"/>
                <w:szCs w:val="18"/>
                <w:highlight w:val="none"/>
              </w:rPr>
            </w:pPr>
            <w:r>
              <w:rPr>
                <w:color w:val="auto"/>
                <w:sz w:val="18"/>
                <w:szCs w:val="18"/>
                <w:highlight w:val="none"/>
              </w:rPr>
              <w:t>6</w:t>
            </w:r>
          </w:p>
        </w:tc>
        <w:tc>
          <w:tcPr>
            <w:tcW w:w="1985" w:type="dxa"/>
            <w:vAlign w:val="center"/>
          </w:tcPr>
          <w:p w14:paraId="715C0B79">
            <w:pPr>
              <w:rPr>
                <w:color w:val="auto"/>
                <w:sz w:val="18"/>
                <w:szCs w:val="18"/>
                <w:highlight w:val="none"/>
              </w:rPr>
            </w:pPr>
            <w:r>
              <w:rPr>
                <w:color w:val="auto"/>
                <w:sz w:val="18"/>
                <w:szCs w:val="18"/>
                <w:highlight w:val="none"/>
              </w:rPr>
              <w:t>承包人履约担保金额</w:t>
            </w:r>
          </w:p>
        </w:tc>
        <w:tc>
          <w:tcPr>
            <w:tcW w:w="2126" w:type="dxa"/>
            <w:tcMar>
              <w:left w:w="170" w:type="dxa"/>
            </w:tcMar>
            <w:vAlign w:val="center"/>
          </w:tcPr>
          <w:p w14:paraId="73311A57">
            <w:pPr>
              <w:jc w:val="center"/>
              <w:rPr>
                <w:color w:val="auto"/>
                <w:sz w:val="18"/>
                <w:szCs w:val="18"/>
                <w:highlight w:val="none"/>
              </w:rPr>
            </w:pPr>
            <w:r>
              <w:rPr>
                <w:color w:val="auto"/>
                <w:sz w:val="18"/>
                <w:szCs w:val="18"/>
                <w:highlight w:val="none"/>
              </w:rPr>
              <w:t>专用条款</w:t>
            </w:r>
          </w:p>
        </w:tc>
        <w:tc>
          <w:tcPr>
            <w:tcW w:w="1984" w:type="dxa"/>
            <w:vAlign w:val="center"/>
          </w:tcPr>
          <w:p w14:paraId="3DCC5F56">
            <w:pPr>
              <w:jc w:val="center"/>
              <w:rPr>
                <w:color w:val="auto"/>
                <w:sz w:val="18"/>
                <w:szCs w:val="18"/>
                <w:highlight w:val="none"/>
              </w:rPr>
            </w:pPr>
          </w:p>
        </w:tc>
        <w:tc>
          <w:tcPr>
            <w:tcW w:w="1843" w:type="dxa"/>
            <w:vAlign w:val="center"/>
          </w:tcPr>
          <w:p w14:paraId="64723717">
            <w:pPr>
              <w:jc w:val="center"/>
              <w:rPr>
                <w:color w:val="auto"/>
                <w:sz w:val="18"/>
                <w:szCs w:val="18"/>
                <w:highlight w:val="none"/>
              </w:rPr>
            </w:pPr>
          </w:p>
        </w:tc>
      </w:tr>
      <w:tr w14:paraId="113CF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1481BB7C">
            <w:pPr>
              <w:jc w:val="center"/>
              <w:rPr>
                <w:color w:val="auto"/>
                <w:sz w:val="18"/>
                <w:szCs w:val="18"/>
                <w:highlight w:val="none"/>
              </w:rPr>
            </w:pPr>
            <w:r>
              <w:rPr>
                <w:color w:val="auto"/>
                <w:sz w:val="18"/>
                <w:szCs w:val="18"/>
                <w:highlight w:val="none"/>
              </w:rPr>
              <w:t>7</w:t>
            </w:r>
          </w:p>
        </w:tc>
        <w:tc>
          <w:tcPr>
            <w:tcW w:w="1985" w:type="dxa"/>
            <w:vAlign w:val="center"/>
          </w:tcPr>
          <w:p w14:paraId="50024BAD">
            <w:pPr>
              <w:rPr>
                <w:color w:val="auto"/>
                <w:sz w:val="18"/>
                <w:szCs w:val="18"/>
                <w:highlight w:val="none"/>
              </w:rPr>
            </w:pPr>
            <w:r>
              <w:rPr>
                <w:color w:val="auto"/>
                <w:sz w:val="18"/>
                <w:szCs w:val="18"/>
                <w:highlight w:val="none"/>
              </w:rPr>
              <w:t>逾期竣工违约金</w:t>
            </w:r>
          </w:p>
        </w:tc>
        <w:tc>
          <w:tcPr>
            <w:tcW w:w="2126" w:type="dxa"/>
            <w:tcMar>
              <w:left w:w="170" w:type="dxa"/>
            </w:tcMar>
            <w:vAlign w:val="center"/>
          </w:tcPr>
          <w:p w14:paraId="031E1E91">
            <w:pPr>
              <w:jc w:val="center"/>
              <w:rPr>
                <w:color w:val="auto"/>
                <w:sz w:val="18"/>
                <w:szCs w:val="18"/>
                <w:highlight w:val="none"/>
              </w:rPr>
            </w:pPr>
            <w:r>
              <w:rPr>
                <w:color w:val="auto"/>
                <w:sz w:val="18"/>
                <w:szCs w:val="18"/>
                <w:highlight w:val="none"/>
              </w:rPr>
              <w:t>专用条款</w:t>
            </w:r>
          </w:p>
        </w:tc>
        <w:tc>
          <w:tcPr>
            <w:tcW w:w="1984" w:type="dxa"/>
            <w:vAlign w:val="center"/>
          </w:tcPr>
          <w:p w14:paraId="358757AD">
            <w:pPr>
              <w:rPr>
                <w:color w:val="auto"/>
                <w:sz w:val="18"/>
                <w:szCs w:val="18"/>
                <w:highlight w:val="none"/>
              </w:rPr>
            </w:pPr>
            <w:r>
              <w:rPr>
                <w:color w:val="auto"/>
                <w:sz w:val="18"/>
                <w:szCs w:val="18"/>
                <w:highlight w:val="none"/>
              </w:rPr>
              <w:t>合同价款</w:t>
            </w:r>
            <w:r>
              <w:rPr>
                <w:color w:val="auto"/>
                <w:sz w:val="18"/>
                <w:szCs w:val="18"/>
                <w:highlight w:val="none"/>
                <w:u w:val="single"/>
              </w:rPr>
              <w:t xml:space="preserve">    </w:t>
            </w:r>
            <w:r>
              <w:rPr>
                <w:color w:val="auto"/>
                <w:sz w:val="18"/>
                <w:szCs w:val="18"/>
                <w:highlight w:val="none"/>
              </w:rPr>
              <w:t>%/天</w:t>
            </w:r>
          </w:p>
        </w:tc>
        <w:tc>
          <w:tcPr>
            <w:tcW w:w="1843" w:type="dxa"/>
            <w:vAlign w:val="center"/>
          </w:tcPr>
          <w:p w14:paraId="243B47C4">
            <w:pPr>
              <w:jc w:val="center"/>
              <w:rPr>
                <w:color w:val="auto"/>
                <w:sz w:val="18"/>
                <w:szCs w:val="18"/>
                <w:highlight w:val="none"/>
              </w:rPr>
            </w:pPr>
          </w:p>
        </w:tc>
      </w:tr>
      <w:tr w14:paraId="54A73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6A2A8A30">
            <w:pPr>
              <w:jc w:val="center"/>
              <w:rPr>
                <w:color w:val="auto"/>
                <w:sz w:val="18"/>
                <w:szCs w:val="18"/>
                <w:highlight w:val="none"/>
              </w:rPr>
            </w:pPr>
            <w:r>
              <w:rPr>
                <w:color w:val="auto"/>
                <w:sz w:val="18"/>
                <w:szCs w:val="18"/>
                <w:highlight w:val="none"/>
              </w:rPr>
              <w:t>8</w:t>
            </w:r>
          </w:p>
        </w:tc>
        <w:tc>
          <w:tcPr>
            <w:tcW w:w="1985" w:type="dxa"/>
            <w:vAlign w:val="center"/>
          </w:tcPr>
          <w:p w14:paraId="7D043A50">
            <w:pPr>
              <w:rPr>
                <w:color w:val="auto"/>
                <w:sz w:val="18"/>
                <w:szCs w:val="18"/>
                <w:highlight w:val="none"/>
              </w:rPr>
            </w:pPr>
            <w:r>
              <w:rPr>
                <w:color w:val="auto"/>
                <w:sz w:val="18"/>
                <w:szCs w:val="18"/>
                <w:highlight w:val="none"/>
              </w:rPr>
              <w:t>逾期竣工违约金最高限额</w:t>
            </w:r>
          </w:p>
        </w:tc>
        <w:tc>
          <w:tcPr>
            <w:tcW w:w="2126" w:type="dxa"/>
            <w:tcMar>
              <w:left w:w="170" w:type="dxa"/>
            </w:tcMar>
            <w:vAlign w:val="center"/>
          </w:tcPr>
          <w:p w14:paraId="263DF7F7">
            <w:pPr>
              <w:jc w:val="center"/>
              <w:rPr>
                <w:color w:val="auto"/>
                <w:sz w:val="18"/>
                <w:szCs w:val="18"/>
                <w:highlight w:val="none"/>
              </w:rPr>
            </w:pPr>
            <w:r>
              <w:rPr>
                <w:color w:val="auto"/>
                <w:sz w:val="18"/>
                <w:szCs w:val="18"/>
                <w:highlight w:val="none"/>
              </w:rPr>
              <w:t>专用条款</w:t>
            </w:r>
          </w:p>
        </w:tc>
        <w:tc>
          <w:tcPr>
            <w:tcW w:w="1984" w:type="dxa"/>
            <w:vAlign w:val="center"/>
          </w:tcPr>
          <w:p w14:paraId="325E7D99">
            <w:pPr>
              <w:rPr>
                <w:color w:val="auto"/>
                <w:sz w:val="18"/>
                <w:szCs w:val="18"/>
                <w:highlight w:val="none"/>
              </w:rPr>
            </w:pPr>
            <w:r>
              <w:rPr>
                <w:color w:val="auto"/>
                <w:sz w:val="18"/>
                <w:szCs w:val="18"/>
                <w:highlight w:val="none"/>
              </w:rPr>
              <w:t>合同价款</w:t>
            </w:r>
            <w:r>
              <w:rPr>
                <w:color w:val="auto"/>
                <w:sz w:val="18"/>
                <w:szCs w:val="18"/>
                <w:highlight w:val="none"/>
                <w:u w:val="single"/>
              </w:rPr>
              <w:t xml:space="preserve">    %</w:t>
            </w:r>
          </w:p>
        </w:tc>
        <w:tc>
          <w:tcPr>
            <w:tcW w:w="1843" w:type="dxa"/>
            <w:vAlign w:val="center"/>
          </w:tcPr>
          <w:p w14:paraId="6E051944">
            <w:pPr>
              <w:jc w:val="center"/>
              <w:rPr>
                <w:color w:val="auto"/>
                <w:sz w:val="18"/>
                <w:szCs w:val="18"/>
                <w:highlight w:val="none"/>
              </w:rPr>
            </w:pPr>
          </w:p>
        </w:tc>
      </w:tr>
      <w:tr w14:paraId="2AC90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2E3D7D88">
            <w:pPr>
              <w:jc w:val="center"/>
              <w:rPr>
                <w:color w:val="auto"/>
                <w:sz w:val="18"/>
                <w:szCs w:val="18"/>
                <w:highlight w:val="none"/>
              </w:rPr>
            </w:pPr>
            <w:r>
              <w:rPr>
                <w:color w:val="auto"/>
                <w:sz w:val="18"/>
                <w:szCs w:val="18"/>
                <w:highlight w:val="none"/>
              </w:rPr>
              <w:t>9</w:t>
            </w:r>
          </w:p>
        </w:tc>
        <w:tc>
          <w:tcPr>
            <w:tcW w:w="1985" w:type="dxa"/>
            <w:vAlign w:val="center"/>
          </w:tcPr>
          <w:p w14:paraId="08059EEE">
            <w:pPr>
              <w:rPr>
                <w:color w:val="auto"/>
                <w:sz w:val="18"/>
                <w:szCs w:val="18"/>
                <w:highlight w:val="none"/>
              </w:rPr>
            </w:pPr>
            <w:r>
              <w:rPr>
                <w:color w:val="auto"/>
                <w:sz w:val="18"/>
                <w:szCs w:val="18"/>
                <w:highlight w:val="none"/>
              </w:rPr>
              <w:t>质量标准</w:t>
            </w:r>
          </w:p>
        </w:tc>
        <w:tc>
          <w:tcPr>
            <w:tcW w:w="2126" w:type="dxa"/>
            <w:tcMar>
              <w:left w:w="170" w:type="dxa"/>
            </w:tcMar>
            <w:vAlign w:val="center"/>
          </w:tcPr>
          <w:p w14:paraId="5AAEBFBD">
            <w:pPr>
              <w:jc w:val="center"/>
              <w:rPr>
                <w:color w:val="auto"/>
                <w:sz w:val="18"/>
                <w:szCs w:val="18"/>
                <w:highlight w:val="none"/>
              </w:rPr>
            </w:pPr>
            <w:r>
              <w:rPr>
                <w:color w:val="auto"/>
                <w:sz w:val="18"/>
                <w:szCs w:val="18"/>
                <w:highlight w:val="none"/>
              </w:rPr>
              <w:t>专用条款</w:t>
            </w:r>
          </w:p>
        </w:tc>
        <w:tc>
          <w:tcPr>
            <w:tcW w:w="1984" w:type="dxa"/>
            <w:vAlign w:val="center"/>
          </w:tcPr>
          <w:p w14:paraId="7CFEA719">
            <w:pPr>
              <w:jc w:val="center"/>
              <w:rPr>
                <w:color w:val="auto"/>
                <w:sz w:val="18"/>
                <w:szCs w:val="18"/>
                <w:highlight w:val="none"/>
              </w:rPr>
            </w:pPr>
            <w:r>
              <w:rPr>
                <w:color w:val="auto"/>
                <w:sz w:val="18"/>
                <w:szCs w:val="18"/>
                <w:highlight w:val="none"/>
                <w:u w:val="single"/>
              </w:rPr>
              <w:t xml:space="preserve">       </w:t>
            </w:r>
          </w:p>
        </w:tc>
        <w:tc>
          <w:tcPr>
            <w:tcW w:w="1843" w:type="dxa"/>
            <w:vAlign w:val="center"/>
          </w:tcPr>
          <w:p w14:paraId="505D6A6F">
            <w:pPr>
              <w:jc w:val="center"/>
              <w:rPr>
                <w:color w:val="auto"/>
                <w:sz w:val="18"/>
                <w:szCs w:val="18"/>
                <w:highlight w:val="none"/>
              </w:rPr>
            </w:pPr>
          </w:p>
        </w:tc>
      </w:tr>
      <w:tr w14:paraId="2F66D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7CAB98D7">
            <w:pPr>
              <w:jc w:val="center"/>
              <w:rPr>
                <w:color w:val="auto"/>
                <w:sz w:val="18"/>
                <w:szCs w:val="18"/>
                <w:highlight w:val="none"/>
              </w:rPr>
            </w:pPr>
            <w:r>
              <w:rPr>
                <w:color w:val="auto"/>
                <w:sz w:val="18"/>
                <w:szCs w:val="18"/>
                <w:highlight w:val="none"/>
              </w:rPr>
              <w:t>10</w:t>
            </w:r>
          </w:p>
        </w:tc>
        <w:tc>
          <w:tcPr>
            <w:tcW w:w="1985" w:type="dxa"/>
            <w:vAlign w:val="center"/>
          </w:tcPr>
          <w:p w14:paraId="5E136152">
            <w:pPr>
              <w:rPr>
                <w:color w:val="auto"/>
                <w:sz w:val="18"/>
                <w:szCs w:val="18"/>
                <w:highlight w:val="none"/>
              </w:rPr>
            </w:pPr>
            <w:r>
              <w:rPr>
                <w:color w:val="auto"/>
                <w:sz w:val="18"/>
                <w:szCs w:val="18"/>
                <w:highlight w:val="none"/>
              </w:rPr>
              <w:t>预付款额度</w:t>
            </w:r>
          </w:p>
        </w:tc>
        <w:tc>
          <w:tcPr>
            <w:tcW w:w="2126" w:type="dxa"/>
            <w:tcMar>
              <w:left w:w="170" w:type="dxa"/>
            </w:tcMar>
            <w:vAlign w:val="center"/>
          </w:tcPr>
          <w:p w14:paraId="28897250">
            <w:pPr>
              <w:jc w:val="center"/>
              <w:rPr>
                <w:color w:val="auto"/>
                <w:sz w:val="18"/>
                <w:szCs w:val="18"/>
                <w:highlight w:val="none"/>
              </w:rPr>
            </w:pPr>
            <w:r>
              <w:rPr>
                <w:color w:val="auto"/>
                <w:sz w:val="18"/>
                <w:szCs w:val="18"/>
                <w:highlight w:val="none"/>
              </w:rPr>
              <w:t>专用条款</w:t>
            </w:r>
          </w:p>
        </w:tc>
        <w:tc>
          <w:tcPr>
            <w:tcW w:w="1984" w:type="dxa"/>
            <w:vAlign w:val="center"/>
          </w:tcPr>
          <w:p w14:paraId="3BF333A4">
            <w:pPr>
              <w:jc w:val="center"/>
              <w:rPr>
                <w:color w:val="auto"/>
                <w:sz w:val="18"/>
                <w:szCs w:val="18"/>
                <w:highlight w:val="none"/>
              </w:rPr>
            </w:pPr>
            <w:r>
              <w:rPr>
                <w:color w:val="auto"/>
                <w:sz w:val="18"/>
                <w:szCs w:val="18"/>
                <w:highlight w:val="none"/>
                <w:u w:val="single"/>
              </w:rPr>
              <w:t xml:space="preserve">       </w:t>
            </w:r>
          </w:p>
        </w:tc>
        <w:tc>
          <w:tcPr>
            <w:tcW w:w="1843" w:type="dxa"/>
            <w:vAlign w:val="center"/>
          </w:tcPr>
          <w:p w14:paraId="7C10E67A">
            <w:pPr>
              <w:jc w:val="center"/>
              <w:rPr>
                <w:color w:val="auto"/>
                <w:sz w:val="18"/>
                <w:szCs w:val="18"/>
                <w:highlight w:val="none"/>
              </w:rPr>
            </w:pPr>
          </w:p>
        </w:tc>
      </w:tr>
      <w:tr w14:paraId="11DD9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1743843A">
            <w:pPr>
              <w:jc w:val="center"/>
              <w:rPr>
                <w:color w:val="auto"/>
                <w:sz w:val="18"/>
                <w:szCs w:val="18"/>
                <w:highlight w:val="none"/>
              </w:rPr>
            </w:pPr>
            <w:r>
              <w:rPr>
                <w:color w:val="auto"/>
                <w:sz w:val="18"/>
                <w:szCs w:val="18"/>
                <w:highlight w:val="none"/>
              </w:rPr>
              <w:t>11</w:t>
            </w:r>
          </w:p>
        </w:tc>
        <w:tc>
          <w:tcPr>
            <w:tcW w:w="1985" w:type="dxa"/>
            <w:vAlign w:val="center"/>
          </w:tcPr>
          <w:p w14:paraId="143453FA">
            <w:pPr>
              <w:rPr>
                <w:color w:val="auto"/>
                <w:sz w:val="18"/>
                <w:szCs w:val="18"/>
                <w:highlight w:val="none"/>
              </w:rPr>
            </w:pPr>
            <w:r>
              <w:rPr>
                <w:color w:val="auto"/>
                <w:sz w:val="18"/>
                <w:szCs w:val="18"/>
                <w:highlight w:val="none"/>
              </w:rPr>
              <w:t>预付款保函金额</w:t>
            </w:r>
          </w:p>
        </w:tc>
        <w:tc>
          <w:tcPr>
            <w:tcW w:w="2126" w:type="dxa"/>
            <w:tcMar>
              <w:left w:w="170" w:type="dxa"/>
            </w:tcMar>
            <w:vAlign w:val="center"/>
          </w:tcPr>
          <w:p w14:paraId="36866C6C">
            <w:pPr>
              <w:jc w:val="center"/>
              <w:rPr>
                <w:color w:val="auto"/>
                <w:sz w:val="18"/>
                <w:szCs w:val="18"/>
                <w:highlight w:val="none"/>
              </w:rPr>
            </w:pPr>
            <w:r>
              <w:rPr>
                <w:color w:val="auto"/>
                <w:sz w:val="18"/>
                <w:szCs w:val="18"/>
                <w:highlight w:val="none"/>
              </w:rPr>
              <w:t>专用条款</w:t>
            </w:r>
          </w:p>
        </w:tc>
        <w:tc>
          <w:tcPr>
            <w:tcW w:w="1984" w:type="dxa"/>
            <w:vAlign w:val="center"/>
          </w:tcPr>
          <w:p w14:paraId="5DFA3377">
            <w:pPr>
              <w:jc w:val="center"/>
              <w:rPr>
                <w:color w:val="auto"/>
                <w:sz w:val="18"/>
                <w:szCs w:val="18"/>
                <w:highlight w:val="none"/>
              </w:rPr>
            </w:pPr>
            <w:r>
              <w:rPr>
                <w:color w:val="auto"/>
                <w:sz w:val="18"/>
                <w:szCs w:val="18"/>
                <w:highlight w:val="none"/>
                <w:u w:val="single"/>
              </w:rPr>
              <w:t xml:space="preserve">       </w:t>
            </w:r>
          </w:p>
        </w:tc>
        <w:tc>
          <w:tcPr>
            <w:tcW w:w="1843" w:type="dxa"/>
            <w:vAlign w:val="center"/>
          </w:tcPr>
          <w:p w14:paraId="629539F7">
            <w:pPr>
              <w:jc w:val="center"/>
              <w:rPr>
                <w:color w:val="auto"/>
                <w:sz w:val="18"/>
                <w:szCs w:val="18"/>
                <w:highlight w:val="none"/>
              </w:rPr>
            </w:pPr>
          </w:p>
        </w:tc>
      </w:tr>
      <w:tr w14:paraId="2612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7DA2CD51">
            <w:pPr>
              <w:jc w:val="center"/>
              <w:rPr>
                <w:color w:val="auto"/>
                <w:sz w:val="18"/>
                <w:szCs w:val="18"/>
                <w:highlight w:val="none"/>
              </w:rPr>
            </w:pPr>
            <w:r>
              <w:rPr>
                <w:color w:val="auto"/>
                <w:sz w:val="18"/>
                <w:szCs w:val="18"/>
                <w:highlight w:val="none"/>
              </w:rPr>
              <w:t>12</w:t>
            </w:r>
          </w:p>
        </w:tc>
        <w:tc>
          <w:tcPr>
            <w:tcW w:w="1985" w:type="dxa"/>
            <w:vAlign w:val="center"/>
          </w:tcPr>
          <w:p w14:paraId="69ABA47E">
            <w:pPr>
              <w:rPr>
                <w:color w:val="auto"/>
                <w:sz w:val="18"/>
                <w:szCs w:val="18"/>
                <w:highlight w:val="none"/>
              </w:rPr>
            </w:pPr>
            <w:r>
              <w:rPr>
                <w:color w:val="auto"/>
                <w:sz w:val="18"/>
                <w:szCs w:val="18"/>
                <w:highlight w:val="none"/>
              </w:rPr>
              <w:t>质量保证金额度</w:t>
            </w:r>
          </w:p>
        </w:tc>
        <w:tc>
          <w:tcPr>
            <w:tcW w:w="2126" w:type="dxa"/>
            <w:tcMar>
              <w:left w:w="170" w:type="dxa"/>
            </w:tcMar>
            <w:vAlign w:val="center"/>
          </w:tcPr>
          <w:p w14:paraId="78D27094">
            <w:pPr>
              <w:jc w:val="center"/>
              <w:rPr>
                <w:color w:val="auto"/>
                <w:sz w:val="18"/>
                <w:szCs w:val="18"/>
                <w:highlight w:val="none"/>
              </w:rPr>
            </w:pPr>
            <w:r>
              <w:rPr>
                <w:color w:val="auto"/>
                <w:sz w:val="18"/>
                <w:szCs w:val="18"/>
                <w:highlight w:val="none"/>
              </w:rPr>
              <w:t>专用条款</w:t>
            </w:r>
          </w:p>
        </w:tc>
        <w:tc>
          <w:tcPr>
            <w:tcW w:w="1984" w:type="dxa"/>
            <w:vAlign w:val="center"/>
          </w:tcPr>
          <w:p w14:paraId="3C35D2CE">
            <w:pPr>
              <w:jc w:val="center"/>
              <w:rPr>
                <w:color w:val="auto"/>
                <w:sz w:val="18"/>
                <w:szCs w:val="18"/>
                <w:highlight w:val="none"/>
              </w:rPr>
            </w:pPr>
            <w:r>
              <w:rPr>
                <w:color w:val="auto"/>
                <w:sz w:val="18"/>
                <w:szCs w:val="18"/>
                <w:highlight w:val="none"/>
              </w:rPr>
              <w:t>结算价的</w:t>
            </w:r>
            <w:r>
              <w:rPr>
                <w:color w:val="auto"/>
                <w:sz w:val="18"/>
                <w:szCs w:val="18"/>
                <w:highlight w:val="none"/>
                <w:u w:val="single"/>
              </w:rPr>
              <w:t xml:space="preserve">     </w:t>
            </w:r>
            <w:r>
              <w:rPr>
                <w:color w:val="auto"/>
                <w:sz w:val="18"/>
                <w:szCs w:val="18"/>
                <w:highlight w:val="none"/>
              </w:rPr>
              <w:t xml:space="preserve">% </w:t>
            </w:r>
            <w:r>
              <w:rPr>
                <w:color w:val="auto"/>
                <w:sz w:val="18"/>
                <w:szCs w:val="18"/>
                <w:highlight w:val="none"/>
                <w:u w:val="single"/>
              </w:rPr>
              <w:t xml:space="preserve"> </w:t>
            </w:r>
          </w:p>
        </w:tc>
        <w:tc>
          <w:tcPr>
            <w:tcW w:w="1843" w:type="dxa"/>
            <w:vAlign w:val="center"/>
          </w:tcPr>
          <w:p w14:paraId="77E4F82F">
            <w:pPr>
              <w:jc w:val="center"/>
              <w:rPr>
                <w:color w:val="auto"/>
                <w:sz w:val="18"/>
                <w:szCs w:val="18"/>
                <w:highlight w:val="none"/>
              </w:rPr>
            </w:pPr>
          </w:p>
        </w:tc>
      </w:tr>
      <w:tr w14:paraId="6B46B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1D2E772A">
            <w:pPr>
              <w:jc w:val="center"/>
              <w:rPr>
                <w:color w:val="auto"/>
                <w:sz w:val="18"/>
                <w:szCs w:val="18"/>
                <w:highlight w:val="none"/>
              </w:rPr>
            </w:pPr>
            <w:r>
              <w:rPr>
                <w:color w:val="auto"/>
                <w:sz w:val="18"/>
                <w:szCs w:val="18"/>
                <w:highlight w:val="none"/>
              </w:rPr>
              <w:t>…</w:t>
            </w:r>
          </w:p>
        </w:tc>
        <w:tc>
          <w:tcPr>
            <w:tcW w:w="1985" w:type="dxa"/>
            <w:vAlign w:val="center"/>
          </w:tcPr>
          <w:p w14:paraId="1A9E5456">
            <w:pPr>
              <w:jc w:val="center"/>
              <w:rPr>
                <w:color w:val="auto"/>
                <w:sz w:val="18"/>
                <w:szCs w:val="18"/>
                <w:highlight w:val="none"/>
              </w:rPr>
            </w:pPr>
            <w:r>
              <w:rPr>
                <w:color w:val="auto"/>
                <w:sz w:val="18"/>
                <w:szCs w:val="18"/>
                <w:highlight w:val="none"/>
              </w:rPr>
              <w:t>…</w:t>
            </w:r>
          </w:p>
        </w:tc>
        <w:tc>
          <w:tcPr>
            <w:tcW w:w="2126" w:type="dxa"/>
            <w:tcMar>
              <w:left w:w="170" w:type="dxa"/>
            </w:tcMar>
            <w:vAlign w:val="center"/>
          </w:tcPr>
          <w:p w14:paraId="4716250F">
            <w:pPr>
              <w:jc w:val="center"/>
              <w:rPr>
                <w:color w:val="auto"/>
                <w:sz w:val="18"/>
                <w:szCs w:val="18"/>
                <w:highlight w:val="none"/>
              </w:rPr>
            </w:pPr>
          </w:p>
        </w:tc>
        <w:tc>
          <w:tcPr>
            <w:tcW w:w="1984" w:type="dxa"/>
            <w:vAlign w:val="center"/>
          </w:tcPr>
          <w:p w14:paraId="379884AB">
            <w:pPr>
              <w:jc w:val="center"/>
              <w:rPr>
                <w:color w:val="auto"/>
                <w:sz w:val="18"/>
                <w:szCs w:val="18"/>
                <w:highlight w:val="none"/>
              </w:rPr>
            </w:pPr>
          </w:p>
        </w:tc>
        <w:tc>
          <w:tcPr>
            <w:tcW w:w="1843" w:type="dxa"/>
            <w:vAlign w:val="center"/>
          </w:tcPr>
          <w:p w14:paraId="71267440">
            <w:pPr>
              <w:jc w:val="center"/>
              <w:rPr>
                <w:color w:val="auto"/>
                <w:sz w:val="18"/>
                <w:szCs w:val="18"/>
                <w:highlight w:val="none"/>
              </w:rPr>
            </w:pPr>
          </w:p>
        </w:tc>
      </w:tr>
      <w:tr w14:paraId="50A7A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8930" w:type="dxa"/>
            <w:gridSpan w:val="5"/>
            <w:vAlign w:val="center"/>
          </w:tcPr>
          <w:p w14:paraId="13D43FFE">
            <w:pPr>
              <w:spacing w:line="360" w:lineRule="auto"/>
              <w:rPr>
                <w:color w:val="auto"/>
                <w:sz w:val="18"/>
                <w:szCs w:val="18"/>
                <w:highlight w:val="none"/>
              </w:rPr>
            </w:pPr>
            <w:r>
              <w:rPr>
                <w:color w:val="auto"/>
                <w:sz w:val="18"/>
                <w:szCs w:val="18"/>
                <w:highlight w:val="none"/>
              </w:rPr>
              <w:t>备注：供应商在响应采购文件中规定的实质性要求和条件的基础上，可做出其他有利于采购单位的承诺。此类承诺可在本表中予以补充填写。</w:t>
            </w:r>
          </w:p>
        </w:tc>
      </w:tr>
    </w:tbl>
    <w:p w14:paraId="4A086D2E">
      <w:pPr>
        <w:rPr>
          <w:color w:val="auto"/>
          <w:spacing w:val="20"/>
          <w:sz w:val="18"/>
          <w:szCs w:val="18"/>
          <w:highlight w:val="none"/>
          <w:u w:val="single"/>
        </w:rPr>
      </w:pPr>
    </w:p>
    <w:p w14:paraId="4051682F">
      <w:pPr>
        <w:spacing w:line="360" w:lineRule="auto"/>
        <w:rPr>
          <w:color w:val="auto"/>
          <w:spacing w:val="20"/>
          <w:sz w:val="18"/>
          <w:szCs w:val="18"/>
          <w:highlight w:val="none"/>
        </w:rPr>
      </w:pPr>
    </w:p>
    <w:p w14:paraId="0E16B130">
      <w:pPr>
        <w:jc w:val="left"/>
        <w:rPr>
          <w:color w:val="auto"/>
          <w:sz w:val="18"/>
          <w:szCs w:val="18"/>
          <w:highlight w:val="none"/>
        </w:rPr>
      </w:pPr>
    </w:p>
    <w:p w14:paraId="17983750">
      <w:pPr>
        <w:spacing w:line="360" w:lineRule="auto"/>
        <w:rPr>
          <w:color w:val="auto"/>
          <w:spacing w:val="20"/>
          <w:sz w:val="18"/>
          <w:szCs w:val="18"/>
          <w:highlight w:val="none"/>
        </w:rPr>
      </w:pPr>
    </w:p>
    <w:p w14:paraId="458EA65E">
      <w:pPr>
        <w:spacing w:line="360" w:lineRule="auto"/>
        <w:rPr>
          <w:color w:val="auto"/>
          <w:sz w:val="18"/>
          <w:szCs w:val="18"/>
          <w:highlight w:val="none"/>
        </w:rPr>
      </w:pPr>
      <w:bookmarkStart w:id="1139" w:name="_Hlk89191140"/>
      <w:r>
        <w:rPr>
          <w:color w:val="auto"/>
          <w:sz w:val="18"/>
          <w:szCs w:val="18"/>
          <w:highlight w:val="none"/>
        </w:rPr>
        <w:t>供应商名称（</w:t>
      </w:r>
      <w:r>
        <w:rPr>
          <w:rFonts w:hint="eastAsia"/>
          <w:color w:val="auto"/>
          <w:sz w:val="18"/>
          <w:szCs w:val="18"/>
          <w:highlight w:val="none"/>
        </w:rPr>
        <w:t>电子签章</w:t>
      </w:r>
      <w:r>
        <w:rPr>
          <w:color w:val="auto"/>
          <w:sz w:val="18"/>
          <w:szCs w:val="18"/>
          <w:highlight w:val="none"/>
        </w:rPr>
        <w:t>）</w:t>
      </w:r>
      <w:bookmarkEnd w:id="1139"/>
      <w:r>
        <w:rPr>
          <w:color w:val="auto"/>
          <w:sz w:val="18"/>
          <w:szCs w:val="18"/>
          <w:highlight w:val="none"/>
        </w:rPr>
        <w:t>：</w:t>
      </w:r>
      <w:r>
        <w:rPr>
          <w:color w:val="auto"/>
          <w:sz w:val="18"/>
          <w:szCs w:val="18"/>
          <w:highlight w:val="none"/>
          <w:u w:val="single"/>
        </w:rPr>
        <w:t xml:space="preserve">                          </w:t>
      </w:r>
    </w:p>
    <w:p w14:paraId="0C9147BB">
      <w:pPr>
        <w:spacing w:line="360" w:lineRule="auto"/>
        <w:rPr>
          <w:color w:val="auto"/>
          <w:sz w:val="18"/>
          <w:szCs w:val="18"/>
          <w:highlight w:val="none"/>
        </w:rPr>
      </w:pPr>
      <w:r>
        <w:rPr>
          <w:color w:val="auto"/>
          <w:sz w:val="18"/>
          <w:szCs w:val="18"/>
          <w:highlight w:val="none"/>
        </w:rPr>
        <w:t>日  期：：</w:t>
      </w:r>
      <w:r>
        <w:rPr>
          <w:color w:val="auto"/>
          <w:sz w:val="18"/>
          <w:szCs w:val="18"/>
          <w:highlight w:val="none"/>
          <w:u w:val="single"/>
        </w:rPr>
        <w:t xml:space="preserve">         </w:t>
      </w:r>
      <w:r>
        <w:rPr>
          <w:color w:val="auto"/>
          <w:sz w:val="18"/>
          <w:szCs w:val="18"/>
          <w:highlight w:val="none"/>
        </w:rPr>
        <w:t>年</w:t>
      </w:r>
      <w:r>
        <w:rPr>
          <w:color w:val="auto"/>
          <w:sz w:val="18"/>
          <w:szCs w:val="18"/>
          <w:highlight w:val="none"/>
          <w:u w:val="single"/>
        </w:rPr>
        <w:t xml:space="preserve">   </w:t>
      </w:r>
      <w:r>
        <w:rPr>
          <w:color w:val="auto"/>
          <w:sz w:val="18"/>
          <w:szCs w:val="18"/>
          <w:highlight w:val="none"/>
        </w:rPr>
        <w:t>月</w:t>
      </w:r>
      <w:r>
        <w:rPr>
          <w:color w:val="auto"/>
          <w:sz w:val="18"/>
          <w:szCs w:val="18"/>
          <w:highlight w:val="none"/>
          <w:u w:val="single"/>
        </w:rPr>
        <w:t xml:space="preserve">   </w:t>
      </w:r>
      <w:r>
        <w:rPr>
          <w:color w:val="auto"/>
          <w:sz w:val="18"/>
          <w:szCs w:val="18"/>
          <w:highlight w:val="none"/>
        </w:rPr>
        <w:t xml:space="preserve">日 </w:t>
      </w:r>
    </w:p>
    <w:p w14:paraId="3C7993C5">
      <w:pPr>
        <w:rPr>
          <w:b/>
          <w:color w:val="auto"/>
          <w:sz w:val="18"/>
          <w:szCs w:val="18"/>
          <w:highlight w:val="none"/>
        </w:rPr>
      </w:pPr>
      <w:r>
        <w:rPr>
          <w:color w:val="auto"/>
          <w:sz w:val="18"/>
          <w:szCs w:val="18"/>
          <w:highlight w:val="none"/>
        </w:rPr>
        <w:br w:type="page"/>
      </w:r>
      <w:r>
        <w:rPr>
          <w:color w:val="auto"/>
          <w:sz w:val="18"/>
          <w:szCs w:val="18"/>
          <w:highlight w:val="none"/>
        </w:rPr>
        <w:t>3．</w:t>
      </w:r>
      <w:r>
        <w:rPr>
          <w:rFonts w:hint="eastAsia"/>
          <w:color w:val="auto"/>
          <w:sz w:val="18"/>
          <w:szCs w:val="18"/>
          <w:highlight w:val="none"/>
        </w:rPr>
        <w:t>响应</w:t>
      </w:r>
      <w:r>
        <w:rPr>
          <w:color w:val="auto"/>
          <w:sz w:val="18"/>
          <w:szCs w:val="18"/>
          <w:highlight w:val="none"/>
        </w:rPr>
        <w:t>报价表格式：</w:t>
      </w:r>
    </w:p>
    <w:p w14:paraId="1F26C74F">
      <w:pPr>
        <w:jc w:val="center"/>
        <w:rPr>
          <w:color w:val="auto"/>
          <w:spacing w:val="20"/>
          <w:sz w:val="18"/>
          <w:szCs w:val="18"/>
          <w:highlight w:val="none"/>
          <w:u w:val="single"/>
        </w:rPr>
      </w:pPr>
      <w:r>
        <w:rPr>
          <w:b/>
          <w:color w:val="auto"/>
          <w:sz w:val="18"/>
          <w:szCs w:val="18"/>
          <w:highlight w:val="none"/>
        </w:rPr>
        <w:t>磋商报价表</w:t>
      </w:r>
    </w:p>
    <w:p w14:paraId="2DB8D3E7">
      <w:pPr>
        <w:rPr>
          <w:color w:val="auto"/>
          <w:sz w:val="18"/>
          <w:szCs w:val="18"/>
          <w:highlight w:val="none"/>
        </w:rPr>
      </w:pPr>
    </w:p>
    <w:p w14:paraId="26A61338">
      <w:pPr>
        <w:ind w:left="-178" w:leftChars="-85" w:right="-512" w:rightChars="-244" w:firstLine="720" w:firstLineChars="400"/>
        <w:jc w:val="left"/>
        <w:rPr>
          <w:color w:val="auto"/>
          <w:sz w:val="18"/>
          <w:szCs w:val="18"/>
          <w:highlight w:val="none"/>
        </w:rPr>
      </w:pPr>
      <w:r>
        <w:rPr>
          <w:color w:val="auto"/>
          <w:sz w:val="18"/>
          <w:szCs w:val="18"/>
          <w:highlight w:val="none"/>
        </w:rPr>
        <w:t>工程名称：                                                  币种：人民币</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3116"/>
        <w:gridCol w:w="1987"/>
        <w:gridCol w:w="1702"/>
      </w:tblGrid>
      <w:tr w14:paraId="70D1E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5100" w:type="dxa"/>
            <w:gridSpan w:val="2"/>
            <w:vAlign w:val="center"/>
          </w:tcPr>
          <w:p w14:paraId="4C3C1E10">
            <w:pPr>
              <w:widowControl/>
              <w:jc w:val="center"/>
              <w:rPr>
                <w:color w:val="auto"/>
                <w:sz w:val="18"/>
                <w:szCs w:val="18"/>
                <w:highlight w:val="none"/>
              </w:rPr>
            </w:pPr>
            <w:r>
              <w:rPr>
                <w:rFonts w:hint="eastAsia" w:cs="宋体"/>
                <w:color w:val="auto"/>
                <w:sz w:val="18"/>
                <w:szCs w:val="18"/>
                <w:highlight w:val="none"/>
              </w:rPr>
              <w:t>响应总价</w:t>
            </w:r>
          </w:p>
        </w:tc>
        <w:tc>
          <w:tcPr>
            <w:tcW w:w="1987" w:type="dxa"/>
            <w:vAlign w:val="center"/>
          </w:tcPr>
          <w:p w14:paraId="395A3A08">
            <w:pPr>
              <w:widowControl/>
              <w:jc w:val="right"/>
              <w:rPr>
                <w:color w:val="auto"/>
                <w:sz w:val="18"/>
                <w:szCs w:val="18"/>
                <w:highlight w:val="none"/>
              </w:rPr>
            </w:pPr>
            <w:r>
              <w:rPr>
                <w:rFonts w:hint="eastAsia" w:cs="宋体"/>
                <w:color w:val="auto"/>
                <w:sz w:val="18"/>
                <w:szCs w:val="18"/>
                <w:highlight w:val="none"/>
              </w:rPr>
              <w:t>万元</w:t>
            </w:r>
          </w:p>
        </w:tc>
        <w:tc>
          <w:tcPr>
            <w:tcW w:w="1702" w:type="dxa"/>
            <w:vAlign w:val="center"/>
          </w:tcPr>
          <w:p w14:paraId="5571262A">
            <w:pPr>
              <w:widowControl/>
              <w:jc w:val="center"/>
              <w:rPr>
                <w:color w:val="auto"/>
                <w:sz w:val="18"/>
                <w:szCs w:val="18"/>
                <w:highlight w:val="none"/>
              </w:rPr>
            </w:pPr>
            <w:r>
              <w:rPr>
                <w:rFonts w:hint="eastAsia" w:cs="宋体"/>
                <w:color w:val="auto"/>
                <w:sz w:val="18"/>
                <w:szCs w:val="18"/>
                <w:highlight w:val="none"/>
              </w:rPr>
              <w:t>备注</w:t>
            </w:r>
          </w:p>
        </w:tc>
      </w:tr>
      <w:tr w14:paraId="3321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984" w:type="dxa"/>
            <w:vMerge w:val="restart"/>
            <w:vAlign w:val="center"/>
          </w:tcPr>
          <w:p w14:paraId="4014A704">
            <w:pPr>
              <w:jc w:val="center"/>
              <w:rPr>
                <w:color w:val="auto"/>
                <w:sz w:val="18"/>
                <w:szCs w:val="18"/>
                <w:highlight w:val="none"/>
              </w:rPr>
            </w:pPr>
            <w:r>
              <w:rPr>
                <w:rFonts w:hint="eastAsia" w:cs="宋体"/>
                <w:color w:val="auto"/>
                <w:sz w:val="18"/>
                <w:szCs w:val="18"/>
                <w:highlight w:val="none"/>
              </w:rPr>
              <w:t>其中</w:t>
            </w:r>
          </w:p>
        </w:tc>
        <w:tc>
          <w:tcPr>
            <w:tcW w:w="3116" w:type="dxa"/>
            <w:vAlign w:val="center"/>
          </w:tcPr>
          <w:p w14:paraId="73581167">
            <w:pPr>
              <w:jc w:val="center"/>
              <w:rPr>
                <w:color w:val="auto"/>
                <w:sz w:val="18"/>
                <w:szCs w:val="18"/>
                <w:highlight w:val="none"/>
              </w:rPr>
            </w:pPr>
            <w:r>
              <w:rPr>
                <w:rFonts w:hint="eastAsia" w:cs="宋体"/>
                <w:color w:val="auto"/>
                <w:sz w:val="18"/>
                <w:szCs w:val="18"/>
                <w:highlight w:val="none"/>
              </w:rPr>
              <w:t>安全文明施工费</w:t>
            </w:r>
          </w:p>
        </w:tc>
        <w:tc>
          <w:tcPr>
            <w:tcW w:w="1987" w:type="dxa"/>
            <w:vAlign w:val="center"/>
          </w:tcPr>
          <w:p w14:paraId="14A08B2A">
            <w:pPr>
              <w:jc w:val="right"/>
              <w:rPr>
                <w:color w:val="auto"/>
                <w:sz w:val="18"/>
                <w:szCs w:val="18"/>
                <w:highlight w:val="none"/>
              </w:rPr>
            </w:pPr>
            <w:r>
              <w:rPr>
                <w:rFonts w:hint="eastAsia" w:cs="宋体"/>
                <w:color w:val="auto"/>
                <w:sz w:val="18"/>
                <w:szCs w:val="18"/>
                <w:highlight w:val="none"/>
              </w:rPr>
              <w:t>万元</w:t>
            </w:r>
          </w:p>
        </w:tc>
        <w:tc>
          <w:tcPr>
            <w:tcW w:w="1702" w:type="dxa"/>
            <w:vAlign w:val="center"/>
          </w:tcPr>
          <w:p w14:paraId="6E078FB7">
            <w:pPr>
              <w:jc w:val="center"/>
              <w:rPr>
                <w:color w:val="auto"/>
                <w:sz w:val="18"/>
                <w:szCs w:val="18"/>
                <w:highlight w:val="none"/>
              </w:rPr>
            </w:pPr>
          </w:p>
        </w:tc>
      </w:tr>
      <w:tr w14:paraId="1418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984" w:type="dxa"/>
            <w:vMerge w:val="continue"/>
            <w:vAlign w:val="center"/>
          </w:tcPr>
          <w:p w14:paraId="1ED15765">
            <w:pPr>
              <w:jc w:val="center"/>
              <w:rPr>
                <w:rFonts w:cs="宋体"/>
                <w:color w:val="auto"/>
                <w:sz w:val="18"/>
                <w:szCs w:val="18"/>
                <w:highlight w:val="none"/>
              </w:rPr>
            </w:pPr>
          </w:p>
        </w:tc>
        <w:tc>
          <w:tcPr>
            <w:tcW w:w="3116" w:type="dxa"/>
            <w:vAlign w:val="center"/>
          </w:tcPr>
          <w:p w14:paraId="601280AD">
            <w:pPr>
              <w:jc w:val="center"/>
              <w:rPr>
                <w:rFonts w:cs="宋体"/>
                <w:color w:val="auto"/>
                <w:sz w:val="18"/>
                <w:szCs w:val="18"/>
                <w:highlight w:val="none"/>
              </w:rPr>
            </w:pPr>
            <w:r>
              <w:rPr>
                <w:rFonts w:hint="eastAsia" w:cs="宋体"/>
                <w:color w:val="auto"/>
                <w:sz w:val="18"/>
                <w:szCs w:val="18"/>
                <w:highlight w:val="none"/>
              </w:rPr>
              <w:t>安责险暂估价（如有）</w:t>
            </w:r>
          </w:p>
        </w:tc>
        <w:tc>
          <w:tcPr>
            <w:tcW w:w="1987" w:type="dxa"/>
            <w:vAlign w:val="center"/>
          </w:tcPr>
          <w:p w14:paraId="40DF5586">
            <w:pPr>
              <w:jc w:val="right"/>
              <w:rPr>
                <w:rFonts w:cs="宋体"/>
                <w:color w:val="auto"/>
                <w:sz w:val="18"/>
                <w:szCs w:val="18"/>
                <w:highlight w:val="none"/>
              </w:rPr>
            </w:pPr>
            <w:r>
              <w:rPr>
                <w:rFonts w:hint="eastAsia" w:cs="宋体"/>
                <w:color w:val="auto"/>
                <w:sz w:val="18"/>
                <w:szCs w:val="18"/>
                <w:highlight w:val="none"/>
              </w:rPr>
              <w:t>万元</w:t>
            </w:r>
          </w:p>
        </w:tc>
        <w:tc>
          <w:tcPr>
            <w:tcW w:w="1702" w:type="dxa"/>
            <w:vAlign w:val="center"/>
          </w:tcPr>
          <w:p w14:paraId="52E0C601">
            <w:pPr>
              <w:jc w:val="center"/>
              <w:rPr>
                <w:color w:val="auto"/>
                <w:sz w:val="18"/>
                <w:szCs w:val="18"/>
                <w:highlight w:val="none"/>
              </w:rPr>
            </w:pPr>
          </w:p>
        </w:tc>
      </w:tr>
      <w:tr w14:paraId="29310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984" w:type="dxa"/>
            <w:vMerge w:val="continue"/>
            <w:vAlign w:val="center"/>
          </w:tcPr>
          <w:p w14:paraId="19D92530">
            <w:pPr>
              <w:widowControl/>
              <w:jc w:val="center"/>
              <w:rPr>
                <w:color w:val="auto"/>
                <w:sz w:val="18"/>
                <w:szCs w:val="18"/>
                <w:highlight w:val="none"/>
              </w:rPr>
            </w:pPr>
          </w:p>
        </w:tc>
        <w:tc>
          <w:tcPr>
            <w:tcW w:w="3116" w:type="dxa"/>
            <w:vAlign w:val="center"/>
          </w:tcPr>
          <w:p w14:paraId="3A746772">
            <w:pPr>
              <w:jc w:val="center"/>
              <w:rPr>
                <w:color w:val="auto"/>
                <w:sz w:val="18"/>
                <w:szCs w:val="18"/>
                <w:highlight w:val="none"/>
              </w:rPr>
            </w:pPr>
            <w:r>
              <w:rPr>
                <w:rFonts w:hint="eastAsia" w:cs="宋体"/>
                <w:color w:val="auto"/>
                <w:sz w:val="18"/>
                <w:szCs w:val="18"/>
                <w:highlight w:val="none"/>
              </w:rPr>
              <w:t>发包人提供材料（设备）暂估价（如有）</w:t>
            </w:r>
          </w:p>
        </w:tc>
        <w:tc>
          <w:tcPr>
            <w:tcW w:w="1987" w:type="dxa"/>
            <w:vAlign w:val="center"/>
          </w:tcPr>
          <w:p w14:paraId="1EB1656B">
            <w:pPr>
              <w:widowControl/>
              <w:jc w:val="right"/>
              <w:rPr>
                <w:color w:val="auto"/>
                <w:sz w:val="18"/>
                <w:szCs w:val="18"/>
                <w:highlight w:val="none"/>
              </w:rPr>
            </w:pPr>
            <w:r>
              <w:rPr>
                <w:rFonts w:hint="eastAsia" w:cs="宋体"/>
                <w:color w:val="auto"/>
                <w:sz w:val="18"/>
                <w:szCs w:val="18"/>
                <w:highlight w:val="none"/>
              </w:rPr>
              <w:t>万元</w:t>
            </w:r>
          </w:p>
        </w:tc>
        <w:tc>
          <w:tcPr>
            <w:tcW w:w="1702" w:type="dxa"/>
          </w:tcPr>
          <w:p w14:paraId="168C8E05">
            <w:pPr>
              <w:widowControl/>
              <w:ind w:right="480"/>
              <w:rPr>
                <w:color w:val="auto"/>
                <w:sz w:val="18"/>
                <w:szCs w:val="18"/>
                <w:highlight w:val="none"/>
              </w:rPr>
            </w:pPr>
          </w:p>
        </w:tc>
      </w:tr>
      <w:tr w14:paraId="52F64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984" w:type="dxa"/>
            <w:vMerge w:val="continue"/>
            <w:vAlign w:val="center"/>
          </w:tcPr>
          <w:p w14:paraId="59247515">
            <w:pPr>
              <w:widowControl/>
              <w:jc w:val="center"/>
              <w:rPr>
                <w:color w:val="auto"/>
                <w:sz w:val="18"/>
                <w:szCs w:val="18"/>
                <w:highlight w:val="none"/>
              </w:rPr>
            </w:pPr>
          </w:p>
        </w:tc>
        <w:tc>
          <w:tcPr>
            <w:tcW w:w="3116" w:type="dxa"/>
            <w:vAlign w:val="center"/>
          </w:tcPr>
          <w:p w14:paraId="66AC7EBE">
            <w:pPr>
              <w:widowControl/>
              <w:rPr>
                <w:color w:val="auto"/>
                <w:sz w:val="18"/>
                <w:szCs w:val="18"/>
                <w:highlight w:val="none"/>
              </w:rPr>
            </w:pPr>
            <w:r>
              <w:rPr>
                <w:rFonts w:hint="eastAsia" w:cs="宋体"/>
                <w:color w:val="auto"/>
                <w:sz w:val="18"/>
                <w:szCs w:val="18"/>
                <w:highlight w:val="none"/>
              </w:rPr>
              <w:t>专业工程暂估价（如有）</w:t>
            </w:r>
          </w:p>
        </w:tc>
        <w:tc>
          <w:tcPr>
            <w:tcW w:w="1987" w:type="dxa"/>
            <w:vAlign w:val="center"/>
          </w:tcPr>
          <w:p w14:paraId="0287303F">
            <w:pPr>
              <w:widowControl/>
              <w:jc w:val="right"/>
              <w:rPr>
                <w:color w:val="auto"/>
                <w:sz w:val="18"/>
                <w:szCs w:val="18"/>
                <w:highlight w:val="none"/>
              </w:rPr>
            </w:pPr>
            <w:r>
              <w:rPr>
                <w:rFonts w:hint="eastAsia" w:cs="宋体"/>
                <w:color w:val="auto"/>
                <w:sz w:val="18"/>
                <w:szCs w:val="18"/>
                <w:highlight w:val="none"/>
              </w:rPr>
              <w:t>万元</w:t>
            </w:r>
          </w:p>
        </w:tc>
        <w:tc>
          <w:tcPr>
            <w:tcW w:w="1702" w:type="dxa"/>
          </w:tcPr>
          <w:p w14:paraId="17527F9C">
            <w:pPr>
              <w:widowControl/>
              <w:ind w:right="480"/>
              <w:rPr>
                <w:color w:val="auto"/>
                <w:sz w:val="18"/>
                <w:szCs w:val="18"/>
                <w:highlight w:val="none"/>
              </w:rPr>
            </w:pPr>
          </w:p>
        </w:tc>
      </w:tr>
      <w:tr w14:paraId="012E7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984" w:type="dxa"/>
            <w:vMerge w:val="continue"/>
            <w:vAlign w:val="center"/>
          </w:tcPr>
          <w:p w14:paraId="4D66362F">
            <w:pPr>
              <w:widowControl/>
              <w:jc w:val="center"/>
              <w:rPr>
                <w:color w:val="auto"/>
                <w:sz w:val="18"/>
                <w:szCs w:val="18"/>
                <w:highlight w:val="none"/>
              </w:rPr>
            </w:pPr>
          </w:p>
        </w:tc>
        <w:tc>
          <w:tcPr>
            <w:tcW w:w="3116" w:type="dxa"/>
            <w:vAlign w:val="center"/>
          </w:tcPr>
          <w:p w14:paraId="6539798C">
            <w:pPr>
              <w:widowControl/>
              <w:ind w:firstLine="810" w:firstLineChars="450"/>
              <w:rPr>
                <w:color w:val="auto"/>
                <w:sz w:val="18"/>
                <w:szCs w:val="18"/>
                <w:highlight w:val="none"/>
              </w:rPr>
            </w:pPr>
            <w:r>
              <w:rPr>
                <w:rFonts w:hint="eastAsia" w:cs="宋体"/>
                <w:color w:val="auto"/>
                <w:sz w:val="18"/>
                <w:szCs w:val="18"/>
                <w:highlight w:val="none"/>
              </w:rPr>
              <w:t>暂列金额（如有）</w:t>
            </w:r>
          </w:p>
        </w:tc>
        <w:tc>
          <w:tcPr>
            <w:tcW w:w="1987" w:type="dxa"/>
            <w:vAlign w:val="center"/>
          </w:tcPr>
          <w:p w14:paraId="68F8CCD8">
            <w:pPr>
              <w:widowControl/>
              <w:jc w:val="right"/>
              <w:rPr>
                <w:color w:val="auto"/>
                <w:sz w:val="18"/>
                <w:szCs w:val="18"/>
                <w:highlight w:val="none"/>
              </w:rPr>
            </w:pPr>
            <w:r>
              <w:rPr>
                <w:rFonts w:hint="eastAsia" w:cs="宋体"/>
                <w:color w:val="auto"/>
                <w:sz w:val="18"/>
                <w:szCs w:val="18"/>
                <w:highlight w:val="none"/>
              </w:rPr>
              <w:t>万元</w:t>
            </w:r>
          </w:p>
        </w:tc>
        <w:tc>
          <w:tcPr>
            <w:tcW w:w="1702" w:type="dxa"/>
          </w:tcPr>
          <w:p w14:paraId="2BD76445">
            <w:pPr>
              <w:widowControl/>
              <w:ind w:right="480"/>
              <w:rPr>
                <w:color w:val="auto"/>
                <w:sz w:val="18"/>
                <w:szCs w:val="18"/>
                <w:highlight w:val="none"/>
              </w:rPr>
            </w:pPr>
          </w:p>
        </w:tc>
      </w:tr>
      <w:tr w14:paraId="564B7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984" w:type="dxa"/>
            <w:vMerge w:val="restart"/>
            <w:vAlign w:val="center"/>
          </w:tcPr>
          <w:p w14:paraId="6DAB2C9C">
            <w:pPr>
              <w:widowControl/>
              <w:jc w:val="center"/>
              <w:rPr>
                <w:color w:val="auto"/>
                <w:sz w:val="18"/>
                <w:szCs w:val="18"/>
                <w:highlight w:val="none"/>
              </w:rPr>
            </w:pPr>
            <w:r>
              <w:rPr>
                <w:rFonts w:hint="eastAsia" w:cs="宋体"/>
                <w:color w:val="auto"/>
                <w:sz w:val="18"/>
                <w:szCs w:val="18"/>
                <w:highlight w:val="none"/>
              </w:rPr>
              <w:t>主要材料</w:t>
            </w:r>
          </w:p>
        </w:tc>
        <w:tc>
          <w:tcPr>
            <w:tcW w:w="3116" w:type="dxa"/>
            <w:vAlign w:val="center"/>
          </w:tcPr>
          <w:p w14:paraId="5ADB5455">
            <w:pPr>
              <w:widowControl/>
              <w:jc w:val="center"/>
              <w:rPr>
                <w:color w:val="auto"/>
                <w:sz w:val="18"/>
                <w:szCs w:val="18"/>
                <w:highlight w:val="none"/>
              </w:rPr>
            </w:pPr>
            <w:r>
              <w:rPr>
                <w:rFonts w:hint="eastAsia" w:cs="宋体"/>
                <w:color w:val="auto"/>
                <w:sz w:val="18"/>
                <w:szCs w:val="18"/>
                <w:highlight w:val="none"/>
              </w:rPr>
              <w:t>钢筋</w:t>
            </w:r>
          </w:p>
        </w:tc>
        <w:tc>
          <w:tcPr>
            <w:tcW w:w="1987" w:type="dxa"/>
            <w:vAlign w:val="center"/>
          </w:tcPr>
          <w:p w14:paraId="2B3F2968">
            <w:pPr>
              <w:widowControl/>
              <w:jc w:val="right"/>
              <w:rPr>
                <w:color w:val="auto"/>
                <w:sz w:val="18"/>
                <w:szCs w:val="18"/>
                <w:highlight w:val="none"/>
              </w:rPr>
            </w:pPr>
            <w:r>
              <w:rPr>
                <w:rFonts w:hint="eastAsia" w:cs="宋体"/>
                <w:color w:val="auto"/>
                <w:sz w:val="18"/>
                <w:szCs w:val="18"/>
                <w:highlight w:val="none"/>
              </w:rPr>
              <w:t>吨</w:t>
            </w:r>
          </w:p>
        </w:tc>
        <w:tc>
          <w:tcPr>
            <w:tcW w:w="1702" w:type="dxa"/>
          </w:tcPr>
          <w:p w14:paraId="31243D2B">
            <w:pPr>
              <w:widowControl/>
              <w:jc w:val="right"/>
              <w:rPr>
                <w:color w:val="auto"/>
                <w:sz w:val="18"/>
                <w:szCs w:val="18"/>
                <w:highlight w:val="none"/>
              </w:rPr>
            </w:pPr>
          </w:p>
        </w:tc>
      </w:tr>
      <w:tr w14:paraId="2B5C8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984" w:type="dxa"/>
            <w:vMerge w:val="continue"/>
            <w:vAlign w:val="center"/>
          </w:tcPr>
          <w:p w14:paraId="275DE8F0">
            <w:pPr>
              <w:widowControl/>
              <w:jc w:val="center"/>
              <w:rPr>
                <w:color w:val="auto"/>
                <w:sz w:val="18"/>
                <w:szCs w:val="18"/>
                <w:highlight w:val="none"/>
              </w:rPr>
            </w:pPr>
          </w:p>
        </w:tc>
        <w:tc>
          <w:tcPr>
            <w:tcW w:w="3116" w:type="dxa"/>
            <w:vAlign w:val="center"/>
          </w:tcPr>
          <w:p w14:paraId="58BE0B3D">
            <w:pPr>
              <w:widowControl/>
              <w:jc w:val="center"/>
              <w:rPr>
                <w:color w:val="auto"/>
                <w:sz w:val="18"/>
                <w:szCs w:val="18"/>
                <w:highlight w:val="none"/>
              </w:rPr>
            </w:pPr>
            <w:r>
              <w:rPr>
                <w:rFonts w:hint="eastAsia" w:cs="宋体"/>
                <w:color w:val="auto"/>
                <w:sz w:val="18"/>
                <w:szCs w:val="18"/>
                <w:highlight w:val="none"/>
              </w:rPr>
              <w:t>水泥（不含商品混凝土用量）</w:t>
            </w:r>
          </w:p>
        </w:tc>
        <w:tc>
          <w:tcPr>
            <w:tcW w:w="1987" w:type="dxa"/>
            <w:vAlign w:val="center"/>
          </w:tcPr>
          <w:p w14:paraId="0DC20B04">
            <w:pPr>
              <w:widowControl/>
              <w:tabs>
                <w:tab w:val="left" w:pos="2398"/>
              </w:tabs>
              <w:ind w:right="18"/>
              <w:jc w:val="right"/>
              <w:rPr>
                <w:color w:val="auto"/>
                <w:sz w:val="18"/>
                <w:szCs w:val="18"/>
                <w:highlight w:val="none"/>
              </w:rPr>
            </w:pPr>
            <w:r>
              <w:rPr>
                <w:rFonts w:hint="eastAsia" w:cs="宋体"/>
                <w:color w:val="auto"/>
                <w:sz w:val="18"/>
                <w:szCs w:val="18"/>
                <w:highlight w:val="none"/>
              </w:rPr>
              <w:t>吨</w:t>
            </w:r>
          </w:p>
        </w:tc>
        <w:tc>
          <w:tcPr>
            <w:tcW w:w="1702" w:type="dxa"/>
          </w:tcPr>
          <w:p w14:paraId="682D427C">
            <w:pPr>
              <w:widowControl/>
              <w:jc w:val="right"/>
              <w:rPr>
                <w:color w:val="auto"/>
                <w:sz w:val="18"/>
                <w:szCs w:val="18"/>
                <w:highlight w:val="none"/>
              </w:rPr>
            </w:pPr>
          </w:p>
        </w:tc>
      </w:tr>
      <w:tr w14:paraId="2C603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984" w:type="dxa"/>
            <w:vMerge w:val="continue"/>
            <w:vAlign w:val="center"/>
          </w:tcPr>
          <w:p w14:paraId="185DC285">
            <w:pPr>
              <w:widowControl/>
              <w:jc w:val="center"/>
              <w:rPr>
                <w:color w:val="auto"/>
                <w:sz w:val="18"/>
                <w:szCs w:val="18"/>
                <w:highlight w:val="none"/>
              </w:rPr>
            </w:pPr>
          </w:p>
        </w:tc>
        <w:tc>
          <w:tcPr>
            <w:tcW w:w="3116" w:type="dxa"/>
            <w:vAlign w:val="center"/>
          </w:tcPr>
          <w:p w14:paraId="5FFC2DB3">
            <w:pPr>
              <w:widowControl/>
              <w:jc w:val="center"/>
              <w:rPr>
                <w:color w:val="auto"/>
                <w:sz w:val="18"/>
                <w:szCs w:val="18"/>
                <w:highlight w:val="none"/>
              </w:rPr>
            </w:pPr>
            <w:r>
              <w:rPr>
                <w:rFonts w:hint="eastAsia" w:cs="宋体"/>
                <w:color w:val="auto"/>
                <w:sz w:val="18"/>
                <w:szCs w:val="18"/>
                <w:highlight w:val="none"/>
              </w:rPr>
              <w:t>商品混凝土</w:t>
            </w:r>
          </w:p>
        </w:tc>
        <w:tc>
          <w:tcPr>
            <w:tcW w:w="1987" w:type="dxa"/>
            <w:vAlign w:val="center"/>
          </w:tcPr>
          <w:p w14:paraId="68720D82">
            <w:pPr>
              <w:widowControl/>
              <w:jc w:val="right"/>
              <w:rPr>
                <w:color w:val="auto"/>
                <w:sz w:val="18"/>
                <w:szCs w:val="18"/>
                <w:highlight w:val="none"/>
              </w:rPr>
            </w:pPr>
            <w:r>
              <w:rPr>
                <w:color w:val="auto"/>
                <w:sz w:val="18"/>
                <w:szCs w:val="18"/>
                <w:highlight w:val="none"/>
              </w:rPr>
              <w:t>m</w:t>
            </w:r>
            <w:r>
              <w:rPr>
                <w:color w:val="auto"/>
                <w:sz w:val="18"/>
                <w:szCs w:val="18"/>
                <w:highlight w:val="none"/>
                <w:vertAlign w:val="superscript"/>
              </w:rPr>
              <w:t>3</w:t>
            </w:r>
          </w:p>
        </w:tc>
        <w:tc>
          <w:tcPr>
            <w:tcW w:w="1702" w:type="dxa"/>
          </w:tcPr>
          <w:p w14:paraId="7A7D1A20">
            <w:pPr>
              <w:widowControl/>
              <w:jc w:val="right"/>
              <w:rPr>
                <w:color w:val="auto"/>
                <w:sz w:val="18"/>
                <w:szCs w:val="18"/>
                <w:highlight w:val="none"/>
              </w:rPr>
            </w:pPr>
          </w:p>
        </w:tc>
      </w:tr>
    </w:tbl>
    <w:p w14:paraId="035EBDB2">
      <w:pPr>
        <w:ind w:left="-178" w:leftChars="-85" w:firstLine="133" w:firstLineChars="74"/>
        <w:rPr>
          <w:color w:val="auto"/>
          <w:sz w:val="18"/>
          <w:szCs w:val="18"/>
          <w:highlight w:val="none"/>
        </w:rPr>
      </w:pPr>
    </w:p>
    <w:p w14:paraId="64A01A72">
      <w:pPr>
        <w:pStyle w:val="17"/>
        <w:rPr>
          <w:color w:val="auto"/>
          <w:sz w:val="18"/>
          <w:szCs w:val="18"/>
          <w:highlight w:val="none"/>
        </w:rPr>
      </w:pPr>
      <w:bookmarkStart w:id="1140" w:name="_Hlk89191148"/>
      <w:r>
        <w:rPr>
          <w:color w:val="auto"/>
          <w:sz w:val="18"/>
          <w:szCs w:val="18"/>
          <w:highlight w:val="none"/>
        </w:rPr>
        <w:t>注：</w:t>
      </w:r>
      <w:r>
        <w:rPr>
          <w:rFonts w:hint="eastAsia"/>
          <w:color w:val="auto"/>
          <w:sz w:val="18"/>
          <w:szCs w:val="18"/>
          <w:highlight w:val="none"/>
        </w:rPr>
        <w:t>本表如与广西政府采购云平台不一致的，以广西政府采购云平台为准。</w:t>
      </w:r>
    </w:p>
    <w:bookmarkEnd w:id="1140"/>
    <w:p w14:paraId="6D237DE0">
      <w:pPr>
        <w:jc w:val="left"/>
        <w:rPr>
          <w:color w:val="auto"/>
          <w:sz w:val="18"/>
          <w:szCs w:val="18"/>
          <w:highlight w:val="none"/>
        </w:rPr>
      </w:pPr>
    </w:p>
    <w:p w14:paraId="05A0DAE3">
      <w:pPr>
        <w:jc w:val="left"/>
        <w:rPr>
          <w:color w:val="auto"/>
          <w:sz w:val="18"/>
          <w:szCs w:val="18"/>
          <w:highlight w:val="none"/>
        </w:rPr>
      </w:pPr>
    </w:p>
    <w:p w14:paraId="06F9E825">
      <w:pPr>
        <w:spacing w:line="360" w:lineRule="auto"/>
        <w:rPr>
          <w:color w:val="auto"/>
          <w:sz w:val="18"/>
          <w:szCs w:val="18"/>
          <w:highlight w:val="none"/>
        </w:rPr>
      </w:pPr>
      <w:bookmarkStart w:id="1141" w:name="_Hlk89191156"/>
      <w:r>
        <w:rPr>
          <w:color w:val="auto"/>
          <w:sz w:val="18"/>
          <w:szCs w:val="18"/>
          <w:highlight w:val="none"/>
        </w:rPr>
        <w:t>供应商名称（</w:t>
      </w:r>
      <w:r>
        <w:rPr>
          <w:rFonts w:hint="eastAsia"/>
          <w:color w:val="auto"/>
          <w:sz w:val="18"/>
          <w:szCs w:val="18"/>
          <w:highlight w:val="none"/>
        </w:rPr>
        <w:t>电子签章</w:t>
      </w:r>
      <w:r>
        <w:rPr>
          <w:color w:val="auto"/>
          <w:sz w:val="18"/>
          <w:szCs w:val="18"/>
          <w:highlight w:val="none"/>
        </w:rPr>
        <w:t>）</w:t>
      </w:r>
      <w:bookmarkEnd w:id="1141"/>
      <w:r>
        <w:rPr>
          <w:color w:val="auto"/>
          <w:sz w:val="18"/>
          <w:szCs w:val="18"/>
          <w:highlight w:val="none"/>
        </w:rPr>
        <w:t>：</w:t>
      </w:r>
      <w:r>
        <w:rPr>
          <w:color w:val="auto"/>
          <w:sz w:val="18"/>
          <w:szCs w:val="18"/>
          <w:highlight w:val="none"/>
          <w:u w:val="single"/>
        </w:rPr>
        <w:t xml:space="preserve">                          </w:t>
      </w:r>
    </w:p>
    <w:p w14:paraId="3C4B9754">
      <w:pPr>
        <w:spacing w:line="360" w:lineRule="auto"/>
        <w:rPr>
          <w:color w:val="auto"/>
          <w:sz w:val="18"/>
          <w:szCs w:val="18"/>
          <w:highlight w:val="none"/>
        </w:rPr>
      </w:pPr>
      <w:r>
        <w:rPr>
          <w:color w:val="auto"/>
          <w:sz w:val="18"/>
          <w:szCs w:val="18"/>
          <w:highlight w:val="none"/>
        </w:rPr>
        <w:t>日  期：：</w:t>
      </w:r>
      <w:r>
        <w:rPr>
          <w:color w:val="auto"/>
          <w:sz w:val="18"/>
          <w:szCs w:val="18"/>
          <w:highlight w:val="none"/>
          <w:u w:val="single"/>
        </w:rPr>
        <w:t xml:space="preserve">         </w:t>
      </w:r>
      <w:r>
        <w:rPr>
          <w:color w:val="auto"/>
          <w:sz w:val="18"/>
          <w:szCs w:val="18"/>
          <w:highlight w:val="none"/>
        </w:rPr>
        <w:t>年</w:t>
      </w:r>
      <w:r>
        <w:rPr>
          <w:color w:val="auto"/>
          <w:sz w:val="18"/>
          <w:szCs w:val="18"/>
          <w:highlight w:val="none"/>
          <w:u w:val="single"/>
        </w:rPr>
        <w:t xml:space="preserve">   </w:t>
      </w:r>
      <w:r>
        <w:rPr>
          <w:color w:val="auto"/>
          <w:sz w:val="18"/>
          <w:szCs w:val="18"/>
          <w:highlight w:val="none"/>
        </w:rPr>
        <w:t>月</w:t>
      </w:r>
      <w:r>
        <w:rPr>
          <w:color w:val="auto"/>
          <w:sz w:val="18"/>
          <w:szCs w:val="18"/>
          <w:highlight w:val="none"/>
          <w:u w:val="single"/>
        </w:rPr>
        <w:t xml:space="preserve">   </w:t>
      </w:r>
      <w:r>
        <w:rPr>
          <w:color w:val="auto"/>
          <w:sz w:val="18"/>
          <w:szCs w:val="18"/>
          <w:highlight w:val="none"/>
        </w:rPr>
        <w:t xml:space="preserve">日 </w:t>
      </w:r>
    </w:p>
    <w:p w14:paraId="3AF93AB9">
      <w:pPr>
        <w:jc w:val="left"/>
        <w:rPr>
          <w:color w:val="auto"/>
          <w:sz w:val="18"/>
          <w:szCs w:val="18"/>
          <w:highlight w:val="none"/>
        </w:rPr>
      </w:pPr>
      <w:r>
        <w:rPr>
          <w:color w:val="auto"/>
          <w:sz w:val="18"/>
          <w:szCs w:val="18"/>
          <w:highlight w:val="none"/>
        </w:rPr>
        <w:br w:type="page"/>
      </w:r>
      <w:r>
        <w:rPr>
          <w:color w:val="auto"/>
          <w:sz w:val="18"/>
          <w:szCs w:val="18"/>
          <w:highlight w:val="none"/>
        </w:rPr>
        <w:t>4．已标价工程量清单</w:t>
      </w:r>
      <w:r>
        <w:rPr>
          <w:rFonts w:hint="eastAsia"/>
          <w:color w:val="auto"/>
          <w:sz w:val="18"/>
          <w:szCs w:val="18"/>
          <w:highlight w:val="none"/>
        </w:rPr>
        <w:t>：</w:t>
      </w:r>
    </w:p>
    <w:p w14:paraId="064E9072">
      <w:pPr>
        <w:spacing w:line="360" w:lineRule="exact"/>
        <w:ind w:firstLine="360" w:firstLineChars="200"/>
        <w:rPr>
          <w:color w:val="auto"/>
          <w:sz w:val="18"/>
          <w:szCs w:val="18"/>
          <w:highlight w:val="none"/>
        </w:rPr>
      </w:pPr>
      <w:r>
        <w:rPr>
          <w:rFonts w:hint="eastAsia"/>
          <w:color w:val="auto"/>
          <w:sz w:val="18"/>
          <w:szCs w:val="18"/>
          <w:highlight w:val="none"/>
        </w:rPr>
        <w:t>（</w:t>
      </w:r>
      <w:r>
        <w:rPr>
          <w:color w:val="auto"/>
          <w:sz w:val="18"/>
          <w:szCs w:val="18"/>
          <w:highlight w:val="none"/>
        </w:rPr>
        <w:t>1</w:t>
      </w:r>
      <w:r>
        <w:rPr>
          <w:rFonts w:hint="eastAsia"/>
          <w:color w:val="auto"/>
          <w:sz w:val="18"/>
          <w:szCs w:val="18"/>
          <w:highlight w:val="none"/>
        </w:rPr>
        <w:t>）</w:t>
      </w:r>
      <w:r>
        <w:rPr>
          <w:color w:val="auto"/>
          <w:sz w:val="18"/>
          <w:szCs w:val="18"/>
          <w:highlight w:val="none"/>
        </w:rPr>
        <w:t>已标价工程量清单应按</w:t>
      </w:r>
      <w:bookmarkStart w:id="1142" w:name="_Hlk89191177"/>
      <w:r>
        <w:rPr>
          <w:color w:val="auto"/>
          <w:sz w:val="18"/>
          <w:szCs w:val="18"/>
          <w:highlight w:val="none"/>
        </w:rPr>
        <w:t>第</w:t>
      </w:r>
      <w:r>
        <w:rPr>
          <w:rFonts w:hint="eastAsia"/>
          <w:color w:val="auto"/>
          <w:sz w:val="18"/>
          <w:szCs w:val="18"/>
          <w:highlight w:val="none"/>
        </w:rPr>
        <w:t>二</w:t>
      </w:r>
      <w:r>
        <w:rPr>
          <w:color w:val="auto"/>
          <w:sz w:val="18"/>
          <w:szCs w:val="18"/>
          <w:highlight w:val="none"/>
        </w:rPr>
        <w:t>章</w:t>
      </w:r>
      <w:bookmarkEnd w:id="1142"/>
      <w:r>
        <w:rPr>
          <w:color w:val="auto"/>
          <w:sz w:val="18"/>
          <w:szCs w:val="18"/>
          <w:highlight w:val="none"/>
        </w:rPr>
        <w:t>“工程量清单”中的相关表格及报价说明填写。构成合同文件的已标价工程量清单包括第</w:t>
      </w:r>
      <w:r>
        <w:rPr>
          <w:rFonts w:hint="eastAsia"/>
          <w:color w:val="auto"/>
          <w:sz w:val="18"/>
          <w:szCs w:val="18"/>
          <w:highlight w:val="none"/>
        </w:rPr>
        <w:t>二</w:t>
      </w:r>
      <w:r>
        <w:rPr>
          <w:color w:val="auto"/>
          <w:sz w:val="18"/>
          <w:szCs w:val="18"/>
          <w:highlight w:val="none"/>
        </w:rPr>
        <w:t>章“工程量清单”有关工程量清单、报价以及其他说明的内容。</w:t>
      </w:r>
    </w:p>
    <w:p w14:paraId="0F081299">
      <w:pPr>
        <w:spacing w:line="360" w:lineRule="exact"/>
        <w:ind w:firstLine="360" w:firstLineChars="200"/>
        <w:rPr>
          <w:color w:val="auto"/>
          <w:sz w:val="18"/>
          <w:szCs w:val="18"/>
          <w:highlight w:val="none"/>
        </w:rPr>
      </w:pPr>
      <w:r>
        <w:rPr>
          <w:rFonts w:hint="eastAsia"/>
          <w:color w:val="auto"/>
          <w:sz w:val="18"/>
          <w:szCs w:val="18"/>
          <w:highlight w:val="none"/>
        </w:rPr>
        <w:t>（</w:t>
      </w:r>
      <w:r>
        <w:rPr>
          <w:color w:val="auto"/>
          <w:sz w:val="18"/>
          <w:szCs w:val="18"/>
          <w:highlight w:val="none"/>
        </w:rPr>
        <w:t>2</w:t>
      </w:r>
      <w:r>
        <w:rPr>
          <w:rFonts w:hint="eastAsia"/>
          <w:color w:val="auto"/>
          <w:sz w:val="18"/>
          <w:szCs w:val="18"/>
          <w:highlight w:val="none"/>
        </w:rPr>
        <w:t>）</w:t>
      </w:r>
      <w:r>
        <w:rPr>
          <w:rFonts w:hint="eastAsia" w:cs="宋体"/>
          <w:color w:val="auto"/>
          <w:sz w:val="18"/>
          <w:szCs w:val="18"/>
          <w:highlight w:val="none"/>
        </w:rPr>
        <w:t>一般计税法建设工程已标价工程量清单表格按</w:t>
      </w:r>
      <w:r>
        <w:rPr>
          <w:rFonts w:hint="eastAsia" w:hAnsi="宋体" w:cs="宋体"/>
          <w:color w:val="auto"/>
          <w:kern w:val="0"/>
          <w:sz w:val="18"/>
          <w:szCs w:val="18"/>
          <w:highlight w:val="none"/>
        </w:rPr>
        <w:t>《关于建筑业实施营业税改征增值税后广西壮族自治区建设工程计价依据调整的通知》（桂建标〔</w:t>
      </w:r>
      <w:r>
        <w:rPr>
          <w:rFonts w:hAnsi="宋体"/>
          <w:color w:val="auto"/>
          <w:kern w:val="0"/>
          <w:sz w:val="18"/>
          <w:szCs w:val="18"/>
          <w:highlight w:val="none"/>
        </w:rPr>
        <w:t>2016</w:t>
      </w:r>
      <w:r>
        <w:rPr>
          <w:rFonts w:hint="eastAsia" w:hAnsi="宋体" w:cs="宋体"/>
          <w:color w:val="auto"/>
          <w:kern w:val="0"/>
          <w:sz w:val="18"/>
          <w:szCs w:val="18"/>
          <w:highlight w:val="none"/>
        </w:rPr>
        <w:t>〕</w:t>
      </w:r>
      <w:r>
        <w:rPr>
          <w:rFonts w:hAnsi="宋体"/>
          <w:color w:val="auto"/>
          <w:kern w:val="0"/>
          <w:sz w:val="18"/>
          <w:szCs w:val="18"/>
          <w:highlight w:val="none"/>
        </w:rPr>
        <w:t>17</w:t>
      </w:r>
      <w:r>
        <w:rPr>
          <w:rFonts w:hint="eastAsia" w:hAnsi="宋体" w:cs="宋体"/>
          <w:color w:val="auto"/>
          <w:kern w:val="0"/>
          <w:sz w:val="18"/>
          <w:szCs w:val="18"/>
          <w:highlight w:val="none"/>
        </w:rPr>
        <w:t>号）</w:t>
      </w:r>
      <w:r>
        <w:rPr>
          <w:rFonts w:hint="eastAsia" w:ascii="宋体" w:hAnsi="宋体" w:cs="宋体"/>
          <w:color w:val="auto"/>
          <w:sz w:val="18"/>
          <w:szCs w:val="18"/>
          <w:highlight w:val="none"/>
        </w:rPr>
        <w:t>附件“增值税一般计税方法工程计价表”</w:t>
      </w:r>
      <w:r>
        <w:rPr>
          <w:rFonts w:hint="eastAsia" w:cs="宋体"/>
          <w:color w:val="auto"/>
          <w:sz w:val="18"/>
          <w:szCs w:val="18"/>
          <w:highlight w:val="none"/>
        </w:rPr>
        <w:t>要求提供，简易计税法表格按《</w:t>
      </w:r>
      <w:r>
        <w:rPr>
          <w:color w:val="auto"/>
          <w:sz w:val="18"/>
          <w:szCs w:val="18"/>
          <w:highlight w:val="none"/>
        </w:rPr>
        <w:t>&lt;</w:t>
      </w:r>
      <w:r>
        <w:rPr>
          <w:rFonts w:hint="eastAsia" w:cs="宋体"/>
          <w:color w:val="auto"/>
          <w:sz w:val="18"/>
          <w:szCs w:val="18"/>
          <w:highlight w:val="none"/>
        </w:rPr>
        <w:t>建设工程工程量清单计价规范</w:t>
      </w:r>
      <w:r>
        <w:rPr>
          <w:color w:val="auto"/>
          <w:sz w:val="18"/>
          <w:szCs w:val="18"/>
          <w:highlight w:val="none"/>
        </w:rPr>
        <w:t>&gt;</w:t>
      </w:r>
      <w:r>
        <w:rPr>
          <w:rFonts w:hint="eastAsia" w:cs="宋体"/>
          <w:color w:val="auto"/>
          <w:sz w:val="18"/>
          <w:szCs w:val="18"/>
          <w:highlight w:val="none"/>
        </w:rPr>
        <w:t>（</w:t>
      </w:r>
      <w:r>
        <w:rPr>
          <w:color w:val="auto"/>
          <w:sz w:val="18"/>
          <w:szCs w:val="18"/>
          <w:highlight w:val="none"/>
        </w:rPr>
        <w:t>GB5050-2013</w:t>
      </w:r>
      <w:r>
        <w:rPr>
          <w:rFonts w:hint="eastAsia" w:cs="宋体"/>
          <w:color w:val="auto"/>
          <w:sz w:val="18"/>
          <w:szCs w:val="18"/>
          <w:highlight w:val="none"/>
        </w:rPr>
        <w:t>）广西壮族自治区实施细则》要求的表格提供，但规费和税费按照</w:t>
      </w:r>
      <w:r>
        <w:rPr>
          <w:rFonts w:hint="eastAsia" w:hAnsi="宋体" w:cs="宋体"/>
          <w:color w:val="auto"/>
          <w:kern w:val="0"/>
          <w:sz w:val="18"/>
          <w:szCs w:val="18"/>
          <w:highlight w:val="none"/>
        </w:rPr>
        <w:t>《关于建筑业实施营业税改征增值税后广西壮族自治区建设工程计价依据调整的通知》（桂建标〔</w:t>
      </w:r>
      <w:r>
        <w:rPr>
          <w:rFonts w:hAnsi="宋体"/>
          <w:color w:val="auto"/>
          <w:kern w:val="0"/>
          <w:sz w:val="18"/>
          <w:szCs w:val="18"/>
          <w:highlight w:val="none"/>
        </w:rPr>
        <w:t>2016</w:t>
      </w:r>
      <w:r>
        <w:rPr>
          <w:rFonts w:hint="eastAsia" w:hAnsi="宋体" w:cs="宋体"/>
          <w:color w:val="auto"/>
          <w:kern w:val="0"/>
          <w:sz w:val="18"/>
          <w:szCs w:val="18"/>
          <w:highlight w:val="none"/>
        </w:rPr>
        <w:t>〕</w:t>
      </w:r>
      <w:r>
        <w:rPr>
          <w:rFonts w:hAnsi="宋体"/>
          <w:color w:val="auto"/>
          <w:kern w:val="0"/>
          <w:sz w:val="18"/>
          <w:szCs w:val="18"/>
          <w:highlight w:val="none"/>
        </w:rPr>
        <w:t>17</w:t>
      </w:r>
      <w:r>
        <w:rPr>
          <w:rFonts w:hint="eastAsia" w:hAnsi="宋体" w:cs="宋体"/>
          <w:color w:val="auto"/>
          <w:kern w:val="0"/>
          <w:sz w:val="18"/>
          <w:szCs w:val="18"/>
          <w:highlight w:val="none"/>
        </w:rPr>
        <w:t>号）、《自治区住房城乡建设厅关于调整建设工程计价增值税税率的通知》（桂建标〔2018〕14号）、《自治区住房城乡建设厅关于调整建设工程计价增值税税率的通知》（桂建标〔2019〕12号）</w:t>
      </w:r>
      <w:r>
        <w:rPr>
          <w:rFonts w:hint="eastAsia" w:ascii="宋体" w:hAnsi="宋体" w:cs="宋体"/>
          <w:color w:val="auto"/>
          <w:sz w:val="18"/>
          <w:szCs w:val="18"/>
          <w:highlight w:val="none"/>
        </w:rPr>
        <w:t>调整</w:t>
      </w:r>
      <w:r>
        <w:rPr>
          <w:color w:val="auto"/>
          <w:sz w:val="18"/>
          <w:szCs w:val="18"/>
          <w:highlight w:val="none"/>
        </w:rPr>
        <w:t>。</w:t>
      </w:r>
    </w:p>
    <w:p w14:paraId="43BE3F5D">
      <w:pPr>
        <w:spacing w:line="360" w:lineRule="exact"/>
        <w:ind w:firstLine="360" w:firstLineChars="200"/>
        <w:rPr>
          <w:color w:val="auto"/>
          <w:sz w:val="18"/>
          <w:szCs w:val="18"/>
          <w:highlight w:val="none"/>
        </w:rPr>
      </w:pPr>
    </w:p>
    <w:p w14:paraId="7491AD12">
      <w:pPr>
        <w:snapToGrid w:val="0"/>
        <w:spacing w:before="50" w:after="120" w:afterLines="50"/>
        <w:jc w:val="left"/>
        <w:rPr>
          <w:color w:val="auto"/>
          <w:sz w:val="18"/>
          <w:szCs w:val="18"/>
          <w:highlight w:val="none"/>
        </w:rPr>
      </w:pPr>
      <w:bookmarkStart w:id="1143" w:name="_Hlk60822154"/>
    </w:p>
    <w:bookmarkEnd w:id="1143"/>
    <w:p w14:paraId="380069F9">
      <w:pPr>
        <w:snapToGrid w:val="0"/>
        <w:spacing w:before="50" w:after="120" w:afterLines="50"/>
        <w:jc w:val="left"/>
        <w:rPr>
          <w:color w:val="auto"/>
          <w:sz w:val="18"/>
          <w:szCs w:val="18"/>
          <w:highlight w:val="none"/>
        </w:rPr>
      </w:pPr>
      <w:bookmarkStart w:id="1144" w:name="_Hlk89191232"/>
    </w:p>
    <w:p w14:paraId="60F63C47">
      <w:pPr>
        <w:snapToGrid w:val="0"/>
        <w:spacing w:before="50" w:after="120" w:afterLines="50"/>
        <w:jc w:val="left"/>
        <w:rPr>
          <w:color w:val="auto"/>
          <w:sz w:val="18"/>
          <w:szCs w:val="18"/>
          <w:highlight w:val="none"/>
        </w:rPr>
      </w:pPr>
    </w:p>
    <w:p w14:paraId="57314AE5">
      <w:pPr>
        <w:snapToGrid w:val="0"/>
        <w:spacing w:before="50" w:after="120" w:afterLines="50"/>
        <w:jc w:val="left"/>
        <w:rPr>
          <w:color w:val="auto"/>
          <w:sz w:val="18"/>
          <w:szCs w:val="18"/>
          <w:highlight w:val="none"/>
        </w:rPr>
      </w:pPr>
    </w:p>
    <w:p w14:paraId="63410141">
      <w:pPr>
        <w:snapToGrid w:val="0"/>
        <w:spacing w:before="50" w:after="120" w:afterLines="50"/>
        <w:jc w:val="left"/>
        <w:rPr>
          <w:color w:val="auto"/>
          <w:sz w:val="18"/>
          <w:szCs w:val="18"/>
          <w:highlight w:val="none"/>
        </w:rPr>
      </w:pPr>
    </w:p>
    <w:p w14:paraId="64A2C966">
      <w:pPr>
        <w:snapToGrid w:val="0"/>
        <w:spacing w:before="50" w:after="120" w:afterLines="50"/>
        <w:jc w:val="left"/>
        <w:rPr>
          <w:color w:val="auto"/>
          <w:sz w:val="18"/>
          <w:szCs w:val="18"/>
          <w:highlight w:val="none"/>
        </w:rPr>
      </w:pPr>
    </w:p>
    <w:p w14:paraId="17B000F1">
      <w:pPr>
        <w:snapToGrid w:val="0"/>
        <w:spacing w:before="50" w:after="120" w:afterLines="50"/>
        <w:jc w:val="left"/>
        <w:rPr>
          <w:color w:val="auto"/>
          <w:sz w:val="18"/>
          <w:szCs w:val="18"/>
          <w:highlight w:val="none"/>
        </w:rPr>
      </w:pPr>
    </w:p>
    <w:p w14:paraId="4D1B197E">
      <w:pPr>
        <w:snapToGrid w:val="0"/>
        <w:spacing w:before="50" w:after="120" w:afterLines="50"/>
        <w:jc w:val="left"/>
        <w:rPr>
          <w:color w:val="auto"/>
          <w:sz w:val="18"/>
          <w:szCs w:val="18"/>
          <w:highlight w:val="none"/>
        </w:rPr>
      </w:pPr>
    </w:p>
    <w:p w14:paraId="49CBEB17">
      <w:pPr>
        <w:snapToGrid w:val="0"/>
        <w:spacing w:before="50" w:after="120" w:afterLines="50"/>
        <w:jc w:val="left"/>
        <w:rPr>
          <w:color w:val="auto"/>
          <w:sz w:val="18"/>
          <w:szCs w:val="18"/>
          <w:highlight w:val="none"/>
        </w:rPr>
      </w:pPr>
    </w:p>
    <w:p w14:paraId="70A05091">
      <w:pPr>
        <w:snapToGrid w:val="0"/>
        <w:spacing w:before="50" w:after="120" w:afterLines="50"/>
        <w:jc w:val="left"/>
        <w:rPr>
          <w:color w:val="auto"/>
          <w:sz w:val="18"/>
          <w:szCs w:val="18"/>
          <w:highlight w:val="none"/>
        </w:rPr>
      </w:pPr>
    </w:p>
    <w:p w14:paraId="3C7E15AF">
      <w:pPr>
        <w:snapToGrid w:val="0"/>
        <w:spacing w:before="50" w:after="120" w:afterLines="50"/>
        <w:jc w:val="left"/>
        <w:rPr>
          <w:color w:val="auto"/>
          <w:sz w:val="18"/>
          <w:szCs w:val="18"/>
          <w:highlight w:val="none"/>
        </w:rPr>
      </w:pPr>
    </w:p>
    <w:p w14:paraId="6BFC314A">
      <w:pPr>
        <w:snapToGrid w:val="0"/>
        <w:spacing w:before="50" w:after="120" w:afterLines="50"/>
        <w:jc w:val="left"/>
        <w:rPr>
          <w:color w:val="auto"/>
          <w:sz w:val="18"/>
          <w:szCs w:val="18"/>
          <w:highlight w:val="none"/>
        </w:rPr>
      </w:pPr>
    </w:p>
    <w:p w14:paraId="79E65098">
      <w:pPr>
        <w:snapToGrid w:val="0"/>
        <w:spacing w:before="50" w:after="120" w:afterLines="50"/>
        <w:jc w:val="left"/>
        <w:rPr>
          <w:color w:val="auto"/>
          <w:sz w:val="18"/>
          <w:szCs w:val="18"/>
          <w:highlight w:val="none"/>
        </w:rPr>
      </w:pPr>
    </w:p>
    <w:p w14:paraId="03445AD4">
      <w:pPr>
        <w:snapToGrid w:val="0"/>
        <w:spacing w:before="50" w:after="120" w:afterLines="50"/>
        <w:jc w:val="left"/>
        <w:rPr>
          <w:color w:val="auto"/>
          <w:sz w:val="18"/>
          <w:szCs w:val="18"/>
          <w:highlight w:val="none"/>
        </w:rPr>
      </w:pPr>
    </w:p>
    <w:p w14:paraId="14A5592F">
      <w:pPr>
        <w:snapToGrid w:val="0"/>
        <w:spacing w:before="50" w:after="120" w:afterLines="50"/>
        <w:jc w:val="left"/>
        <w:rPr>
          <w:color w:val="auto"/>
          <w:sz w:val="18"/>
          <w:szCs w:val="18"/>
          <w:highlight w:val="none"/>
        </w:rPr>
      </w:pPr>
    </w:p>
    <w:p w14:paraId="22CB3404">
      <w:pPr>
        <w:snapToGrid w:val="0"/>
        <w:spacing w:before="50" w:after="120" w:afterLines="50"/>
        <w:jc w:val="left"/>
        <w:rPr>
          <w:color w:val="auto"/>
          <w:sz w:val="18"/>
          <w:szCs w:val="18"/>
          <w:highlight w:val="none"/>
        </w:rPr>
      </w:pPr>
    </w:p>
    <w:p w14:paraId="5C8EAE43">
      <w:pPr>
        <w:snapToGrid w:val="0"/>
        <w:spacing w:before="50" w:after="120" w:afterLines="50"/>
        <w:jc w:val="left"/>
        <w:rPr>
          <w:color w:val="auto"/>
          <w:sz w:val="18"/>
          <w:szCs w:val="18"/>
          <w:highlight w:val="none"/>
        </w:rPr>
      </w:pPr>
    </w:p>
    <w:p w14:paraId="47B4BB83">
      <w:pPr>
        <w:snapToGrid w:val="0"/>
        <w:spacing w:before="50" w:after="120" w:afterLines="50"/>
        <w:jc w:val="left"/>
        <w:rPr>
          <w:color w:val="auto"/>
          <w:sz w:val="18"/>
          <w:szCs w:val="18"/>
          <w:highlight w:val="none"/>
        </w:rPr>
      </w:pPr>
    </w:p>
    <w:p w14:paraId="13A98706">
      <w:pPr>
        <w:snapToGrid w:val="0"/>
        <w:spacing w:before="50" w:after="120" w:afterLines="50"/>
        <w:jc w:val="left"/>
        <w:rPr>
          <w:color w:val="auto"/>
          <w:sz w:val="18"/>
          <w:szCs w:val="18"/>
          <w:highlight w:val="none"/>
        </w:rPr>
      </w:pPr>
      <w:r>
        <w:rPr>
          <w:color w:val="auto"/>
          <w:sz w:val="18"/>
          <w:szCs w:val="18"/>
          <w:highlight w:val="none"/>
        </w:rPr>
        <w:t>3</w:t>
      </w:r>
      <w:r>
        <w:rPr>
          <w:rFonts w:hint="eastAsia"/>
          <w:color w:val="auto"/>
          <w:sz w:val="18"/>
          <w:szCs w:val="18"/>
          <w:highlight w:val="none"/>
        </w:rPr>
        <w:t>.开标一览表</w:t>
      </w:r>
    </w:p>
    <w:p w14:paraId="69ADB1D7">
      <w:pPr>
        <w:widowControl/>
        <w:jc w:val="left"/>
        <w:rPr>
          <w:color w:val="auto"/>
          <w:sz w:val="18"/>
          <w:szCs w:val="18"/>
          <w:highlight w:val="none"/>
        </w:rPr>
      </w:pPr>
    </w:p>
    <w:p w14:paraId="478C7BF1">
      <w:pPr>
        <w:widowControl/>
        <w:jc w:val="left"/>
        <w:rPr>
          <w:color w:val="auto"/>
          <w:sz w:val="18"/>
          <w:szCs w:val="18"/>
          <w:highlight w:val="none"/>
        </w:rPr>
      </w:pPr>
    </w:p>
    <w:p w14:paraId="737BA989">
      <w:pPr>
        <w:widowControl/>
        <w:jc w:val="left"/>
        <w:rPr>
          <w:color w:val="auto"/>
          <w:sz w:val="18"/>
          <w:szCs w:val="18"/>
          <w:highlight w:val="none"/>
        </w:rPr>
      </w:pPr>
    </w:p>
    <w:p w14:paraId="6A23D691">
      <w:pPr>
        <w:rPr>
          <w:b/>
          <w:color w:val="auto"/>
          <w:sz w:val="18"/>
          <w:szCs w:val="18"/>
          <w:highlight w:val="none"/>
        </w:rPr>
      </w:pPr>
    </w:p>
    <w:p w14:paraId="7BEB64CB">
      <w:pPr>
        <w:rPr>
          <w:b/>
          <w:color w:val="auto"/>
          <w:sz w:val="18"/>
          <w:szCs w:val="18"/>
          <w:highlight w:val="none"/>
        </w:rPr>
      </w:pPr>
    </w:p>
    <w:p w14:paraId="1086C413">
      <w:pPr>
        <w:rPr>
          <w:b/>
          <w:color w:val="auto"/>
          <w:sz w:val="18"/>
          <w:szCs w:val="18"/>
          <w:highlight w:val="none"/>
        </w:rPr>
      </w:pPr>
      <w:r>
        <w:rPr>
          <w:rFonts w:hint="eastAsia"/>
          <w:b/>
          <w:color w:val="auto"/>
          <w:sz w:val="18"/>
          <w:szCs w:val="18"/>
          <w:highlight w:val="none"/>
        </w:rPr>
        <w:t>格式详见广西政府采购云平台，且仅在广西政府采购云平台填写即可。</w:t>
      </w:r>
    </w:p>
    <w:bookmarkEnd w:id="1144"/>
    <w:p w14:paraId="1D1CB7FD">
      <w:pPr>
        <w:rPr>
          <w:color w:val="auto"/>
          <w:sz w:val="18"/>
          <w:szCs w:val="18"/>
          <w:highlight w:val="none"/>
        </w:rPr>
      </w:pPr>
    </w:p>
    <w:sectPr>
      <w:headerReference r:id="rId17" w:type="default"/>
      <w:footerReference r:id="rId18" w:type="default"/>
      <w:pgSz w:w="11906" w:h="16838"/>
      <w:pgMar w:top="1418" w:right="1274" w:bottom="1418"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_x000B__x000C_">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国标黑体">
    <w:altName w:val="黑体"/>
    <w:panose1 w:val="02000500000000000000"/>
    <w:charset w:val="86"/>
    <w:family w:val="auto"/>
    <w:pitch w:val="default"/>
    <w:sig w:usb0="00000000" w:usb1="00000000" w:usb2="00000000" w:usb3="00000000" w:csb0="00040000" w:csb1="00000000"/>
  </w:font>
  <w:font w:name="MingLiU_HKSCS">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仿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20B0604020202020204"/>
    <w:charset w:val="00"/>
    <w:family w:val="swiss"/>
    <w:pitch w:val="default"/>
    <w:sig w:usb0="00000000" w:usb1="00000000" w:usb2="00000009" w:usb3="00000000" w:csb0="000001FF" w:csb1="00000000"/>
  </w:font>
  <w:font w:name="方正小标宋简体">
    <w:altName w:val="方正舒体"/>
    <w:panose1 w:val="02000000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KSOF45024875">
    <w:panose1 w:val="02020500000000000000"/>
    <w:charset w:val="88"/>
    <w:family w:val="auto"/>
    <w:pitch w:val="default"/>
    <w:sig w:usb0="00000001" w:usb1="00000000" w:usb2="00000000" w:usb3="00000000" w:csb0="001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F4BBC">
    <w:pPr>
      <w:pStyle w:val="32"/>
      <w:framePr w:wrap="around" w:vAnchor="text" w:hAnchor="margin" w:xAlign="center" w:y="1"/>
      <w:rPr>
        <w:rStyle w:val="58"/>
      </w:rPr>
    </w:pPr>
    <w:r>
      <w:fldChar w:fldCharType="begin"/>
    </w:r>
    <w:r>
      <w:rPr>
        <w:rStyle w:val="58"/>
      </w:rPr>
      <w:instrText xml:space="preserve">PAGE  </w:instrText>
    </w:r>
    <w:r>
      <w:fldChar w:fldCharType="separate"/>
    </w:r>
    <w:r>
      <w:rPr>
        <w:rStyle w:val="58"/>
      </w:rPr>
      <w:t>5</w:t>
    </w:r>
    <w:r>
      <w:fldChar w:fldCharType="end"/>
    </w:r>
  </w:p>
  <w:p w14:paraId="2719376D">
    <w:pPr>
      <w:pStyle w:val="32"/>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60A30">
    <w:pPr>
      <w:pStyle w:val="32"/>
      <w:framePr w:wrap="around" w:vAnchor="text" w:hAnchor="margin" w:xAlign="center" w:y="1"/>
      <w:rPr>
        <w:rStyle w:val="58"/>
      </w:rPr>
    </w:pPr>
    <w:r>
      <w:fldChar w:fldCharType="begin"/>
    </w:r>
    <w:r>
      <w:rPr>
        <w:rStyle w:val="58"/>
      </w:rPr>
      <w:instrText xml:space="preserve">PAGE  </w:instrText>
    </w:r>
    <w:r>
      <w:fldChar w:fldCharType="separate"/>
    </w:r>
    <w:r>
      <w:fldChar w:fldCharType="end"/>
    </w:r>
  </w:p>
  <w:p w14:paraId="76419C1D">
    <w:pPr>
      <w:pStyle w:val="3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CE0BE">
    <w:pPr>
      <w:pStyle w:val="32"/>
      <w:ind w:right="360"/>
      <w:jc w:val="both"/>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A9C41">
    <w:pPr>
      <w:pStyle w:val="32"/>
      <w:jc w:val="center"/>
    </w:pPr>
    <w:r>
      <w:fldChar w:fldCharType="begin"/>
    </w:r>
    <w:r>
      <w:instrText xml:space="preserve">PAGE   \* MERGEFORMAT</w:instrText>
    </w:r>
    <w:r>
      <w:fldChar w:fldCharType="separate"/>
    </w:r>
    <w:r>
      <w:rPr>
        <w:lang w:val="zh-CN"/>
      </w:rPr>
      <w:t>4</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A65C7">
    <w:pPr>
      <w:widowControl w:val="0"/>
      <w:snapToGrid w:val="0"/>
      <w:jc w:val="center"/>
      <w:rPr>
        <w:rFonts w:ascii="宋体" w:hAnsi="Courier New" w:eastAsia="宋体" w:cs="Times New Roman"/>
        <w:kern w:val="2"/>
        <w:sz w:val="18"/>
        <w:lang w:val="en-US" w:eastAsia="zh-CN" w:bidi="ar-SA"/>
      </w:rPr>
    </w:pPr>
    <w:r>
      <w:rPr>
        <w:rFonts w:ascii="宋体" w:hAnsi="Courier New" w:eastAsia="宋体" w:cs="Times New Roman"/>
        <w:kern w:val="2"/>
        <w:sz w:val="18"/>
        <w:lang w:val="en-US" w:eastAsia="zh-CN" w:bidi="ar-SA"/>
      </w:rPr>
      <w:fldChar w:fldCharType="begin"/>
    </w:r>
    <w:r>
      <w:rPr>
        <w:rFonts w:ascii="宋体" w:hAnsi="Courier New" w:eastAsia="宋体" w:cs="Times New Roman"/>
        <w:kern w:val="2"/>
        <w:sz w:val="18"/>
        <w:lang w:val="en-US" w:eastAsia="zh-CN" w:bidi="ar-SA"/>
      </w:rPr>
      <w:instrText xml:space="preserve">PAGE   \* MERGEFORMAT</w:instrText>
    </w:r>
    <w:r>
      <w:rPr>
        <w:rFonts w:ascii="宋体" w:hAnsi="Courier New" w:eastAsia="宋体" w:cs="Times New Roman"/>
        <w:kern w:val="2"/>
        <w:sz w:val="18"/>
        <w:lang w:val="en-US" w:eastAsia="zh-CN" w:bidi="ar-SA"/>
      </w:rPr>
      <w:fldChar w:fldCharType="separate"/>
    </w:r>
    <w:r>
      <w:rPr>
        <w:rFonts w:ascii="宋体" w:hAnsi="Courier New" w:eastAsia="宋体" w:cs="Times New Roman"/>
        <w:kern w:val="2"/>
        <w:sz w:val="18"/>
        <w:lang w:val="zh-CN" w:eastAsia="zh-CN" w:bidi="ar-SA"/>
      </w:rPr>
      <w:t>22</w:t>
    </w:r>
    <w:r>
      <w:rPr>
        <w:rFonts w:ascii="宋体" w:hAnsi="Courier New" w:eastAsia="宋体" w:cs="Times New Roman"/>
        <w:kern w:val="2"/>
        <w:sz w:val="18"/>
        <w:lang w:val="en-US" w:eastAsia="zh-CN" w:bidi="ar-SA"/>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DDEB2">
    <w:pPr>
      <w:pStyle w:val="32"/>
      <w:ind w:right="360" w:firstLine="360"/>
      <w:rPr>
        <w:rStyle w:val="58"/>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DFEC21">
                          <w:pPr>
                            <w:pStyle w:val="3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EDFEC21">
                    <w:pPr>
                      <w:pStyle w:val="32"/>
                    </w:pPr>
                    <w:r>
                      <w:fldChar w:fldCharType="begin"/>
                    </w:r>
                    <w:r>
                      <w:instrText xml:space="preserve"> PAGE  \* MERGEFORMAT </w:instrText>
                    </w:r>
                    <w:r>
                      <w:fldChar w:fldCharType="separate"/>
                    </w:r>
                    <w:r>
                      <w:t>2</w:t>
                    </w:r>
                    <w:r>
                      <w:fldChar w:fldCharType="end"/>
                    </w:r>
                  </w:p>
                </w:txbxContent>
              </v:textbox>
            </v:shape>
          </w:pict>
        </mc:Fallback>
      </mc:AlternateContent>
    </w:r>
  </w:p>
  <w:p w14:paraId="79253B30">
    <w:pPr>
      <w:pStyle w:val="32"/>
      <w:ind w:right="360"/>
      <w:rPr>
        <w:rStyle w:val="58"/>
        <w:szCs w:val="21"/>
      </w:rPr>
    </w:pPr>
  </w:p>
  <w:p w14:paraId="245C8930">
    <w:pPr>
      <w:pStyle w:val="3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DFA5D">
    <w:pPr>
      <w:pStyle w:val="3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0DC79">
    <w:pPr>
      <w:pStyle w:val="33"/>
      <w:jc w:val="left"/>
    </w:pPr>
    <w:r>
      <w:rPr>
        <w:rFonts w:hint="eastAsia"/>
      </w:rPr>
      <w:t xml:space="preserve">广西机电设备招标有限公司采购文件                                                               </w:t>
    </w:r>
  </w:p>
  <w:p w14:paraId="5FA6E938">
    <w:pPr>
      <w:pStyle w:val="3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003F8">
    <w:pPr>
      <w:pStyle w:val="33"/>
      <w:pBdr>
        <w:bottom w:val="single" w:color="auto" w:sz="6" w:space="0"/>
      </w:pBdr>
      <w:jc w:val="left"/>
    </w:pPr>
    <w:r>
      <w:rPr>
        <w:rFonts w:hint="eastAsia"/>
      </w:rPr>
      <w:t xml:space="preserve">广西机电设备招标有限公司采购文件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16DD8">
    <w:pPr>
      <w:pStyle w:val="33"/>
      <w:jc w:val="left"/>
    </w:pPr>
    <w:r>
      <w:rPr>
        <w:rFonts w:hint="eastAsia"/>
      </w:rPr>
      <w:t xml:space="preserve">广西机电设备招标有限公司采购文件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05A4A">
    <w:pPr>
      <w:pStyle w:val="33"/>
      <w:jc w:val="left"/>
    </w:pPr>
    <w:r>
      <w:rPr>
        <w:rFonts w:hint="eastAsia"/>
      </w:rPr>
      <w:t xml:space="preserve">广西机电设备招标有限公司磋商文件                                                    </w:t>
    </w:r>
  </w:p>
  <w:p w14:paraId="6D947F0E">
    <w:pPr>
      <w:pStyle w:val="33"/>
      <w:pBdr>
        <w:bottom w:val="none" w:color="auto" w:sz="0" w:space="0"/>
      </w:pBdr>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50153">
    <w:pPr>
      <w:pStyle w:val="33"/>
      <w:jc w:val="left"/>
    </w:pPr>
    <w:r>
      <w:rPr>
        <w:rFonts w:hint="eastAsia"/>
      </w:rPr>
      <w:t xml:space="preserve">广西机电设备招标有限公司采购文件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4D6BD">
    <w:pPr>
      <w:pStyle w:val="33"/>
      <w:jc w:val="left"/>
    </w:pPr>
    <w:r>
      <w:rPr>
        <w:rFonts w:hint="eastAsia"/>
      </w:rPr>
      <w:t xml:space="preserve">广西机电设备招标有限公司采购文件                                                           </w:t>
    </w:r>
  </w:p>
  <w:p w14:paraId="60EF191A">
    <w:pPr>
      <w:pStyle w:val="33"/>
      <w:pBdr>
        <w:bottom w:val="none" w:color="auto" w:sz="0" w:space="0"/>
      </w:pBdr>
      <w:jc w:val="lef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3533D">
    <w:pPr>
      <w:pStyle w:val="33"/>
      <w:jc w:val="left"/>
    </w:pPr>
    <w:r>
      <w:rPr>
        <w:rFonts w:hint="eastAsia"/>
      </w:rPr>
      <w:t xml:space="preserve">广西机电设备招标有限公司采购文件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2D8EB">
    <w:pPr>
      <w:pStyle w:val="33"/>
      <w:jc w:val="left"/>
    </w:pPr>
    <w:r>
      <w:rPr>
        <w:rFonts w:hint="eastAsia"/>
      </w:rPr>
      <w:t>广西机电设备招标有限公司磋商文件                                                     评审方法及评审标准</w:t>
    </w:r>
  </w:p>
  <w:p w14:paraId="60D874AE">
    <w:pPr>
      <w:pStyle w:val="33"/>
      <w:pBdr>
        <w:bottom w:val="none" w:color="auto" w:sz="0" w:space="0"/>
      </w:pBdr>
      <w:jc w:val="lef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83960">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r>
      <w:rPr>
        <w:rFonts w:hint="eastAsia"/>
        <w:sz w:val="18"/>
        <w:szCs w:val="18"/>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6"/>
      <w:numFmt w:val="decimal"/>
      <w:lvlText w:val="%1."/>
      <w:lvlJc w:val="left"/>
      <w:pPr>
        <w:tabs>
          <w:tab w:val="left" w:pos="312"/>
        </w:tabs>
      </w:pPr>
    </w:lvl>
  </w:abstractNum>
  <w:abstractNum w:abstractNumId="1">
    <w:nsid w:val="00000009"/>
    <w:multiLevelType w:val="singleLevel"/>
    <w:tmpl w:val="00000009"/>
    <w:lvl w:ilvl="0" w:tentative="0">
      <w:start w:val="11"/>
      <w:numFmt w:val="decimal"/>
      <w:suff w:val="space"/>
      <w:lvlText w:val="%1."/>
      <w:lvlJc w:val="left"/>
    </w:lvl>
  </w:abstractNum>
  <w:abstractNum w:abstractNumId="2">
    <w:nsid w:val="00000013"/>
    <w:multiLevelType w:val="multilevel"/>
    <w:tmpl w:val="00000013"/>
    <w:lvl w:ilvl="0" w:tentative="0">
      <w:start w:val="1"/>
      <w:numFmt w:val="decimal"/>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6EDD6596"/>
    <w:multiLevelType w:val="singleLevel"/>
    <w:tmpl w:val="6EDD6596"/>
    <w:lvl w:ilvl="0" w:tentative="0">
      <w:start w:val="1"/>
      <w:numFmt w:val="decimal"/>
      <w:suff w:val="space"/>
      <w:lvlText w:val="%1."/>
      <w:lvlJc w:val="left"/>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U0NTg3Njg0YjQ4NmUzYjk0MzI2OWM1NzY1OGJiYmEifQ=="/>
  </w:docVars>
  <w:rsids>
    <w:rsidRoot w:val="00172A27"/>
    <w:rsid w:val="000003EF"/>
    <w:rsid w:val="0000091B"/>
    <w:rsid w:val="00000D0A"/>
    <w:rsid w:val="00000D19"/>
    <w:rsid w:val="00000D8B"/>
    <w:rsid w:val="00000E1A"/>
    <w:rsid w:val="00001B3E"/>
    <w:rsid w:val="00001B8A"/>
    <w:rsid w:val="00001CD6"/>
    <w:rsid w:val="00002DDA"/>
    <w:rsid w:val="000030E9"/>
    <w:rsid w:val="00003DAE"/>
    <w:rsid w:val="00004D3E"/>
    <w:rsid w:val="000058D7"/>
    <w:rsid w:val="00005E55"/>
    <w:rsid w:val="00006E2C"/>
    <w:rsid w:val="000079FF"/>
    <w:rsid w:val="00007B0D"/>
    <w:rsid w:val="00007D2F"/>
    <w:rsid w:val="000102A9"/>
    <w:rsid w:val="000105E8"/>
    <w:rsid w:val="00011D72"/>
    <w:rsid w:val="00012078"/>
    <w:rsid w:val="00013748"/>
    <w:rsid w:val="00013D41"/>
    <w:rsid w:val="000143A3"/>
    <w:rsid w:val="00014575"/>
    <w:rsid w:val="00014DD6"/>
    <w:rsid w:val="0001598C"/>
    <w:rsid w:val="00015C2A"/>
    <w:rsid w:val="00016C31"/>
    <w:rsid w:val="000178A5"/>
    <w:rsid w:val="00017C54"/>
    <w:rsid w:val="0002040C"/>
    <w:rsid w:val="00020B37"/>
    <w:rsid w:val="00020BB1"/>
    <w:rsid w:val="00020BF0"/>
    <w:rsid w:val="0002150B"/>
    <w:rsid w:val="000215B7"/>
    <w:rsid w:val="000217BF"/>
    <w:rsid w:val="00021C98"/>
    <w:rsid w:val="00021CCD"/>
    <w:rsid w:val="00021EE3"/>
    <w:rsid w:val="00022132"/>
    <w:rsid w:val="000228AB"/>
    <w:rsid w:val="0002330D"/>
    <w:rsid w:val="000233CA"/>
    <w:rsid w:val="00023652"/>
    <w:rsid w:val="000240D4"/>
    <w:rsid w:val="0002424E"/>
    <w:rsid w:val="00024633"/>
    <w:rsid w:val="0002560A"/>
    <w:rsid w:val="00025DA0"/>
    <w:rsid w:val="0002696D"/>
    <w:rsid w:val="0002754D"/>
    <w:rsid w:val="00027666"/>
    <w:rsid w:val="000276B2"/>
    <w:rsid w:val="00027A46"/>
    <w:rsid w:val="00027AF3"/>
    <w:rsid w:val="00030024"/>
    <w:rsid w:val="00030124"/>
    <w:rsid w:val="000305FD"/>
    <w:rsid w:val="000306E8"/>
    <w:rsid w:val="0003084F"/>
    <w:rsid w:val="00030B45"/>
    <w:rsid w:val="00030C2F"/>
    <w:rsid w:val="00030DAA"/>
    <w:rsid w:val="000311F9"/>
    <w:rsid w:val="00031757"/>
    <w:rsid w:val="00032686"/>
    <w:rsid w:val="0003274B"/>
    <w:rsid w:val="00032AD8"/>
    <w:rsid w:val="000331CC"/>
    <w:rsid w:val="0003322E"/>
    <w:rsid w:val="00033927"/>
    <w:rsid w:val="00035840"/>
    <w:rsid w:val="00035844"/>
    <w:rsid w:val="00036BAA"/>
    <w:rsid w:val="000370C6"/>
    <w:rsid w:val="00037C63"/>
    <w:rsid w:val="00037CE4"/>
    <w:rsid w:val="00037E01"/>
    <w:rsid w:val="00040187"/>
    <w:rsid w:val="00040351"/>
    <w:rsid w:val="00040AC1"/>
    <w:rsid w:val="00040D93"/>
    <w:rsid w:val="000418B1"/>
    <w:rsid w:val="00042BF9"/>
    <w:rsid w:val="00043295"/>
    <w:rsid w:val="00043592"/>
    <w:rsid w:val="00043796"/>
    <w:rsid w:val="00044708"/>
    <w:rsid w:val="00045069"/>
    <w:rsid w:val="00045443"/>
    <w:rsid w:val="00045947"/>
    <w:rsid w:val="000462A8"/>
    <w:rsid w:val="00046360"/>
    <w:rsid w:val="00046485"/>
    <w:rsid w:val="0004653D"/>
    <w:rsid w:val="000465AB"/>
    <w:rsid w:val="000467A3"/>
    <w:rsid w:val="00046E59"/>
    <w:rsid w:val="000471CF"/>
    <w:rsid w:val="000472E6"/>
    <w:rsid w:val="000479CD"/>
    <w:rsid w:val="00047FD9"/>
    <w:rsid w:val="000500E6"/>
    <w:rsid w:val="000504FE"/>
    <w:rsid w:val="00050F9F"/>
    <w:rsid w:val="00052A50"/>
    <w:rsid w:val="00052C85"/>
    <w:rsid w:val="00053BFC"/>
    <w:rsid w:val="00053D00"/>
    <w:rsid w:val="0005428F"/>
    <w:rsid w:val="00054870"/>
    <w:rsid w:val="00054ABD"/>
    <w:rsid w:val="00054F7D"/>
    <w:rsid w:val="00055230"/>
    <w:rsid w:val="00055557"/>
    <w:rsid w:val="00055A8A"/>
    <w:rsid w:val="00055E6D"/>
    <w:rsid w:val="0005625F"/>
    <w:rsid w:val="0005649E"/>
    <w:rsid w:val="00056597"/>
    <w:rsid w:val="0005700C"/>
    <w:rsid w:val="00057393"/>
    <w:rsid w:val="00057E45"/>
    <w:rsid w:val="000606B6"/>
    <w:rsid w:val="0006192F"/>
    <w:rsid w:val="00061AB7"/>
    <w:rsid w:val="00061F82"/>
    <w:rsid w:val="00062637"/>
    <w:rsid w:val="000631AC"/>
    <w:rsid w:val="000631B7"/>
    <w:rsid w:val="000639D4"/>
    <w:rsid w:val="00064A48"/>
    <w:rsid w:val="00064C80"/>
    <w:rsid w:val="00065AB7"/>
    <w:rsid w:val="00065D71"/>
    <w:rsid w:val="00066111"/>
    <w:rsid w:val="000673D8"/>
    <w:rsid w:val="00067DD2"/>
    <w:rsid w:val="00067DE7"/>
    <w:rsid w:val="00067ED4"/>
    <w:rsid w:val="00070500"/>
    <w:rsid w:val="000706AC"/>
    <w:rsid w:val="00070950"/>
    <w:rsid w:val="000709D3"/>
    <w:rsid w:val="00070B1F"/>
    <w:rsid w:val="000712F8"/>
    <w:rsid w:val="00071587"/>
    <w:rsid w:val="00071A6A"/>
    <w:rsid w:val="00071C95"/>
    <w:rsid w:val="0007216A"/>
    <w:rsid w:val="00072A95"/>
    <w:rsid w:val="00072C12"/>
    <w:rsid w:val="000737A9"/>
    <w:rsid w:val="00074923"/>
    <w:rsid w:val="000750EA"/>
    <w:rsid w:val="00075DF5"/>
    <w:rsid w:val="00075E3B"/>
    <w:rsid w:val="00077698"/>
    <w:rsid w:val="00077891"/>
    <w:rsid w:val="0007797E"/>
    <w:rsid w:val="00077D86"/>
    <w:rsid w:val="0008017C"/>
    <w:rsid w:val="00080AA6"/>
    <w:rsid w:val="00081751"/>
    <w:rsid w:val="00081C1C"/>
    <w:rsid w:val="00082255"/>
    <w:rsid w:val="000822F0"/>
    <w:rsid w:val="00082611"/>
    <w:rsid w:val="0008264F"/>
    <w:rsid w:val="0008372E"/>
    <w:rsid w:val="00083A64"/>
    <w:rsid w:val="00083B97"/>
    <w:rsid w:val="00084575"/>
    <w:rsid w:val="00084AB1"/>
    <w:rsid w:val="00084F10"/>
    <w:rsid w:val="0008521D"/>
    <w:rsid w:val="00085A04"/>
    <w:rsid w:val="000866A9"/>
    <w:rsid w:val="00086EC2"/>
    <w:rsid w:val="00087358"/>
    <w:rsid w:val="000873F5"/>
    <w:rsid w:val="000900DF"/>
    <w:rsid w:val="00090193"/>
    <w:rsid w:val="0009021F"/>
    <w:rsid w:val="00091D8D"/>
    <w:rsid w:val="00091EDA"/>
    <w:rsid w:val="00092713"/>
    <w:rsid w:val="0009353F"/>
    <w:rsid w:val="00093DF8"/>
    <w:rsid w:val="000941F6"/>
    <w:rsid w:val="000945C5"/>
    <w:rsid w:val="00094ECF"/>
    <w:rsid w:val="0009592E"/>
    <w:rsid w:val="00095FB4"/>
    <w:rsid w:val="00096224"/>
    <w:rsid w:val="0009715C"/>
    <w:rsid w:val="000A10DB"/>
    <w:rsid w:val="000A1429"/>
    <w:rsid w:val="000A2968"/>
    <w:rsid w:val="000A29DC"/>
    <w:rsid w:val="000A3515"/>
    <w:rsid w:val="000A3518"/>
    <w:rsid w:val="000A487D"/>
    <w:rsid w:val="000A6F1D"/>
    <w:rsid w:val="000A70C7"/>
    <w:rsid w:val="000A7238"/>
    <w:rsid w:val="000A791D"/>
    <w:rsid w:val="000B09FE"/>
    <w:rsid w:val="000B15EF"/>
    <w:rsid w:val="000B26D6"/>
    <w:rsid w:val="000B316D"/>
    <w:rsid w:val="000B3194"/>
    <w:rsid w:val="000B33E8"/>
    <w:rsid w:val="000B3CFE"/>
    <w:rsid w:val="000B4164"/>
    <w:rsid w:val="000B4397"/>
    <w:rsid w:val="000B4EF3"/>
    <w:rsid w:val="000B554C"/>
    <w:rsid w:val="000B5D87"/>
    <w:rsid w:val="000B63FE"/>
    <w:rsid w:val="000B642F"/>
    <w:rsid w:val="000B6F18"/>
    <w:rsid w:val="000B7E6D"/>
    <w:rsid w:val="000C1414"/>
    <w:rsid w:val="000C350A"/>
    <w:rsid w:val="000C4988"/>
    <w:rsid w:val="000C591F"/>
    <w:rsid w:val="000C59D1"/>
    <w:rsid w:val="000C5FC6"/>
    <w:rsid w:val="000C60D0"/>
    <w:rsid w:val="000C7045"/>
    <w:rsid w:val="000C757A"/>
    <w:rsid w:val="000C7D9F"/>
    <w:rsid w:val="000C7DC8"/>
    <w:rsid w:val="000D0974"/>
    <w:rsid w:val="000D1B95"/>
    <w:rsid w:val="000D3613"/>
    <w:rsid w:val="000D3E1B"/>
    <w:rsid w:val="000D4061"/>
    <w:rsid w:val="000D471A"/>
    <w:rsid w:val="000D4860"/>
    <w:rsid w:val="000D48FB"/>
    <w:rsid w:val="000D4B4F"/>
    <w:rsid w:val="000D4EC1"/>
    <w:rsid w:val="000D4EF1"/>
    <w:rsid w:val="000D55FD"/>
    <w:rsid w:val="000D5F11"/>
    <w:rsid w:val="000D7588"/>
    <w:rsid w:val="000D7BE7"/>
    <w:rsid w:val="000E0106"/>
    <w:rsid w:val="000E01DF"/>
    <w:rsid w:val="000E14FC"/>
    <w:rsid w:val="000E16B2"/>
    <w:rsid w:val="000E173A"/>
    <w:rsid w:val="000E1C04"/>
    <w:rsid w:val="000E216E"/>
    <w:rsid w:val="000E2AD1"/>
    <w:rsid w:val="000E2D70"/>
    <w:rsid w:val="000E3898"/>
    <w:rsid w:val="000E3C38"/>
    <w:rsid w:val="000E3D2F"/>
    <w:rsid w:val="000E4712"/>
    <w:rsid w:val="000E5CBB"/>
    <w:rsid w:val="000E612C"/>
    <w:rsid w:val="000E6CF4"/>
    <w:rsid w:val="000E6D38"/>
    <w:rsid w:val="000E72E7"/>
    <w:rsid w:val="000E72F6"/>
    <w:rsid w:val="000E75B3"/>
    <w:rsid w:val="000E763C"/>
    <w:rsid w:val="000E7CC8"/>
    <w:rsid w:val="000F03A5"/>
    <w:rsid w:val="000F10D4"/>
    <w:rsid w:val="000F1B78"/>
    <w:rsid w:val="000F1BF5"/>
    <w:rsid w:val="000F1F51"/>
    <w:rsid w:val="000F1FB0"/>
    <w:rsid w:val="000F2181"/>
    <w:rsid w:val="000F24AC"/>
    <w:rsid w:val="000F2F60"/>
    <w:rsid w:val="000F4B3A"/>
    <w:rsid w:val="000F5331"/>
    <w:rsid w:val="000F55C9"/>
    <w:rsid w:val="000F6242"/>
    <w:rsid w:val="000F6F32"/>
    <w:rsid w:val="000F708C"/>
    <w:rsid w:val="000F75A8"/>
    <w:rsid w:val="000F76E0"/>
    <w:rsid w:val="00100331"/>
    <w:rsid w:val="00100DD5"/>
    <w:rsid w:val="00101255"/>
    <w:rsid w:val="001016BB"/>
    <w:rsid w:val="0010251A"/>
    <w:rsid w:val="00102BC3"/>
    <w:rsid w:val="001033BA"/>
    <w:rsid w:val="00103458"/>
    <w:rsid w:val="001047E3"/>
    <w:rsid w:val="00104AFF"/>
    <w:rsid w:val="00105A06"/>
    <w:rsid w:val="001070CD"/>
    <w:rsid w:val="001076E0"/>
    <w:rsid w:val="001078F4"/>
    <w:rsid w:val="00110001"/>
    <w:rsid w:val="00110797"/>
    <w:rsid w:val="00110E81"/>
    <w:rsid w:val="00111ECD"/>
    <w:rsid w:val="001121DD"/>
    <w:rsid w:val="00112592"/>
    <w:rsid w:val="00112DBF"/>
    <w:rsid w:val="00113646"/>
    <w:rsid w:val="0011487E"/>
    <w:rsid w:val="00114BB0"/>
    <w:rsid w:val="00116258"/>
    <w:rsid w:val="0011630D"/>
    <w:rsid w:val="00117559"/>
    <w:rsid w:val="0012077F"/>
    <w:rsid w:val="00120813"/>
    <w:rsid w:val="0012099E"/>
    <w:rsid w:val="00120E60"/>
    <w:rsid w:val="0012130E"/>
    <w:rsid w:val="001213B0"/>
    <w:rsid w:val="00121724"/>
    <w:rsid w:val="00121741"/>
    <w:rsid w:val="00121832"/>
    <w:rsid w:val="0012235C"/>
    <w:rsid w:val="00122A75"/>
    <w:rsid w:val="00122D41"/>
    <w:rsid w:val="001241D1"/>
    <w:rsid w:val="00124985"/>
    <w:rsid w:val="00124A27"/>
    <w:rsid w:val="00125609"/>
    <w:rsid w:val="0012573D"/>
    <w:rsid w:val="0012598F"/>
    <w:rsid w:val="0012611E"/>
    <w:rsid w:val="00126655"/>
    <w:rsid w:val="00126707"/>
    <w:rsid w:val="001269E0"/>
    <w:rsid w:val="00126CE5"/>
    <w:rsid w:val="001303CD"/>
    <w:rsid w:val="00130612"/>
    <w:rsid w:val="00130C61"/>
    <w:rsid w:val="0013190A"/>
    <w:rsid w:val="00131C94"/>
    <w:rsid w:val="00131DE6"/>
    <w:rsid w:val="001326DF"/>
    <w:rsid w:val="00132AD8"/>
    <w:rsid w:val="00132CCE"/>
    <w:rsid w:val="00133884"/>
    <w:rsid w:val="00133D01"/>
    <w:rsid w:val="00133E50"/>
    <w:rsid w:val="001341B0"/>
    <w:rsid w:val="00134510"/>
    <w:rsid w:val="0013590D"/>
    <w:rsid w:val="00136073"/>
    <w:rsid w:val="001361F7"/>
    <w:rsid w:val="00136606"/>
    <w:rsid w:val="00136806"/>
    <w:rsid w:val="001369A6"/>
    <w:rsid w:val="00136BD6"/>
    <w:rsid w:val="00136DBC"/>
    <w:rsid w:val="00136F77"/>
    <w:rsid w:val="00137856"/>
    <w:rsid w:val="00137877"/>
    <w:rsid w:val="00137BD8"/>
    <w:rsid w:val="00140221"/>
    <w:rsid w:val="00140291"/>
    <w:rsid w:val="001404CD"/>
    <w:rsid w:val="001406D8"/>
    <w:rsid w:val="00140823"/>
    <w:rsid w:val="001422D4"/>
    <w:rsid w:val="00142632"/>
    <w:rsid w:val="0014309F"/>
    <w:rsid w:val="001442C2"/>
    <w:rsid w:val="001449E1"/>
    <w:rsid w:val="00144D5F"/>
    <w:rsid w:val="001454DB"/>
    <w:rsid w:val="0014560F"/>
    <w:rsid w:val="00145878"/>
    <w:rsid w:val="0014647C"/>
    <w:rsid w:val="00146D04"/>
    <w:rsid w:val="0014723D"/>
    <w:rsid w:val="00147916"/>
    <w:rsid w:val="0014795D"/>
    <w:rsid w:val="001479AA"/>
    <w:rsid w:val="00147F00"/>
    <w:rsid w:val="00150564"/>
    <w:rsid w:val="001506A7"/>
    <w:rsid w:val="00150882"/>
    <w:rsid w:val="00150A4A"/>
    <w:rsid w:val="001518B5"/>
    <w:rsid w:val="00151BBA"/>
    <w:rsid w:val="0015252D"/>
    <w:rsid w:val="00152656"/>
    <w:rsid w:val="00152C00"/>
    <w:rsid w:val="00152C2B"/>
    <w:rsid w:val="00152E98"/>
    <w:rsid w:val="00153084"/>
    <w:rsid w:val="00153A52"/>
    <w:rsid w:val="00154103"/>
    <w:rsid w:val="00154304"/>
    <w:rsid w:val="0015477A"/>
    <w:rsid w:val="00154F0A"/>
    <w:rsid w:val="0015516F"/>
    <w:rsid w:val="00156891"/>
    <w:rsid w:val="00156BA3"/>
    <w:rsid w:val="00156D2F"/>
    <w:rsid w:val="00157320"/>
    <w:rsid w:val="00157505"/>
    <w:rsid w:val="001579B9"/>
    <w:rsid w:val="001602EB"/>
    <w:rsid w:val="001610EB"/>
    <w:rsid w:val="001619B6"/>
    <w:rsid w:val="00161C1F"/>
    <w:rsid w:val="00161C2F"/>
    <w:rsid w:val="001620B6"/>
    <w:rsid w:val="00162664"/>
    <w:rsid w:val="001627CA"/>
    <w:rsid w:val="00163005"/>
    <w:rsid w:val="00163194"/>
    <w:rsid w:val="00163311"/>
    <w:rsid w:val="00163DB9"/>
    <w:rsid w:val="001642FB"/>
    <w:rsid w:val="00164475"/>
    <w:rsid w:val="00164F8F"/>
    <w:rsid w:val="0016529F"/>
    <w:rsid w:val="001658F5"/>
    <w:rsid w:val="00165F38"/>
    <w:rsid w:val="001661B8"/>
    <w:rsid w:val="00166237"/>
    <w:rsid w:val="0016644D"/>
    <w:rsid w:val="00166EE6"/>
    <w:rsid w:val="001672AF"/>
    <w:rsid w:val="00170A14"/>
    <w:rsid w:val="00170E8E"/>
    <w:rsid w:val="0017112B"/>
    <w:rsid w:val="001726CF"/>
    <w:rsid w:val="00172A27"/>
    <w:rsid w:val="00172BAF"/>
    <w:rsid w:val="00172BD9"/>
    <w:rsid w:val="00172C93"/>
    <w:rsid w:val="00172EC0"/>
    <w:rsid w:val="00173191"/>
    <w:rsid w:val="001731C7"/>
    <w:rsid w:val="00173704"/>
    <w:rsid w:val="001737FE"/>
    <w:rsid w:val="0017426E"/>
    <w:rsid w:val="001742BE"/>
    <w:rsid w:val="001758FF"/>
    <w:rsid w:val="00176E50"/>
    <w:rsid w:val="0017723E"/>
    <w:rsid w:val="00177470"/>
    <w:rsid w:val="001775DA"/>
    <w:rsid w:val="00177AD0"/>
    <w:rsid w:val="001810F6"/>
    <w:rsid w:val="00181135"/>
    <w:rsid w:val="00181C0B"/>
    <w:rsid w:val="00182382"/>
    <w:rsid w:val="00182DF8"/>
    <w:rsid w:val="00182FF0"/>
    <w:rsid w:val="00183F76"/>
    <w:rsid w:val="001844C2"/>
    <w:rsid w:val="00185C66"/>
    <w:rsid w:val="00185C84"/>
    <w:rsid w:val="00187892"/>
    <w:rsid w:val="00187DFB"/>
    <w:rsid w:val="00187FF5"/>
    <w:rsid w:val="00190463"/>
    <w:rsid w:val="00191435"/>
    <w:rsid w:val="00192213"/>
    <w:rsid w:val="001927A2"/>
    <w:rsid w:val="001927AF"/>
    <w:rsid w:val="0019335B"/>
    <w:rsid w:val="0019423A"/>
    <w:rsid w:val="00195648"/>
    <w:rsid w:val="001959DC"/>
    <w:rsid w:val="00195F44"/>
    <w:rsid w:val="00196019"/>
    <w:rsid w:val="00196C83"/>
    <w:rsid w:val="00196E92"/>
    <w:rsid w:val="001A0896"/>
    <w:rsid w:val="001A2362"/>
    <w:rsid w:val="001A3116"/>
    <w:rsid w:val="001A315B"/>
    <w:rsid w:val="001A3856"/>
    <w:rsid w:val="001A3C38"/>
    <w:rsid w:val="001A3F6D"/>
    <w:rsid w:val="001A4C94"/>
    <w:rsid w:val="001A4E6D"/>
    <w:rsid w:val="001A5DA1"/>
    <w:rsid w:val="001A6E3F"/>
    <w:rsid w:val="001A6EBA"/>
    <w:rsid w:val="001A70D4"/>
    <w:rsid w:val="001A775C"/>
    <w:rsid w:val="001A7CBA"/>
    <w:rsid w:val="001B02BE"/>
    <w:rsid w:val="001B1736"/>
    <w:rsid w:val="001B1AE6"/>
    <w:rsid w:val="001B32D3"/>
    <w:rsid w:val="001B32E4"/>
    <w:rsid w:val="001B35B1"/>
    <w:rsid w:val="001B3778"/>
    <w:rsid w:val="001B3E30"/>
    <w:rsid w:val="001B4794"/>
    <w:rsid w:val="001B4B55"/>
    <w:rsid w:val="001B4ED3"/>
    <w:rsid w:val="001B50CC"/>
    <w:rsid w:val="001B5355"/>
    <w:rsid w:val="001B6049"/>
    <w:rsid w:val="001B60D4"/>
    <w:rsid w:val="001B6482"/>
    <w:rsid w:val="001B7014"/>
    <w:rsid w:val="001B76D5"/>
    <w:rsid w:val="001B7C32"/>
    <w:rsid w:val="001B7CBF"/>
    <w:rsid w:val="001C0279"/>
    <w:rsid w:val="001C0352"/>
    <w:rsid w:val="001C148A"/>
    <w:rsid w:val="001C15DB"/>
    <w:rsid w:val="001C1814"/>
    <w:rsid w:val="001C1A4B"/>
    <w:rsid w:val="001C3D80"/>
    <w:rsid w:val="001C405C"/>
    <w:rsid w:val="001C4361"/>
    <w:rsid w:val="001C51A3"/>
    <w:rsid w:val="001C5358"/>
    <w:rsid w:val="001C56D1"/>
    <w:rsid w:val="001C6921"/>
    <w:rsid w:val="001C7A8C"/>
    <w:rsid w:val="001C7DB6"/>
    <w:rsid w:val="001D04A2"/>
    <w:rsid w:val="001D15D9"/>
    <w:rsid w:val="001D23EF"/>
    <w:rsid w:val="001D23F7"/>
    <w:rsid w:val="001D3534"/>
    <w:rsid w:val="001D40F4"/>
    <w:rsid w:val="001D537F"/>
    <w:rsid w:val="001D5BDC"/>
    <w:rsid w:val="001D6910"/>
    <w:rsid w:val="001D723E"/>
    <w:rsid w:val="001D746C"/>
    <w:rsid w:val="001D7681"/>
    <w:rsid w:val="001E131D"/>
    <w:rsid w:val="001E1FA3"/>
    <w:rsid w:val="001E21AC"/>
    <w:rsid w:val="001E24A4"/>
    <w:rsid w:val="001E2754"/>
    <w:rsid w:val="001E28CC"/>
    <w:rsid w:val="001E2EC4"/>
    <w:rsid w:val="001E321D"/>
    <w:rsid w:val="001E3451"/>
    <w:rsid w:val="001E38B1"/>
    <w:rsid w:val="001E3991"/>
    <w:rsid w:val="001E478C"/>
    <w:rsid w:val="001E4C00"/>
    <w:rsid w:val="001E4D12"/>
    <w:rsid w:val="001E4D56"/>
    <w:rsid w:val="001E4DF5"/>
    <w:rsid w:val="001E5E13"/>
    <w:rsid w:val="001E63D0"/>
    <w:rsid w:val="001E72E0"/>
    <w:rsid w:val="001E76D5"/>
    <w:rsid w:val="001F0064"/>
    <w:rsid w:val="001F02AE"/>
    <w:rsid w:val="001F03EF"/>
    <w:rsid w:val="001F0487"/>
    <w:rsid w:val="001F0F38"/>
    <w:rsid w:val="001F16DF"/>
    <w:rsid w:val="001F1960"/>
    <w:rsid w:val="001F1E4A"/>
    <w:rsid w:val="001F3706"/>
    <w:rsid w:val="001F3995"/>
    <w:rsid w:val="001F3BF9"/>
    <w:rsid w:val="001F3DAE"/>
    <w:rsid w:val="001F4685"/>
    <w:rsid w:val="001F4A98"/>
    <w:rsid w:val="001F5245"/>
    <w:rsid w:val="001F55F3"/>
    <w:rsid w:val="001F6159"/>
    <w:rsid w:val="001F6680"/>
    <w:rsid w:val="001F6B74"/>
    <w:rsid w:val="001F6FB6"/>
    <w:rsid w:val="001F740D"/>
    <w:rsid w:val="001F792F"/>
    <w:rsid w:val="001F7AC9"/>
    <w:rsid w:val="001F7B9E"/>
    <w:rsid w:val="001F7BE1"/>
    <w:rsid w:val="001F7C97"/>
    <w:rsid w:val="0020095B"/>
    <w:rsid w:val="00200A84"/>
    <w:rsid w:val="002014F7"/>
    <w:rsid w:val="00201CB4"/>
    <w:rsid w:val="00201ED0"/>
    <w:rsid w:val="00201FFC"/>
    <w:rsid w:val="00202576"/>
    <w:rsid w:val="00202B50"/>
    <w:rsid w:val="00202EF9"/>
    <w:rsid w:val="00203041"/>
    <w:rsid w:val="00203204"/>
    <w:rsid w:val="00203236"/>
    <w:rsid w:val="002036E8"/>
    <w:rsid w:val="00203946"/>
    <w:rsid w:val="00203B3F"/>
    <w:rsid w:val="002045CB"/>
    <w:rsid w:val="002048AD"/>
    <w:rsid w:val="0020494A"/>
    <w:rsid w:val="00204AF8"/>
    <w:rsid w:val="002051F7"/>
    <w:rsid w:val="002052C4"/>
    <w:rsid w:val="0020531C"/>
    <w:rsid w:val="00205EF5"/>
    <w:rsid w:val="002062B5"/>
    <w:rsid w:val="002067D2"/>
    <w:rsid w:val="0020708A"/>
    <w:rsid w:val="00207642"/>
    <w:rsid w:val="00207F6A"/>
    <w:rsid w:val="00207F97"/>
    <w:rsid w:val="00210256"/>
    <w:rsid w:val="00210394"/>
    <w:rsid w:val="0021076E"/>
    <w:rsid w:val="00210B83"/>
    <w:rsid w:val="00210E82"/>
    <w:rsid w:val="00212B08"/>
    <w:rsid w:val="00213289"/>
    <w:rsid w:val="00213825"/>
    <w:rsid w:val="00214189"/>
    <w:rsid w:val="00214ADD"/>
    <w:rsid w:val="0021525B"/>
    <w:rsid w:val="0021565D"/>
    <w:rsid w:val="00216998"/>
    <w:rsid w:val="00216B19"/>
    <w:rsid w:val="00216CCC"/>
    <w:rsid w:val="00216E16"/>
    <w:rsid w:val="0021738B"/>
    <w:rsid w:val="002176D8"/>
    <w:rsid w:val="00220082"/>
    <w:rsid w:val="002203BD"/>
    <w:rsid w:val="0022040C"/>
    <w:rsid w:val="0022054A"/>
    <w:rsid w:val="00220771"/>
    <w:rsid w:val="00220776"/>
    <w:rsid w:val="00220C7C"/>
    <w:rsid w:val="002221C3"/>
    <w:rsid w:val="002223BA"/>
    <w:rsid w:val="0022299A"/>
    <w:rsid w:val="00222B91"/>
    <w:rsid w:val="002230FD"/>
    <w:rsid w:val="002232B3"/>
    <w:rsid w:val="002242A5"/>
    <w:rsid w:val="002242DB"/>
    <w:rsid w:val="00224756"/>
    <w:rsid w:val="00224878"/>
    <w:rsid w:val="0022514D"/>
    <w:rsid w:val="00225CEE"/>
    <w:rsid w:val="00226447"/>
    <w:rsid w:val="002266DB"/>
    <w:rsid w:val="002267DA"/>
    <w:rsid w:val="00226894"/>
    <w:rsid w:val="002268B0"/>
    <w:rsid w:val="00227577"/>
    <w:rsid w:val="002277E9"/>
    <w:rsid w:val="00227BB3"/>
    <w:rsid w:val="002303A6"/>
    <w:rsid w:val="0023069A"/>
    <w:rsid w:val="00230894"/>
    <w:rsid w:val="002308E9"/>
    <w:rsid w:val="00231442"/>
    <w:rsid w:val="00231B36"/>
    <w:rsid w:val="00231F9E"/>
    <w:rsid w:val="00232498"/>
    <w:rsid w:val="0023254E"/>
    <w:rsid w:val="00232918"/>
    <w:rsid w:val="00232934"/>
    <w:rsid w:val="00233114"/>
    <w:rsid w:val="0023350C"/>
    <w:rsid w:val="002336EE"/>
    <w:rsid w:val="00233D53"/>
    <w:rsid w:val="00233E70"/>
    <w:rsid w:val="00234281"/>
    <w:rsid w:val="00234A21"/>
    <w:rsid w:val="00234F9A"/>
    <w:rsid w:val="00234FD3"/>
    <w:rsid w:val="0023515B"/>
    <w:rsid w:val="00236B90"/>
    <w:rsid w:val="002371BF"/>
    <w:rsid w:val="00237A87"/>
    <w:rsid w:val="002404C3"/>
    <w:rsid w:val="00241129"/>
    <w:rsid w:val="002417E9"/>
    <w:rsid w:val="00241840"/>
    <w:rsid w:val="00241C36"/>
    <w:rsid w:val="002422D1"/>
    <w:rsid w:val="002427EB"/>
    <w:rsid w:val="002427F0"/>
    <w:rsid w:val="002428BD"/>
    <w:rsid w:val="00242E09"/>
    <w:rsid w:val="002432B7"/>
    <w:rsid w:val="002440B2"/>
    <w:rsid w:val="00244CC2"/>
    <w:rsid w:val="00245019"/>
    <w:rsid w:val="002452D5"/>
    <w:rsid w:val="002458CE"/>
    <w:rsid w:val="0024635A"/>
    <w:rsid w:val="0024638F"/>
    <w:rsid w:val="00246513"/>
    <w:rsid w:val="00246B1D"/>
    <w:rsid w:val="00247BDE"/>
    <w:rsid w:val="002507C4"/>
    <w:rsid w:val="00250B11"/>
    <w:rsid w:val="00251257"/>
    <w:rsid w:val="00251EB3"/>
    <w:rsid w:val="00252159"/>
    <w:rsid w:val="002531E5"/>
    <w:rsid w:val="0025329B"/>
    <w:rsid w:val="002538BA"/>
    <w:rsid w:val="00253EC4"/>
    <w:rsid w:val="0025418A"/>
    <w:rsid w:val="00254240"/>
    <w:rsid w:val="002545D0"/>
    <w:rsid w:val="00255255"/>
    <w:rsid w:val="00255BC2"/>
    <w:rsid w:val="00256113"/>
    <w:rsid w:val="00256539"/>
    <w:rsid w:val="00256DEA"/>
    <w:rsid w:val="00257C49"/>
    <w:rsid w:val="00260271"/>
    <w:rsid w:val="0026072F"/>
    <w:rsid w:val="00260952"/>
    <w:rsid w:val="00261192"/>
    <w:rsid w:val="00261A11"/>
    <w:rsid w:val="00261CB5"/>
    <w:rsid w:val="002625F2"/>
    <w:rsid w:val="00262F10"/>
    <w:rsid w:val="0026323A"/>
    <w:rsid w:val="00263413"/>
    <w:rsid w:val="0026431A"/>
    <w:rsid w:val="002644A4"/>
    <w:rsid w:val="00265066"/>
    <w:rsid w:val="00265238"/>
    <w:rsid w:val="00265C93"/>
    <w:rsid w:val="00265F00"/>
    <w:rsid w:val="00266300"/>
    <w:rsid w:val="00266BD0"/>
    <w:rsid w:val="002675AE"/>
    <w:rsid w:val="00267702"/>
    <w:rsid w:val="002700AA"/>
    <w:rsid w:val="002708B2"/>
    <w:rsid w:val="00270B46"/>
    <w:rsid w:val="00271150"/>
    <w:rsid w:val="00273F48"/>
    <w:rsid w:val="002747CC"/>
    <w:rsid w:val="00274830"/>
    <w:rsid w:val="00274DF9"/>
    <w:rsid w:val="00275170"/>
    <w:rsid w:val="00275A41"/>
    <w:rsid w:val="00275D77"/>
    <w:rsid w:val="0027695D"/>
    <w:rsid w:val="002778F2"/>
    <w:rsid w:val="00277F52"/>
    <w:rsid w:val="002809A3"/>
    <w:rsid w:val="00281979"/>
    <w:rsid w:val="00281E85"/>
    <w:rsid w:val="00282B8A"/>
    <w:rsid w:val="002837F8"/>
    <w:rsid w:val="00283ACF"/>
    <w:rsid w:val="00283C99"/>
    <w:rsid w:val="0028473D"/>
    <w:rsid w:val="00284850"/>
    <w:rsid w:val="00284D22"/>
    <w:rsid w:val="00285326"/>
    <w:rsid w:val="00285587"/>
    <w:rsid w:val="00285A10"/>
    <w:rsid w:val="00285DE8"/>
    <w:rsid w:val="00286213"/>
    <w:rsid w:val="0029007B"/>
    <w:rsid w:val="00290891"/>
    <w:rsid w:val="00291493"/>
    <w:rsid w:val="00291DA9"/>
    <w:rsid w:val="00292608"/>
    <w:rsid w:val="00292773"/>
    <w:rsid w:val="002927AC"/>
    <w:rsid w:val="0029469F"/>
    <w:rsid w:val="00295405"/>
    <w:rsid w:val="002954FB"/>
    <w:rsid w:val="00295DF7"/>
    <w:rsid w:val="0029618D"/>
    <w:rsid w:val="002965BA"/>
    <w:rsid w:val="00296814"/>
    <w:rsid w:val="00296D06"/>
    <w:rsid w:val="002970BE"/>
    <w:rsid w:val="0029716C"/>
    <w:rsid w:val="002A0DD4"/>
    <w:rsid w:val="002A2537"/>
    <w:rsid w:val="002A2AB8"/>
    <w:rsid w:val="002A2B8E"/>
    <w:rsid w:val="002A30E1"/>
    <w:rsid w:val="002A3E01"/>
    <w:rsid w:val="002A50ED"/>
    <w:rsid w:val="002A5126"/>
    <w:rsid w:val="002A5536"/>
    <w:rsid w:val="002A560A"/>
    <w:rsid w:val="002A5774"/>
    <w:rsid w:val="002A5948"/>
    <w:rsid w:val="002A5A54"/>
    <w:rsid w:val="002A5C00"/>
    <w:rsid w:val="002A64F2"/>
    <w:rsid w:val="002A6590"/>
    <w:rsid w:val="002A6F79"/>
    <w:rsid w:val="002A7478"/>
    <w:rsid w:val="002A7B26"/>
    <w:rsid w:val="002B01AD"/>
    <w:rsid w:val="002B047F"/>
    <w:rsid w:val="002B1791"/>
    <w:rsid w:val="002B1FDA"/>
    <w:rsid w:val="002B2B0C"/>
    <w:rsid w:val="002B2D78"/>
    <w:rsid w:val="002B32C9"/>
    <w:rsid w:val="002B3736"/>
    <w:rsid w:val="002B4054"/>
    <w:rsid w:val="002B46FF"/>
    <w:rsid w:val="002B497D"/>
    <w:rsid w:val="002B4A06"/>
    <w:rsid w:val="002B4D0E"/>
    <w:rsid w:val="002B542A"/>
    <w:rsid w:val="002B5495"/>
    <w:rsid w:val="002B54C5"/>
    <w:rsid w:val="002B55E5"/>
    <w:rsid w:val="002B612D"/>
    <w:rsid w:val="002B653E"/>
    <w:rsid w:val="002B6703"/>
    <w:rsid w:val="002B6D69"/>
    <w:rsid w:val="002B6F67"/>
    <w:rsid w:val="002B7411"/>
    <w:rsid w:val="002B7B88"/>
    <w:rsid w:val="002B7F1B"/>
    <w:rsid w:val="002B7F30"/>
    <w:rsid w:val="002B7F5B"/>
    <w:rsid w:val="002C0083"/>
    <w:rsid w:val="002C032E"/>
    <w:rsid w:val="002C081A"/>
    <w:rsid w:val="002C108A"/>
    <w:rsid w:val="002C1553"/>
    <w:rsid w:val="002C2CCD"/>
    <w:rsid w:val="002C2F7F"/>
    <w:rsid w:val="002C2FB4"/>
    <w:rsid w:val="002C2FD3"/>
    <w:rsid w:val="002C3683"/>
    <w:rsid w:val="002C369F"/>
    <w:rsid w:val="002C41BC"/>
    <w:rsid w:val="002C6751"/>
    <w:rsid w:val="002C6DC2"/>
    <w:rsid w:val="002C6DDA"/>
    <w:rsid w:val="002C713E"/>
    <w:rsid w:val="002D053D"/>
    <w:rsid w:val="002D0A97"/>
    <w:rsid w:val="002D0B99"/>
    <w:rsid w:val="002D10FA"/>
    <w:rsid w:val="002D1936"/>
    <w:rsid w:val="002D1CE8"/>
    <w:rsid w:val="002D2FB2"/>
    <w:rsid w:val="002D337C"/>
    <w:rsid w:val="002D3782"/>
    <w:rsid w:val="002D3EBD"/>
    <w:rsid w:val="002D48E6"/>
    <w:rsid w:val="002D5B16"/>
    <w:rsid w:val="002D6AAE"/>
    <w:rsid w:val="002D769A"/>
    <w:rsid w:val="002D7789"/>
    <w:rsid w:val="002D77B7"/>
    <w:rsid w:val="002D7CC4"/>
    <w:rsid w:val="002D7DBC"/>
    <w:rsid w:val="002E0C21"/>
    <w:rsid w:val="002E0FA4"/>
    <w:rsid w:val="002E192A"/>
    <w:rsid w:val="002E1AE0"/>
    <w:rsid w:val="002E2471"/>
    <w:rsid w:val="002E2B84"/>
    <w:rsid w:val="002E2C75"/>
    <w:rsid w:val="002E2DD9"/>
    <w:rsid w:val="002E300A"/>
    <w:rsid w:val="002E3543"/>
    <w:rsid w:val="002E3B50"/>
    <w:rsid w:val="002E3B82"/>
    <w:rsid w:val="002E3C95"/>
    <w:rsid w:val="002E40D7"/>
    <w:rsid w:val="002E4BB3"/>
    <w:rsid w:val="002E56CE"/>
    <w:rsid w:val="002E59BE"/>
    <w:rsid w:val="002E5F0D"/>
    <w:rsid w:val="002E6EE7"/>
    <w:rsid w:val="002E758B"/>
    <w:rsid w:val="002F07FF"/>
    <w:rsid w:val="002F0C6B"/>
    <w:rsid w:val="002F1CD0"/>
    <w:rsid w:val="002F1D5C"/>
    <w:rsid w:val="002F207F"/>
    <w:rsid w:val="002F24AF"/>
    <w:rsid w:val="002F32ED"/>
    <w:rsid w:val="002F34EA"/>
    <w:rsid w:val="002F3799"/>
    <w:rsid w:val="002F43B6"/>
    <w:rsid w:val="002F49F9"/>
    <w:rsid w:val="002F515D"/>
    <w:rsid w:val="002F594A"/>
    <w:rsid w:val="002F6291"/>
    <w:rsid w:val="002F6673"/>
    <w:rsid w:val="002F66DB"/>
    <w:rsid w:val="002F6DBD"/>
    <w:rsid w:val="002F7256"/>
    <w:rsid w:val="002F74B2"/>
    <w:rsid w:val="002F7EB8"/>
    <w:rsid w:val="0030086D"/>
    <w:rsid w:val="00300D86"/>
    <w:rsid w:val="003016E9"/>
    <w:rsid w:val="003017E1"/>
    <w:rsid w:val="00302F6A"/>
    <w:rsid w:val="00303B54"/>
    <w:rsid w:val="003040C0"/>
    <w:rsid w:val="00305CC7"/>
    <w:rsid w:val="00305F62"/>
    <w:rsid w:val="0030688B"/>
    <w:rsid w:val="00306A10"/>
    <w:rsid w:val="003074FD"/>
    <w:rsid w:val="00307A2D"/>
    <w:rsid w:val="00310204"/>
    <w:rsid w:val="00310272"/>
    <w:rsid w:val="00310D86"/>
    <w:rsid w:val="00310F34"/>
    <w:rsid w:val="00311FC0"/>
    <w:rsid w:val="00312321"/>
    <w:rsid w:val="00312AF6"/>
    <w:rsid w:val="00312CB7"/>
    <w:rsid w:val="00312E68"/>
    <w:rsid w:val="0031351A"/>
    <w:rsid w:val="003161E5"/>
    <w:rsid w:val="0031654B"/>
    <w:rsid w:val="00316C18"/>
    <w:rsid w:val="00317071"/>
    <w:rsid w:val="003170F2"/>
    <w:rsid w:val="00320199"/>
    <w:rsid w:val="003204DA"/>
    <w:rsid w:val="00320582"/>
    <w:rsid w:val="003206BE"/>
    <w:rsid w:val="00321282"/>
    <w:rsid w:val="0032130E"/>
    <w:rsid w:val="0032187E"/>
    <w:rsid w:val="003218EA"/>
    <w:rsid w:val="00321F93"/>
    <w:rsid w:val="0032278A"/>
    <w:rsid w:val="0032279E"/>
    <w:rsid w:val="00322A25"/>
    <w:rsid w:val="0032318E"/>
    <w:rsid w:val="00323440"/>
    <w:rsid w:val="00323480"/>
    <w:rsid w:val="00324A14"/>
    <w:rsid w:val="00325085"/>
    <w:rsid w:val="00325665"/>
    <w:rsid w:val="00325668"/>
    <w:rsid w:val="003262AB"/>
    <w:rsid w:val="0032659C"/>
    <w:rsid w:val="00326D8F"/>
    <w:rsid w:val="00327292"/>
    <w:rsid w:val="003272FD"/>
    <w:rsid w:val="0032744E"/>
    <w:rsid w:val="00327480"/>
    <w:rsid w:val="0032757F"/>
    <w:rsid w:val="00330A37"/>
    <w:rsid w:val="00330B81"/>
    <w:rsid w:val="00332C4C"/>
    <w:rsid w:val="003332AB"/>
    <w:rsid w:val="00333A15"/>
    <w:rsid w:val="00333A6D"/>
    <w:rsid w:val="00333EC2"/>
    <w:rsid w:val="00333F1D"/>
    <w:rsid w:val="00335776"/>
    <w:rsid w:val="00336075"/>
    <w:rsid w:val="003374B9"/>
    <w:rsid w:val="003375AB"/>
    <w:rsid w:val="003378B1"/>
    <w:rsid w:val="003408E2"/>
    <w:rsid w:val="003415A2"/>
    <w:rsid w:val="0034312D"/>
    <w:rsid w:val="0034330F"/>
    <w:rsid w:val="00343669"/>
    <w:rsid w:val="00343C67"/>
    <w:rsid w:val="0034413A"/>
    <w:rsid w:val="0034446D"/>
    <w:rsid w:val="00344BA3"/>
    <w:rsid w:val="00344BDC"/>
    <w:rsid w:val="00344D5E"/>
    <w:rsid w:val="00345475"/>
    <w:rsid w:val="00345FC8"/>
    <w:rsid w:val="003467F2"/>
    <w:rsid w:val="00346844"/>
    <w:rsid w:val="00346945"/>
    <w:rsid w:val="00346AE5"/>
    <w:rsid w:val="00346C56"/>
    <w:rsid w:val="00347782"/>
    <w:rsid w:val="00347D51"/>
    <w:rsid w:val="00347E11"/>
    <w:rsid w:val="003500C9"/>
    <w:rsid w:val="00350268"/>
    <w:rsid w:val="00350594"/>
    <w:rsid w:val="003508FB"/>
    <w:rsid w:val="00350C4A"/>
    <w:rsid w:val="003518DC"/>
    <w:rsid w:val="00352542"/>
    <w:rsid w:val="0035269B"/>
    <w:rsid w:val="00352F72"/>
    <w:rsid w:val="00353202"/>
    <w:rsid w:val="0035326A"/>
    <w:rsid w:val="0035327A"/>
    <w:rsid w:val="003534CB"/>
    <w:rsid w:val="00353FC5"/>
    <w:rsid w:val="00354112"/>
    <w:rsid w:val="00354407"/>
    <w:rsid w:val="00354730"/>
    <w:rsid w:val="00354CDA"/>
    <w:rsid w:val="003555CF"/>
    <w:rsid w:val="00355B59"/>
    <w:rsid w:val="0035620E"/>
    <w:rsid w:val="003564B6"/>
    <w:rsid w:val="0035659C"/>
    <w:rsid w:val="0035669E"/>
    <w:rsid w:val="00356C67"/>
    <w:rsid w:val="003574FA"/>
    <w:rsid w:val="00357700"/>
    <w:rsid w:val="00357C05"/>
    <w:rsid w:val="00357DE5"/>
    <w:rsid w:val="00360509"/>
    <w:rsid w:val="0036056F"/>
    <w:rsid w:val="0036071E"/>
    <w:rsid w:val="00360E9D"/>
    <w:rsid w:val="0036171C"/>
    <w:rsid w:val="00362E59"/>
    <w:rsid w:val="00363B12"/>
    <w:rsid w:val="0036402D"/>
    <w:rsid w:val="0036423C"/>
    <w:rsid w:val="003648BB"/>
    <w:rsid w:val="003649CB"/>
    <w:rsid w:val="00364D59"/>
    <w:rsid w:val="003654BE"/>
    <w:rsid w:val="003654DD"/>
    <w:rsid w:val="00365D2E"/>
    <w:rsid w:val="00365DBB"/>
    <w:rsid w:val="00366EE9"/>
    <w:rsid w:val="00367202"/>
    <w:rsid w:val="003673E6"/>
    <w:rsid w:val="003675F0"/>
    <w:rsid w:val="00367A90"/>
    <w:rsid w:val="003703EC"/>
    <w:rsid w:val="00370963"/>
    <w:rsid w:val="00371009"/>
    <w:rsid w:val="00371BC4"/>
    <w:rsid w:val="003722E8"/>
    <w:rsid w:val="00372733"/>
    <w:rsid w:val="0037280D"/>
    <w:rsid w:val="003728E1"/>
    <w:rsid w:val="00372968"/>
    <w:rsid w:val="00372C4C"/>
    <w:rsid w:val="00373496"/>
    <w:rsid w:val="003736A7"/>
    <w:rsid w:val="00373B43"/>
    <w:rsid w:val="00373B9D"/>
    <w:rsid w:val="00373E1B"/>
    <w:rsid w:val="00374508"/>
    <w:rsid w:val="003745D0"/>
    <w:rsid w:val="003748B9"/>
    <w:rsid w:val="00374FD6"/>
    <w:rsid w:val="00375B8A"/>
    <w:rsid w:val="00375E04"/>
    <w:rsid w:val="0037642E"/>
    <w:rsid w:val="003776AD"/>
    <w:rsid w:val="00377D45"/>
    <w:rsid w:val="003801DC"/>
    <w:rsid w:val="00380720"/>
    <w:rsid w:val="00380E15"/>
    <w:rsid w:val="00380F51"/>
    <w:rsid w:val="00381301"/>
    <w:rsid w:val="003817B5"/>
    <w:rsid w:val="00381993"/>
    <w:rsid w:val="00381B3A"/>
    <w:rsid w:val="00381F75"/>
    <w:rsid w:val="0038248C"/>
    <w:rsid w:val="003829A5"/>
    <w:rsid w:val="00383E24"/>
    <w:rsid w:val="00384837"/>
    <w:rsid w:val="00384A4B"/>
    <w:rsid w:val="00384C2C"/>
    <w:rsid w:val="00384CEB"/>
    <w:rsid w:val="003856C6"/>
    <w:rsid w:val="00385E25"/>
    <w:rsid w:val="00385E50"/>
    <w:rsid w:val="0038685F"/>
    <w:rsid w:val="00386B43"/>
    <w:rsid w:val="00386B52"/>
    <w:rsid w:val="00386CBA"/>
    <w:rsid w:val="00386FC4"/>
    <w:rsid w:val="00391901"/>
    <w:rsid w:val="00391AC1"/>
    <w:rsid w:val="00391B2B"/>
    <w:rsid w:val="003923E6"/>
    <w:rsid w:val="003930D6"/>
    <w:rsid w:val="003934D5"/>
    <w:rsid w:val="00393FE9"/>
    <w:rsid w:val="0039476B"/>
    <w:rsid w:val="0039525C"/>
    <w:rsid w:val="00396113"/>
    <w:rsid w:val="00396F26"/>
    <w:rsid w:val="003973FD"/>
    <w:rsid w:val="00397413"/>
    <w:rsid w:val="003976E4"/>
    <w:rsid w:val="00397E21"/>
    <w:rsid w:val="00397FDC"/>
    <w:rsid w:val="003A04AE"/>
    <w:rsid w:val="003A0667"/>
    <w:rsid w:val="003A0696"/>
    <w:rsid w:val="003A19D6"/>
    <w:rsid w:val="003A2D4E"/>
    <w:rsid w:val="003A3999"/>
    <w:rsid w:val="003A4220"/>
    <w:rsid w:val="003A4462"/>
    <w:rsid w:val="003A4663"/>
    <w:rsid w:val="003A4BFF"/>
    <w:rsid w:val="003A4F4E"/>
    <w:rsid w:val="003A5575"/>
    <w:rsid w:val="003A5D90"/>
    <w:rsid w:val="003A62DA"/>
    <w:rsid w:val="003A7B14"/>
    <w:rsid w:val="003A7B7B"/>
    <w:rsid w:val="003A7D2A"/>
    <w:rsid w:val="003A7D38"/>
    <w:rsid w:val="003B08CD"/>
    <w:rsid w:val="003B14FD"/>
    <w:rsid w:val="003B2427"/>
    <w:rsid w:val="003B2D7D"/>
    <w:rsid w:val="003B3C57"/>
    <w:rsid w:val="003B3DC3"/>
    <w:rsid w:val="003B3E12"/>
    <w:rsid w:val="003B3E38"/>
    <w:rsid w:val="003B42B7"/>
    <w:rsid w:val="003B4696"/>
    <w:rsid w:val="003B4E65"/>
    <w:rsid w:val="003B4EB6"/>
    <w:rsid w:val="003B5038"/>
    <w:rsid w:val="003B5EBF"/>
    <w:rsid w:val="003B6031"/>
    <w:rsid w:val="003B6E81"/>
    <w:rsid w:val="003B77E5"/>
    <w:rsid w:val="003B7E05"/>
    <w:rsid w:val="003C0480"/>
    <w:rsid w:val="003C052A"/>
    <w:rsid w:val="003C131E"/>
    <w:rsid w:val="003C14CC"/>
    <w:rsid w:val="003C19A5"/>
    <w:rsid w:val="003C1C85"/>
    <w:rsid w:val="003C1F69"/>
    <w:rsid w:val="003C2D12"/>
    <w:rsid w:val="003C37E3"/>
    <w:rsid w:val="003C3A2A"/>
    <w:rsid w:val="003C3E7F"/>
    <w:rsid w:val="003C4482"/>
    <w:rsid w:val="003C4B8F"/>
    <w:rsid w:val="003C4E73"/>
    <w:rsid w:val="003C4F92"/>
    <w:rsid w:val="003C5260"/>
    <w:rsid w:val="003C612F"/>
    <w:rsid w:val="003C6468"/>
    <w:rsid w:val="003C752B"/>
    <w:rsid w:val="003D0AF6"/>
    <w:rsid w:val="003D0BFD"/>
    <w:rsid w:val="003D114D"/>
    <w:rsid w:val="003D11D9"/>
    <w:rsid w:val="003D1494"/>
    <w:rsid w:val="003D156A"/>
    <w:rsid w:val="003D1938"/>
    <w:rsid w:val="003D1E5A"/>
    <w:rsid w:val="003D2D69"/>
    <w:rsid w:val="003D3990"/>
    <w:rsid w:val="003D42B5"/>
    <w:rsid w:val="003D42CB"/>
    <w:rsid w:val="003D43E2"/>
    <w:rsid w:val="003D4B62"/>
    <w:rsid w:val="003D4E9A"/>
    <w:rsid w:val="003D51F4"/>
    <w:rsid w:val="003D5589"/>
    <w:rsid w:val="003D5811"/>
    <w:rsid w:val="003D58C5"/>
    <w:rsid w:val="003D6638"/>
    <w:rsid w:val="003D7786"/>
    <w:rsid w:val="003D7DB8"/>
    <w:rsid w:val="003D7FC4"/>
    <w:rsid w:val="003E0354"/>
    <w:rsid w:val="003E08DC"/>
    <w:rsid w:val="003E1802"/>
    <w:rsid w:val="003E184A"/>
    <w:rsid w:val="003E1887"/>
    <w:rsid w:val="003E18C9"/>
    <w:rsid w:val="003E19E2"/>
    <w:rsid w:val="003E2538"/>
    <w:rsid w:val="003E278F"/>
    <w:rsid w:val="003E2B0B"/>
    <w:rsid w:val="003E2E55"/>
    <w:rsid w:val="003E2F98"/>
    <w:rsid w:val="003E3327"/>
    <w:rsid w:val="003E3F81"/>
    <w:rsid w:val="003E4296"/>
    <w:rsid w:val="003E43C8"/>
    <w:rsid w:val="003E4B5F"/>
    <w:rsid w:val="003E4BA6"/>
    <w:rsid w:val="003E530F"/>
    <w:rsid w:val="003E5A33"/>
    <w:rsid w:val="003E5FD7"/>
    <w:rsid w:val="003E63B5"/>
    <w:rsid w:val="003E65FD"/>
    <w:rsid w:val="003E680A"/>
    <w:rsid w:val="003E69CF"/>
    <w:rsid w:val="003E6B2B"/>
    <w:rsid w:val="003E6DA0"/>
    <w:rsid w:val="003E72DA"/>
    <w:rsid w:val="003E7915"/>
    <w:rsid w:val="003E7D34"/>
    <w:rsid w:val="003F031C"/>
    <w:rsid w:val="003F132C"/>
    <w:rsid w:val="003F1622"/>
    <w:rsid w:val="003F1AA3"/>
    <w:rsid w:val="003F25EF"/>
    <w:rsid w:val="003F2E1D"/>
    <w:rsid w:val="003F3277"/>
    <w:rsid w:val="003F4C79"/>
    <w:rsid w:val="003F4E06"/>
    <w:rsid w:val="003F5819"/>
    <w:rsid w:val="003F5925"/>
    <w:rsid w:val="003F5E3F"/>
    <w:rsid w:val="003F67CB"/>
    <w:rsid w:val="003F759C"/>
    <w:rsid w:val="003F7E6D"/>
    <w:rsid w:val="00401A8B"/>
    <w:rsid w:val="00401CD0"/>
    <w:rsid w:val="00402608"/>
    <w:rsid w:val="0040276A"/>
    <w:rsid w:val="00402A5A"/>
    <w:rsid w:val="00403542"/>
    <w:rsid w:val="00403A15"/>
    <w:rsid w:val="00404115"/>
    <w:rsid w:val="00405461"/>
    <w:rsid w:val="00405477"/>
    <w:rsid w:val="0040566B"/>
    <w:rsid w:val="0040604A"/>
    <w:rsid w:val="004067F1"/>
    <w:rsid w:val="004068A7"/>
    <w:rsid w:val="00406C91"/>
    <w:rsid w:val="004071C3"/>
    <w:rsid w:val="00410441"/>
    <w:rsid w:val="00410650"/>
    <w:rsid w:val="00410747"/>
    <w:rsid w:val="0041078F"/>
    <w:rsid w:val="00410B78"/>
    <w:rsid w:val="00410F4A"/>
    <w:rsid w:val="0041102C"/>
    <w:rsid w:val="00411154"/>
    <w:rsid w:val="00412BDE"/>
    <w:rsid w:val="00413E42"/>
    <w:rsid w:val="004146E5"/>
    <w:rsid w:val="00414DE0"/>
    <w:rsid w:val="004150A6"/>
    <w:rsid w:val="004150FE"/>
    <w:rsid w:val="004157FA"/>
    <w:rsid w:val="004158A0"/>
    <w:rsid w:val="00415D69"/>
    <w:rsid w:val="00415FAD"/>
    <w:rsid w:val="0041619C"/>
    <w:rsid w:val="0041747C"/>
    <w:rsid w:val="00417701"/>
    <w:rsid w:val="00417C68"/>
    <w:rsid w:val="00417D7A"/>
    <w:rsid w:val="004203AA"/>
    <w:rsid w:val="00420BA6"/>
    <w:rsid w:val="0042121D"/>
    <w:rsid w:val="004213E0"/>
    <w:rsid w:val="0042181C"/>
    <w:rsid w:val="00421BAA"/>
    <w:rsid w:val="00422508"/>
    <w:rsid w:val="0042267A"/>
    <w:rsid w:val="00422C59"/>
    <w:rsid w:val="00422CFC"/>
    <w:rsid w:val="0042412E"/>
    <w:rsid w:val="0042472D"/>
    <w:rsid w:val="0042505E"/>
    <w:rsid w:val="004252E0"/>
    <w:rsid w:val="004257A7"/>
    <w:rsid w:val="00425EF9"/>
    <w:rsid w:val="00425F92"/>
    <w:rsid w:val="0042613E"/>
    <w:rsid w:val="0042754D"/>
    <w:rsid w:val="00430459"/>
    <w:rsid w:val="004305C5"/>
    <w:rsid w:val="004318F9"/>
    <w:rsid w:val="00431B6B"/>
    <w:rsid w:val="00432B95"/>
    <w:rsid w:val="00432B9E"/>
    <w:rsid w:val="004330F7"/>
    <w:rsid w:val="00433D08"/>
    <w:rsid w:val="004342CB"/>
    <w:rsid w:val="00434374"/>
    <w:rsid w:val="00435197"/>
    <w:rsid w:val="004360AB"/>
    <w:rsid w:val="004364B8"/>
    <w:rsid w:val="0043678E"/>
    <w:rsid w:val="00437B57"/>
    <w:rsid w:val="00440E6C"/>
    <w:rsid w:val="00440F46"/>
    <w:rsid w:val="004410BC"/>
    <w:rsid w:val="00441164"/>
    <w:rsid w:val="004414D3"/>
    <w:rsid w:val="00441A6C"/>
    <w:rsid w:val="004420F9"/>
    <w:rsid w:val="00442BD0"/>
    <w:rsid w:val="004435D7"/>
    <w:rsid w:val="00444188"/>
    <w:rsid w:val="00444473"/>
    <w:rsid w:val="0044482D"/>
    <w:rsid w:val="00444927"/>
    <w:rsid w:val="00444FEA"/>
    <w:rsid w:val="00445837"/>
    <w:rsid w:val="004458AB"/>
    <w:rsid w:val="00445C9F"/>
    <w:rsid w:val="00446409"/>
    <w:rsid w:val="00446D64"/>
    <w:rsid w:val="00447C52"/>
    <w:rsid w:val="004503A1"/>
    <w:rsid w:val="00450674"/>
    <w:rsid w:val="004516E4"/>
    <w:rsid w:val="0045201A"/>
    <w:rsid w:val="00452210"/>
    <w:rsid w:val="0045241D"/>
    <w:rsid w:val="00453779"/>
    <w:rsid w:val="00453A77"/>
    <w:rsid w:val="00453DB3"/>
    <w:rsid w:val="00454B8F"/>
    <w:rsid w:val="00454C20"/>
    <w:rsid w:val="00454C71"/>
    <w:rsid w:val="0045521F"/>
    <w:rsid w:val="004558FA"/>
    <w:rsid w:val="00455CAE"/>
    <w:rsid w:val="00455E9B"/>
    <w:rsid w:val="00456D15"/>
    <w:rsid w:val="004572D8"/>
    <w:rsid w:val="004578E3"/>
    <w:rsid w:val="00457ADE"/>
    <w:rsid w:val="004602D4"/>
    <w:rsid w:val="00460A4B"/>
    <w:rsid w:val="00461252"/>
    <w:rsid w:val="0046159B"/>
    <w:rsid w:val="00461A84"/>
    <w:rsid w:val="00462286"/>
    <w:rsid w:val="00462F25"/>
    <w:rsid w:val="00462FE8"/>
    <w:rsid w:val="004631A1"/>
    <w:rsid w:val="0046330C"/>
    <w:rsid w:val="00463717"/>
    <w:rsid w:val="00463754"/>
    <w:rsid w:val="004637CD"/>
    <w:rsid w:val="00463F45"/>
    <w:rsid w:val="004644D1"/>
    <w:rsid w:val="004648BA"/>
    <w:rsid w:val="00464F7F"/>
    <w:rsid w:val="004653AD"/>
    <w:rsid w:val="00465498"/>
    <w:rsid w:val="00465A3C"/>
    <w:rsid w:val="00465F55"/>
    <w:rsid w:val="0046615C"/>
    <w:rsid w:val="00466742"/>
    <w:rsid w:val="00466AE4"/>
    <w:rsid w:val="00466D82"/>
    <w:rsid w:val="0046756D"/>
    <w:rsid w:val="00467B68"/>
    <w:rsid w:val="0047045E"/>
    <w:rsid w:val="00471361"/>
    <w:rsid w:val="00472834"/>
    <w:rsid w:val="00472ADA"/>
    <w:rsid w:val="00472AF9"/>
    <w:rsid w:val="00472CD8"/>
    <w:rsid w:val="00472E87"/>
    <w:rsid w:val="004738FD"/>
    <w:rsid w:val="00474322"/>
    <w:rsid w:val="00474620"/>
    <w:rsid w:val="00474E06"/>
    <w:rsid w:val="004753CD"/>
    <w:rsid w:val="0047548C"/>
    <w:rsid w:val="004761F1"/>
    <w:rsid w:val="00476446"/>
    <w:rsid w:val="00476A2F"/>
    <w:rsid w:val="004779AB"/>
    <w:rsid w:val="00477FA2"/>
    <w:rsid w:val="004801BA"/>
    <w:rsid w:val="0048028B"/>
    <w:rsid w:val="00480455"/>
    <w:rsid w:val="00481C87"/>
    <w:rsid w:val="00481F70"/>
    <w:rsid w:val="004827D8"/>
    <w:rsid w:val="004828B4"/>
    <w:rsid w:val="00482F94"/>
    <w:rsid w:val="004840B7"/>
    <w:rsid w:val="00485352"/>
    <w:rsid w:val="00485776"/>
    <w:rsid w:val="00485B53"/>
    <w:rsid w:val="0048639E"/>
    <w:rsid w:val="00486E14"/>
    <w:rsid w:val="004876C2"/>
    <w:rsid w:val="004878B6"/>
    <w:rsid w:val="00487EBB"/>
    <w:rsid w:val="00490370"/>
    <w:rsid w:val="00490831"/>
    <w:rsid w:val="00491095"/>
    <w:rsid w:val="004918B1"/>
    <w:rsid w:val="00491A74"/>
    <w:rsid w:val="00492C56"/>
    <w:rsid w:val="00492DA7"/>
    <w:rsid w:val="00492F1A"/>
    <w:rsid w:val="00493782"/>
    <w:rsid w:val="00493B6E"/>
    <w:rsid w:val="00493CF5"/>
    <w:rsid w:val="00493E2D"/>
    <w:rsid w:val="00494B2E"/>
    <w:rsid w:val="00494C91"/>
    <w:rsid w:val="0049521E"/>
    <w:rsid w:val="004952A2"/>
    <w:rsid w:val="0049590C"/>
    <w:rsid w:val="00495D9A"/>
    <w:rsid w:val="004966E0"/>
    <w:rsid w:val="00496AD7"/>
    <w:rsid w:val="004A0CEF"/>
    <w:rsid w:val="004A0E02"/>
    <w:rsid w:val="004A0ECC"/>
    <w:rsid w:val="004A1246"/>
    <w:rsid w:val="004A17FA"/>
    <w:rsid w:val="004A25D9"/>
    <w:rsid w:val="004A3F18"/>
    <w:rsid w:val="004A4D06"/>
    <w:rsid w:val="004A4FC8"/>
    <w:rsid w:val="004A51CD"/>
    <w:rsid w:val="004A5232"/>
    <w:rsid w:val="004A558B"/>
    <w:rsid w:val="004A59C2"/>
    <w:rsid w:val="004A7125"/>
    <w:rsid w:val="004A76F0"/>
    <w:rsid w:val="004B0727"/>
    <w:rsid w:val="004B0A5F"/>
    <w:rsid w:val="004B11AD"/>
    <w:rsid w:val="004B15CE"/>
    <w:rsid w:val="004B2630"/>
    <w:rsid w:val="004B51A3"/>
    <w:rsid w:val="004B534E"/>
    <w:rsid w:val="004B557C"/>
    <w:rsid w:val="004B586C"/>
    <w:rsid w:val="004B59CB"/>
    <w:rsid w:val="004B5E58"/>
    <w:rsid w:val="004B5FD0"/>
    <w:rsid w:val="004B6901"/>
    <w:rsid w:val="004B6E67"/>
    <w:rsid w:val="004B6F05"/>
    <w:rsid w:val="004B776B"/>
    <w:rsid w:val="004C0712"/>
    <w:rsid w:val="004C0F0D"/>
    <w:rsid w:val="004C1639"/>
    <w:rsid w:val="004C1838"/>
    <w:rsid w:val="004C1CE3"/>
    <w:rsid w:val="004C2605"/>
    <w:rsid w:val="004C3B2D"/>
    <w:rsid w:val="004C3FD7"/>
    <w:rsid w:val="004C4B3E"/>
    <w:rsid w:val="004C5AA1"/>
    <w:rsid w:val="004C600D"/>
    <w:rsid w:val="004C6374"/>
    <w:rsid w:val="004C64D0"/>
    <w:rsid w:val="004C683A"/>
    <w:rsid w:val="004C6B4F"/>
    <w:rsid w:val="004C6D63"/>
    <w:rsid w:val="004C6DF5"/>
    <w:rsid w:val="004C755F"/>
    <w:rsid w:val="004C79D9"/>
    <w:rsid w:val="004D0FA3"/>
    <w:rsid w:val="004D1629"/>
    <w:rsid w:val="004D25E2"/>
    <w:rsid w:val="004D2602"/>
    <w:rsid w:val="004D3A17"/>
    <w:rsid w:val="004D4AC2"/>
    <w:rsid w:val="004D5038"/>
    <w:rsid w:val="004D5710"/>
    <w:rsid w:val="004D5891"/>
    <w:rsid w:val="004D5EBD"/>
    <w:rsid w:val="004D6314"/>
    <w:rsid w:val="004D6A67"/>
    <w:rsid w:val="004D7312"/>
    <w:rsid w:val="004D7420"/>
    <w:rsid w:val="004D757A"/>
    <w:rsid w:val="004E054D"/>
    <w:rsid w:val="004E07DA"/>
    <w:rsid w:val="004E1454"/>
    <w:rsid w:val="004E234B"/>
    <w:rsid w:val="004E2921"/>
    <w:rsid w:val="004E2BC5"/>
    <w:rsid w:val="004E305F"/>
    <w:rsid w:val="004E3C85"/>
    <w:rsid w:val="004E3FB6"/>
    <w:rsid w:val="004E4100"/>
    <w:rsid w:val="004E41AF"/>
    <w:rsid w:val="004E4277"/>
    <w:rsid w:val="004E4F95"/>
    <w:rsid w:val="004E53FC"/>
    <w:rsid w:val="004E578F"/>
    <w:rsid w:val="004E596F"/>
    <w:rsid w:val="004E5A30"/>
    <w:rsid w:val="004E5CF5"/>
    <w:rsid w:val="004E750F"/>
    <w:rsid w:val="004E7540"/>
    <w:rsid w:val="004E7FC0"/>
    <w:rsid w:val="004F042A"/>
    <w:rsid w:val="004F05B8"/>
    <w:rsid w:val="004F1A7E"/>
    <w:rsid w:val="004F2B0B"/>
    <w:rsid w:val="004F2D06"/>
    <w:rsid w:val="004F2F35"/>
    <w:rsid w:val="004F3046"/>
    <w:rsid w:val="004F341C"/>
    <w:rsid w:val="004F3442"/>
    <w:rsid w:val="004F35EB"/>
    <w:rsid w:val="004F3723"/>
    <w:rsid w:val="004F38BC"/>
    <w:rsid w:val="004F3BE6"/>
    <w:rsid w:val="004F3D20"/>
    <w:rsid w:val="004F3F17"/>
    <w:rsid w:val="004F4978"/>
    <w:rsid w:val="004F4F47"/>
    <w:rsid w:val="004F56ED"/>
    <w:rsid w:val="004F5D56"/>
    <w:rsid w:val="004F5FA0"/>
    <w:rsid w:val="004F6045"/>
    <w:rsid w:val="004F6147"/>
    <w:rsid w:val="004F614F"/>
    <w:rsid w:val="004F69FE"/>
    <w:rsid w:val="004F752A"/>
    <w:rsid w:val="004F781C"/>
    <w:rsid w:val="004F7918"/>
    <w:rsid w:val="0050029F"/>
    <w:rsid w:val="0050084B"/>
    <w:rsid w:val="0050098F"/>
    <w:rsid w:val="00500CC6"/>
    <w:rsid w:val="0050145C"/>
    <w:rsid w:val="00501758"/>
    <w:rsid w:val="005020D3"/>
    <w:rsid w:val="005029A6"/>
    <w:rsid w:val="00503797"/>
    <w:rsid w:val="0050398F"/>
    <w:rsid w:val="00503C92"/>
    <w:rsid w:val="00503F6D"/>
    <w:rsid w:val="00504F8A"/>
    <w:rsid w:val="00505B35"/>
    <w:rsid w:val="005064B5"/>
    <w:rsid w:val="00506536"/>
    <w:rsid w:val="005067EB"/>
    <w:rsid w:val="00506B64"/>
    <w:rsid w:val="005111E1"/>
    <w:rsid w:val="00511F82"/>
    <w:rsid w:val="0051227C"/>
    <w:rsid w:val="0051254F"/>
    <w:rsid w:val="005130A1"/>
    <w:rsid w:val="00513B6A"/>
    <w:rsid w:val="00513E25"/>
    <w:rsid w:val="0051430B"/>
    <w:rsid w:val="005144B5"/>
    <w:rsid w:val="00514710"/>
    <w:rsid w:val="00515B13"/>
    <w:rsid w:val="005162F1"/>
    <w:rsid w:val="00516603"/>
    <w:rsid w:val="00516AD0"/>
    <w:rsid w:val="0051766E"/>
    <w:rsid w:val="0051788F"/>
    <w:rsid w:val="005205CA"/>
    <w:rsid w:val="00520C96"/>
    <w:rsid w:val="00521896"/>
    <w:rsid w:val="005219BF"/>
    <w:rsid w:val="00522928"/>
    <w:rsid w:val="005234BC"/>
    <w:rsid w:val="00523D53"/>
    <w:rsid w:val="00523F12"/>
    <w:rsid w:val="00523FCF"/>
    <w:rsid w:val="00524E9C"/>
    <w:rsid w:val="00525285"/>
    <w:rsid w:val="0052553B"/>
    <w:rsid w:val="00525BBB"/>
    <w:rsid w:val="00526118"/>
    <w:rsid w:val="00526346"/>
    <w:rsid w:val="005263EB"/>
    <w:rsid w:val="0052699C"/>
    <w:rsid w:val="0052700A"/>
    <w:rsid w:val="00527056"/>
    <w:rsid w:val="00527A5E"/>
    <w:rsid w:val="00527BA9"/>
    <w:rsid w:val="00527D95"/>
    <w:rsid w:val="00530166"/>
    <w:rsid w:val="00530771"/>
    <w:rsid w:val="00530783"/>
    <w:rsid w:val="00530833"/>
    <w:rsid w:val="00530DE9"/>
    <w:rsid w:val="00531C5F"/>
    <w:rsid w:val="005320EA"/>
    <w:rsid w:val="005327B6"/>
    <w:rsid w:val="0053625D"/>
    <w:rsid w:val="00536871"/>
    <w:rsid w:val="00536F59"/>
    <w:rsid w:val="00537507"/>
    <w:rsid w:val="00537A32"/>
    <w:rsid w:val="0054077E"/>
    <w:rsid w:val="00540889"/>
    <w:rsid w:val="00540997"/>
    <w:rsid w:val="005410A4"/>
    <w:rsid w:val="00541214"/>
    <w:rsid w:val="005412F3"/>
    <w:rsid w:val="0054133F"/>
    <w:rsid w:val="00541413"/>
    <w:rsid w:val="00541F64"/>
    <w:rsid w:val="00542F75"/>
    <w:rsid w:val="005431F0"/>
    <w:rsid w:val="005431FC"/>
    <w:rsid w:val="0054327C"/>
    <w:rsid w:val="005442D2"/>
    <w:rsid w:val="00544329"/>
    <w:rsid w:val="00544453"/>
    <w:rsid w:val="005446AA"/>
    <w:rsid w:val="00544DD3"/>
    <w:rsid w:val="00545215"/>
    <w:rsid w:val="00545E44"/>
    <w:rsid w:val="0054766B"/>
    <w:rsid w:val="005507D5"/>
    <w:rsid w:val="00550AA6"/>
    <w:rsid w:val="00550B24"/>
    <w:rsid w:val="005516BD"/>
    <w:rsid w:val="00552E58"/>
    <w:rsid w:val="005530E3"/>
    <w:rsid w:val="00553457"/>
    <w:rsid w:val="00553838"/>
    <w:rsid w:val="00553860"/>
    <w:rsid w:val="005539EC"/>
    <w:rsid w:val="00553A0B"/>
    <w:rsid w:val="00553E32"/>
    <w:rsid w:val="00554607"/>
    <w:rsid w:val="00554627"/>
    <w:rsid w:val="005547FF"/>
    <w:rsid w:val="00555E12"/>
    <w:rsid w:val="005563C9"/>
    <w:rsid w:val="005569F0"/>
    <w:rsid w:val="005572AA"/>
    <w:rsid w:val="0055735D"/>
    <w:rsid w:val="005574F9"/>
    <w:rsid w:val="00560031"/>
    <w:rsid w:val="00560624"/>
    <w:rsid w:val="00560894"/>
    <w:rsid w:val="005608D0"/>
    <w:rsid w:val="00560C38"/>
    <w:rsid w:val="00560DE2"/>
    <w:rsid w:val="00560FAC"/>
    <w:rsid w:val="005612D4"/>
    <w:rsid w:val="005613A3"/>
    <w:rsid w:val="005613A7"/>
    <w:rsid w:val="005619B7"/>
    <w:rsid w:val="00561A59"/>
    <w:rsid w:val="00561C1C"/>
    <w:rsid w:val="00562E3D"/>
    <w:rsid w:val="00563ADB"/>
    <w:rsid w:val="00563F75"/>
    <w:rsid w:val="005640EB"/>
    <w:rsid w:val="00565514"/>
    <w:rsid w:val="00565A6B"/>
    <w:rsid w:val="00565D96"/>
    <w:rsid w:val="00566845"/>
    <w:rsid w:val="00566EC1"/>
    <w:rsid w:val="00570584"/>
    <w:rsid w:val="00570871"/>
    <w:rsid w:val="00570DD9"/>
    <w:rsid w:val="005712D6"/>
    <w:rsid w:val="00571812"/>
    <w:rsid w:val="0057190F"/>
    <w:rsid w:val="00571DCD"/>
    <w:rsid w:val="0057218C"/>
    <w:rsid w:val="00572C81"/>
    <w:rsid w:val="00572E70"/>
    <w:rsid w:val="00572F0A"/>
    <w:rsid w:val="00573369"/>
    <w:rsid w:val="005739FF"/>
    <w:rsid w:val="00573AA7"/>
    <w:rsid w:val="00573C20"/>
    <w:rsid w:val="00574135"/>
    <w:rsid w:val="0057418A"/>
    <w:rsid w:val="0057459F"/>
    <w:rsid w:val="00574923"/>
    <w:rsid w:val="00574D59"/>
    <w:rsid w:val="00575C24"/>
    <w:rsid w:val="00576226"/>
    <w:rsid w:val="005762EA"/>
    <w:rsid w:val="005767AE"/>
    <w:rsid w:val="00580390"/>
    <w:rsid w:val="005817B2"/>
    <w:rsid w:val="005819F7"/>
    <w:rsid w:val="00581C35"/>
    <w:rsid w:val="00582102"/>
    <w:rsid w:val="0058214E"/>
    <w:rsid w:val="005824C6"/>
    <w:rsid w:val="00582674"/>
    <w:rsid w:val="0058271E"/>
    <w:rsid w:val="00582761"/>
    <w:rsid w:val="0058283F"/>
    <w:rsid w:val="00583296"/>
    <w:rsid w:val="00583930"/>
    <w:rsid w:val="00583BFE"/>
    <w:rsid w:val="00583D8A"/>
    <w:rsid w:val="005840EF"/>
    <w:rsid w:val="005845A3"/>
    <w:rsid w:val="005848F8"/>
    <w:rsid w:val="00584E2F"/>
    <w:rsid w:val="00585049"/>
    <w:rsid w:val="00585151"/>
    <w:rsid w:val="0058525B"/>
    <w:rsid w:val="00585C03"/>
    <w:rsid w:val="0058619F"/>
    <w:rsid w:val="00586637"/>
    <w:rsid w:val="00587C46"/>
    <w:rsid w:val="00587F56"/>
    <w:rsid w:val="00587FD9"/>
    <w:rsid w:val="00590065"/>
    <w:rsid w:val="0059008C"/>
    <w:rsid w:val="005908B9"/>
    <w:rsid w:val="00591265"/>
    <w:rsid w:val="00591283"/>
    <w:rsid w:val="005915A4"/>
    <w:rsid w:val="00591C3C"/>
    <w:rsid w:val="005924D3"/>
    <w:rsid w:val="005924F1"/>
    <w:rsid w:val="005925E3"/>
    <w:rsid w:val="00592A7A"/>
    <w:rsid w:val="0059304D"/>
    <w:rsid w:val="005933AE"/>
    <w:rsid w:val="00593554"/>
    <w:rsid w:val="00593F60"/>
    <w:rsid w:val="0059420C"/>
    <w:rsid w:val="00594579"/>
    <w:rsid w:val="00595156"/>
    <w:rsid w:val="00595677"/>
    <w:rsid w:val="00596322"/>
    <w:rsid w:val="00596832"/>
    <w:rsid w:val="00596CCB"/>
    <w:rsid w:val="00596DB6"/>
    <w:rsid w:val="00597753"/>
    <w:rsid w:val="00597BED"/>
    <w:rsid w:val="00597E6F"/>
    <w:rsid w:val="005A0203"/>
    <w:rsid w:val="005A052F"/>
    <w:rsid w:val="005A06BA"/>
    <w:rsid w:val="005A0EFC"/>
    <w:rsid w:val="005A1018"/>
    <w:rsid w:val="005A1099"/>
    <w:rsid w:val="005A12EF"/>
    <w:rsid w:val="005A1980"/>
    <w:rsid w:val="005A1A26"/>
    <w:rsid w:val="005A1C52"/>
    <w:rsid w:val="005A1F74"/>
    <w:rsid w:val="005A2593"/>
    <w:rsid w:val="005A3196"/>
    <w:rsid w:val="005A339E"/>
    <w:rsid w:val="005A408B"/>
    <w:rsid w:val="005A582B"/>
    <w:rsid w:val="005A5AD3"/>
    <w:rsid w:val="005A6F80"/>
    <w:rsid w:val="005A6FBA"/>
    <w:rsid w:val="005A7215"/>
    <w:rsid w:val="005A726F"/>
    <w:rsid w:val="005A7629"/>
    <w:rsid w:val="005A782E"/>
    <w:rsid w:val="005A791B"/>
    <w:rsid w:val="005A793B"/>
    <w:rsid w:val="005A79AE"/>
    <w:rsid w:val="005B0150"/>
    <w:rsid w:val="005B0489"/>
    <w:rsid w:val="005B0566"/>
    <w:rsid w:val="005B2054"/>
    <w:rsid w:val="005B2607"/>
    <w:rsid w:val="005B26FD"/>
    <w:rsid w:val="005B40A1"/>
    <w:rsid w:val="005B429E"/>
    <w:rsid w:val="005B44D0"/>
    <w:rsid w:val="005B4CD8"/>
    <w:rsid w:val="005B5B11"/>
    <w:rsid w:val="005B5DAB"/>
    <w:rsid w:val="005B5E15"/>
    <w:rsid w:val="005B60BD"/>
    <w:rsid w:val="005B6184"/>
    <w:rsid w:val="005B6837"/>
    <w:rsid w:val="005B78D4"/>
    <w:rsid w:val="005C0607"/>
    <w:rsid w:val="005C0A76"/>
    <w:rsid w:val="005C0BE5"/>
    <w:rsid w:val="005C0F51"/>
    <w:rsid w:val="005C11E6"/>
    <w:rsid w:val="005C152C"/>
    <w:rsid w:val="005C1F3B"/>
    <w:rsid w:val="005C208C"/>
    <w:rsid w:val="005C210A"/>
    <w:rsid w:val="005C2E67"/>
    <w:rsid w:val="005C35ED"/>
    <w:rsid w:val="005C35FA"/>
    <w:rsid w:val="005C3CEA"/>
    <w:rsid w:val="005C4122"/>
    <w:rsid w:val="005C4351"/>
    <w:rsid w:val="005C4D24"/>
    <w:rsid w:val="005C4DD7"/>
    <w:rsid w:val="005C539A"/>
    <w:rsid w:val="005C53BB"/>
    <w:rsid w:val="005C5ADF"/>
    <w:rsid w:val="005C5CAB"/>
    <w:rsid w:val="005C6F81"/>
    <w:rsid w:val="005C778A"/>
    <w:rsid w:val="005C794A"/>
    <w:rsid w:val="005C7B1F"/>
    <w:rsid w:val="005D00EF"/>
    <w:rsid w:val="005D05AF"/>
    <w:rsid w:val="005D0923"/>
    <w:rsid w:val="005D1184"/>
    <w:rsid w:val="005D12BF"/>
    <w:rsid w:val="005D14E9"/>
    <w:rsid w:val="005D1B75"/>
    <w:rsid w:val="005D1C71"/>
    <w:rsid w:val="005D1DA4"/>
    <w:rsid w:val="005D21A6"/>
    <w:rsid w:val="005D29D5"/>
    <w:rsid w:val="005D30B1"/>
    <w:rsid w:val="005D32CB"/>
    <w:rsid w:val="005D3E97"/>
    <w:rsid w:val="005D3EF3"/>
    <w:rsid w:val="005D4095"/>
    <w:rsid w:val="005D4641"/>
    <w:rsid w:val="005D49FF"/>
    <w:rsid w:val="005D4D0A"/>
    <w:rsid w:val="005D5695"/>
    <w:rsid w:val="005D63D6"/>
    <w:rsid w:val="005D77A0"/>
    <w:rsid w:val="005D7ED3"/>
    <w:rsid w:val="005E0862"/>
    <w:rsid w:val="005E0F9E"/>
    <w:rsid w:val="005E1375"/>
    <w:rsid w:val="005E147F"/>
    <w:rsid w:val="005E1CEB"/>
    <w:rsid w:val="005E2A30"/>
    <w:rsid w:val="005E2FF1"/>
    <w:rsid w:val="005E3850"/>
    <w:rsid w:val="005E39F3"/>
    <w:rsid w:val="005E3B89"/>
    <w:rsid w:val="005E3DEF"/>
    <w:rsid w:val="005E46C1"/>
    <w:rsid w:val="005E4C8F"/>
    <w:rsid w:val="005E4E97"/>
    <w:rsid w:val="005E4FA2"/>
    <w:rsid w:val="005E51C5"/>
    <w:rsid w:val="005E58D5"/>
    <w:rsid w:val="005E5C65"/>
    <w:rsid w:val="005E5DFA"/>
    <w:rsid w:val="005E682E"/>
    <w:rsid w:val="005E6F86"/>
    <w:rsid w:val="005E7479"/>
    <w:rsid w:val="005E7892"/>
    <w:rsid w:val="005F0245"/>
    <w:rsid w:val="005F0652"/>
    <w:rsid w:val="005F07BE"/>
    <w:rsid w:val="005F1146"/>
    <w:rsid w:val="005F352E"/>
    <w:rsid w:val="005F3CEA"/>
    <w:rsid w:val="005F4A97"/>
    <w:rsid w:val="005F4E85"/>
    <w:rsid w:val="005F546F"/>
    <w:rsid w:val="005F5479"/>
    <w:rsid w:val="005F5B32"/>
    <w:rsid w:val="005F62D7"/>
    <w:rsid w:val="005F66DC"/>
    <w:rsid w:val="005F731B"/>
    <w:rsid w:val="006002D9"/>
    <w:rsid w:val="006006C9"/>
    <w:rsid w:val="006013FB"/>
    <w:rsid w:val="00601BBE"/>
    <w:rsid w:val="00601F1A"/>
    <w:rsid w:val="00601FAB"/>
    <w:rsid w:val="00602746"/>
    <w:rsid w:val="0060294C"/>
    <w:rsid w:val="00603073"/>
    <w:rsid w:val="00603128"/>
    <w:rsid w:val="006031A0"/>
    <w:rsid w:val="0060359E"/>
    <w:rsid w:val="006036E2"/>
    <w:rsid w:val="006037C5"/>
    <w:rsid w:val="00603BCB"/>
    <w:rsid w:val="00603DE5"/>
    <w:rsid w:val="0060471F"/>
    <w:rsid w:val="0060483C"/>
    <w:rsid w:val="00604D4B"/>
    <w:rsid w:val="00604F87"/>
    <w:rsid w:val="006052B9"/>
    <w:rsid w:val="00605607"/>
    <w:rsid w:val="00605E4D"/>
    <w:rsid w:val="00606050"/>
    <w:rsid w:val="00606458"/>
    <w:rsid w:val="00606CC5"/>
    <w:rsid w:val="00606D2A"/>
    <w:rsid w:val="00607141"/>
    <w:rsid w:val="00607B23"/>
    <w:rsid w:val="00611189"/>
    <w:rsid w:val="006114F8"/>
    <w:rsid w:val="006125C5"/>
    <w:rsid w:val="0061276D"/>
    <w:rsid w:val="0061278B"/>
    <w:rsid w:val="00613A41"/>
    <w:rsid w:val="006144BB"/>
    <w:rsid w:val="006145A4"/>
    <w:rsid w:val="00614B54"/>
    <w:rsid w:val="00616900"/>
    <w:rsid w:val="00616ACC"/>
    <w:rsid w:val="00616B2A"/>
    <w:rsid w:val="0061744E"/>
    <w:rsid w:val="0061799E"/>
    <w:rsid w:val="00617CDA"/>
    <w:rsid w:val="006204D9"/>
    <w:rsid w:val="006205AD"/>
    <w:rsid w:val="00620CAC"/>
    <w:rsid w:val="00621934"/>
    <w:rsid w:val="00622007"/>
    <w:rsid w:val="00623B4F"/>
    <w:rsid w:val="00623C5C"/>
    <w:rsid w:val="00623D94"/>
    <w:rsid w:val="00623F1D"/>
    <w:rsid w:val="006240EA"/>
    <w:rsid w:val="00624B58"/>
    <w:rsid w:val="00624D93"/>
    <w:rsid w:val="006254B1"/>
    <w:rsid w:val="0062711B"/>
    <w:rsid w:val="00630007"/>
    <w:rsid w:val="006305AE"/>
    <w:rsid w:val="00630940"/>
    <w:rsid w:val="00630B6A"/>
    <w:rsid w:val="006312F7"/>
    <w:rsid w:val="00631585"/>
    <w:rsid w:val="006320CB"/>
    <w:rsid w:val="00632656"/>
    <w:rsid w:val="00632F67"/>
    <w:rsid w:val="00633CF5"/>
    <w:rsid w:val="006345ED"/>
    <w:rsid w:val="006345EE"/>
    <w:rsid w:val="00635387"/>
    <w:rsid w:val="00635D9C"/>
    <w:rsid w:val="00636367"/>
    <w:rsid w:val="00636BD8"/>
    <w:rsid w:val="00640005"/>
    <w:rsid w:val="0064043A"/>
    <w:rsid w:val="0064099A"/>
    <w:rsid w:val="00641758"/>
    <w:rsid w:val="00641C1A"/>
    <w:rsid w:val="00641DF1"/>
    <w:rsid w:val="00642B83"/>
    <w:rsid w:val="0064341D"/>
    <w:rsid w:val="006436ED"/>
    <w:rsid w:val="00643ACA"/>
    <w:rsid w:val="00645164"/>
    <w:rsid w:val="00645E35"/>
    <w:rsid w:val="006469A2"/>
    <w:rsid w:val="00646AB8"/>
    <w:rsid w:val="00646D0D"/>
    <w:rsid w:val="006471F9"/>
    <w:rsid w:val="0064782E"/>
    <w:rsid w:val="006507E9"/>
    <w:rsid w:val="00650822"/>
    <w:rsid w:val="00650A98"/>
    <w:rsid w:val="00652863"/>
    <w:rsid w:val="0065290E"/>
    <w:rsid w:val="00652921"/>
    <w:rsid w:val="00653C4B"/>
    <w:rsid w:val="00653D6D"/>
    <w:rsid w:val="00654978"/>
    <w:rsid w:val="006560A2"/>
    <w:rsid w:val="00656401"/>
    <w:rsid w:val="00656989"/>
    <w:rsid w:val="00656A0C"/>
    <w:rsid w:val="006572C7"/>
    <w:rsid w:val="006578FA"/>
    <w:rsid w:val="0066025F"/>
    <w:rsid w:val="0066047B"/>
    <w:rsid w:val="00660E13"/>
    <w:rsid w:val="0066141F"/>
    <w:rsid w:val="00661B9D"/>
    <w:rsid w:val="0066220A"/>
    <w:rsid w:val="00662A45"/>
    <w:rsid w:val="00662E8A"/>
    <w:rsid w:val="00663136"/>
    <w:rsid w:val="00663832"/>
    <w:rsid w:val="00663BB8"/>
    <w:rsid w:val="0066419D"/>
    <w:rsid w:val="0066434A"/>
    <w:rsid w:val="00664A82"/>
    <w:rsid w:val="0066555D"/>
    <w:rsid w:val="006655C3"/>
    <w:rsid w:val="00665844"/>
    <w:rsid w:val="006661AE"/>
    <w:rsid w:val="006661E7"/>
    <w:rsid w:val="006668DC"/>
    <w:rsid w:val="0066711D"/>
    <w:rsid w:val="006674AF"/>
    <w:rsid w:val="00667861"/>
    <w:rsid w:val="00667EF3"/>
    <w:rsid w:val="00667FEE"/>
    <w:rsid w:val="006701A1"/>
    <w:rsid w:val="006707CC"/>
    <w:rsid w:val="00670E7B"/>
    <w:rsid w:val="00670ECD"/>
    <w:rsid w:val="0067129B"/>
    <w:rsid w:val="00671D95"/>
    <w:rsid w:val="0067241E"/>
    <w:rsid w:val="00672AFD"/>
    <w:rsid w:val="00673BEE"/>
    <w:rsid w:val="006740EF"/>
    <w:rsid w:val="006746D0"/>
    <w:rsid w:val="00675115"/>
    <w:rsid w:val="00675FA0"/>
    <w:rsid w:val="00676A07"/>
    <w:rsid w:val="00677B79"/>
    <w:rsid w:val="00677FAC"/>
    <w:rsid w:val="00680B1F"/>
    <w:rsid w:val="00680E20"/>
    <w:rsid w:val="006810EF"/>
    <w:rsid w:val="00681D97"/>
    <w:rsid w:val="00681F24"/>
    <w:rsid w:val="006826D6"/>
    <w:rsid w:val="00682983"/>
    <w:rsid w:val="00682F41"/>
    <w:rsid w:val="00682F49"/>
    <w:rsid w:val="006838FF"/>
    <w:rsid w:val="00683AED"/>
    <w:rsid w:val="006840C7"/>
    <w:rsid w:val="0068441B"/>
    <w:rsid w:val="0068476F"/>
    <w:rsid w:val="00684C89"/>
    <w:rsid w:val="0068553C"/>
    <w:rsid w:val="00685567"/>
    <w:rsid w:val="006860EB"/>
    <w:rsid w:val="00686E4A"/>
    <w:rsid w:val="00686F72"/>
    <w:rsid w:val="0068744E"/>
    <w:rsid w:val="00687644"/>
    <w:rsid w:val="00687A58"/>
    <w:rsid w:val="00687CF6"/>
    <w:rsid w:val="00687D00"/>
    <w:rsid w:val="0069098B"/>
    <w:rsid w:val="006914F0"/>
    <w:rsid w:val="00691E08"/>
    <w:rsid w:val="00692724"/>
    <w:rsid w:val="00692FA9"/>
    <w:rsid w:val="006930F8"/>
    <w:rsid w:val="00693912"/>
    <w:rsid w:val="00693BDB"/>
    <w:rsid w:val="006940D3"/>
    <w:rsid w:val="006940F0"/>
    <w:rsid w:val="00694113"/>
    <w:rsid w:val="006949CD"/>
    <w:rsid w:val="00695C9D"/>
    <w:rsid w:val="006964AC"/>
    <w:rsid w:val="006966DF"/>
    <w:rsid w:val="006968F8"/>
    <w:rsid w:val="00697D39"/>
    <w:rsid w:val="006A0747"/>
    <w:rsid w:val="006A13E2"/>
    <w:rsid w:val="006A178A"/>
    <w:rsid w:val="006A18E6"/>
    <w:rsid w:val="006A1DBF"/>
    <w:rsid w:val="006A1F3C"/>
    <w:rsid w:val="006A2901"/>
    <w:rsid w:val="006A29F8"/>
    <w:rsid w:val="006A2DA4"/>
    <w:rsid w:val="006A31DF"/>
    <w:rsid w:val="006A55B0"/>
    <w:rsid w:val="006A5615"/>
    <w:rsid w:val="006A6C1F"/>
    <w:rsid w:val="006A728C"/>
    <w:rsid w:val="006A77AB"/>
    <w:rsid w:val="006A7D09"/>
    <w:rsid w:val="006B0557"/>
    <w:rsid w:val="006B059E"/>
    <w:rsid w:val="006B0723"/>
    <w:rsid w:val="006B0794"/>
    <w:rsid w:val="006B1043"/>
    <w:rsid w:val="006B14B4"/>
    <w:rsid w:val="006B1692"/>
    <w:rsid w:val="006B230A"/>
    <w:rsid w:val="006B25B8"/>
    <w:rsid w:val="006B37BB"/>
    <w:rsid w:val="006B3E1A"/>
    <w:rsid w:val="006B3F37"/>
    <w:rsid w:val="006B51B9"/>
    <w:rsid w:val="006B679F"/>
    <w:rsid w:val="006B68A7"/>
    <w:rsid w:val="006B6AD5"/>
    <w:rsid w:val="006B75B6"/>
    <w:rsid w:val="006B7772"/>
    <w:rsid w:val="006C0484"/>
    <w:rsid w:val="006C05A9"/>
    <w:rsid w:val="006C179E"/>
    <w:rsid w:val="006C1850"/>
    <w:rsid w:val="006C2DCD"/>
    <w:rsid w:val="006C3AB5"/>
    <w:rsid w:val="006C562C"/>
    <w:rsid w:val="006C57D9"/>
    <w:rsid w:val="006C61A8"/>
    <w:rsid w:val="006C65A0"/>
    <w:rsid w:val="006C68FB"/>
    <w:rsid w:val="006C6E7A"/>
    <w:rsid w:val="006C76C7"/>
    <w:rsid w:val="006C7C2E"/>
    <w:rsid w:val="006C7EC3"/>
    <w:rsid w:val="006D0793"/>
    <w:rsid w:val="006D0A2D"/>
    <w:rsid w:val="006D0F97"/>
    <w:rsid w:val="006D127D"/>
    <w:rsid w:val="006D1436"/>
    <w:rsid w:val="006D1FF9"/>
    <w:rsid w:val="006D22A2"/>
    <w:rsid w:val="006D348B"/>
    <w:rsid w:val="006D3522"/>
    <w:rsid w:val="006D3530"/>
    <w:rsid w:val="006D3751"/>
    <w:rsid w:val="006D4300"/>
    <w:rsid w:val="006D4415"/>
    <w:rsid w:val="006D47F4"/>
    <w:rsid w:val="006D5425"/>
    <w:rsid w:val="006D5683"/>
    <w:rsid w:val="006D60C9"/>
    <w:rsid w:val="006D7B59"/>
    <w:rsid w:val="006D7EAC"/>
    <w:rsid w:val="006E17E8"/>
    <w:rsid w:val="006E1A47"/>
    <w:rsid w:val="006E202A"/>
    <w:rsid w:val="006E566E"/>
    <w:rsid w:val="006E6232"/>
    <w:rsid w:val="006E6FDA"/>
    <w:rsid w:val="006E7361"/>
    <w:rsid w:val="006E737E"/>
    <w:rsid w:val="006E7CBD"/>
    <w:rsid w:val="006F003B"/>
    <w:rsid w:val="006F007B"/>
    <w:rsid w:val="006F130B"/>
    <w:rsid w:val="006F27E3"/>
    <w:rsid w:val="006F28FB"/>
    <w:rsid w:val="006F2DA1"/>
    <w:rsid w:val="006F316D"/>
    <w:rsid w:val="006F39CD"/>
    <w:rsid w:val="006F3BAC"/>
    <w:rsid w:val="006F3DAA"/>
    <w:rsid w:val="006F53B3"/>
    <w:rsid w:val="006F7DDF"/>
    <w:rsid w:val="00700123"/>
    <w:rsid w:val="007004A0"/>
    <w:rsid w:val="00700692"/>
    <w:rsid w:val="0070109F"/>
    <w:rsid w:val="00701447"/>
    <w:rsid w:val="007016D3"/>
    <w:rsid w:val="00701979"/>
    <w:rsid w:val="00701F65"/>
    <w:rsid w:val="007021DE"/>
    <w:rsid w:val="007023A5"/>
    <w:rsid w:val="007023F8"/>
    <w:rsid w:val="00702F78"/>
    <w:rsid w:val="00702F7F"/>
    <w:rsid w:val="00703C9A"/>
    <w:rsid w:val="00703E2E"/>
    <w:rsid w:val="00703FAC"/>
    <w:rsid w:val="0070489F"/>
    <w:rsid w:val="00704A0E"/>
    <w:rsid w:val="00705495"/>
    <w:rsid w:val="007055DE"/>
    <w:rsid w:val="007056E8"/>
    <w:rsid w:val="0070606F"/>
    <w:rsid w:val="007068CB"/>
    <w:rsid w:val="0070698D"/>
    <w:rsid w:val="00706A6B"/>
    <w:rsid w:val="00706F45"/>
    <w:rsid w:val="00706FCE"/>
    <w:rsid w:val="00707892"/>
    <w:rsid w:val="007104CC"/>
    <w:rsid w:val="007104DD"/>
    <w:rsid w:val="00710C50"/>
    <w:rsid w:val="00711196"/>
    <w:rsid w:val="00711B3F"/>
    <w:rsid w:val="00711C22"/>
    <w:rsid w:val="007121B4"/>
    <w:rsid w:val="00712320"/>
    <w:rsid w:val="00712886"/>
    <w:rsid w:val="0071340D"/>
    <w:rsid w:val="00714306"/>
    <w:rsid w:val="007150D4"/>
    <w:rsid w:val="0071614C"/>
    <w:rsid w:val="00716D7F"/>
    <w:rsid w:val="00717B75"/>
    <w:rsid w:val="00717ECB"/>
    <w:rsid w:val="00717FE8"/>
    <w:rsid w:val="007203E3"/>
    <w:rsid w:val="007203F0"/>
    <w:rsid w:val="00720C72"/>
    <w:rsid w:val="00720E6C"/>
    <w:rsid w:val="007213E4"/>
    <w:rsid w:val="0072163E"/>
    <w:rsid w:val="0072193D"/>
    <w:rsid w:val="00721998"/>
    <w:rsid w:val="00721D82"/>
    <w:rsid w:val="00723CE2"/>
    <w:rsid w:val="00723F70"/>
    <w:rsid w:val="00724E2D"/>
    <w:rsid w:val="0072578A"/>
    <w:rsid w:val="00726518"/>
    <w:rsid w:val="00726599"/>
    <w:rsid w:val="0072662E"/>
    <w:rsid w:val="00726A7E"/>
    <w:rsid w:val="00726CE0"/>
    <w:rsid w:val="007272A9"/>
    <w:rsid w:val="00730355"/>
    <w:rsid w:val="00730888"/>
    <w:rsid w:val="00730BAB"/>
    <w:rsid w:val="0073158E"/>
    <w:rsid w:val="0073172A"/>
    <w:rsid w:val="00732773"/>
    <w:rsid w:val="0073289F"/>
    <w:rsid w:val="00732EBC"/>
    <w:rsid w:val="00733672"/>
    <w:rsid w:val="0073379C"/>
    <w:rsid w:val="00733FFC"/>
    <w:rsid w:val="0073414D"/>
    <w:rsid w:val="00734289"/>
    <w:rsid w:val="007345C7"/>
    <w:rsid w:val="00735101"/>
    <w:rsid w:val="00735263"/>
    <w:rsid w:val="00735626"/>
    <w:rsid w:val="00735C2D"/>
    <w:rsid w:val="00735E52"/>
    <w:rsid w:val="00736733"/>
    <w:rsid w:val="0073687B"/>
    <w:rsid w:val="007371A6"/>
    <w:rsid w:val="00737264"/>
    <w:rsid w:val="00737BA6"/>
    <w:rsid w:val="007402CB"/>
    <w:rsid w:val="007409B2"/>
    <w:rsid w:val="00741510"/>
    <w:rsid w:val="007415A7"/>
    <w:rsid w:val="00743ADC"/>
    <w:rsid w:val="00744416"/>
    <w:rsid w:val="00744493"/>
    <w:rsid w:val="00744C97"/>
    <w:rsid w:val="00745217"/>
    <w:rsid w:val="007462EC"/>
    <w:rsid w:val="007463E6"/>
    <w:rsid w:val="00746589"/>
    <w:rsid w:val="0074663B"/>
    <w:rsid w:val="00747835"/>
    <w:rsid w:val="00747A0B"/>
    <w:rsid w:val="0075090A"/>
    <w:rsid w:val="00750B94"/>
    <w:rsid w:val="00751195"/>
    <w:rsid w:val="00751BBA"/>
    <w:rsid w:val="00751FBE"/>
    <w:rsid w:val="007522AF"/>
    <w:rsid w:val="007524B5"/>
    <w:rsid w:val="00752528"/>
    <w:rsid w:val="007533C9"/>
    <w:rsid w:val="007539CB"/>
    <w:rsid w:val="007544A9"/>
    <w:rsid w:val="0075460F"/>
    <w:rsid w:val="00755D9A"/>
    <w:rsid w:val="007560F8"/>
    <w:rsid w:val="00756B31"/>
    <w:rsid w:val="00756D76"/>
    <w:rsid w:val="00757425"/>
    <w:rsid w:val="007600C9"/>
    <w:rsid w:val="00761AC8"/>
    <w:rsid w:val="0076206F"/>
    <w:rsid w:val="00762606"/>
    <w:rsid w:val="00762CF0"/>
    <w:rsid w:val="00762F5F"/>
    <w:rsid w:val="007632E0"/>
    <w:rsid w:val="007637E0"/>
    <w:rsid w:val="00764453"/>
    <w:rsid w:val="00764801"/>
    <w:rsid w:val="00764C4A"/>
    <w:rsid w:val="0076515D"/>
    <w:rsid w:val="007655FA"/>
    <w:rsid w:val="007658E5"/>
    <w:rsid w:val="00765AA7"/>
    <w:rsid w:val="00766A81"/>
    <w:rsid w:val="00767451"/>
    <w:rsid w:val="007679EB"/>
    <w:rsid w:val="00770488"/>
    <w:rsid w:val="00770D94"/>
    <w:rsid w:val="00771631"/>
    <w:rsid w:val="00771F9B"/>
    <w:rsid w:val="0077261D"/>
    <w:rsid w:val="0077271B"/>
    <w:rsid w:val="00772ADE"/>
    <w:rsid w:val="00775F72"/>
    <w:rsid w:val="0077621A"/>
    <w:rsid w:val="007762CD"/>
    <w:rsid w:val="007768E1"/>
    <w:rsid w:val="0077713B"/>
    <w:rsid w:val="00777290"/>
    <w:rsid w:val="007777C3"/>
    <w:rsid w:val="00777CF3"/>
    <w:rsid w:val="00777F49"/>
    <w:rsid w:val="00780273"/>
    <w:rsid w:val="00780956"/>
    <w:rsid w:val="0078155A"/>
    <w:rsid w:val="0078233F"/>
    <w:rsid w:val="00782D8F"/>
    <w:rsid w:val="00782F00"/>
    <w:rsid w:val="00782FC5"/>
    <w:rsid w:val="0078357E"/>
    <w:rsid w:val="0078385A"/>
    <w:rsid w:val="007839E7"/>
    <w:rsid w:val="007841FF"/>
    <w:rsid w:val="00784828"/>
    <w:rsid w:val="00785009"/>
    <w:rsid w:val="00785E26"/>
    <w:rsid w:val="00785EFF"/>
    <w:rsid w:val="00786556"/>
    <w:rsid w:val="00786824"/>
    <w:rsid w:val="0078724C"/>
    <w:rsid w:val="007872AD"/>
    <w:rsid w:val="007872E4"/>
    <w:rsid w:val="00787C9D"/>
    <w:rsid w:val="007906CA"/>
    <w:rsid w:val="00791503"/>
    <w:rsid w:val="00791FAF"/>
    <w:rsid w:val="00792289"/>
    <w:rsid w:val="00793054"/>
    <w:rsid w:val="0079347A"/>
    <w:rsid w:val="007934D4"/>
    <w:rsid w:val="007939BD"/>
    <w:rsid w:val="00793C16"/>
    <w:rsid w:val="00793FBD"/>
    <w:rsid w:val="00794198"/>
    <w:rsid w:val="00795610"/>
    <w:rsid w:val="00795792"/>
    <w:rsid w:val="00796AC3"/>
    <w:rsid w:val="00796C5E"/>
    <w:rsid w:val="0079775B"/>
    <w:rsid w:val="007977F9"/>
    <w:rsid w:val="007A0253"/>
    <w:rsid w:val="007A0692"/>
    <w:rsid w:val="007A0B62"/>
    <w:rsid w:val="007A11B0"/>
    <w:rsid w:val="007A1236"/>
    <w:rsid w:val="007A1816"/>
    <w:rsid w:val="007A1D32"/>
    <w:rsid w:val="007A1EA0"/>
    <w:rsid w:val="007A21A0"/>
    <w:rsid w:val="007A2A69"/>
    <w:rsid w:val="007A2A6F"/>
    <w:rsid w:val="007A39D3"/>
    <w:rsid w:val="007A3BDD"/>
    <w:rsid w:val="007A3E4D"/>
    <w:rsid w:val="007A4385"/>
    <w:rsid w:val="007A4506"/>
    <w:rsid w:val="007A50EE"/>
    <w:rsid w:val="007A55B9"/>
    <w:rsid w:val="007A57AE"/>
    <w:rsid w:val="007A5B4D"/>
    <w:rsid w:val="007A6285"/>
    <w:rsid w:val="007A6E20"/>
    <w:rsid w:val="007A73DA"/>
    <w:rsid w:val="007A74B2"/>
    <w:rsid w:val="007B07C4"/>
    <w:rsid w:val="007B07E3"/>
    <w:rsid w:val="007B0982"/>
    <w:rsid w:val="007B0B94"/>
    <w:rsid w:val="007B11EC"/>
    <w:rsid w:val="007B1F57"/>
    <w:rsid w:val="007B2F7B"/>
    <w:rsid w:val="007B31E9"/>
    <w:rsid w:val="007B37DB"/>
    <w:rsid w:val="007B3EBC"/>
    <w:rsid w:val="007B43B6"/>
    <w:rsid w:val="007B4597"/>
    <w:rsid w:val="007B47A0"/>
    <w:rsid w:val="007B5174"/>
    <w:rsid w:val="007B5336"/>
    <w:rsid w:val="007B55C5"/>
    <w:rsid w:val="007B57D2"/>
    <w:rsid w:val="007B5E43"/>
    <w:rsid w:val="007B60DF"/>
    <w:rsid w:val="007B70FB"/>
    <w:rsid w:val="007B74DB"/>
    <w:rsid w:val="007B79AC"/>
    <w:rsid w:val="007B7A1A"/>
    <w:rsid w:val="007C0482"/>
    <w:rsid w:val="007C0D56"/>
    <w:rsid w:val="007C123C"/>
    <w:rsid w:val="007C1DC9"/>
    <w:rsid w:val="007C20FE"/>
    <w:rsid w:val="007C2678"/>
    <w:rsid w:val="007C3435"/>
    <w:rsid w:val="007C369F"/>
    <w:rsid w:val="007C376A"/>
    <w:rsid w:val="007C3E04"/>
    <w:rsid w:val="007C4A77"/>
    <w:rsid w:val="007C4D6B"/>
    <w:rsid w:val="007C55BE"/>
    <w:rsid w:val="007C5AB5"/>
    <w:rsid w:val="007C766F"/>
    <w:rsid w:val="007C7AD6"/>
    <w:rsid w:val="007C7C59"/>
    <w:rsid w:val="007C7DC7"/>
    <w:rsid w:val="007D01C5"/>
    <w:rsid w:val="007D0BB9"/>
    <w:rsid w:val="007D0D62"/>
    <w:rsid w:val="007D0E7B"/>
    <w:rsid w:val="007D10C0"/>
    <w:rsid w:val="007D17E9"/>
    <w:rsid w:val="007D2A26"/>
    <w:rsid w:val="007D33F7"/>
    <w:rsid w:val="007D40F5"/>
    <w:rsid w:val="007D41FB"/>
    <w:rsid w:val="007D4385"/>
    <w:rsid w:val="007D46D8"/>
    <w:rsid w:val="007D4892"/>
    <w:rsid w:val="007D48E9"/>
    <w:rsid w:val="007D5207"/>
    <w:rsid w:val="007D53CB"/>
    <w:rsid w:val="007D5857"/>
    <w:rsid w:val="007D5A2E"/>
    <w:rsid w:val="007D6F86"/>
    <w:rsid w:val="007D72EB"/>
    <w:rsid w:val="007D7CD6"/>
    <w:rsid w:val="007E0F37"/>
    <w:rsid w:val="007E0F8F"/>
    <w:rsid w:val="007E1DA1"/>
    <w:rsid w:val="007E317C"/>
    <w:rsid w:val="007E38F5"/>
    <w:rsid w:val="007E3DBA"/>
    <w:rsid w:val="007E3E82"/>
    <w:rsid w:val="007E4225"/>
    <w:rsid w:val="007E44F9"/>
    <w:rsid w:val="007E49AE"/>
    <w:rsid w:val="007E54D0"/>
    <w:rsid w:val="007E5E79"/>
    <w:rsid w:val="007E5ED9"/>
    <w:rsid w:val="007E5EDC"/>
    <w:rsid w:val="007E5F31"/>
    <w:rsid w:val="007E6646"/>
    <w:rsid w:val="007E6C51"/>
    <w:rsid w:val="007E7232"/>
    <w:rsid w:val="007E72AB"/>
    <w:rsid w:val="007F0378"/>
    <w:rsid w:val="007F0684"/>
    <w:rsid w:val="007F06B6"/>
    <w:rsid w:val="007F06E8"/>
    <w:rsid w:val="007F0AF8"/>
    <w:rsid w:val="007F1411"/>
    <w:rsid w:val="007F20F1"/>
    <w:rsid w:val="007F219A"/>
    <w:rsid w:val="007F3F16"/>
    <w:rsid w:val="007F43AE"/>
    <w:rsid w:val="007F4981"/>
    <w:rsid w:val="007F5AA1"/>
    <w:rsid w:val="007F5DA6"/>
    <w:rsid w:val="007F65DB"/>
    <w:rsid w:val="007F6761"/>
    <w:rsid w:val="007F6BC4"/>
    <w:rsid w:val="007F70D4"/>
    <w:rsid w:val="007F76B6"/>
    <w:rsid w:val="0080009A"/>
    <w:rsid w:val="00800120"/>
    <w:rsid w:val="0080073F"/>
    <w:rsid w:val="0080085D"/>
    <w:rsid w:val="00800E5E"/>
    <w:rsid w:val="0080155D"/>
    <w:rsid w:val="00801CB1"/>
    <w:rsid w:val="00802AA7"/>
    <w:rsid w:val="00802B43"/>
    <w:rsid w:val="00802B6F"/>
    <w:rsid w:val="00803A0C"/>
    <w:rsid w:val="00803ACE"/>
    <w:rsid w:val="008051E1"/>
    <w:rsid w:val="00805B99"/>
    <w:rsid w:val="00806A74"/>
    <w:rsid w:val="00806E9B"/>
    <w:rsid w:val="00806F6F"/>
    <w:rsid w:val="00807090"/>
    <w:rsid w:val="008071E0"/>
    <w:rsid w:val="00807926"/>
    <w:rsid w:val="00807A15"/>
    <w:rsid w:val="00807AB5"/>
    <w:rsid w:val="00807E04"/>
    <w:rsid w:val="008100A2"/>
    <w:rsid w:val="008101CB"/>
    <w:rsid w:val="008103E2"/>
    <w:rsid w:val="0081040A"/>
    <w:rsid w:val="008107F5"/>
    <w:rsid w:val="00810E30"/>
    <w:rsid w:val="00810ED7"/>
    <w:rsid w:val="00810F19"/>
    <w:rsid w:val="0081355C"/>
    <w:rsid w:val="00813AEB"/>
    <w:rsid w:val="008146E1"/>
    <w:rsid w:val="00814CAD"/>
    <w:rsid w:val="00815D4E"/>
    <w:rsid w:val="00816EFC"/>
    <w:rsid w:val="00817D96"/>
    <w:rsid w:val="00817F9A"/>
    <w:rsid w:val="0082093A"/>
    <w:rsid w:val="00822459"/>
    <w:rsid w:val="008227FA"/>
    <w:rsid w:val="008229A2"/>
    <w:rsid w:val="00822BCB"/>
    <w:rsid w:val="008231C0"/>
    <w:rsid w:val="00823F22"/>
    <w:rsid w:val="0082443D"/>
    <w:rsid w:val="00824A9E"/>
    <w:rsid w:val="008254DF"/>
    <w:rsid w:val="00825EA0"/>
    <w:rsid w:val="00825F58"/>
    <w:rsid w:val="008268CF"/>
    <w:rsid w:val="00826C5B"/>
    <w:rsid w:val="008270EE"/>
    <w:rsid w:val="00827497"/>
    <w:rsid w:val="00827A1F"/>
    <w:rsid w:val="00827C4B"/>
    <w:rsid w:val="0083026B"/>
    <w:rsid w:val="00830BC7"/>
    <w:rsid w:val="00831472"/>
    <w:rsid w:val="00831689"/>
    <w:rsid w:val="008329FF"/>
    <w:rsid w:val="00832ECB"/>
    <w:rsid w:val="0083336A"/>
    <w:rsid w:val="00833526"/>
    <w:rsid w:val="008340EC"/>
    <w:rsid w:val="008347FA"/>
    <w:rsid w:val="00834B47"/>
    <w:rsid w:val="00835459"/>
    <w:rsid w:val="00837C41"/>
    <w:rsid w:val="00837C92"/>
    <w:rsid w:val="00837F0F"/>
    <w:rsid w:val="008416E5"/>
    <w:rsid w:val="0084210C"/>
    <w:rsid w:val="00842BBA"/>
    <w:rsid w:val="00842D41"/>
    <w:rsid w:val="00843029"/>
    <w:rsid w:val="00843420"/>
    <w:rsid w:val="00843B5D"/>
    <w:rsid w:val="008447D4"/>
    <w:rsid w:val="00845029"/>
    <w:rsid w:val="0084506C"/>
    <w:rsid w:val="008454BD"/>
    <w:rsid w:val="00845692"/>
    <w:rsid w:val="008463F3"/>
    <w:rsid w:val="00846D76"/>
    <w:rsid w:val="0085005F"/>
    <w:rsid w:val="0085062F"/>
    <w:rsid w:val="00850CB2"/>
    <w:rsid w:val="00851307"/>
    <w:rsid w:val="008515B1"/>
    <w:rsid w:val="00852508"/>
    <w:rsid w:val="00852E5B"/>
    <w:rsid w:val="00852EAC"/>
    <w:rsid w:val="00853677"/>
    <w:rsid w:val="008536B3"/>
    <w:rsid w:val="00853ACD"/>
    <w:rsid w:val="00853ACF"/>
    <w:rsid w:val="00853F1F"/>
    <w:rsid w:val="008544D3"/>
    <w:rsid w:val="00854659"/>
    <w:rsid w:val="008558A1"/>
    <w:rsid w:val="0085642F"/>
    <w:rsid w:val="008573AF"/>
    <w:rsid w:val="00857645"/>
    <w:rsid w:val="008577C4"/>
    <w:rsid w:val="00857A98"/>
    <w:rsid w:val="00857D80"/>
    <w:rsid w:val="008602FC"/>
    <w:rsid w:val="008607D5"/>
    <w:rsid w:val="00860989"/>
    <w:rsid w:val="00860CF9"/>
    <w:rsid w:val="008617FB"/>
    <w:rsid w:val="008622D3"/>
    <w:rsid w:val="0086257B"/>
    <w:rsid w:val="0086268A"/>
    <w:rsid w:val="008639A2"/>
    <w:rsid w:val="00863BBB"/>
    <w:rsid w:val="00863E4F"/>
    <w:rsid w:val="008640FD"/>
    <w:rsid w:val="0086426C"/>
    <w:rsid w:val="0086564F"/>
    <w:rsid w:val="00865681"/>
    <w:rsid w:val="0086583F"/>
    <w:rsid w:val="00866618"/>
    <w:rsid w:val="00866658"/>
    <w:rsid w:val="008666EF"/>
    <w:rsid w:val="00867B6B"/>
    <w:rsid w:val="0087032E"/>
    <w:rsid w:val="0087057E"/>
    <w:rsid w:val="00870AFC"/>
    <w:rsid w:val="008715CC"/>
    <w:rsid w:val="00872589"/>
    <w:rsid w:val="00872770"/>
    <w:rsid w:val="00873754"/>
    <w:rsid w:val="00873C68"/>
    <w:rsid w:val="00873CFE"/>
    <w:rsid w:val="008752FC"/>
    <w:rsid w:val="00875FA4"/>
    <w:rsid w:val="008763C8"/>
    <w:rsid w:val="00877D6E"/>
    <w:rsid w:val="00877E35"/>
    <w:rsid w:val="0088014E"/>
    <w:rsid w:val="00880BAB"/>
    <w:rsid w:val="00880BC0"/>
    <w:rsid w:val="0088130D"/>
    <w:rsid w:val="008817FF"/>
    <w:rsid w:val="00881D3D"/>
    <w:rsid w:val="00881E98"/>
    <w:rsid w:val="0088239C"/>
    <w:rsid w:val="00882745"/>
    <w:rsid w:val="008828F7"/>
    <w:rsid w:val="00882941"/>
    <w:rsid w:val="00882A65"/>
    <w:rsid w:val="00882E58"/>
    <w:rsid w:val="00882F87"/>
    <w:rsid w:val="008835B1"/>
    <w:rsid w:val="00883B3F"/>
    <w:rsid w:val="00884A5C"/>
    <w:rsid w:val="008851BE"/>
    <w:rsid w:val="00885538"/>
    <w:rsid w:val="00885691"/>
    <w:rsid w:val="0088600C"/>
    <w:rsid w:val="00886188"/>
    <w:rsid w:val="00887063"/>
    <w:rsid w:val="008874AA"/>
    <w:rsid w:val="00887F1B"/>
    <w:rsid w:val="00887FD1"/>
    <w:rsid w:val="008900CF"/>
    <w:rsid w:val="00890CE5"/>
    <w:rsid w:val="008916E5"/>
    <w:rsid w:val="008917C0"/>
    <w:rsid w:val="00891CE4"/>
    <w:rsid w:val="008922CF"/>
    <w:rsid w:val="008923D1"/>
    <w:rsid w:val="008925B9"/>
    <w:rsid w:val="00892A4E"/>
    <w:rsid w:val="008937CB"/>
    <w:rsid w:val="0089427B"/>
    <w:rsid w:val="0089483C"/>
    <w:rsid w:val="00894A6B"/>
    <w:rsid w:val="00894A7F"/>
    <w:rsid w:val="00895E5A"/>
    <w:rsid w:val="00896EB4"/>
    <w:rsid w:val="00896F0D"/>
    <w:rsid w:val="00897502"/>
    <w:rsid w:val="008976C8"/>
    <w:rsid w:val="00897813"/>
    <w:rsid w:val="00897855"/>
    <w:rsid w:val="008A06A1"/>
    <w:rsid w:val="008A0E63"/>
    <w:rsid w:val="008A109A"/>
    <w:rsid w:val="008A173F"/>
    <w:rsid w:val="008A1EFD"/>
    <w:rsid w:val="008A2790"/>
    <w:rsid w:val="008A2C5D"/>
    <w:rsid w:val="008A3C32"/>
    <w:rsid w:val="008A3D8A"/>
    <w:rsid w:val="008A40AB"/>
    <w:rsid w:val="008A4EBA"/>
    <w:rsid w:val="008A4F57"/>
    <w:rsid w:val="008A52CE"/>
    <w:rsid w:val="008A574C"/>
    <w:rsid w:val="008A6A25"/>
    <w:rsid w:val="008A7D28"/>
    <w:rsid w:val="008B0BA7"/>
    <w:rsid w:val="008B0C78"/>
    <w:rsid w:val="008B1E06"/>
    <w:rsid w:val="008B1F77"/>
    <w:rsid w:val="008B20A4"/>
    <w:rsid w:val="008B284C"/>
    <w:rsid w:val="008B2EF5"/>
    <w:rsid w:val="008B2F1A"/>
    <w:rsid w:val="008B31AD"/>
    <w:rsid w:val="008B3278"/>
    <w:rsid w:val="008B331F"/>
    <w:rsid w:val="008B3A87"/>
    <w:rsid w:val="008B3C1F"/>
    <w:rsid w:val="008B3FAC"/>
    <w:rsid w:val="008B4243"/>
    <w:rsid w:val="008B4953"/>
    <w:rsid w:val="008B4B1A"/>
    <w:rsid w:val="008B4E19"/>
    <w:rsid w:val="008B4F72"/>
    <w:rsid w:val="008B5F58"/>
    <w:rsid w:val="008B60CB"/>
    <w:rsid w:val="008B6367"/>
    <w:rsid w:val="008B63AD"/>
    <w:rsid w:val="008B7546"/>
    <w:rsid w:val="008C0557"/>
    <w:rsid w:val="008C055E"/>
    <w:rsid w:val="008C0771"/>
    <w:rsid w:val="008C0845"/>
    <w:rsid w:val="008C15A7"/>
    <w:rsid w:val="008C1715"/>
    <w:rsid w:val="008C1779"/>
    <w:rsid w:val="008C1DC1"/>
    <w:rsid w:val="008C28B3"/>
    <w:rsid w:val="008C2B85"/>
    <w:rsid w:val="008C3591"/>
    <w:rsid w:val="008C3A88"/>
    <w:rsid w:val="008C3AC1"/>
    <w:rsid w:val="008C4EB8"/>
    <w:rsid w:val="008C61B0"/>
    <w:rsid w:val="008C6282"/>
    <w:rsid w:val="008C68A8"/>
    <w:rsid w:val="008C6FD3"/>
    <w:rsid w:val="008C70EB"/>
    <w:rsid w:val="008C7FA7"/>
    <w:rsid w:val="008D0065"/>
    <w:rsid w:val="008D0F7D"/>
    <w:rsid w:val="008D155D"/>
    <w:rsid w:val="008D15E6"/>
    <w:rsid w:val="008D19DB"/>
    <w:rsid w:val="008D229E"/>
    <w:rsid w:val="008D24C5"/>
    <w:rsid w:val="008D36D2"/>
    <w:rsid w:val="008D3FE4"/>
    <w:rsid w:val="008D415F"/>
    <w:rsid w:val="008D5506"/>
    <w:rsid w:val="008D56FC"/>
    <w:rsid w:val="008D5DAB"/>
    <w:rsid w:val="008D6641"/>
    <w:rsid w:val="008D6847"/>
    <w:rsid w:val="008D6968"/>
    <w:rsid w:val="008D6B22"/>
    <w:rsid w:val="008D6C68"/>
    <w:rsid w:val="008D71F3"/>
    <w:rsid w:val="008D7AFD"/>
    <w:rsid w:val="008D7E3E"/>
    <w:rsid w:val="008D7EA6"/>
    <w:rsid w:val="008D7FCC"/>
    <w:rsid w:val="008E0029"/>
    <w:rsid w:val="008E01BA"/>
    <w:rsid w:val="008E0219"/>
    <w:rsid w:val="008E0253"/>
    <w:rsid w:val="008E0C73"/>
    <w:rsid w:val="008E0DE2"/>
    <w:rsid w:val="008E1746"/>
    <w:rsid w:val="008E1CA4"/>
    <w:rsid w:val="008E2BCC"/>
    <w:rsid w:val="008E5A4E"/>
    <w:rsid w:val="008E6A58"/>
    <w:rsid w:val="008E6D37"/>
    <w:rsid w:val="008E6F6B"/>
    <w:rsid w:val="008E7155"/>
    <w:rsid w:val="008E71FB"/>
    <w:rsid w:val="008E7365"/>
    <w:rsid w:val="008E7A5B"/>
    <w:rsid w:val="008E7F33"/>
    <w:rsid w:val="008F0248"/>
    <w:rsid w:val="008F07B8"/>
    <w:rsid w:val="008F0932"/>
    <w:rsid w:val="008F0EF5"/>
    <w:rsid w:val="008F0FE8"/>
    <w:rsid w:val="008F1238"/>
    <w:rsid w:val="008F232D"/>
    <w:rsid w:val="008F257A"/>
    <w:rsid w:val="008F35D9"/>
    <w:rsid w:val="008F3793"/>
    <w:rsid w:val="008F438C"/>
    <w:rsid w:val="008F525C"/>
    <w:rsid w:val="008F540C"/>
    <w:rsid w:val="008F6060"/>
    <w:rsid w:val="008F6426"/>
    <w:rsid w:val="008F6B8B"/>
    <w:rsid w:val="008F77B4"/>
    <w:rsid w:val="00900B52"/>
    <w:rsid w:val="00900C3B"/>
    <w:rsid w:val="0090146E"/>
    <w:rsid w:val="00901E4D"/>
    <w:rsid w:val="00901F1F"/>
    <w:rsid w:val="00902957"/>
    <w:rsid w:val="00902C22"/>
    <w:rsid w:val="00903424"/>
    <w:rsid w:val="00903553"/>
    <w:rsid w:val="00903D84"/>
    <w:rsid w:val="00904206"/>
    <w:rsid w:val="009042F1"/>
    <w:rsid w:val="009047F2"/>
    <w:rsid w:val="00905456"/>
    <w:rsid w:val="0090621C"/>
    <w:rsid w:val="00906618"/>
    <w:rsid w:val="00906C4A"/>
    <w:rsid w:val="00907C2A"/>
    <w:rsid w:val="00910866"/>
    <w:rsid w:val="009110AD"/>
    <w:rsid w:val="009111CC"/>
    <w:rsid w:val="009114FF"/>
    <w:rsid w:val="00911888"/>
    <w:rsid w:val="00911A79"/>
    <w:rsid w:val="00911D8B"/>
    <w:rsid w:val="009127CC"/>
    <w:rsid w:val="009130D1"/>
    <w:rsid w:val="009158B9"/>
    <w:rsid w:val="00915FE3"/>
    <w:rsid w:val="0091620A"/>
    <w:rsid w:val="00916863"/>
    <w:rsid w:val="00917458"/>
    <w:rsid w:val="00917BB3"/>
    <w:rsid w:val="0092096D"/>
    <w:rsid w:val="00921B73"/>
    <w:rsid w:val="00921E56"/>
    <w:rsid w:val="009221ED"/>
    <w:rsid w:val="0092259C"/>
    <w:rsid w:val="00923187"/>
    <w:rsid w:val="00926F12"/>
    <w:rsid w:val="00927309"/>
    <w:rsid w:val="00927DE3"/>
    <w:rsid w:val="00930212"/>
    <w:rsid w:val="00930591"/>
    <w:rsid w:val="00930609"/>
    <w:rsid w:val="00930B72"/>
    <w:rsid w:val="0093196E"/>
    <w:rsid w:val="00931A58"/>
    <w:rsid w:val="00931C19"/>
    <w:rsid w:val="0093207F"/>
    <w:rsid w:val="00932113"/>
    <w:rsid w:val="00932239"/>
    <w:rsid w:val="00932AD7"/>
    <w:rsid w:val="00932E71"/>
    <w:rsid w:val="0093456C"/>
    <w:rsid w:val="00934640"/>
    <w:rsid w:val="009352C5"/>
    <w:rsid w:val="00935534"/>
    <w:rsid w:val="0093562F"/>
    <w:rsid w:val="00935F61"/>
    <w:rsid w:val="009360BB"/>
    <w:rsid w:val="00936B1F"/>
    <w:rsid w:val="009379F0"/>
    <w:rsid w:val="00937A14"/>
    <w:rsid w:val="00937A67"/>
    <w:rsid w:val="00940946"/>
    <w:rsid w:val="00942B2E"/>
    <w:rsid w:val="00942D2B"/>
    <w:rsid w:val="009431F7"/>
    <w:rsid w:val="00943238"/>
    <w:rsid w:val="00943CFE"/>
    <w:rsid w:val="00943E5A"/>
    <w:rsid w:val="00943F96"/>
    <w:rsid w:val="00943FA2"/>
    <w:rsid w:val="0094494D"/>
    <w:rsid w:val="00944E59"/>
    <w:rsid w:val="00945225"/>
    <w:rsid w:val="00945401"/>
    <w:rsid w:val="009459F4"/>
    <w:rsid w:val="00945ABE"/>
    <w:rsid w:val="00945E58"/>
    <w:rsid w:val="00946127"/>
    <w:rsid w:val="00946907"/>
    <w:rsid w:val="00950CAE"/>
    <w:rsid w:val="009512EC"/>
    <w:rsid w:val="009519A8"/>
    <w:rsid w:val="00951D65"/>
    <w:rsid w:val="00952499"/>
    <w:rsid w:val="0095315A"/>
    <w:rsid w:val="009534DD"/>
    <w:rsid w:val="0095356B"/>
    <w:rsid w:val="009535C2"/>
    <w:rsid w:val="00953A73"/>
    <w:rsid w:val="00954926"/>
    <w:rsid w:val="00954D5A"/>
    <w:rsid w:val="009551A8"/>
    <w:rsid w:val="00955645"/>
    <w:rsid w:val="00956510"/>
    <w:rsid w:val="00956B6C"/>
    <w:rsid w:val="00957B5B"/>
    <w:rsid w:val="009601CB"/>
    <w:rsid w:val="0096059A"/>
    <w:rsid w:val="0096081E"/>
    <w:rsid w:val="00960D39"/>
    <w:rsid w:val="00960F7E"/>
    <w:rsid w:val="00961022"/>
    <w:rsid w:val="009611A5"/>
    <w:rsid w:val="0096193B"/>
    <w:rsid w:val="00961BC2"/>
    <w:rsid w:val="00963188"/>
    <w:rsid w:val="00963240"/>
    <w:rsid w:val="00963B82"/>
    <w:rsid w:val="00964475"/>
    <w:rsid w:val="0096456D"/>
    <w:rsid w:val="00964A6E"/>
    <w:rsid w:val="00964FB4"/>
    <w:rsid w:val="00965084"/>
    <w:rsid w:val="0096516C"/>
    <w:rsid w:val="009666BD"/>
    <w:rsid w:val="0096670E"/>
    <w:rsid w:val="00966BFB"/>
    <w:rsid w:val="00967CDA"/>
    <w:rsid w:val="00970048"/>
    <w:rsid w:val="009701AF"/>
    <w:rsid w:val="00971366"/>
    <w:rsid w:val="00971831"/>
    <w:rsid w:val="0097216D"/>
    <w:rsid w:val="00972C88"/>
    <w:rsid w:val="00972D8F"/>
    <w:rsid w:val="0097396E"/>
    <w:rsid w:val="00973C2B"/>
    <w:rsid w:val="0097437B"/>
    <w:rsid w:val="0097441E"/>
    <w:rsid w:val="0097529C"/>
    <w:rsid w:val="00975680"/>
    <w:rsid w:val="00975FB0"/>
    <w:rsid w:val="009762C7"/>
    <w:rsid w:val="0097670F"/>
    <w:rsid w:val="00976C61"/>
    <w:rsid w:val="009776B1"/>
    <w:rsid w:val="00977E1E"/>
    <w:rsid w:val="009803E7"/>
    <w:rsid w:val="009803EC"/>
    <w:rsid w:val="00981215"/>
    <w:rsid w:val="009812FC"/>
    <w:rsid w:val="009813BF"/>
    <w:rsid w:val="00981987"/>
    <w:rsid w:val="009819CD"/>
    <w:rsid w:val="00982C0D"/>
    <w:rsid w:val="009832E2"/>
    <w:rsid w:val="00983D98"/>
    <w:rsid w:val="00983F22"/>
    <w:rsid w:val="009844B4"/>
    <w:rsid w:val="0098453B"/>
    <w:rsid w:val="00984D82"/>
    <w:rsid w:val="0098572B"/>
    <w:rsid w:val="00985CDA"/>
    <w:rsid w:val="0098603A"/>
    <w:rsid w:val="00986137"/>
    <w:rsid w:val="009865B1"/>
    <w:rsid w:val="00986B96"/>
    <w:rsid w:val="0098740B"/>
    <w:rsid w:val="00987C6F"/>
    <w:rsid w:val="0099018C"/>
    <w:rsid w:val="00990708"/>
    <w:rsid w:val="00990C3D"/>
    <w:rsid w:val="009915EB"/>
    <w:rsid w:val="0099199D"/>
    <w:rsid w:val="00991B9A"/>
    <w:rsid w:val="00993499"/>
    <w:rsid w:val="009934DB"/>
    <w:rsid w:val="009939CB"/>
    <w:rsid w:val="00993D95"/>
    <w:rsid w:val="009940EA"/>
    <w:rsid w:val="009948FE"/>
    <w:rsid w:val="00995756"/>
    <w:rsid w:val="00997125"/>
    <w:rsid w:val="009A0208"/>
    <w:rsid w:val="009A09C0"/>
    <w:rsid w:val="009A0B05"/>
    <w:rsid w:val="009A17B5"/>
    <w:rsid w:val="009A1B80"/>
    <w:rsid w:val="009A21EE"/>
    <w:rsid w:val="009A253B"/>
    <w:rsid w:val="009A3C6E"/>
    <w:rsid w:val="009A4532"/>
    <w:rsid w:val="009A544C"/>
    <w:rsid w:val="009A640C"/>
    <w:rsid w:val="009A6974"/>
    <w:rsid w:val="009A6A04"/>
    <w:rsid w:val="009A6A34"/>
    <w:rsid w:val="009A6FB1"/>
    <w:rsid w:val="009A78A6"/>
    <w:rsid w:val="009B01AE"/>
    <w:rsid w:val="009B0346"/>
    <w:rsid w:val="009B04F2"/>
    <w:rsid w:val="009B0A43"/>
    <w:rsid w:val="009B0DBE"/>
    <w:rsid w:val="009B123D"/>
    <w:rsid w:val="009B1462"/>
    <w:rsid w:val="009B1C1B"/>
    <w:rsid w:val="009B1E55"/>
    <w:rsid w:val="009B1EB7"/>
    <w:rsid w:val="009B21E5"/>
    <w:rsid w:val="009B35BF"/>
    <w:rsid w:val="009B4B37"/>
    <w:rsid w:val="009B4C3E"/>
    <w:rsid w:val="009B4D2F"/>
    <w:rsid w:val="009B5038"/>
    <w:rsid w:val="009B56BE"/>
    <w:rsid w:val="009B573C"/>
    <w:rsid w:val="009B6E0F"/>
    <w:rsid w:val="009B6FC0"/>
    <w:rsid w:val="009B7356"/>
    <w:rsid w:val="009B7A8A"/>
    <w:rsid w:val="009B7E1C"/>
    <w:rsid w:val="009C099B"/>
    <w:rsid w:val="009C0B86"/>
    <w:rsid w:val="009C1604"/>
    <w:rsid w:val="009C1ADB"/>
    <w:rsid w:val="009C3452"/>
    <w:rsid w:val="009C37BF"/>
    <w:rsid w:val="009C398A"/>
    <w:rsid w:val="009C4676"/>
    <w:rsid w:val="009C4DCF"/>
    <w:rsid w:val="009C5C73"/>
    <w:rsid w:val="009C5FC3"/>
    <w:rsid w:val="009C60E9"/>
    <w:rsid w:val="009C65B1"/>
    <w:rsid w:val="009C6629"/>
    <w:rsid w:val="009C6DDC"/>
    <w:rsid w:val="009C6E65"/>
    <w:rsid w:val="009C758C"/>
    <w:rsid w:val="009C7896"/>
    <w:rsid w:val="009D0530"/>
    <w:rsid w:val="009D0C23"/>
    <w:rsid w:val="009D0CF4"/>
    <w:rsid w:val="009D0D52"/>
    <w:rsid w:val="009D0E1C"/>
    <w:rsid w:val="009D140A"/>
    <w:rsid w:val="009D1A74"/>
    <w:rsid w:val="009D2988"/>
    <w:rsid w:val="009D2B87"/>
    <w:rsid w:val="009D3160"/>
    <w:rsid w:val="009D39E1"/>
    <w:rsid w:val="009D3D90"/>
    <w:rsid w:val="009D43C4"/>
    <w:rsid w:val="009D4C5D"/>
    <w:rsid w:val="009D508D"/>
    <w:rsid w:val="009D645F"/>
    <w:rsid w:val="009D6D3F"/>
    <w:rsid w:val="009D7206"/>
    <w:rsid w:val="009D7410"/>
    <w:rsid w:val="009D7601"/>
    <w:rsid w:val="009D7622"/>
    <w:rsid w:val="009D7D34"/>
    <w:rsid w:val="009E075E"/>
    <w:rsid w:val="009E1908"/>
    <w:rsid w:val="009E2463"/>
    <w:rsid w:val="009E24F0"/>
    <w:rsid w:val="009E2B4C"/>
    <w:rsid w:val="009E2C55"/>
    <w:rsid w:val="009E2E3F"/>
    <w:rsid w:val="009E2EA8"/>
    <w:rsid w:val="009E2FAC"/>
    <w:rsid w:val="009E3197"/>
    <w:rsid w:val="009E3A1D"/>
    <w:rsid w:val="009E44A4"/>
    <w:rsid w:val="009E4A34"/>
    <w:rsid w:val="009E4D58"/>
    <w:rsid w:val="009E4E3B"/>
    <w:rsid w:val="009E5198"/>
    <w:rsid w:val="009E59F4"/>
    <w:rsid w:val="009E5A45"/>
    <w:rsid w:val="009E6113"/>
    <w:rsid w:val="009E61B0"/>
    <w:rsid w:val="009E63F0"/>
    <w:rsid w:val="009E6B44"/>
    <w:rsid w:val="009E7BCD"/>
    <w:rsid w:val="009F012F"/>
    <w:rsid w:val="009F016E"/>
    <w:rsid w:val="009F056D"/>
    <w:rsid w:val="009F05AC"/>
    <w:rsid w:val="009F086C"/>
    <w:rsid w:val="009F1443"/>
    <w:rsid w:val="009F14F3"/>
    <w:rsid w:val="009F1544"/>
    <w:rsid w:val="009F1778"/>
    <w:rsid w:val="009F1EEE"/>
    <w:rsid w:val="009F239C"/>
    <w:rsid w:val="009F2545"/>
    <w:rsid w:val="009F2E88"/>
    <w:rsid w:val="009F4825"/>
    <w:rsid w:val="009F49FF"/>
    <w:rsid w:val="009F5B77"/>
    <w:rsid w:val="009F5CE6"/>
    <w:rsid w:val="009F60E0"/>
    <w:rsid w:val="009F6125"/>
    <w:rsid w:val="009F68A3"/>
    <w:rsid w:val="009F6B75"/>
    <w:rsid w:val="009F6C90"/>
    <w:rsid w:val="009F73D9"/>
    <w:rsid w:val="009F74DB"/>
    <w:rsid w:val="009F77DF"/>
    <w:rsid w:val="009F7813"/>
    <w:rsid w:val="009F78B6"/>
    <w:rsid w:val="00A00221"/>
    <w:rsid w:val="00A00437"/>
    <w:rsid w:val="00A00AB9"/>
    <w:rsid w:val="00A00DDA"/>
    <w:rsid w:val="00A01057"/>
    <w:rsid w:val="00A01385"/>
    <w:rsid w:val="00A01B4F"/>
    <w:rsid w:val="00A01B9D"/>
    <w:rsid w:val="00A02C0A"/>
    <w:rsid w:val="00A03652"/>
    <w:rsid w:val="00A03A2A"/>
    <w:rsid w:val="00A03B1A"/>
    <w:rsid w:val="00A03D17"/>
    <w:rsid w:val="00A04482"/>
    <w:rsid w:val="00A0480E"/>
    <w:rsid w:val="00A04844"/>
    <w:rsid w:val="00A04B36"/>
    <w:rsid w:val="00A050B2"/>
    <w:rsid w:val="00A05EC4"/>
    <w:rsid w:val="00A064E2"/>
    <w:rsid w:val="00A06ED8"/>
    <w:rsid w:val="00A07570"/>
    <w:rsid w:val="00A07B75"/>
    <w:rsid w:val="00A10103"/>
    <w:rsid w:val="00A104EC"/>
    <w:rsid w:val="00A11137"/>
    <w:rsid w:val="00A111EA"/>
    <w:rsid w:val="00A1135E"/>
    <w:rsid w:val="00A11447"/>
    <w:rsid w:val="00A11B67"/>
    <w:rsid w:val="00A11DEE"/>
    <w:rsid w:val="00A12996"/>
    <w:rsid w:val="00A12B28"/>
    <w:rsid w:val="00A12F3C"/>
    <w:rsid w:val="00A138E4"/>
    <w:rsid w:val="00A13EAB"/>
    <w:rsid w:val="00A143DD"/>
    <w:rsid w:val="00A162DF"/>
    <w:rsid w:val="00A16324"/>
    <w:rsid w:val="00A17013"/>
    <w:rsid w:val="00A175C6"/>
    <w:rsid w:val="00A178DD"/>
    <w:rsid w:val="00A17AF1"/>
    <w:rsid w:val="00A17B4D"/>
    <w:rsid w:val="00A17B91"/>
    <w:rsid w:val="00A17ED1"/>
    <w:rsid w:val="00A20220"/>
    <w:rsid w:val="00A20CAE"/>
    <w:rsid w:val="00A21440"/>
    <w:rsid w:val="00A216BF"/>
    <w:rsid w:val="00A21A99"/>
    <w:rsid w:val="00A21BFD"/>
    <w:rsid w:val="00A21C7C"/>
    <w:rsid w:val="00A22E21"/>
    <w:rsid w:val="00A22FBA"/>
    <w:rsid w:val="00A23269"/>
    <w:rsid w:val="00A23F95"/>
    <w:rsid w:val="00A25E6E"/>
    <w:rsid w:val="00A26462"/>
    <w:rsid w:val="00A265C3"/>
    <w:rsid w:val="00A26700"/>
    <w:rsid w:val="00A26B21"/>
    <w:rsid w:val="00A274E2"/>
    <w:rsid w:val="00A30B97"/>
    <w:rsid w:val="00A30BDB"/>
    <w:rsid w:val="00A31193"/>
    <w:rsid w:val="00A312FC"/>
    <w:rsid w:val="00A31F9A"/>
    <w:rsid w:val="00A3288D"/>
    <w:rsid w:val="00A32CA4"/>
    <w:rsid w:val="00A32D72"/>
    <w:rsid w:val="00A3307A"/>
    <w:rsid w:val="00A33B96"/>
    <w:rsid w:val="00A34BDA"/>
    <w:rsid w:val="00A358DC"/>
    <w:rsid w:val="00A362FE"/>
    <w:rsid w:val="00A37A3E"/>
    <w:rsid w:val="00A4164A"/>
    <w:rsid w:val="00A4189A"/>
    <w:rsid w:val="00A41C3D"/>
    <w:rsid w:val="00A41F2E"/>
    <w:rsid w:val="00A4265F"/>
    <w:rsid w:val="00A432A0"/>
    <w:rsid w:val="00A4354B"/>
    <w:rsid w:val="00A43EDD"/>
    <w:rsid w:val="00A43F0A"/>
    <w:rsid w:val="00A43FF9"/>
    <w:rsid w:val="00A4404B"/>
    <w:rsid w:val="00A44085"/>
    <w:rsid w:val="00A44220"/>
    <w:rsid w:val="00A465E9"/>
    <w:rsid w:val="00A46A4B"/>
    <w:rsid w:val="00A47774"/>
    <w:rsid w:val="00A47BC1"/>
    <w:rsid w:val="00A50899"/>
    <w:rsid w:val="00A508F1"/>
    <w:rsid w:val="00A50B69"/>
    <w:rsid w:val="00A512A2"/>
    <w:rsid w:val="00A5216F"/>
    <w:rsid w:val="00A52254"/>
    <w:rsid w:val="00A52401"/>
    <w:rsid w:val="00A5287D"/>
    <w:rsid w:val="00A539C0"/>
    <w:rsid w:val="00A550F7"/>
    <w:rsid w:val="00A559A4"/>
    <w:rsid w:val="00A55E33"/>
    <w:rsid w:val="00A562BE"/>
    <w:rsid w:val="00A56A4F"/>
    <w:rsid w:val="00A56DDE"/>
    <w:rsid w:val="00A5787F"/>
    <w:rsid w:val="00A57E73"/>
    <w:rsid w:val="00A60436"/>
    <w:rsid w:val="00A607D9"/>
    <w:rsid w:val="00A60C3A"/>
    <w:rsid w:val="00A619C8"/>
    <w:rsid w:val="00A621B7"/>
    <w:rsid w:val="00A63037"/>
    <w:rsid w:val="00A6323E"/>
    <w:rsid w:val="00A637A2"/>
    <w:rsid w:val="00A63AF3"/>
    <w:rsid w:val="00A6419E"/>
    <w:rsid w:val="00A64E8C"/>
    <w:rsid w:val="00A64EF8"/>
    <w:rsid w:val="00A65894"/>
    <w:rsid w:val="00A65E01"/>
    <w:rsid w:val="00A664B6"/>
    <w:rsid w:val="00A6677B"/>
    <w:rsid w:val="00A67643"/>
    <w:rsid w:val="00A6771B"/>
    <w:rsid w:val="00A67D1C"/>
    <w:rsid w:val="00A710AC"/>
    <w:rsid w:val="00A717AD"/>
    <w:rsid w:val="00A7186E"/>
    <w:rsid w:val="00A71FC9"/>
    <w:rsid w:val="00A725DB"/>
    <w:rsid w:val="00A7275A"/>
    <w:rsid w:val="00A73738"/>
    <w:rsid w:val="00A73D7C"/>
    <w:rsid w:val="00A73E8F"/>
    <w:rsid w:val="00A747DC"/>
    <w:rsid w:val="00A74904"/>
    <w:rsid w:val="00A74B57"/>
    <w:rsid w:val="00A74D4E"/>
    <w:rsid w:val="00A74E90"/>
    <w:rsid w:val="00A7511E"/>
    <w:rsid w:val="00A753BD"/>
    <w:rsid w:val="00A761EE"/>
    <w:rsid w:val="00A76B33"/>
    <w:rsid w:val="00A77933"/>
    <w:rsid w:val="00A77F98"/>
    <w:rsid w:val="00A80813"/>
    <w:rsid w:val="00A80EA4"/>
    <w:rsid w:val="00A81446"/>
    <w:rsid w:val="00A819BA"/>
    <w:rsid w:val="00A819DD"/>
    <w:rsid w:val="00A81C95"/>
    <w:rsid w:val="00A83A16"/>
    <w:rsid w:val="00A83CA5"/>
    <w:rsid w:val="00A83FDA"/>
    <w:rsid w:val="00A84336"/>
    <w:rsid w:val="00A84863"/>
    <w:rsid w:val="00A84EBD"/>
    <w:rsid w:val="00A84EDD"/>
    <w:rsid w:val="00A84F34"/>
    <w:rsid w:val="00A850D0"/>
    <w:rsid w:val="00A85382"/>
    <w:rsid w:val="00A85880"/>
    <w:rsid w:val="00A8620E"/>
    <w:rsid w:val="00A864E9"/>
    <w:rsid w:val="00A86CC9"/>
    <w:rsid w:val="00A86EAC"/>
    <w:rsid w:val="00A87906"/>
    <w:rsid w:val="00A87958"/>
    <w:rsid w:val="00A87E9E"/>
    <w:rsid w:val="00A901BE"/>
    <w:rsid w:val="00A904E2"/>
    <w:rsid w:val="00A90D2E"/>
    <w:rsid w:val="00A912E7"/>
    <w:rsid w:val="00A915A0"/>
    <w:rsid w:val="00A91E97"/>
    <w:rsid w:val="00A92BCF"/>
    <w:rsid w:val="00A93095"/>
    <w:rsid w:val="00A93246"/>
    <w:rsid w:val="00A93456"/>
    <w:rsid w:val="00A940BD"/>
    <w:rsid w:val="00A9479E"/>
    <w:rsid w:val="00A9520C"/>
    <w:rsid w:val="00A958FD"/>
    <w:rsid w:val="00A96085"/>
    <w:rsid w:val="00A96424"/>
    <w:rsid w:val="00A97744"/>
    <w:rsid w:val="00AA19A6"/>
    <w:rsid w:val="00AA1AED"/>
    <w:rsid w:val="00AA20B1"/>
    <w:rsid w:val="00AA262E"/>
    <w:rsid w:val="00AA2C89"/>
    <w:rsid w:val="00AA33FB"/>
    <w:rsid w:val="00AA3442"/>
    <w:rsid w:val="00AA3451"/>
    <w:rsid w:val="00AA3915"/>
    <w:rsid w:val="00AA43BD"/>
    <w:rsid w:val="00AA46E6"/>
    <w:rsid w:val="00AA48C1"/>
    <w:rsid w:val="00AA4B21"/>
    <w:rsid w:val="00AA5ADB"/>
    <w:rsid w:val="00AA604E"/>
    <w:rsid w:val="00AA60A4"/>
    <w:rsid w:val="00AA60F3"/>
    <w:rsid w:val="00AA6240"/>
    <w:rsid w:val="00AA6C66"/>
    <w:rsid w:val="00AA73A8"/>
    <w:rsid w:val="00AA7827"/>
    <w:rsid w:val="00AA7DBA"/>
    <w:rsid w:val="00AB006F"/>
    <w:rsid w:val="00AB0AFE"/>
    <w:rsid w:val="00AB0EA2"/>
    <w:rsid w:val="00AB1A9F"/>
    <w:rsid w:val="00AB29BA"/>
    <w:rsid w:val="00AB3037"/>
    <w:rsid w:val="00AB3184"/>
    <w:rsid w:val="00AB33F9"/>
    <w:rsid w:val="00AB362C"/>
    <w:rsid w:val="00AB3661"/>
    <w:rsid w:val="00AB3CEC"/>
    <w:rsid w:val="00AB3E8B"/>
    <w:rsid w:val="00AB4AFF"/>
    <w:rsid w:val="00AB4D98"/>
    <w:rsid w:val="00AB537C"/>
    <w:rsid w:val="00AB5887"/>
    <w:rsid w:val="00AB5B81"/>
    <w:rsid w:val="00AB5C13"/>
    <w:rsid w:val="00AB5D24"/>
    <w:rsid w:val="00AB600F"/>
    <w:rsid w:val="00AB64E5"/>
    <w:rsid w:val="00AB6C31"/>
    <w:rsid w:val="00AB7213"/>
    <w:rsid w:val="00AB7442"/>
    <w:rsid w:val="00AB76D7"/>
    <w:rsid w:val="00AB7900"/>
    <w:rsid w:val="00AB7B70"/>
    <w:rsid w:val="00AC0846"/>
    <w:rsid w:val="00AC1226"/>
    <w:rsid w:val="00AC1686"/>
    <w:rsid w:val="00AC179A"/>
    <w:rsid w:val="00AC24F6"/>
    <w:rsid w:val="00AC2875"/>
    <w:rsid w:val="00AC299E"/>
    <w:rsid w:val="00AC2DD1"/>
    <w:rsid w:val="00AC388B"/>
    <w:rsid w:val="00AC4647"/>
    <w:rsid w:val="00AC4DEB"/>
    <w:rsid w:val="00AC5C6A"/>
    <w:rsid w:val="00AC65AF"/>
    <w:rsid w:val="00AC679D"/>
    <w:rsid w:val="00AC68C9"/>
    <w:rsid w:val="00AC7052"/>
    <w:rsid w:val="00AC7703"/>
    <w:rsid w:val="00AC7721"/>
    <w:rsid w:val="00AC7AB4"/>
    <w:rsid w:val="00AC7E57"/>
    <w:rsid w:val="00AC7E75"/>
    <w:rsid w:val="00AD0558"/>
    <w:rsid w:val="00AD0958"/>
    <w:rsid w:val="00AD10E5"/>
    <w:rsid w:val="00AD1592"/>
    <w:rsid w:val="00AD1FF4"/>
    <w:rsid w:val="00AD23CC"/>
    <w:rsid w:val="00AD2EE8"/>
    <w:rsid w:val="00AD31EC"/>
    <w:rsid w:val="00AD339F"/>
    <w:rsid w:val="00AD35A4"/>
    <w:rsid w:val="00AD37F0"/>
    <w:rsid w:val="00AD3C2A"/>
    <w:rsid w:val="00AD3E6B"/>
    <w:rsid w:val="00AD4379"/>
    <w:rsid w:val="00AD44D9"/>
    <w:rsid w:val="00AD4C0B"/>
    <w:rsid w:val="00AD51BE"/>
    <w:rsid w:val="00AD5D9A"/>
    <w:rsid w:val="00AD5FB3"/>
    <w:rsid w:val="00AD6676"/>
    <w:rsid w:val="00AD6833"/>
    <w:rsid w:val="00AD6861"/>
    <w:rsid w:val="00AD715B"/>
    <w:rsid w:val="00AD77FA"/>
    <w:rsid w:val="00AD7B4D"/>
    <w:rsid w:val="00AD7F39"/>
    <w:rsid w:val="00AE1212"/>
    <w:rsid w:val="00AE1923"/>
    <w:rsid w:val="00AE1D4C"/>
    <w:rsid w:val="00AE252A"/>
    <w:rsid w:val="00AE48A4"/>
    <w:rsid w:val="00AE4F38"/>
    <w:rsid w:val="00AE507F"/>
    <w:rsid w:val="00AE5D92"/>
    <w:rsid w:val="00AE5F47"/>
    <w:rsid w:val="00AE6873"/>
    <w:rsid w:val="00AE6D21"/>
    <w:rsid w:val="00AE7F9B"/>
    <w:rsid w:val="00AF0F0A"/>
    <w:rsid w:val="00AF1434"/>
    <w:rsid w:val="00AF1DE2"/>
    <w:rsid w:val="00AF2806"/>
    <w:rsid w:val="00AF31A2"/>
    <w:rsid w:val="00AF3C6E"/>
    <w:rsid w:val="00AF406C"/>
    <w:rsid w:val="00AF4076"/>
    <w:rsid w:val="00AF428A"/>
    <w:rsid w:val="00AF498E"/>
    <w:rsid w:val="00AF4AF0"/>
    <w:rsid w:val="00AF4BBB"/>
    <w:rsid w:val="00AF4E90"/>
    <w:rsid w:val="00AF5912"/>
    <w:rsid w:val="00AF5D8B"/>
    <w:rsid w:val="00AF63E5"/>
    <w:rsid w:val="00AF7341"/>
    <w:rsid w:val="00B0036F"/>
    <w:rsid w:val="00B0063B"/>
    <w:rsid w:val="00B00F17"/>
    <w:rsid w:val="00B00FC3"/>
    <w:rsid w:val="00B01DB9"/>
    <w:rsid w:val="00B01E36"/>
    <w:rsid w:val="00B01E94"/>
    <w:rsid w:val="00B0234A"/>
    <w:rsid w:val="00B036AC"/>
    <w:rsid w:val="00B04C10"/>
    <w:rsid w:val="00B0575B"/>
    <w:rsid w:val="00B05FCA"/>
    <w:rsid w:val="00B068E4"/>
    <w:rsid w:val="00B068FF"/>
    <w:rsid w:val="00B06960"/>
    <w:rsid w:val="00B06E84"/>
    <w:rsid w:val="00B07609"/>
    <w:rsid w:val="00B07D30"/>
    <w:rsid w:val="00B115ED"/>
    <w:rsid w:val="00B117CB"/>
    <w:rsid w:val="00B117D7"/>
    <w:rsid w:val="00B12121"/>
    <w:rsid w:val="00B1217E"/>
    <w:rsid w:val="00B12732"/>
    <w:rsid w:val="00B13480"/>
    <w:rsid w:val="00B13785"/>
    <w:rsid w:val="00B13B8E"/>
    <w:rsid w:val="00B13DEF"/>
    <w:rsid w:val="00B142E0"/>
    <w:rsid w:val="00B14E3F"/>
    <w:rsid w:val="00B15237"/>
    <w:rsid w:val="00B15293"/>
    <w:rsid w:val="00B16423"/>
    <w:rsid w:val="00B16A9E"/>
    <w:rsid w:val="00B17198"/>
    <w:rsid w:val="00B20FA4"/>
    <w:rsid w:val="00B21EF0"/>
    <w:rsid w:val="00B231BC"/>
    <w:rsid w:val="00B23573"/>
    <w:rsid w:val="00B23ABE"/>
    <w:rsid w:val="00B23B67"/>
    <w:rsid w:val="00B23BE1"/>
    <w:rsid w:val="00B24B78"/>
    <w:rsid w:val="00B24C0D"/>
    <w:rsid w:val="00B24E5B"/>
    <w:rsid w:val="00B253CC"/>
    <w:rsid w:val="00B26797"/>
    <w:rsid w:val="00B26C98"/>
    <w:rsid w:val="00B26E4F"/>
    <w:rsid w:val="00B271E8"/>
    <w:rsid w:val="00B275D8"/>
    <w:rsid w:val="00B27AC3"/>
    <w:rsid w:val="00B27EC5"/>
    <w:rsid w:val="00B3067B"/>
    <w:rsid w:val="00B30BFE"/>
    <w:rsid w:val="00B313F6"/>
    <w:rsid w:val="00B32506"/>
    <w:rsid w:val="00B32CD4"/>
    <w:rsid w:val="00B32F66"/>
    <w:rsid w:val="00B32F7E"/>
    <w:rsid w:val="00B33678"/>
    <w:rsid w:val="00B33DDF"/>
    <w:rsid w:val="00B33E80"/>
    <w:rsid w:val="00B33FD6"/>
    <w:rsid w:val="00B343CF"/>
    <w:rsid w:val="00B34AFD"/>
    <w:rsid w:val="00B3512D"/>
    <w:rsid w:val="00B354E2"/>
    <w:rsid w:val="00B358C1"/>
    <w:rsid w:val="00B35DD5"/>
    <w:rsid w:val="00B36705"/>
    <w:rsid w:val="00B37073"/>
    <w:rsid w:val="00B37F97"/>
    <w:rsid w:val="00B40037"/>
    <w:rsid w:val="00B403F2"/>
    <w:rsid w:val="00B41861"/>
    <w:rsid w:val="00B4194B"/>
    <w:rsid w:val="00B41A1A"/>
    <w:rsid w:val="00B42107"/>
    <w:rsid w:val="00B42370"/>
    <w:rsid w:val="00B42739"/>
    <w:rsid w:val="00B440D1"/>
    <w:rsid w:val="00B44A28"/>
    <w:rsid w:val="00B4527C"/>
    <w:rsid w:val="00B453BC"/>
    <w:rsid w:val="00B457F9"/>
    <w:rsid w:val="00B45BBA"/>
    <w:rsid w:val="00B462D8"/>
    <w:rsid w:val="00B46347"/>
    <w:rsid w:val="00B46444"/>
    <w:rsid w:val="00B47432"/>
    <w:rsid w:val="00B4762E"/>
    <w:rsid w:val="00B4766C"/>
    <w:rsid w:val="00B507E3"/>
    <w:rsid w:val="00B520DE"/>
    <w:rsid w:val="00B52EAD"/>
    <w:rsid w:val="00B52F36"/>
    <w:rsid w:val="00B53343"/>
    <w:rsid w:val="00B5474A"/>
    <w:rsid w:val="00B54B97"/>
    <w:rsid w:val="00B550D4"/>
    <w:rsid w:val="00B55825"/>
    <w:rsid w:val="00B55E9E"/>
    <w:rsid w:val="00B571CA"/>
    <w:rsid w:val="00B57320"/>
    <w:rsid w:val="00B57321"/>
    <w:rsid w:val="00B574FC"/>
    <w:rsid w:val="00B577AE"/>
    <w:rsid w:val="00B600F2"/>
    <w:rsid w:val="00B60E24"/>
    <w:rsid w:val="00B61068"/>
    <w:rsid w:val="00B6118D"/>
    <w:rsid w:val="00B636FD"/>
    <w:rsid w:val="00B6471F"/>
    <w:rsid w:val="00B65759"/>
    <w:rsid w:val="00B65A9D"/>
    <w:rsid w:val="00B674BE"/>
    <w:rsid w:val="00B67A5D"/>
    <w:rsid w:val="00B67BF5"/>
    <w:rsid w:val="00B70240"/>
    <w:rsid w:val="00B706E0"/>
    <w:rsid w:val="00B70E68"/>
    <w:rsid w:val="00B71BEA"/>
    <w:rsid w:val="00B71D0E"/>
    <w:rsid w:val="00B71D2A"/>
    <w:rsid w:val="00B71D57"/>
    <w:rsid w:val="00B72616"/>
    <w:rsid w:val="00B72B0E"/>
    <w:rsid w:val="00B72CAF"/>
    <w:rsid w:val="00B7346A"/>
    <w:rsid w:val="00B7351F"/>
    <w:rsid w:val="00B73E32"/>
    <w:rsid w:val="00B743DF"/>
    <w:rsid w:val="00B744BA"/>
    <w:rsid w:val="00B74B6F"/>
    <w:rsid w:val="00B752A3"/>
    <w:rsid w:val="00B754ED"/>
    <w:rsid w:val="00B75640"/>
    <w:rsid w:val="00B75690"/>
    <w:rsid w:val="00B75B01"/>
    <w:rsid w:val="00B76191"/>
    <w:rsid w:val="00B77355"/>
    <w:rsid w:val="00B77E94"/>
    <w:rsid w:val="00B80265"/>
    <w:rsid w:val="00B80321"/>
    <w:rsid w:val="00B805B9"/>
    <w:rsid w:val="00B80E01"/>
    <w:rsid w:val="00B81361"/>
    <w:rsid w:val="00B8186C"/>
    <w:rsid w:val="00B826B3"/>
    <w:rsid w:val="00B83A02"/>
    <w:rsid w:val="00B85FC8"/>
    <w:rsid w:val="00B863E7"/>
    <w:rsid w:val="00B8778B"/>
    <w:rsid w:val="00B9031C"/>
    <w:rsid w:val="00B90653"/>
    <w:rsid w:val="00B90BB3"/>
    <w:rsid w:val="00B91035"/>
    <w:rsid w:val="00B925DB"/>
    <w:rsid w:val="00B92CAE"/>
    <w:rsid w:val="00B9333B"/>
    <w:rsid w:val="00B938E4"/>
    <w:rsid w:val="00B93E85"/>
    <w:rsid w:val="00B947BF"/>
    <w:rsid w:val="00B94BC1"/>
    <w:rsid w:val="00B94E55"/>
    <w:rsid w:val="00B94F87"/>
    <w:rsid w:val="00B951C1"/>
    <w:rsid w:val="00B9556E"/>
    <w:rsid w:val="00B95B14"/>
    <w:rsid w:val="00B95DC7"/>
    <w:rsid w:val="00B96502"/>
    <w:rsid w:val="00B96BF1"/>
    <w:rsid w:val="00B96C53"/>
    <w:rsid w:val="00B975CF"/>
    <w:rsid w:val="00BA0E91"/>
    <w:rsid w:val="00BA0F89"/>
    <w:rsid w:val="00BA1049"/>
    <w:rsid w:val="00BA15EC"/>
    <w:rsid w:val="00BA179D"/>
    <w:rsid w:val="00BA1A50"/>
    <w:rsid w:val="00BA1AFD"/>
    <w:rsid w:val="00BA1E95"/>
    <w:rsid w:val="00BA217B"/>
    <w:rsid w:val="00BA2A85"/>
    <w:rsid w:val="00BA2EC7"/>
    <w:rsid w:val="00BA3490"/>
    <w:rsid w:val="00BA4525"/>
    <w:rsid w:val="00BA4BFB"/>
    <w:rsid w:val="00BA51F6"/>
    <w:rsid w:val="00BA5B47"/>
    <w:rsid w:val="00BA5ED6"/>
    <w:rsid w:val="00BA648B"/>
    <w:rsid w:val="00BA6818"/>
    <w:rsid w:val="00BA6862"/>
    <w:rsid w:val="00BA77DE"/>
    <w:rsid w:val="00BA782E"/>
    <w:rsid w:val="00BA7A25"/>
    <w:rsid w:val="00BB05F4"/>
    <w:rsid w:val="00BB0630"/>
    <w:rsid w:val="00BB12F6"/>
    <w:rsid w:val="00BB13AC"/>
    <w:rsid w:val="00BB2485"/>
    <w:rsid w:val="00BB3436"/>
    <w:rsid w:val="00BB3A7C"/>
    <w:rsid w:val="00BB3D9E"/>
    <w:rsid w:val="00BB48F9"/>
    <w:rsid w:val="00BB4D20"/>
    <w:rsid w:val="00BB51DC"/>
    <w:rsid w:val="00BB5776"/>
    <w:rsid w:val="00BB5ACB"/>
    <w:rsid w:val="00BB5B56"/>
    <w:rsid w:val="00BB6172"/>
    <w:rsid w:val="00BB62E3"/>
    <w:rsid w:val="00BB6853"/>
    <w:rsid w:val="00BB6B0B"/>
    <w:rsid w:val="00BB6C0B"/>
    <w:rsid w:val="00BB6DEB"/>
    <w:rsid w:val="00BB6F1C"/>
    <w:rsid w:val="00BB7538"/>
    <w:rsid w:val="00BB753B"/>
    <w:rsid w:val="00BB772D"/>
    <w:rsid w:val="00BB7DA0"/>
    <w:rsid w:val="00BB7EAC"/>
    <w:rsid w:val="00BC091B"/>
    <w:rsid w:val="00BC13E1"/>
    <w:rsid w:val="00BC23C0"/>
    <w:rsid w:val="00BC265B"/>
    <w:rsid w:val="00BC265E"/>
    <w:rsid w:val="00BC2978"/>
    <w:rsid w:val="00BC3563"/>
    <w:rsid w:val="00BC3677"/>
    <w:rsid w:val="00BC5C51"/>
    <w:rsid w:val="00BC60E1"/>
    <w:rsid w:val="00BC63AD"/>
    <w:rsid w:val="00BC6794"/>
    <w:rsid w:val="00BC730B"/>
    <w:rsid w:val="00BC7C23"/>
    <w:rsid w:val="00BD0750"/>
    <w:rsid w:val="00BD0DE3"/>
    <w:rsid w:val="00BD0E33"/>
    <w:rsid w:val="00BD1C8B"/>
    <w:rsid w:val="00BD1D83"/>
    <w:rsid w:val="00BD27DF"/>
    <w:rsid w:val="00BD2828"/>
    <w:rsid w:val="00BD35F1"/>
    <w:rsid w:val="00BD37BA"/>
    <w:rsid w:val="00BD383C"/>
    <w:rsid w:val="00BD45DA"/>
    <w:rsid w:val="00BD4720"/>
    <w:rsid w:val="00BD4CCC"/>
    <w:rsid w:val="00BD4EE6"/>
    <w:rsid w:val="00BD5BC3"/>
    <w:rsid w:val="00BD5CA3"/>
    <w:rsid w:val="00BD601C"/>
    <w:rsid w:val="00BD70AE"/>
    <w:rsid w:val="00BE0DCB"/>
    <w:rsid w:val="00BE1859"/>
    <w:rsid w:val="00BE24E9"/>
    <w:rsid w:val="00BE2CF2"/>
    <w:rsid w:val="00BE2D0C"/>
    <w:rsid w:val="00BE538C"/>
    <w:rsid w:val="00BE5CC6"/>
    <w:rsid w:val="00BE5FDD"/>
    <w:rsid w:val="00BE6339"/>
    <w:rsid w:val="00BE6738"/>
    <w:rsid w:val="00BE6981"/>
    <w:rsid w:val="00BE6A48"/>
    <w:rsid w:val="00BE756C"/>
    <w:rsid w:val="00BE7822"/>
    <w:rsid w:val="00BE7934"/>
    <w:rsid w:val="00BE7AC2"/>
    <w:rsid w:val="00BF01F1"/>
    <w:rsid w:val="00BF04AD"/>
    <w:rsid w:val="00BF07D6"/>
    <w:rsid w:val="00BF07EA"/>
    <w:rsid w:val="00BF16B9"/>
    <w:rsid w:val="00BF1740"/>
    <w:rsid w:val="00BF181A"/>
    <w:rsid w:val="00BF1A83"/>
    <w:rsid w:val="00BF1D78"/>
    <w:rsid w:val="00BF1E65"/>
    <w:rsid w:val="00BF2184"/>
    <w:rsid w:val="00BF2338"/>
    <w:rsid w:val="00BF27BB"/>
    <w:rsid w:val="00BF381C"/>
    <w:rsid w:val="00BF3965"/>
    <w:rsid w:val="00BF4733"/>
    <w:rsid w:val="00BF498B"/>
    <w:rsid w:val="00BF4EB8"/>
    <w:rsid w:val="00BF5D42"/>
    <w:rsid w:val="00BF6690"/>
    <w:rsid w:val="00BF7E99"/>
    <w:rsid w:val="00C00032"/>
    <w:rsid w:val="00C00469"/>
    <w:rsid w:val="00C0047B"/>
    <w:rsid w:val="00C010FA"/>
    <w:rsid w:val="00C012AA"/>
    <w:rsid w:val="00C01807"/>
    <w:rsid w:val="00C01BB0"/>
    <w:rsid w:val="00C021A6"/>
    <w:rsid w:val="00C03FC3"/>
    <w:rsid w:val="00C042FB"/>
    <w:rsid w:val="00C05422"/>
    <w:rsid w:val="00C05541"/>
    <w:rsid w:val="00C0591B"/>
    <w:rsid w:val="00C059F2"/>
    <w:rsid w:val="00C0643E"/>
    <w:rsid w:val="00C06AC7"/>
    <w:rsid w:val="00C06FD8"/>
    <w:rsid w:val="00C07AE4"/>
    <w:rsid w:val="00C10414"/>
    <w:rsid w:val="00C10E4A"/>
    <w:rsid w:val="00C10F84"/>
    <w:rsid w:val="00C11958"/>
    <w:rsid w:val="00C11E76"/>
    <w:rsid w:val="00C121E3"/>
    <w:rsid w:val="00C129C1"/>
    <w:rsid w:val="00C13EC6"/>
    <w:rsid w:val="00C14145"/>
    <w:rsid w:val="00C14D49"/>
    <w:rsid w:val="00C15346"/>
    <w:rsid w:val="00C15E18"/>
    <w:rsid w:val="00C16DA8"/>
    <w:rsid w:val="00C1791A"/>
    <w:rsid w:val="00C17D16"/>
    <w:rsid w:val="00C202DC"/>
    <w:rsid w:val="00C20431"/>
    <w:rsid w:val="00C20D32"/>
    <w:rsid w:val="00C20DA8"/>
    <w:rsid w:val="00C20DF3"/>
    <w:rsid w:val="00C21563"/>
    <w:rsid w:val="00C21792"/>
    <w:rsid w:val="00C21910"/>
    <w:rsid w:val="00C2200C"/>
    <w:rsid w:val="00C224D0"/>
    <w:rsid w:val="00C22E4B"/>
    <w:rsid w:val="00C23E65"/>
    <w:rsid w:val="00C240D2"/>
    <w:rsid w:val="00C24886"/>
    <w:rsid w:val="00C24A19"/>
    <w:rsid w:val="00C24A20"/>
    <w:rsid w:val="00C24ADB"/>
    <w:rsid w:val="00C25770"/>
    <w:rsid w:val="00C2620F"/>
    <w:rsid w:val="00C262DD"/>
    <w:rsid w:val="00C2636E"/>
    <w:rsid w:val="00C268C6"/>
    <w:rsid w:val="00C27904"/>
    <w:rsid w:val="00C27F83"/>
    <w:rsid w:val="00C3074B"/>
    <w:rsid w:val="00C30904"/>
    <w:rsid w:val="00C318AF"/>
    <w:rsid w:val="00C321FC"/>
    <w:rsid w:val="00C324F0"/>
    <w:rsid w:val="00C3267E"/>
    <w:rsid w:val="00C327BC"/>
    <w:rsid w:val="00C3385B"/>
    <w:rsid w:val="00C33C75"/>
    <w:rsid w:val="00C33F3D"/>
    <w:rsid w:val="00C34193"/>
    <w:rsid w:val="00C34711"/>
    <w:rsid w:val="00C35323"/>
    <w:rsid w:val="00C35747"/>
    <w:rsid w:val="00C35A2D"/>
    <w:rsid w:val="00C3671C"/>
    <w:rsid w:val="00C368B2"/>
    <w:rsid w:val="00C36FB7"/>
    <w:rsid w:val="00C37102"/>
    <w:rsid w:val="00C37A49"/>
    <w:rsid w:val="00C40850"/>
    <w:rsid w:val="00C4192E"/>
    <w:rsid w:val="00C4227F"/>
    <w:rsid w:val="00C43770"/>
    <w:rsid w:val="00C43DB2"/>
    <w:rsid w:val="00C43F3C"/>
    <w:rsid w:val="00C44B2F"/>
    <w:rsid w:val="00C4508E"/>
    <w:rsid w:val="00C45ADD"/>
    <w:rsid w:val="00C46477"/>
    <w:rsid w:val="00C46905"/>
    <w:rsid w:val="00C4690C"/>
    <w:rsid w:val="00C4786D"/>
    <w:rsid w:val="00C478FD"/>
    <w:rsid w:val="00C47DE2"/>
    <w:rsid w:val="00C50543"/>
    <w:rsid w:val="00C505BA"/>
    <w:rsid w:val="00C5085D"/>
    <w:rsid w:val="00C509B4"/>
    <w:rsid w:val="00C512A2"/>
    <w:rsid w:val="00C51566"/>
    <w:rsid w:val="00C5157D"/>
    <w:rsid w:val="00C51C34"/>
    <w:rsid w:val="00C52281"/>
    <w:rsid w:val="00C52CEE"/>
    <w:rsid w:val="00C530B7"/>
    <w:rsid w:val="00C53203"/>
    <w:rsid w:val="00C53C97"/>
    <w:rsid w:val="00C56DA7"/>
    <w:rsid w:val="00C56EA1"/>
    <w:rsid w:val="00C57A60"/>
    <w:rsid w:val="00C57BE5"/>
    <w:rsid w:val="00C57C31"/>
    <w:rsid w:val="00C60D5C"/>
    <w:rsid w:val="00C61102"/>
    <w:rsid w:val="00C61EC0"/>
    <w:rsid w:val="00C620C3"/>
    <w:rsid w:val="00C624A9"/>
    <w:rsid w:val="00C62B22"/>
    <w:rsid w:val="00C63304"/>
    <w:rsid w:val="00C63B94"/>
    <w:rsid w:val="00C63BC0"/>
    <w:rsid w:val="00C63D1F"/>
    <w:rsid w:val="00C63D7F"/>
    <w:rsid w:val="00C64D09"/>
    <w:rsid w:val="00C6582D"/>
    <w:rsid w:val="00C65AE0"/>
    <w:rsid w:val="00C661CD"/>
    <w:rsid w:val="00C663A7"/>
    <w:rsid w:val="00C66614"/>
    <w:rsid w:val="00C66925"/>
    <w:rsid w:val="00C66FFA"/>
    <w:rsid w:val="00C6779C"/>
    <w:rsid w:val="00C67BA4"/>
    <w:rsid w:val="00C709A2"/>
    <w:rsid w:val="00C7112E"/>
    <w:rsid w:val="00C71928"/>
    <w:rsid w:val="00C71A7E"/>
    <w:rsid w:val="00C71C06"/>
    <w:rsid w:val="00C72009"/>
    <w:rsid w:val="00C7346A"/>
    <w:rsid w:val="00C736A6"/>
    <w:rsid w:val="00C73BEB"/>
    <w:rsid w:val="00C73F09"/>
    <w:rsid w:val="00C7524C"/>
    <w:rsid w:val="00C759CB"/>
    <w:rsid w:val="00C762D7"/>
    <w:rsid w:val="00C766FC"/>
    <w:rsid w:val="00C76D6D"/>
    <w:rsid w:val="00C77248"/>
    <w:rsid w:val="00C776FD"/>
    <w:rsid w:val="00C77C40"/>
    <w:rsid w:val="00C8020F"/>
    <w:rsid w:val="00C804E2"/>
    <w:rsid w:val="00C81842"/>
    <w:rsid w:val="00C8225E"/>
    <w:rsid w:val="00C823CB"/>
    <w:rsid w:val="00C826EE"/>
    <w:rsid w:val="00C82B3B"/>
    <w:rsid w:val="00C82CB0"/>
    <w:rsid w:val="00C83948"/>
    <w:rsid w:val="00C83FC0"/>
    <w:rsid w:val="00C84351"/>
    <w:rsid w:val="00C848BA"/>
    <w:rsid w:val="00C84F98"/>
    <w:rsid w:val="00C852CD"/>
    <w:rsid w:val="00C85810"/>
    <w:rsid w:val="00C85898"/>
    <w:rsid w:val="00C85A8A"/>
    <w:rsid w:val="00C86A07"/>
    <w:rsid w:val="00C8799A"/>
    <w:rsid w:val="00C903B9"/>
    <w:rsid w:val="00C9072A"/>
    <w:rsid w:val="00C912F5"/>
    <w:rsid w:val="00C91C46"/>
    <w:rsid w:val="00C92372"/>
    <w:rsid w:val="00C93087"/>
    <w:rsid w:val="00C935C5"/>
    <w:rsid w:val="00C93944"/>
    <w:rsid w:val="00C9424C"/>
    <w:rsid w:val="00C94546"/>
    <w:rsid w:val="00C94660"/>
    <w:rsid w:val="00C94796"/>
    <w:rsid w:val="00C94C8D"/>
    <w:rsid w:val="00C951F5"/>
    <w:rsid w:val="00C955D7"/>
    <w:rsid w:val="00C95736"/>
    <w:rsid w:val="00C95F4E"/>
    <w:rsid w:val="00C96502"/>
    <w:rsid w:val="00C96D8A"/>
    <w:rsid w:val="00C96FF8"/>
    <w:rsid w:val="00C971AB"/>
    <w:rsid w:val="00C97C88"/>
    <w:rsid w:val="00CA043B"/>
    <w:rsid w:val="00CA062B"/>
    <w:rsid w:val="00CA0C6E"/>
    <w:rsid w:val="00CA0CFC"/>
    <w:rsid w:val="00CA1D40"/>
    <w:rsid w:val="00CA2076"/>
    <w:rsid w:val="00CA2AFD"/>
    <w:rsid w:val="00CA2BA3"/>
    <w:rsid w:val="00CA2E6A"/>
    <w:rsid w:val="00CA301A"/>
    <w:rsid w:val="00CA3981"/>
    <w:rsid w:val="00CA4024"/>
    <w:rsid w:val="00CA46A4"/>
    <w:rsid w:val="00CA4B8E"/>
    <w:rsid w:val="00CA4CB1"/>
    <w:rsid w:val="00CA57FE"/>
    <w:rsid w:val="00CA5A78"/>
    <w:rsid w:val="00CA6399"/>
    <w:rsid w:val="00CA64DD"/>
    <w:rsid w:val="00CA68D4"/>
    <w:rsid w:val="00CB0479"/>
    <w:rsid w:val="00CB0A16"/>
    <w:rsid w:val="00CB0CC8"/>
    <w:rsid w:val="00CB1696"/>
    <w:rsid w:val="00CB1DCD"/>
    <w:rsid w:val="00CB2774"/>
    <w:rsid w:val="00CB2A32"/>
    <w:rsid w:val="00CB4562"/>
    <w:rsid w:val="00CB47F9"/>
    <w:rsid w:val="00CB4E03"/>
    <w:rsid w:val="00CB5679"/>
    <w:rsid w:val="00CB5713"/>
    <w:rsid w:val="00CB5F3C"/>
    <w:rsid w:val="00CB68A2"/>
    <w:rsid w:val="00CB731B"/>
    <w:rsid w:val="00CB7F3B"/>
    <w:rsid w:val="00CC01EB"/>
    <w:rsid w:val="00CC03AE"/>
    <w:rsid w:val="00CC0A7F"/>
    <w:rsid w:val="00CC150E"/>
    <w:rsid w:val="00CC250D"/>
    <w:rsid w:val="00CC25FD"/>
    <w:rsid w:val="00CC2CA2"/>
    <w:rsid w:val="00CC31C4"/>
    <w:rsid w:val="00CC327F"/>
    <w:rsid w:val="00CC3697"/>
    <w:rsid w:val="00CC3D07"/>
    <w:rsid w:val="00CC41B7"/>
    <w:rsid w:val="00CC474A"/>
    <w:rsid w:val="00CC4C03"/>
    <w:rsid w:val="00CC52EC"/>
    <w:rsid w:val="00CC57D3"/>
    <w:rsid w:val="00CC5F28"/>
    <w:rsid w:val="00CC61AA"/>
    <w:rsid w:val="00CC6D64"/>
    <w:rsid w:val="00CC71A0"/>
    <w:rsid w:val="00CC75C2"/>
    <w:rsid w:val="00CC778A"/>
    <w:rsid w:val="00CC7F41"/>
    <w:rsid w:val="00CD0246"/>
    <w:rsid w:val="00CD05A3"/>
    <w:rsid w:val="00CD0842"/>
    <w:rsid w:val="00CD134D"/>
    <w:rsid w:val="00CD157B"/>
    <w:rsid w:val="00CD21B3"/>
    <w:rsid w:val="00CD2323"/>
    <w:rsid w:val="00CD23D6"/>
    <w:rsid w:val="00CD2656"/>
    <w:rsid w:val="00CD2ADC"/>
    <w:rsid w:val="00CD365A"/>
    <w:rsid w:val="00CD3F18"/>
    <w:rsid w:val="00CD442A"/>
    <w:rsid w:val="00CD45E3"/>
    <w:rsid w:val="00CD4B8D"/>
    <w:rsid w:val="00CD4F71"/>
    <w:rsid w:val="00CD5857"/>
    <w:rsid w:val="00CD5FFD"/>
    <w:rsid w:val="00CD688F"/>
    <w:rsid w:val="00CE02E6"/>
    <w:rsid w:val="00CE1043"/>
    <w:rsid w:val="00CE151A"/>
    <w:rsid w:val="00CE1EC6"/>
    <w:rsid w:val="00CE1F54"/>
    <w:rsid w:val="00CE24FA"/>
    <w:rsid w:val="00CE31E5"/>
    <w:rsid w:val="00CE3564"/>
    <w:rsid w:val="00CE36BB"/>
    <w:rsid w:val="00CE495D"/>
    <w:rsid w:val="00CE49BA"/>
    <w:rsid w:val="00CE4F45"/>
    <w:rsid w:val="00CE51F8"/>
    <w:rsid w:val="00CE628D"/>
    <w:rsid w:val="00CE6528"/>
    <w:rsid w:val="00CE67DA"/>
    <w:rsid w:val="00CE6804"/>
    <w:rsid w:val="00CE6B16"/>
    <w:rsid w:val="00CE6BB0"/>
    <w:rsid w:val="00CE6C89"/>
    <w:rsid w:val="00CE6F27"/>
    <w:rsid w:val="00CE79FE"/>
    <w:rsid w:val="00CE7E16"/>
    <w:rsid w:val="00CF010F"/>
    <w:rsid w:val="00CF072B"/>
    <w:rsid w:val="00CF0ADD"/>
    <w:rsid w:val="00CF0AFE"/>
    <w:rsid w:val="00CF0D20"/>
    <w:rsid w:val="00CF2363"/>
    <w:rsid w:val="00CF23EE"/>
    <w:rsid w:val="00CF28EE"/>
    <w:rsid w:val="00CF3159"/>
    <w:rsid w:val="00CF402D"/>
    <w:rsid w:val="00CF431B"/>
    <w:rsid w:val="00CF4820"/>
    <w:rsid w:val="00CF5388"/>
    <w:rsid w:val="00CF5577"/>
    <w:rsid w:val="00CF5DAF"/>
    <w:rsid w:val="00CF61B5"/>
    <w:rsid w:val="00CF62A8"/>
    <w:rsid w:val="00CF6DF4"/>
    <w:rsid w:val="00CF6EA7"/>
    <w:rsid w:val="00CF7684"/>
    <w:rsid w:val="00D0212E"/>
    <w:rsid w:val="00D0225B"/>
    <w:rsid w:val="00D02A19"/>
    <w:rsid w:val="00D04F7B"/>
    <w:rsid w:val="00D0512C"/>
    <w:rsid w:val="00D05456"/>
    <w:rsid w:val="00D05E29"/>
    <w:rsid w:val="00D06211"/>
    <w:rsid w:val="00D06DF6"/>
    <w:rsid w:val="00D06E9F"/>
    <w:rsid w:val="00D06FFF"/>
    <w:rsid w:val="00D0757E"/>
    <w:rsid w:val="00D07B7D"/>
    <w:rsid w:val="00D07E7E"/>
    <w:rsid w:val="00D113E7"/>
    <w:rsid w:val="00D116F0"/>
    <w:rsid w:val="00D119B8"/>
    <w:rsid w:val="00D11B26"/>
    <w:rsid w:val="00D122BD"/>
    <w:rsid w:val="00D12A77"/>
    <w:rsid w:val="00D12AB4"/>
    <w:rsid w:val="00D12E24"/>
    <w:rsid w:val="00D13CD4"/>
    <w:rsid w:val="00D13DBC"/>
    <w:rsid w:val="00D14332"/>
    <w:rsid w:val="00D15178"/>
    <w:rsid w:val="00D1522A"/>
    <w:rsid w:val="00D15B0C"/>
    <w:rsid w:val="00D167E6"/>
    <w:rsid w:val="00D16F9B"/>
    <w:rsid w:val="00D17611"/>
    <w:rsid w:val="00D17E36"/>
    <w:rsid w:val="00D200B1"/>
    <w:rsid w:val="00D201F2"/>
    <w:rsid w:val="00D20389"/>
    <w:rsid w:val="00D214CE"/>
    <w:rsid w:val="00D21901"/>
    <w:rsid w:val="00D21A5A"/>
    <w:rsid w:val="00D21DA4"/>
    <w:rsid w:val="00D22863"/>
    <w:rsid w:val="00D22A36"/>
    <w:rsid w:val="00D23502"/>
    <w:rsid w:val="00D24778"/>
    <w:rsid w:val="00D25322"/>
    <w:rsid w:val="00D25ADF"/>
    <w:rsid w:val="00D25BE6"/>
    <w:rsid w:val="00D25C2E"/>
    <w:rsid w:val="00D25FFA"/>
    <w:rsid w:val="00D26186"/>
    <w:rsid w:val="00D264A4"/>
    <w:rsid w:val="00D26DF4"/>
    <w:rsid w:val="00D26E87"/>
    <w:rsid w:val="00D27086"/>
    <w:rsid w:val="00D27715"/>
    <w:rsid w:val="00D27CDB"/>
    <w:rsid w:val="00D301B3"/>
    <w:rsid w:val="00D30458"/>
    <w:rsid w:val="00D30B67"/>
    <w:rsid w:val="00D30D2F"/>
    <w:rsid w:val="00D31529"/>
    <w:rsid w:val="00D3190D"/>
    <w:rsid w:val="00D3255F"/>
    <w:rsid w:val="00D3345B"/>
    <w:rsid w:val="00D334F0"/>
    <w:rsid w:val="00D33974"/>
    <w:rsid w:val="00D33C7E"/>
    <w:rsid w:val="00D34005"/>
    <w:rsid w:val="00D346EB"/>
    <w:rsid w:val="00D35DEF"/>
    <w:rsid w:val="00D35F0E"/>
    <w:rsid w:val="00D362D1"/>
    <w:rsid w:val="00D36FEC"/>
    <w:rsid w:val="00D3723B"/>
    <w:rsid w:val="00D377B1"/>
    <w:rsid w:val="00D37996"/>
    <w:rsid w:val="00D37DF7"/>
    <w:rsid w:val="00D405B2"/>
    <w:rsid w:val="00D40E5F"/>
    <w:rsid w:val="00D4101C"/>
    <w:rsid w:val="00D4115A"/>
    <w:rsid w:val="00D411AB"/>
    <w:rsid w:val="00D41BD7"/>
    <w:rsid w:val="00D41E32"/>
    <w:rsid w:val="00D42078"/>
    <w:rsid w:val="00D421C9"/>
    <w:rsid w:val="00D42CC1"/>
    <w:rsid w:val="00D42F6C"/>
    <w:rsid w:val="00D43A1F"/>
    <w:rsid w:val="00D44755"/>
    <w:rsid w:val="00D44B50"/>
    <w:rsid w:val="00D45EDA"/>
    <w:rsid w:val="00D45F80"/>
    <w:rsid w:val="00D46126"/>
    <w:rsid w:val="00D5032A"/>
    <w:rsid w:val="00D508A9"/>
    <w:rsid w:val="00D50DFF"/>
    <w:rsid w:val="00D512A4"/>
    <w:rsid w:val="00D5133C"/>
    <w:rsid w:val="00D5138A"/>
    <w:rsid w:val="00D51A7A"/>
    <w:rsid w:val="00D521C2"/>
    <w:rsid w:val="00D53401"/>
    <w:rsid w:val="00D5370C"/>
    <w:rsid w:val="00D53A72"/>
    <w:rsid w:val="00D54213"/>
    <w:rsid w:val="00D54416"/>
    <w:rsid w:val="00D54F96"/>
    <w:rsid w:val="00D5509A"/>
    <w:rsid w:val="00D5545B"/>
    <w:rsid w:val="00D557D8"/>
    <w:rsid w:val="00D56CC0"/>
    <w:rsid w:val="00D57027"/>
    <w:rsid w:val="00D578DF"/>
    <w:rsid w:val="00D60147"/>
    <w:rsid w:val="00D60291"/>
    <w:rsid w:val="00D60DEF"/>
    <w:rsid w:val="00D61D9D"/>
    <w:rsid w:val="00D6217D"/>
    <w:rsid w:val="00D6231B"/>
    <w:rsid w:val="00D625C5"/>
    <w:rsid w:val="00D62DFA"/>
    <w:rsid w:val="00D63ACC"/>
    <w:rsid w:val="00D663F0"/>
    <w:rsid w:val="00D66636"/>
    <w:rsid w:val="00D66949"/>
    <w:rsid w:val="00D672C4"/>
    <w:rsid w:val="00D67658"/>
    <w:rsid w:val="00D67A60"/>
    <w:rsid w:val="00D70016"/>
    <w:rsid w:val="00D70178"/>
    <w:rsid w:val="00D701D4"/>
    <w:rsid w:val="00D7100B"/>
    <w:rsid w:val="00D71336"/>
    <w:rsid w:val="00D71461"/>
    <w:rsid w:val="00D71471"/>
    <w:rsid w:val="00D71590"/>
    <w:rsid w:val="00D71AF4"/>
    <w:rsid w:val="00D71C56"/>
    <w:rsid w:val="00D73963"/>
    <w:rsid w:val="00D73C72"/>
    <w:rsid w:val="00D73DDB"/>
    <w:rsid w:val="00D7519D"/>
    <w:rsid w:val="00D75281"/>
    <w:rsid w:val="00D75B25"/>
    <w:rsid w:val="00D75D19"/>
    <w:rsid w:val="00D7657C"/>
    <w:rsid w:val="00D7676B"/>
    <w:rsid w:val="00D76BAD"/>
    <w:rsid w:val="00D76E8B"/>
    <w:rsid w:val="00D7706C"/>
    <w:rsid w:val="00D77359"/>
    <w:rsid w:val="00D77433"/>
    <w:rsid w:val="00D80F0E"/>
    <w:rsid w:val="00D810BB"/>
    <w:rsid w:val="00D81801"/>
    <w:rsid w:val="00D8205D"/>
    <w:rsid w:val="00D82646"/>
    <w:rsid w:val="00D82A69"/>
    <w:rsid w:val="00D83B93"/>
    <w:rsid w:val="00D844C1"/>
    <w:rsid w:val="00D846FB"/>
    <w:rsid w:val="00D847F9"/>
    <w:rsid w:val="00D84B28"/>
    <w:rsid w:val="00D84E58"/>
    <w:rsid w:val="00D85309"/>
    <w:rsid w:val="00D8567A"/>
    <w:rsid w:val="00D860C6"/>
    <w:rsid w:val="00D86512"/>
    <w:rsid w:val="00D86695"/>
    <w:rsid w:val="00D867A8"/>
    <w:rsid w:val="00D86A06"/>
    <w:rsid w:val="00D86ABB"/>
    <w:rsid w:val="00D86AD8"/>
    <w:rsid w:val="00D87080"/>
    <w:rsid w:val="00D87115"/>
    <w:rsid w:val="00D879C1"/>
    <w:rsid w:val="00D87D24"/>
    <w:rsid w:val="00D90453"/>
    <w:rsid w:val="00D90A07"/>
    <w:rsid w:val="00D90A77"/>
    <w:rsid w:val="00D90BA1"/>
    <w:rsid w:val="00D91911"/>
    <w:rsid w:val="00D919E3"/>
    <w:rsid w:val="00D91B8A"/>
    <w:rsid w:val="00D91D38"/>
    <w:rsid w:val="00D9376B"/>
    <w:rsid w:val="00D937CC"/>
    <w:rsid w:val="00D93E53"/>
    <w:rsid w:val="00D93EA5"/>
    <w:rsid w:val="00D93F56"/>
    <w:rsid w:val="00D9449B"/>
    <w:rsid w:val="00D94A33"/>
    <w:rsid w:val="00D94BC1"/>
    <w:rsid w:val="00D9550F"/>
    <w:rsid w:val="00D9562E"/>
    <w:rsid w:val="00D95B44"/>
    <w:rsid w:val="00D97CB3"/>
    <w:rsid w:val="00DA037D"/>
    <w:rsid w:val="00DA06CD"/>
    <w:rsid w:val="00DA182E"/>
    <w:rsid w:val="00DA18A4"/>
    <w:rsid w:val="00DA1E23"/>
    <w:rsid w:val="00DA30CC"/>
    <w:rsid w:val="00DA32AF"/>
    <w:rsid w:val="00DA33EF"/>
    <w:rsid w:val="00DA35AD"/>
    <w:rsid w:val="00DA3A33"/>
    <w:rsid w:val="00DA3EAD"/>
    <w:rsid w:val="00DA4370"/>
    <w:rsid w:val="00DA44F1"/>
    <w:rsid w:val="00DA477A"/>
    <w:rsid w:val="00DA4973"/>
    <w:rsid w:val="00DA5172"/>
    <w:rsid w:val="00DA5259"/>
    <w:rsid w:val="00DA545B"/>
    <w:rsid w:val="00DA5925"/>
    <w:rsid w:val="00DA67B4"/>
    <w:rsid w:val="00DA6B61"/>
    <w:rsid w:val="00DA6CF4"/>
    <w:rsid w:val="00DA70E8"/>
    <w:rsid w:val="00DA73AF"/>
    <w:rsid w:val="00DA7CFE"/>
    <w:rsid w:val="00DB0056"/>
    <w:rsid w:val="00DB016D"/>
    <w:rsid w:val="00DB0DD9"/>
    <w:rsid w:val="00DB30F4"/>
    <w:rsid w:val="00DB3165"/>
    <w:rsid w:val="00DB34B8"/>
    <w:rsid w:val="00DB38FF"/>
    <w:rsid w:val="00DB3A12"/>
    <w:rsid w:val="00DB3D95"/>
    <w:rsid w:val="00DB49CD"/>
    <w:rsid w:val="00DB59FC"/>
    <w:rsid w:val="00DB6CA0"/>
    <w:rsid w:val="00DB6E07"/>
    <w:rsid w:val="00DB73D7"/>
    <w:rsid w:val="00DB7934"/>
    <w:rsid w:val="00DB7ED2"/>
    <w:rsid w:val="00DC0D2B"/>
    <w:rsid w:val="00DC18B2"/>
    <w:rsid w:val="00DC1926"/>
    <w:rsid w:val="00DC1B1E"/>
    <w:rsid w:val="00DC1C01"/>
    <w:rsid w:val="00DC1E36"/>
    <w:rsid w:val="00DC274D"/>
    <w:rsid w:val="00DC2886"/>
    <w:rsid w:val="00DC2B8D"/>
    <w:rsid w:val="00DC390F"/>
    <w:rsid w:val="00DC3A85"/>
    <w:rsid w:val="00DC5DB6"/>
    <w:rsid w:val="00DC6928"/>
    <w:rsid w:val="00DC747E"/>
    <w:rsid w:val="00DC7C54"/>
    <w:rsid w:val="00DD0B8C"/>
    <w:rsid w:val="00DD1520"/>
    <w:rsid w:val="00DD18B5"/>
    <w:rsid w:val="00DD2301"/>
    <w:rsid w:val="00DD2520"/>
    <w:rsid w:val="00DD28FB"/>
    <w:rsid w:val="00DD30CB"/>
    <w:rsid w:val="00DD3791"/>
    <w:rsid w:val="00DD3820"/>
    <w:rsid w:val="00DD3A1E"/>
    <w:rsid w:val="00DD3D1C"/>
    <w:rsid w:val="00DD3EF2"/>
    <w:rsid w:val="00DD4752"/>
    <w:rsid w:val="00DD488F"/>
    <w:rsid w:val="00DD4D46"/>
    <w:rsid w:val="00DD4DAF"/>
    <w:rsid w:val="00DD521E"/>
    <w:rsid w:val="00DD57FF"/>
    <w:rsid w:val="00DD5948"/>
    <w:rsid w:val="00DD5AEB"/>
    <w:rsid w:val="00DD6294"/>
    <w:rsid w:val="00DD67E5"/>
    <w:rsid w:val="00DD6A57"/>
    <w:rsid w:val="00DD6A5E"/>
    <w:rsid w:val="00DD6A63"/>
    <w:rsid w:val="00DD6DE4"/>
    <w:rsid w:val="00DD7848"/>
    <w:rsid w:val="00DD7EAF"/>
    <w:rsid w:val="00DE0FBE"/>
    <w:rsid w:val="00DE1B18"/>
    <w:rsid w:val="00DE1D5F"/>
    <w:rsid w:val="00DE20F1"/>
    <w:rsid w:val="00DE21F5"/>
    <w:rsid w:val="00DE2445"/>
    <w:rsid w:val="00DE2792"/>
    <w:rsid w:val="00DE2EB4"/>
    <w:rsid w:val="00DE34E7"/>
    <w:rsid w:val="00DE357C"/>
    <w:rsid w:val="00DE38E9"/>
    <w:rsid w:val="00DE3A21"/>
    <w:rsid w:val="00DE3CE5"/>
    <w:rsid w:val="00DE4063"/>
    <w:rsid w:val="00DE4360"/>
    <w:rsid w:val="00DE472C"/>
    <w:rsid w:val="00DE4829"/>
    <w:rsid w:val="00DE6EB9"/>
    <w:rsid w:val="00DE7B6E"/>
    <w:rsid w:val="00DE7F9D"/>
    <w:rsid w:val="00DF074F"/>
    <w:rsid w:val="00DF12B3"/>
    <w:rsid w:val="00DF151A"/>
    <w:rsid w:val="00DF1A16"/>
    <w:rsid w:val="00DF1C08"/>
    <w:rsid w:val="00DF1E44"/>
    <w:rsid w:val="00DF21F4"/>
    <w:rsid w:val="00DF2583"/>
    <w:rsid w:val="00DF26B1"/>
    <w:rsid w:val="00DF2CE5"/>
    <w:rsid w:val="00DF2E7F"/>
    <w:rsid w:val="00DF3158"/>
    <w:rsid w:val="00DF3219"/>
    <w:rsid w:val="00DF3DA5"/>
    <w:rsid w:val="00DF45A1"/>
    <w:rsid w:val="00DF4FB9"/>
    <w:rsid w:val="00DF57F5"/>
    <w:rsid w:val="00DF6037"/>
    <w:rsid w:val="00DF7113"/>
    <w:rsid w:val="00E00775"/>
    <w:rsid w:val="00E0085F"/>
    <w:rsid w:val="00E011E9"/>
    <w:rsid w:val="00E01CA7"/>
    <w:rsid w:val="00E01F7A"/>
    <w:rsid w:val="00E02E95"/>
    <w:rsid w:val="00E033BA"/>
    <w:rsid w:val="00E03692"/>
    <w:rsid w:val="00E0382F"/>
    <w:rsid w:val="00E03980"/>
    <w:rsid w:val="00E041EC"/>
    <w:rsid w:val="00E047AD"/>
    <w:rsid w:val="00E054C6"/>
    <w:rsid w:val="00E058EE"/>
    <w:rsid w:val="00E06676"/>
    <w:rsid w:val="00E06A0D"/>
    <w:rsid w:val="00E06F9C"/>
    <w:rsid w:val="00E075DE"/>
    <w:rsid w:val="00E07AA3"/>
    <w:rsid w:val="00E07AB5"/>
    <w:rsid w:val="00E11DB0"/>
    <w:rsid w:val="00E1213E"/>
    <w:rsid w:val="00E128EB"/>
    <w:rsid w:val="00E12CBB"/>
    <w:rsid w:val="00E12D6C"/>
    <w:rsid w:val="00E12EDF"/>
    <w:rsid w:val="00E13299"/>
    <w:rsid w:val="00E1448C"/>
    <w:rsid w:val="00E147A2"/>
    <w:rsid w:val="00E14B7B"/>
    <w:rsid w:val="00E14D04"/>
    <w:rsid w:val="00E1520B"/>
    <w:rsid w:val="00E15B76"/>
    <w:rsid w:val="00E1663B"/>
    <w:rsid w:val="00E16B28"/>
    <w:rsid w:val="00E16D2F"/>
    <w:rsid w:val="00E17B40"/>
    <w:rsid w:val="00E17D6E"/>
    <w:rsid w:val="00E17F71"/>
    <w:rsid w:val="00E21224"/>
    <w:rsid w:val="00E22E87"/>
    <w:rsid w:val="00E2360B"/>
    <w:rsid w:val="00E23B81"/>
    <w:rsid w:val="00E23C52"/>
    <w:rsid w:val="00E23C67"/>
    <w:rsid w:val="00E23CEF"/>
    <w:rsid w:val="00E25073"/>
    <w:rsid w:val="00E250FA"/>
    <w:rsid w:val="00E25B09"/>
    <w:rsid w:val="00E26231"/>
    <w:rsid w:val="00E2631F"/>
    <w:rsid w:val="00E26729"/>
    <w:rsid w:val="00E26A6B"/>
    <w:rsid w:val="00E27665"/>
    <w:rsid w:val="00E278AC"/>
    <w:rsid w:val="00E27BEE"/>
    <w:rsid w:val="00E303AF"/>
    <w:rsid w:val="00E3052B"/>
    <w:rsid w:val="00E30807"/>
    <w:rsid w:val="00E31710"/>
    <w:rsid w:val="00E31C61"/>
    <w:rsid w:val="00E32188"/>
    <w:rsid w:val="00E323E7"/>
    <w:rsid w:val="00E32490"/>
    <w:rsid w:val="00E32616"/>
    <w:rsid w:val="00E328D8"/>
    <w:rsid w:val="00E32CE2"/>
    <w:rsid w:val="00E32D37"/>
    <w:rsid w:val="00E33C12"/>
    <w:rsid w:val="00E33F65"/>
    <w:rsid w:val="00E34142"/>
    <w:rsid w:val="00E3495E"/>
    <w:rsid w:val="00E34A32"/>
    <w:rsid w:val="00E3591A"/>
    <w:rsid w:val="00E35FEA"/>
    <w:rsid w:val="00E36E69"/>
    <w:rsid w:val="00E37667"/>
    <w:rsid w:val="00E406DA"/>
    <w:rsid w:val="00E40709"/>
    <w:rsid w:val="00E40ADA"/>
    <w:rsid w:val="00E40B89"/>
    <w:rsid w:val="00E415FC"/>
    <w:rsid w:val="00E4170E"/>
    <w:rsid w:val="00E419DD"/>
    <w:rsid w:val="00E41CC9"/>
    <w:rsid w:val="00E41D81"/>
    <w:rsid w:val="00E42F2A"/>
    <w:rsid w:val="00E4307E"/>
    <w:rsid w:val="00E43398"/>
    <w:rsid w:val="00E43559"/>
    <w:rsid w:val="00E43FB8"/>
    <w:rsid w:val="00E44214"/>
    <w:rsid w:val="00E44A83"/>
    <w:rsid w:val="00E44BFF"/>
    <w:rsid w:val="00E44C59"/>
    <w:rsid w:val="00E44E8D"/>
    <w:rsid w:val="00E4549D"/>
    <w:rsid w:val="00E45BF2"/>
    <w:rsid w:val="00E45DEA"/>
    <w:rsid w:val="00E469E5"/>
    <w:rsid w:val="00E47684"/>
    <w:rsid w:val="00E47FA6"/>
    <w:rsid w:val="00E50C4C"/>
    <w:rsid w:val="00E51829"/>
    <w:rsid w:val="00E51A0D"/>
    <w:rsid w:val="00E51E11"/>
    <w:rsid w:val="00E526E2"/>
    <w:rsid w:val="00E53BD5"/>
    <w:rsid w:val="00E54291"/>
    <w:rsid w:val="00E5459C"/>
    <w:rsid w:val="00E549C2"/>
    <w:rsid w:val="00E557B5"/>
    <w:rsid w:val="00E563A7"/>
    <w:rsid w:val="00E56BD8"/>
    <w:rsid w:val="00E56F3C"/>
    <w:rsid w:val="00E57B6A"/>
    <w:rsid w:val="00E57B77"/>
    <w:rsid w:val="00E60733"/>
    <w:rsid w:val="00E60952"/>
    <w:rsid w:val="00E61A4C"/>
    <w:rsid w:val="00E61E23"/>
    <w:rsid w:val="00E620A6"/>
    <w:rsid w:val="00E6210D"/>
    <w:rsid w:val="00E62171"/>
    <w:rsid w:val="00E62768"/>
    <w:rsid w:val="00E62966"/>
    <w:rsid w:val="00E6462C"/>
    <w:rsid w:val="00E649F9"/>
    <w:rsid w:val="00E65BCA"/>
    <w:rsid w:val="00E66365"/>
    <w:rsid w:val="00E672FB"/>
    <w:rsid w:val="00E676F9"/>
    <w:rsid w:val="00E70455"/>
    <w:rsid w:val="00E71702"/>
    <w:rsid w:val="00E719D3"/>
    <w:rsid w:val="00E71E37"/>
    <w:rsid w:val="00E720E5"/>
    <w:rsid w:val="00E720FE"/>
    <w:rsid w:val="00E72A86"/>
    <w:rsid w:val="00E72C29"/>
    <w:rsid w:val="00E730D2"/>
    <w:rsid w:val="00E73583"/>
    <w:rsid w:val="00E73996"/>
    <w:rsid w:val="00E74EE7"/>
    <w:rsid w:val="00E74FD9"/>
    <w:rsid w:val="00E76782"/>
    <w:rsid w:val="00E76956"/>
    <w:rsid w:val="00E77008"/>
    <w:rsid w:val="00E77030"/>
    <w:rsid w:val="00E779CB"/>
    <w:rsid w:val="00E80B80"/>
    <w:rsid w:val="00E814BC"/>
    <w:rsid w:val="00E81603"/>
    <w:rsid w:val="00E81A4E"/>
    <w:rsid w:val="00E82103"/>
    <w:rsid w:val="00E83D1B"/>
    <w:rsid w:val="00E84031"/>
    <w:rsid w:val="00E84AB4"/>
    <w:rsid w:val="00E84B48"/>
    <w:rsid w:val="00E84EBF"/>
    <w:rsid w:val="00E8590A"/>
    <w:rsid w:val="00E85F38"/>
    <w:rsid w:val="00E861A8"/>
    <w:rsid w:val="00E86216"/>
    <w:rsid w:val="00E869C0"/>
    <w:rsid w:val="00E86ED2"/>
    <w:rsid w:val="00E87629"/>
    <w:rsid w:val="00E87846"/>
    <w:rsid w:val="00E87853"/>
    <w:rsid w:val="00E90423"/>
    <w:rsid w:val="00E9047F"/>
    <w:rsid w:val="00E90630"/>
    <w:rsid w:val="00E91621"/>
    <w:rsid w:val="00E91C47"/>
    <w:rsid w:val="00E91D26"/>
    <w:rsid w:val="00E91D47"/>
    <w:rsid w:val="00E92935"/>
    <w:rsid w:val="00E93CE0"/>
    <w:rsid w:val="00E949D3"/>
    <w:rsid w:val="00E94C45"/>
    <w:rsid w:val="00E94C9C"/>
    <w:rsid w:val="00E957E1"/>
    <w:rsid w:val="00E95E9B"/>
    <w:rsid w:val="00E96473"/>
    <w:rsid w:val="00E96648"/>
    <w:rsid w:val="00E9686D"/>
    <w:rsid w:val="00E96BD9"/>
    <w:rsid w:val="00E97928"/>
    <w:rsid w:val="00E97A5E"/>
    <w:rsid w:val="00EA0284"/>
    <w:rsid w:val="00EA046C"/>
    <w:rsid w:val="00EA06E9"/>
    <w:rsid w:val="00EA0D57"/>
    <w:rsid w:val="00EA0E45"/>
    <w:rsid w:val="00EA1EAD"/>
    <w:rsid w:val="00EA1F92"/>
    <w:rsid w:val="00EA205B"/>
    <w:rsid w:val="00EA2486"/>
    <w:rsid w:val="00EA3682"/>
    <w:rsid w:val="00EA4907"/>
    <w:rsid w:val="00EA4974"/>
    <w:rsid w:val="00EA4A2E"/>
    <w:rsid w:val="00EA4C2C"/>
    <w:rsid w:val="00EA5618"/>
    <w:rsid w:val="00EA570D"/>
    <w:rsid w:val="00EA6303"/>
    <w:rsid w:val="00EA66D9"/>
    <w:rsid w:val="00EA67A1"/>
    <w:rsid w:val="00EA6872"/>
    <w:rsid w:val="00EA6B90"/>
    <w:rsid w:val="00EA6EA1"/>
    <w:rsid w:val="00EA7A0F"/>
    <w:rsid w:val="00EA7FDA"/>
    <w:rsid w:val="00EB04B5"/>
    <w:rsid w:val="00EB1073"/>
    <w:rsid w:val="00EB199B"/>
    <w:rsid w:val="00EB1E61"/>
    <w:rsid w:val="00EB210B"/>
    <w:rsid w:val="00EB269D"/>
    <w:rsid w:val="00EB2979"/>
    <w:rsid w:val="00EB2B62"/>
    <w:rsid w:val="00EB39F9"/>
    <w:rsid w:val="00EB3BCE"/>
    <w:rsid w:val="00EB47E5"/>
    <w:rsid w:val="00EB480C"/>
    <w:rsid w:val="00EB498A"/>
    <w:rsid w:val="00EB54B2"/>
    <w:rsid w:val="00EB5877"/>
    <w:rsid w:val="00EB5CAD"/>
    <w:rsid w:val="00EB621E"/>
    <w:rsid w:val="00EB65A1"/>
    <w:rsid w:val="00EB6633"/>
    <w:rsid w:val="00EB684B"/>
    <w:rsid w:val="00EB6D95"/>
    <w:rsid w:val="00EB7939"/>
    <w:rsid w:val="00EB7A37"/>
    <w:rsid w:val="00EB7C89"/>
    <w:rsid w:val="00EB7CD7"/>
    <w:rsid w:val="00EB7CFF"/>
    <w:rsid w:val="00EB7D0A"/>
    <w:rsid w:val="00EC0054"/>
    <w:rsid w:val="00EC0DD2"/>
    <w:rsid w:val="00EC0E73"/>
    <w:rsid w:val="00EC1543"/>
    <w:rsid w:val="00EC23B5"/>
    <w:rsid w:val="00EC2C2F"/>
    <w:rsid w:val="00EC2CF2"/>
    <w:rsid w:val="00EC3159"/>
    <w:rsid w:val="00EC323A"/>
    <w:rsid w:val="00EC34E3"/>
    <w:rsid w:val="00EC3D4A"/>
    <w:rsid w:val="00EC43D9"/>
    <w:rsid w:val="00EC4820"/>
    <w:rsid w:val="00EC52C7"/>
    <w:rsid w:val="00EC55F5"/>
    <w:rsid w:val="00EC5DD1"/>
    <w:rsid w:val="00EC70F7"/>
    <w:rsid w:val="00EC7EB7"/>
    <w:rsid w:val="00ED02EF"/>
    <w:rsid w:val="00ED053F"/>
    <w:rsid w:val="00ED1A2D"/>
    <w:rsid w:val="00ED241C"/>
    <w:rsid w:val="00ED28D4"/>
    <w:rsid w:val="00ED2F2E"/>
    <w:rsid w:val="00ED3A50"/>
    <w:rsid w:val="00ED44D1"/>
    <w:rsid w:val="00ED46D7"/>
    <w:rsid w:val="00ED542F"/>
    <w:rsid w:val="00ED56A7"/>
    <w:rsid w:val="00ED57AB"/>
    <w:rsid w:val="00ED6A8D"/>
    <w:rsid w:val="00ED6B2E"/>
    <w:rsid w:val="00ED710B"/>
    <w:rsid w:val="00ED7133"/>
    <w:rsid w:val="00ED78EF"/>
    <w:rsid w:val="00EE0223"/>
    <w:rsid w:val="00EE11F8"/>
    <w:rsid w:val="00EE1C45"/>
    <w:rsid w:val="00EE27E2"/>
    <w:rsid w:val="00EE2819"/>
    <w:rsid w:val="00EE2EC4"/>
    <w:rsid w:val="00EE33D3"/>
    <w:rsid w:val="00EE38B4"/>
    <w:rsid w:val="00EE392A"/>
    <w:rsid w:val="00EE3F23"/>
    <w:rsid w:val="00EE450F"/>
    <w:rsid w:val="00EE46F6"/>
    <w:rsid w:val="00EE59ED"/>
    <w:rsid w:val="00EE6168"/>
    <w:rsid w:val="00EE64FA"/>
    <w:rsid w:val="00EE6853"/>
    <w:rsid w:val="00EE6C9F"/>
    <w:rsid w:val="00EE6D96"/>
    <w:rsid w:val="00EE7E5F"/>
    <w:rsid w:val="00EF04B9"/>
    <w:rsid w:val="00EF067D"/>
    <w:rsid w:val="00EF105D"/>
    <w:rsid w:val="00EF24F5"/>
    <w:rsid w:val="00EF2565"/>
    <w:rsid w:val="00EF27D0"/>
    <w:rsid w:val="00EF28B1"/>
    <w:rsid w:val="00EF2C41"/>
    <w:rsid w:val="00EF2DE8"/>
    <w:rsid w:val="00EF32F6"/>
    <w:rsid w:val="00EF36E5"/>
    <w:rsid w:val="00EF38E8"/>
    <w:rsid w:val="00EF4580"/>
    <w:rsid w:val="00EF503A"/>
    <w:rsid w:val="00EF539F"/>
    <w:rsid w:val="00EF662C"/>
    <w:rsid w:val="00EF6928"/>
    <w:rsid w:val="00F00C4E"/>
    <w:rsid w:val="00F01326"/>
    <w:rsid w:val="00F016E4"/>
    <w:rsid w:val="00F01B75"/>
    <w:rsid w:val="00F02297"/>
    <w:rsid w:val="00F023D3"/>
    <w:rsid w:val="00F0259B"/>
    <w:rsid w:val="00F03C06"/>
    <w:rsid w:val="00F04097"/>
    <w:rsid w:val="00F045E2"/>
    <w:rsid w:val="00F04B52"/>
    <w:rsid w:val="00F05409"/>
    <w:rsid w:val="00F0689B"/>
    <w:rsid w:val="00F06B5E"/>
    <w:rsid w:val="00F06E52"/>
    <w:rsid w:val="00F06F62"/>
    <w:rsid w:val="00F07EC3"/>
    <w:rsid w:val="00F100E0"/>
    <w:rsid w:val="00F10625"/>
    <w:rsid w:val="00F1079D"/>
    <w:rsid w:val="00F107E8"/>
    <w:rsid w:val="00F11209"/>
    <w:rsid w:val="00F1147E"/>
    <w:rsid w:val="00F11C39"/>
    <w:rsid w:val="00F11CEB"/>
    <w:rsid w:val="00F1248F"/>
    <w:rsid w:val="00F1264C"/>
    <w:rsid w:val="00F13573"/>
    <w:rsid w:val="00F13AB7"/>
    <w:rsid w:val="00F1432C"/>
    <w:rsid w:val="00F14673"/>
    <w:rsid w:val="00F1469A"/>
    <w:rsid w:val="00F1480E"/>
    <w:rsid w:val="00F149A3"/>
    <w:rsid w:val="00F153A2"/>
    <w:rsid w:val="00F15443"/>
    <w:rsid w:val="00F15BD1"/>
    <w:rsid w:val="00F1677E"/>
    <w:rsid w:val="00F16BB0"/>
    <w:rsid w:val="00F1767B"/>
    <w:rsid w:val="00F20D77"/>
    <w:rsid w:val="00F20E6E"/>
    <w:rsid w:val="00F210A3"/>
    <w:rsid w:val="00F211C1"/>
    <w:rsid w:val="00F21309"/>
    <w:rsid w:val="00F21537"/>
    <w:rsid w:val="00F21EEB"/>
    <w:rsid w:val="00F226EF"/>
    <w:rsid w:val="00F23077"/>
    <w:rsid w:val="00F234F2"/>
    <w:rsid w:val="00F23B62"/>
    <w:rsid w:val="00F24313"/>
    <w:rsid w:val="00F24A2F"/>
    <w:rsid w:val="00F252F7"/>
    <w:rsid w:val="00F25AC7"/>
    <w:rsid w:val="00F25F15"/>
    <w:rsid w:val="00F26171"/>
    <w:rsid w:val="00F261FF"/>
    <w:rsid w:val="00F2662F"/>
    <w:rsid w:val="00F26877"/>
    <w:rsid w:val="00F26C20"/>
    <w:rsid w:val="00F30562"/>
    <w:rsid w:val="00F30A69"/>
    <w:rsid w:val="00F30AD8"/>
    <w:rsid w:val="00F30CB3"/>
    <w:rsid w:val="00F315BC"/>
    <w:rsid w:val="00F3163A"/>
    <w:rsid w:val="00F31A97"/>
    <w:rsid w:val="00F31E33"/>
    <w:rsid w:val="00F320EB"/>
    <w:rsid w:val="00F32E30"/>
    <w:rsid w:val="00F3344A"/>
    <w:rsid w:val="00F3372C"/>
    <w:rsid w:val="00F33FEC"/>
    <w:rsid w:val="00F35842"/>
    <w:rsid w:val="00F36501"/>
    <w:rsid w:val="00F36694"/>
    <w:rsid w:val="00F367FB"/>
    <w:rsid w:val="00F36CD4"/>
    <w:rsid w:val="00F3767D"/>
    <w:rsid w:val="00F400F5"/>
    <w:rsid w:val="00F4093E"/>
    <w:rsid w:val="00F4170C"/>
    <w:rsid w:val="00F41879"/>
    <w:rsid w:val="00F41AD6"/>
    <w:rsid w:val="00F41B4F"/>
    <w:rsid w:val="00F41CFF"/>
    <w:rsid w:val="00F41D43"/>
    <w:rsid w:val="00F4243B"/>
    <w:rsid w:val="00F42646"/>
    <w:rsid w:val="00F42EA6"/>
    <w:rsid w:val="00F43598"/>
    <w:rsid w:val="00F43A0D"/>
    <w:rsid w:val="00F43A22"/>
    <w:rsid w:val="00F43F6D"/>
    <w:rsid w:val="00F4658D"/>
    <w:rsid w:val="00F4667C"/>
    <w:rsid w:val="00F46963"/>
    <w:rsid w:val="00F47047"/>
    <w:rsid w:val="00F50354"/>
    <w:rsid w:val="00F50392"/>
    <w:rsid w:val="00F50828"/>
    <w:rsid w:val="00F50AA7"/>
    <w:rsid w:val="00F50BC0"/>
    <w:rsid w:val="00F516EF"/>
    <w:rsid w:val="00F52F00"/>
    <w:rsid w:val="00F53002"/>
    <w:rsid w:val="00F541FA"/>
    <w:rsid w:val="00F54714"/>
    <w:rsid w:val="00F54BA2"/>
    <w:rsid w:val="00F558D4"/>
    <w:rsid w:val="00F55FFC"/>
    <w:rsid w:val="00F56F60"/>
    <w:rsid w:val="00F574F8"/>
    <w:rsid w:val="00F577C6"/>
    <w:rsid w:val="00F57800"/>
    <w:rsid w:val="00F603F5"/>
    <w:rsid w:val="00F604D4"/>
    <w:rsid w:val="00F60928"/>
    <w:rsid w:val="00F60A35"/>
    <w:rsid w:val="00F6185D"/>
    <w:rsid w:val="00F61F4B"/>
    <w:rsid w:val="00F62238"/>
    <w:rsid w:val="00F62391"/>
    <w:rsid w:val="00F62A2D"/>
    <w:rsid w:val="00F62C03"/>
    <w:rsid w:val="00F62D5E"/>
    <w:rsid w:val="00F63A0E"/>
    <w:rsid w:val="00F63CF0"/>
    <w:rsid w:val="00F642E8"/>
    <w:rsid w:val="00F64B72"/>
    <w:rsid w:val="00F64FC3"/>
    <w:rsid w:val="00F65A96"/>
    <w:rsid w:val="00F65B4B"/>
    <w:rsid w:val="00F66F43"/>
    <w:rsid w:val="00F70DE2"/>
    <w:rsid w:val="00F7113A"/>
    <w:rsid w:val="00F7132A"/>
    <w:rsid w:val="00F71783"/>
    <w:rsid w:val="00F721E8"/>
    <w:rsid w:val="00F721EA"/>
    <w:rsid w:val="00F72B0E"/>
    <w:rsid w:val="00F72BF8"/>
    <w:rsid w:val="00F72D40"/>
    <w:rsid w:val="00F72F42"/>
    <w:rsid w:val="00F731D2"/>
    <w:rsid w:val="00F73A5D"/>
    <w:rsid w:val="00F73C9D"/>
    <w:rsid w:val="00F73E94"/>
    <w:rsid w:val="00F740E5"/>
    <w:rsid w:val="00F743FE"/>
    <w:rsid w:val="00F747EF"/>
    <w:rsid w:val="00F74FA0"/>
    <w:rsid w:val="00F75320"/>
    <w:rsid w:val="00F75451"/>
    <w:rsid w:val="00F75913"/>
    <w:rsid w:val="00F75D82"/>
    <w:rsid w:val="00F76222"/>
    <w:rsid w:val="00F763DC"/>
    <w:rsid w:val="00F767A8"/>
    <w:rsid w:val="00F76D63"/>
    <w:rsid w:val="00F77748"/>
    <w:rsid w:val="00F77DB8"/>
    <w:rsid w:val="00F77E2A"/>
    <w:rsid w:val="00F8050A"/>
    <w:rsid w:val="00F8067F"/>
    <w:rsid w:val="00F80C8A"/>
    <w:rsid w:val="00F81169"/>
    <w:rsid w:val="00F82251"/>
    <w:rsid w:val="00F83339"/>
    <w:rsid w:val="00F83410"/>
    <w:rsid w:val="00F8345E"/>
    <w:rsid w:val="00F83651"/>
    <w:rsid w:val="00F84CA9"/>
    <w:rsid w:val="00F858A2"/>
    <w:rsid w:val="00F85A8A"/>
    <w:rsid w:val="00F85DB9"/>
    <w:rsid w:val="00F85E5F"/>
    <w:rsid w:val="00F8681C"/>
    <w:rsid w:val="00F86C07"/>
    <w:rsid w:val="00F870CD"/>
    <w:rsid w:val="00F870E1"/>
    <w:rsid w:val="00F87558"/>
    <w:rsid w:val="00F8775E"/>
    <w:rsid w:val="00F87A7C"/>
    <w:rsid w:val="00F9103A"/>
    <w:rsid w:val="00F912FF"/>
    <w:rsid w:val="00F938D7"/>
    <w:rsid w:val="00F9431A"/>
    <w:rsid w:val="00F94466"/>
    <w:rsid w:val="00F9465E"/>
    <w:rsid w:val="00F94CF3"/>
    <w:rsid w:val="00F94E66"/>
    <w:rsid w:val="00F957C9"/>
    <w:rsid w:val="00F96182"/>
    <w:rsid w:val="00F963DA"/>
    <w:rsid w:val="00F9643D"/>
    <w:rsid w:val="00F967F7"/>
    <w:rsid w:val="00F9702D"/>
    <w:rsid w:val="00F97BDC"/>
    <w:rsid w:val="00FA0311"/>
    <w:rsid w:val="00FA106A"/>
    <w:rsid w:val="00FA15C8"/>
    <w:rsid w:val="00FA2240"/>
    <w:rsid w:val="00FA27B3"/>
    <w:rsid w:val="00FA35F0"/>
    <w:rsid w:val="00FA560A"/>
    <w:rsid w:val="00FA5B44"/>
    <w:rsid w:val="00FA68B5"/>
    <w:rsid w:val="00FA7753"/>
    <w:rsid w:val="00FA77BD"/>
    <w:rsid w:val="00FB04B0"/>
    <w:rsid w:val="00FB188E"/>
    <w:rsid w:val="00FB20FB"/>
    <w:rsid w:val="00FB21C9"/>
    <w:rsid w:val="00FB240E"/>
    <w:rsid w:val="00FB280F"/>
    <w:rsid w:val="00FB3415"/>
    <w:rsid w:val="00FB35FD"/>
    <w:rsid w:val="00FB44B4"/>
    <w:rsid w:val="00FB4FC9"/>
    <w:rsid w:val="00FB5814"/>
    <w:rsid w:val="00FB599F"/>
    <w:rsid w:val="00FB6AE0"/>
    <w:rsid w:val="00FB791F"/>
    <w:rsid w:val="00FB7943"/>
    <w:rsid w:val="00FB7C6D"/>
    <w:rsid w:val="00FB7F47"/>
    <w:rsid w:val="00FC0372"/>
    <w:rsid w:val="00FC100B"/>
    <w:rsid w:val="00FC1B2C"/>
    <w:rsid w:val="00FC1F2F"/>
    <w:rsid w:val="00FC2034"/>
    <w:rsid w:val="00FC2109"/>
    <w:rsid w:val="00FC247E"/>
    <w:rsid w:val="00FC2DF9"/>
    <w:rsid w:val="00FC2EDD"/>
    <w:rsid w:val="00FC317E"/>
    <w:rsid w:val="00FC3FA0"/>
    <w:rsid w:val="00FC49E2"/>
    <w:rsid w:val="00FC503A"/>
    <w:rsid w:val="00FC58F4"/>
    <w:rsid w:val="00FC6803"/>
    <w:rsid w:val="00FC6D9B"/>
    <w:rsid w:val="00FC705B"/>
    <w:rsid w:val="00FC7517"/>
    <w:rsid w:val="00FC799F"/>
    <w:rsid w:val="00FC7B18"/>
    <w:rsid w:val="00FD0020"/>
    <w:rsid w:val="00FD007A"/>
    <w:rsid w:val="00FD11D9"/>
    <w:rsid w:val="00FD11F8"/>
    <w:rsid w:val="00FD1613"/>
    <w:rsid w:val="00FD22D4"/>
    <w:rsid w:val="00FD24B0"/>
    <w:rsid w:val="00FD3237"/>
    <w:rsid w:val="00FD36F8"/>
    <w:rsid w:val="00FD3917"/>
    <w:rsid w:val="00FD4326"/>
    <w:rsid w:val="00FD4BC6"/>
    <w:rsid w:val="00FD5554"/>
    <w:rsid w:val="00FD5C7D"/>
    <w:rsid w:val="00FD64EB"/>
    <w:rsid w:val="00FD6A99"/>
    <w:rsid w:val="00FD7A3D"/>
    <w:rsid w:val="00FD7C5E"/>
    <w:rsid w:val="00FE098C"/>
    <w:rsid w:val="00FE0AF5"/>
    <w:rsid w:val="00FE0D21"/>
    <w:rsid w:val="00FE162B"/>
    <w:rsid w:val="00FE21E9"/>
    <w:rsid w:val="00FE29CF"/>
    <w:rsid w:val="00FE2D16"/>
    <w:rsid w:val="00FE31B2"/>
    <w:rsid w:val="00FE3716"/>
    <w:rsid w:val="00FE4D74"/>
    <w:rsid w:val="00FE4F70"/>
    <w:rsid w:val="00FE4FCE"/>
    <w:rsid w:val="00FE559F"/>
    <w:rsid w:val="00FE6C1B"/>
    <w:rsid w:val="00FE712A"/>
    <w:rsid w:val="00FE721A"/>
    <w:rsid w:val="00FE7473"/>
    <w:rsid w:val="00FE77A6"/>
    <w:rsid w:val="00FE7B51"/>
    <w:rsid w:val="00FF0CD1"/>
    <w:rsid w:val="00FF0F4C"/>
    <w:rsid w:val="00FF1197"/>
    <w:rsid w:val="00FF12BE"/>
    <w:rsid w:val="00FF33A9"/>
    <w:rsid w:val="00FF34B4"/>
    <w:rsid w:val="00FF3582"/>
    <w:rsid w:val="00FF36DA"/>
    <w:rsid w:val="00FF3907"/>
    <w:rsid w:val="00FF3BC9"/>
    <w:rsid w:val="00FF3C9A"/>
    <w:rsid w:val="00FF4F68"/>
    <w:rsid w:val="00FF5044"/>
    <w:rsid w:val="00FF52DE"/>
    <w:rsid w:val="00FF565C"/>
    <w:rsid w:val="00FF5F0C"/>
    <w:rsid w:val="00FF601C"/>
    <w:rsid w:val="00FF61B2"/>
    <w:rsid w:val="00FF64BE"/>
    <w:rsid w:val="00FF70B5"/>
    <w:rsid w:val="00FF7189"/>
    <w:rsid w:val="00FF74A0"/>
    <w:rsid w:val="00FF7721"/>
    <w:rsid w:val="00FF7B45"/>
    <w:rsid w:val="00FF7F30"/>
    <w:rsid w:val="011A11A4"/>
    <w:rsid w:val="014B5B44"/>
    <w:rsid w:val="018C5F7F"/>
    <w:rsid w:val="01BE4069"/>
    <w:rsid w:val="01BE5800"/>
    <w:rsid w:val="01E46F65"/>
    <w:rsid w:val="02BD5A20"/>
    <w:rsid w:val="02E536DD"/>
    <w:rsid w:val="0312397E"/>
    <w:rsid w:val="03AD34D0"/>
    <w:rsid w:val="03F06C42"/>
    <w:rsid w:val="041B3357"/>
    <w:rsid w:val="04C34346"/>
    <w:rsid w:val="04E30437"/>
    <w:rsid w:val="05F41FAA"/>
    <w:rsid w:val="0621639E"/>
    <w:rsid w:val="063B78DC"/>
    <w:rsid w:val="065B747D"/>
    <w:rsid w:val="076E0F6D"/>
    <w:rsid w:val="07BE8E4D"/>
    <w:rsid w:val="07E84F31"/>
    <w:rsid w:val="0839529D"/>
    <w:rsid w:val="092C668B"/>
    <w:rsid w:val="093B1AB4"/>
    <w:rsid w:val="09974C33"/>
    <w:rsid w:val="09A25070"/>
    <w:rsid w:val="09B82947"/>
    <w:rsid w:val="0B575005"/>
    <w:rsid w:val="0BF958C7"/>
    <w:rsid w:val="0C3F3332"/>
    <w:rsid w:val="0C5A09A9"/>
    <w:rsid w:val="0CDB719E"/>
    <w:rsid w:val="0CEE2B62"/>
    <w:rsid w:val="0E0812B7"/>
    <w:rsid w:val="0EAB6A73"/>
    <w:rsid w:val="0F366300"/>
    <w:rsid w:val="0F4D0707"/>
    <w:rsid w:val="0FBA2A45"/>
    <w:rsid w:val="0FC41654"/>
    <w:rsid w:val="0FDE7285"/>
    <w:rsid w:val="118C2ED5"/>
    <w:rsid w:val="11B83D31"/>
    <w:rsid w:val="12795B29"/>
    <w:rsid w:val="12F62B63"/>
    <w:rsid w:val="13696837"/>
    <w:rsid w:val="13B31AEC"/>
    <w:rsid w:val="13FE3FBA"/>
    <w:rsid w:val="140B7441"/>
    <w:rsid w:val="140E1568"/>
    <w:rsid w:val="14404369"/>
    <w:rsid w:val="146C2ADC"/>
    <w:rsid w:val="155078E9"/>
    <w:rsid w:val="15CD0A6A"/>
    <w:rsid w:val="15D70664"/>
    <w:rsid w:val="175D674F"/>
    <w:rsid w:val="17CD2550"/>
    <w:rsid w:val="18114189"/>
    <w:rsid w:val="18F06F2D"/>
    <w:rsid w:val="19AD7F51"/>
    <w:rsid w:val="1AD26649"/>
    <w:rsid w:val="1BA50D14"/>
    <w:rsid w:val="1BA677E7"/>
    <w:rsid w:val="1C625D30"/>
    <w:rsid w:val="1C7671E3"/>
    <w:rsid w:val="1C777601"/>
    <w:rsid w:val="1C8A493E"/>
    <w:rsid w:val="1CCB6998"/>
    <w:rsid w:val="1CD6623F"/>
    <w:rsid w:val="1CF90898"/>
    <w:rsid w:val="1CFA0FE7"/>
    <w:rsid w:val="1D526E45"/>
    <w:rsid w:val="1D8C69C4"/>
    <w:rsid w:val="1E1C7C6C"/>
    <w:rsid w:val="1E786F00"/>
    <w:rsid w:val="1EA336E4"/>
    <w:rsid w:val="1ED11710"/>
    <w:rsid w:val="1F1F65F5"/>
    <w:rsid w:val="1F343C02"/>
    <w:rsid w:val="1FAC7E53"/>
    <w:rsid w:val="1FCC36E1"/>
    <w:rsid w:val="20517FE3"/>
    <w:rsid w:val="20CE2C18"/>
    <w:rsid w:val="20F45DCC"/>
    <w:rsid w:val="217C1DAF"/>
    <w:rsid w:val="218220DE"/>
    <w:rsid w:val="222C76C6"/>
    <w:rsid w:val="22466CF3"/>
    <w:rsid w:val="22A344E7"/>
    <w:rsid w:val="22DE3197"/>
    <w:rsid w:val="230E0741"/>
    <w:rsid w:val="23DC0037"/>
    <w:rsid w:val="23F63E16"/>
    <w:rsid w:val="243A32C2"/>
    <w:rsid w:val="25093A3B"/>
    <w:rsid w:val="25236D0D"/>
    <w:rsid w:val="252F645D"/>
    <w:rsid w:val="258858A9"/>
    <w:rsid w:val="26757E2C"/>
    <w:rsid w:val="26790701"/>
    <w:rsid w:val="273508EE"/>
    <w:rsid w:val="27483692"/>
    <w:rsid w:val="276F6E45"/>
    <w:rsid w:val="278066D7"/>
    <w:rsid w:val="27827B0F"/>
    <w:rsid w:val="27886287"/>
    <w:rsid w:val="27F53526"/>
    <w:rsid w:val="27FA5E76"/>
    <w:rsid w:val="28690FE5"/>
    <w:rsid w:val="288E2BD2"/>
    <w:rsid w:val="28A77717"/>
    <w:rsid w:val="28DC50AB"/>
    <w:rsid w:val="28E55271"/>
    <w:rsid w:val="2923374B"/>
    <w:rsid w:val="29BD796F"/>
    <w:rsid w:val="2AAC3644"/>
    <w:rsid w:val="2B8946FF"/>
    <w:rsid w:val="2BDA0C1B"/>
    <w:rsid w:val="2C0A4741"/>
    <w:rsid w:val="2C186CCE"/>
    <w:rsid w:val="2CF86E08"/>
    <w:rsid w:val="2D9B15EF"/>
    <w:rsid w:val="2E304308"/>
    <w:rsid w:val="2EB26D79"/>
    <w:rsid w:val="2F7145F4"/>
    <w:rsid w:val="30580298"/>
    <w:rsid w:val="30646F90"/>
    <w:rsid w:val="30797214"/>
    <w:rsid w:val="30CB0402"/>
    <w:rsid w:val="31BC0B24"/>
    <w:rsid w:val="324D2681"/>
    <w:rsid w:val="33FE78CF"/>
    <w:rsid w:val="34457450"/>
    <w:rsid w:val="35373F98"/>
    <w:rsid w:val="354B5388"/>
    <w:rsid w:val="363B7932"/>
    <w:rsid w:val="36D15C2A"/>
    <w:rsid w:val="36FA4BBC"/>
    <w:rsid w:val="371D61FE"/>
    <w:rsid w:val="374B5AC3"/>
    <w:rsid w:val="38187E4F"/>
    <w:rsid w:val="3820445B"/>
    <w:rsid w:val="38210467"/>
    <w:rsid w:val="38401B73"/>
    <w:rsid w:val="384B1D2A"/>
    <w:rsid w:val="39780BBB"/>
    <w:rsid w:val="39C203A7"/>
    <w:rsid w:val="39D617F2"/>
    <w:rsid w:val="39EA7F32"/>
    <w:rsid w:val="3A5926C8"/>
    <w:rsid w:val="3B731AB5"/>
    <w:rsid w:val="3B7F705F"/>
    <w:rsid w:val="3B833738"/>
    <w:rsid w:val="3B874762"/>
    <w:rsid w:val="3C2527C5"/>
    <w:rsid w:val="3D6F75C9"/>
    <w:rsid w:val="3DE90F01"/>
    <w:rsid w:val="3E266E35"/>
    <w:rsid w:val="3EB1337A"/>
    <w:rsid w:val="3F7F04D5"/>
    <w:rsid w:val="3FDFDEA2"/>
    <w:rsid w:val="40A005F0"/>
    <w:rsid w:val="417E1386"/>
    <w:rsid w:val="41F93B94"/>
    <w:rsid w:val="422B6BF4"/>
    <w:rsid w:val="42347713"/>
    <w:rsid w:val="43B00A8F"/>
    <w:rsid w:val="45511B47"/>
    <w:rsid w:val="45A15DDB"/>
    <w:rsid w:val="45B22926"/>
    <w:rsid w:val="4681712C"/>
    <w:rsid w:val="468B6718"/>
    <w:rsid w:val="473B23EB"/>
    <w:rsid w:val="47B32EAB"/>
    <w:rsid w:val="47C40E8C"/>
    <w:rsid w:val="481733C1"/>
    <w:rsid w:val="48B1218F"/>
    <w:rsid w:val="48B14AB0"/>
    <w:rsid w:val="48D6123C"/>
    <w:rsid w:val="49150F51"/>
    <w:rsid w:val="49480BD4"/>
    <w:rsid w:val="499F04DF"/>
    <w:rsid w:val="49CB3BFF"/>
    <w:rsid w:val="4AA4619B"/>
    <w:rsid w:val="4AC7413B"/>
    <w:rsid w:val="4B284D77"/>
    <w:rsid w:val="4BEC1507"/>
    <w:rsid w:val="4CD363C9"/>
    <w:rsid w:val="4CFE8B50"/>
    <w:rsid w:val="4D7F6702"/>
    <w:rsid w:val="4E6F7D71"/>
    <w:rsid w:val="4F123950"/>
    <w:rsid w:val="4F134C73"/>
    <w:rsid w:val="507519D9"/>
    <w:rsid w:val="50EC442B"/>
    <w:rsid w:val="52127D7D"/>
    <w:rsid w:val="52412A63"/>
    <w:rsid w:val="53763D4D"/>
    <w:rsid w:val="54135280"/>
    <w:rsid w:val="5526139C"/>
    <w:rsid w:val="552B2D26"/>
    <w:rsid w:val="554E1470"/>
    <w:rsid w:val="55553212"/>
    <w:rsid w:val="556709D9"/>
    <w:rsid w:val="55986D51"/>
    <w:rsid w:val="55D42624"/>
    <w:rsid w:val="56133CA0"/>
    <w:rsid w:val="56DD4ABD"/>
    <w:rsid w:val="5703231E"/>
    <w:rsid w:val="57116442"/>
    <w:rsid w:val="57560079"/>
    <w:rsid w:val="578D3493"/>
    <w:rsid w:val="586A7A45"/>
    <w:rsid w:val="58914C8B"/>
    <w:rsid w:val="58AC4312"/>
    <w:rsid w:val="58E3423E"/>
    <w:rsid w:val="58F23ED5"/>
    <w:rsid w:val="59331E18"/>
    <w:rsid w:val="5956205C"/>
    <w:rsid w:val="59763BEC"/>
    <w:rsid w:val="599E6CB8"/>
    <w:rsid w:val="59E031E2"/>
    <w:rsid w:val="5AA974E8"/>
    <w:rsid w:val="5B404CAF"/>
    <w:rsid w:val="5B8340E7"/>
    <w:rsid w:val="5B8D0599"/>
    <w:rsid w:val="5B937814"/>
    <w:rsid w:val="5BA627EA"/>
    <w:rsid w:val="5BAA125C"/>
    <w:rsid w:val="5BD162E6"/>
    <w:rsid w:val="5C374577"/>
    <w:rsid w:val="5C6E79F1"/>
    <w:rsid w:val="5C8657B1"/>
    <w:rsid w:val="5CA73484"/>
    <w:rsid w:val="5CE5499C"/>
    <w:rsid w:val="5D77243C"/>
    <w:rsid w:val="5DDB0BD4"/>
    <w:rsid w:val="5E2F13E4"/>
    <w:rsid w:val="5EC546B7"/>
    <w:rsid w:val="5EE01513"/>
    <w:rsid w:val="5FA9036D"/>
    <w:rsid w:val="5FE20A6A"/>
    <w:rsid w:val="5FE80DF1"/>
    <w:rsid w:val="60394F33"/>
    <w:rsid w:val="607A028C"/>
    <w:rsid w:val="611C3364"/>
    <w:rsid w:val="61904268"/>
    <w:rsid w:val="61922827"/>
    <w:rsid w:val="61985AAE"/>
    <w:rsid w:val="619B21A0"/>
    <w:rsid w:val="61C95215"/>
    <w:rsid w:val="620863D2"/>
    <w:rsid w:val="626058BD"/>
    <w:rsid w:val="62D70238"/>
    <w:rsid w:val="634E5810"/>
    <w:rsid w:val="63A81226"/>
    <w:rsid w:val="650A079C"/>
    <w:rsid w:val="65E5355A"/>
    <w:rsid w:val="674A3D4F"/>
    <w:rsid w:val="679006E0"/>
    <w:rsid w:val="6864772D"/>
    <w:rsid w:val="68BC6A3B"/>
    <w:rsid w:val="6A121AD7"/>
    <w:rsid w:val="6A3C248C"/>
    <w:rsid w:val="6AD23B35"/>
    <w:rsid w:val="6AEC1412"/>
    <w:rsid w:val="6C3226C6"/>
    <w:rsid w:val="6C545FF5"/>
    <w:rsid w:val="6C591BE2"/>
    <w:rsid w:val="6E0A4A26"/>
    <w:rsid w:val="6E5E1B6C"/>
    <w:rsid w:val="6EEF71D1"/>
    <w:rsid w:val="6EF7442C"/>
    <w:rsid w:val="6F021A16"/>
    <w:rsid w:val="6F1D40CE"/>
    <w:rsid w:val="6FFFA32C"/>
    <w:rsid w:val="7051517A"/>
    <w:rsid w:val="70D85BD1"/>
    <w:rsid w:val="715B338A"/>
    <w:rsid w:val="716A7ADC"/>
    <w:rsid w:val="71B156E9"/>
    <w:rsid w:val="71DE2E53"/>
    <w:rsid w:val="721F39FF"/>
    <w:rsid w:val="729E121E"/>
    <w:rsid w:val="72AA1378"/>
    <w:rsid w:val="72E23A7A"/>
    <w:rsid w:val="72F6179B"/>
    <w:rsid w:val="738003CA"/>
    <w:rsid w:val="73C56EED"/>
    <w:rsid w:val="73E66C5D"/>
    <w:rsid w:val="742343CA"/>
    <w:rsid w:val="74416C47"/>
    <w:rsid w:val="74E10D4F"/>
    <w:rsid w:val="758D4AB4"/>
    <w:rsid w:val="75B7631F"/>
    <w:rsid w:val="75D12961"/>
    <w:rsid w:val="765941C5"/>
    <w:rsid w:val="76F7180B"/>
    <w:rsid w:val="773B6CD4"/>
    <w:rsid w:val="77E30949"/>
    <w:rsid w:val="77F16A53"/>
    <w:rsid w:val="783525A0"/>
    <w:rsid w:val="786F12BD"/>
    <w:rsid w:val="786F1AA9"/>
    <w:rsid w:val="7872551D"/>
    <w:rsid w:val="78FBFD42"/>
    <w:rsid w:val="7920071D"/>
    <w:rsid w:val="793343E1"/>
    <w:rsid w:val="79C52BC7"/>
    <w:rsid w:val="79C747F6"/>
    <w:rsid w:val="7A36659D"/>
    <w:rsid w:val="7A6027C1"/>
    <w:rsid w:val="7A854A12"/>
    <w:rsid w:val="7B237820"/>
    <w:rsid w:val="7B974622"/>
    <w:rsid w:val="7D4E72F0"/>
    <w:rsid w:val="7E40063A"/>
    <w:rsid w:val="7E735F4C"/>
    <w:rsid w:val="7E9219F9"/>
    <w:rsid w:val="7EF87B3E"/>
    <w:rsid w:val="7F924DA0"/>
    <w:rsid w:val="7FE37EFF"/>
    <w:rsid w:val="97D75463"/>
    <w:rsid w:val="B3F75717"/>
    <w:rsid w:val="B71C40BC"/>
    <w:rsid w:val="BDEF89D6"/>
    <w:rsid w:val="BEFD288E"/>
    <w:rsid w:val="CA4397AA"/>
    <w:rsid w:val="DBDBA274"/>
    <w:rsid w:val="DF1E09D0"/>
    <w:rsid w:val="E7DBB62A"/>
    <w:rsid w:val="EDFF4783"/>
    <w:rsid w:val="F7BF187F"/>
    <w:rsid w:val="FBBF6F85"/>
    <w:rsid w:val="FBDF6252"/>
    <w:rsid w:val="FBF95634"/>
    <w:rsid w:val="FDFDFEC6"/>
    <w:rsid w:val="FFFD2A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5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3"/>
    <w:qFormat/>
    <w:uiPriority w:val="99"/>
    <w:pPr>
      <w:keepNext/>
      <w:keepLines/>
      <w:spacing w:before="340" w:after="330" w:line="576" w:lineRule="auto"/>
      <w:outlineLvl w:val="0"/>
    </w:pPr>
    <w:rPr>
      <w:b/>
      <w:bCs/>
      <w:kern w:val="44"/>
      <w:sz w:val="44"/>
      <w:szCs w:val="44"/>
    </w:rPr>
  </w:style>
  <w:style w:type="paragraph" w:styleId="3">
    <w:name w:val="heading 2"/>
    <w:basedOn w:val="1"/>
    <w:next w:val="1"/>
    <w:link w:val="64"/>
    <w:qFormat/>
    <w:uiPriority w:val="99"/>
    <w:pPr>
      <w:keepNext/>
      <w:keepLines/>
      <w:spacing w:before="260" w:after="260" w:line="413" w:lineRule="auto"/>
      <w:outlineLvl w:val="1"/>
    </w:pPr>
    <w:rPr>
      <w:rFonts w:ascii="Arial" w:hAnsi="Arial" w:eastAsia="黑体"/>
      <w:b/>
      <w:bCs/>
      <w:sz w:val="32"/>
      <w:szCs w:val="32"/>
    </w:rPr>
  </w:style>
  <w:style w:type="paragraph" w:styleId="4">
    <w:name w:val="heading 3"/>
    <w:basedOn w:val="1"/>
    <w:next w:val="1"/>
    <w:link w:val="65"/>
    <w:qFormat/>
    <w:uiPriority w:val="99"/>
    <w:pPr>
      <w:keepNext/>
      <w:keepLines/>
      <w:spacing w:before="260" w:after="260" w:line="413" w:lineRule="auto"/>
      <w:outlineLvl w:val="2"/>
    </w:pPr>
    <w:rPr>
      <w:b/>
      <w:bCs/>
      <w:sz w:val="32"/>
      <w:szCs w:val="32"/>
    </w:rPr>
  </w:style>
  <w:style w:type="paragraph" w:styleId="5">
    <w:name w:val="heading 4"/>
    <w:basedOn w:val="1"/>
    <w:next w:val="1"/>
    <w:link w:val="66"/>
    <w:qFormat/>
    <w:uiPriority w:val="99"/>
    <w:pPr>
      <w:keepNext/>
      <w:keepLines/>
      <w:widowControl/>
      <w:spacing w:before="120" w:after="120" w:line="360" w:lineRule="auto"/>
      <w:jc w:val="center"/>
      <w:outlineLvl w:val="3"/>
    </w:pPr>
    <w:rPr>
      <w:rFonts w:ascii="Arial" w:hAnsi="Arial" w:eastAsia="黑体"/>
      <w:kern w:val="0"/>
      <w:sz w:val="28"/>
      <w:szCs w:val="20"/>
    </w:rPr>
  </w:style>
  <w:style w:type="paragraph" w:styleId="6">
    <w:name w:val="heading 5"/>
    <w:basedOn w:val="1"/>
    <w:next w:val="7"/>
    <w:link w:val="67"/>
    <w:qFormat/>
    <w:uiPriority w:val="99"/>
    <w:pPr>
      <w:keepNext/>
      <w:keepLines/>
      <w:spacing w:before="280" w:after="290" w:line="372" w:lineRule="auto"/>
      <w:outlineLvl w:val="4"/>
    </w:pPr>
    <w:rPr>
      <w:b/>
      <w:sz w:val="28"/>
    </w:rPr>
  </w:style>
  <w:style w:type="paragraph" w:styleId="8">
    <w:name w:val="heading 6"/>
    <w:basedOn w:val="1"/>
    <w:next w:val="7"/>
    <w:link w:val="69"/>
    <w:qFormat/>
    <w:uiPriority w:val="9"/>
    <w:pPr>
      <w:keepNext/>
      <w:keepLines/>
      <w:spacing w:before="240" w:after="64" w:line="317" w:lineRule="auto"/>
      <w:outlineLvl w:val="5"/>
    </w:pPr>
    <w:rPr>
      <w:rFonts w:ascii="Arial" w:hAnsi="Arial" w:eastAsia="黑体"/>
      <w:b/>
      <w:sz w:val="24"/>
    </w:rPr>
  </w:style>
  <w:style w:type="paragraph" w:styleId="9">
    <w:name w:val="heading 7"/>
    <w:basedOn w:val="1"/>
    <w:next w:val="7"/>
    <w:link w:val="70"/>
    <w:qFormat/>
    <w:uiPriority w:val="9"/>
    <w:pPr>
      <w:keepNext/>
      <w:keepLines/>
      <w:spacing w:before="240" w:after="64" w:line="317" w:lineRule="auto"/>
      <w:outlineLvl w:val="6"/>
    </w:pPr>
    <w:rPr>
      <w:b/>
      <w:sz w:val="24"/>
    </w:rPr>
  </w:style>
  <w:style w:type="paragraph" w:styleId="10">
    <w:name w:val="heading 8"/>
    <w:basedOn w:val="1"/>
    <w:next w:val="7"/>
    <w:link w:val="71"/>
    <w:qFormat/>
    <w:uiPriority w:val="9"/>
    <w:pPr>
      <w:keepNext/>
      <w:keepLines/>
      <w:spacing w:before="240" w:after="64" w:line="317" w:lineRule="auto"/>
      <w:outlineLvl w:val="7"/>
    </w:pPr>
    <w:rPr>
      <w:rFonts w:ascii="Arial" w:hAnsi="Arial" w:eastAsia="黑体"/>
      <w:sz w:val="24"/>
    </w:rPr>
  </w:style>
  <w:style w:type="paragraph" w:styleId="11">
    <w:name w:val="heading 9"/>
    <w:basedOn w:val="1"/>
    <w:next w:val="7"/>
    <w:link w:val="72"/>
    <w:qFormat/>
    <w:uiPriority w:val="9"/>
    <w:pPr>
      <w:keepNext/>
      <w:keepLines/>
      <w:spacing w:before="240" w:after="64" w:line="317" w:lineRule="auto"/>
      <w:outlineLvl w:val="8"/>
    </w:pPr>
    <w:rPr>
      <w:rFonts w:ascii="Arial" w:hAnsi="Arial" w:eastAsia="黑体"/>
    </w:rPr>
  </w:style>
  <w:style w:type="character" w:default="1" w:styleId="56">
    <w:name w:val="Default Paragraph Font"/>
    <w:semiHidden/>
    <w:unhideWhenUsed/>
    <w:qFormat/>
    <w:uiPriority w:val="1"/>
  </w:style>
  <w:style w:type="table" w:default="1" w:styleId="54">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68"/>
    <w:qFormat/>
    <w:uiPriority w:val="0"/>
    <w:pPr>
      <w:ind w:firstLine="420"/>
    </w:pPr>
    <w:rPr>
      <w:szCs w:val="20"/>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39"/>
    <w:pPr>
      <w:tabs>
        <w:tab w:val="right" w:leader="dot" w:pos="9185"/>
      </w:tabs>
      <w:adjustRightInd w:val="0"/>
      <w:spacing w:line="312" w:lineRule="atLeast"/>
      <w:ind w:left="2520"/>
      <w:textAlignment w:val="baseline"/>
    </w:pPr>
    <w:rPr>
      <w:kern w:val="0"/>
      <w:szCs w:val="20"/>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qFormat/>
    <w:uiPriority w:val="99"/>
    <w:pPr>
      <w:spacing w:before="152" w:after="160"/>
    </w:pPr>
    <w:rPr>
      <w:rFonts w:ascii="Arial" w:hAnsi="Arial" w:eastAsia="黑体" w:cs="Arial"/>
      <w:sz w:val="20"/>
      <w:szCs w:val="20"/>
    </w:rPr>
  </w:style>
  <w:style w:type="paragraph" w:styleId="16">
    <w:name w:val="Document Map"/>
    <w:basedOn w:val="1"/>
    <w:link w:val="73"/>
    <w:qFormat/>
    <w:uiPriority w:val="99"/>
    <w:pPr>
      <w:shd w:val="clear" w:color="auto" w:fill="000080"/>
      <w:adjustRightInd w:val="0"/>
      <w:spacing w:line="312" w:lineRule="atLeast"/>
      <w:textAlignment w:val="baseline"/>
    </w:pPr>
    <w:rPr>
      <w:kern w:val="0"/>
      <w:szCs w:val="20"/>
    </w:rPr>
  </w:style>
  <w:style w:type="paragraph" w:styleId="17">
    <w:name w:val="annotation text"/>
    <w:basedOn w:val="1"/>
    <w:link w:val="74"/>
    <w:qFormat/>
    <w:uiPriority w:val="0"/>
    <w:pPr>
      <w:jc w:val="left"/>
    </w:pPr>
  </w:style>
  <w:style w:type="paragraph" w:styleId="18">
    <w:name w:val="Body Text 3"/>
    <w:basedOn w:val="1"/>
    <w:link w:val="75"/>
    <w:qFormat/>
    <w:uiPriority w:val="0"/>
    <w:pPr>
      <w:spacing w:line="500" w:lineRule="exact"/>
    </w:pPr>
    <w:rPr>
      <w:b/>
      <w:bCs/>
      <w:sz w:val="24"/>
    </w:rPr>
  </w:style>
  <w:style w:type="paragraph" w:styleId="19">
    <w:name w:val="Body Text"/>
    <w:basedOn w:val="1"/>
    <w:link w:val="76"/>
    <w:qFormat/>
    <w:uiPriority w:val="99"/>
    <w:pPr>
      <w:spacing w:line="380" w:lineRule="exact"/>
    </w:pPr>
    <w:rPr>
      <w:sz w:val="24"/>
    </w:rPr>
  </w:style>
  <w:style w:type="paragraph" w:styleId="20">
    <w:name w:val="Body Text Indent"/>
    <w:basedOn w:val="1"/>
    <w:link w:val="77"/>
    <w:qFormat/>
    <w:uiPriority w:val="99"/>
    <w:pPr>
      <w:ind w:firstLine="830" w:firstLineChars="352"/>
    </w:pPr>
    <w:rPr>
      <w:rFonts w:ascii="仿宋_GB2312" w:eastAsia="仿宋_GB2312"/>
      <w:sz w:val="32"/>
      <w:szCs w:val="20"/>
    </w:rPr>
  </w:style>
  <w:style w:type="paragraph" w:styleId="21">
    <w:name w:val="List Number 3"/>
    <w:basedOn w:val="1"/>
    <w:qFormat/>
    <w:uiPriority w:val="0"/>
    <w:pPr>
      <w:tabs>
        <w:tab w:val="left" w:pos="1200"/>
      </w:tabs>
      <w:ind w:left="1200" w:leftChars="400" w:hanging="360" w:hangingChars="200"/>
    </w:pPr>
  </w:style>
  <w:style w:type="paragraph" w:styleId="22">
    <w:name w:val="List 2"/>
    <w:basedOn w:val="1"/>
    <w:qFormat/>
    <w:uiPriority w:val="0"/>
    <w:pPr>
      <w:ind w:left="100" w:leftChars="200" w:hanging="200" w:hangingChars="200"/>
    </w:pPr>
    <w:rPr>
      <w:sz w:val="28"/>
    </w:rPr>
  </w:style>
  <w:style w:type="paragraph" w:styleId="23">
    <w:name w:val="Block Text"/>
    <w:basedOn w:val="1"/>
    <w:qFormat/>
    <w:uiPriority w:val="0"/>
    <w:pPr>
      <w:adjustRightInd w:val="0"/>
      <w:ind w:left="420" w:right="33"/>
      <w:jc w:val="left"/>
      <w:textAlignment w:val="baseline"/>
    </w:pPr>
    <w:rPr>
      <w:kern w:val="0"/>
      <w:sz w:val="24"/>
      <w:szCs w:val="20"/>
    </w:rPr>
  </w:style>
  <w:style w:type="paragraph" w:styleId="24">
    <w:name w:val="index 4"/>
    <w:basedOn w:val="1"/>
    <w:next w:val="1"/>
    <w:qFormat/>
    <w:uiPriority w:val="99"/>
    <w:pPr>
      <w:ind w:left="600" w:leftChars="600"/>
    </w:pPr>
  </w:style>
  <w:style w:type="paragraph" w:styleId="25">
    <w:name w:val="toc 5"/>
    <w:basedOn w:val="1"/>
    <w:next w:val="1"/>
    <w:qFormat/>
    <w:uiPriority w:val="39"/>
    <w:pPr>
      <w:tabs>
        <w:tab w:val="right" w:leader="dot" w:pos="9185"/>
      </w:tabs>
      <w:adjustRightInd w:val="0"/>
      <w:spacing w:line="312" w:lineRule="atLeast"/>
      <w:ind w:left="1680"/>
      <w:textAlignment w:val="baseline"/>
    </w:pPr>
    <w:rPr>
      <w:kern w:val="0"/>
      <w:szCs w:val="20"/>
    </w:rPr>
  </w:style>
  <w:style w:type="paragraph" w:styleId="26">
    <w:name w:val="toc 3"/>
    <w:basedOn w:val="1"/>
    <w:next w:val="1"/>
    <w:qFormat/>
    <w:uiPriority w:val="39"/>
    <w:pPr>
      <w:ind w:left="840" w:leftChars="400"/>
    </w:pPr>
  </w:style>
  <w:style w:type="paragraph" w:styleId="27">
    <w:name w:val="Plain Text"/>
    <w:basedOn w:val="1"/>
    <w:link w:val="79"/>
    <w:qFormat/>
    <w:uiPriority w:val="0"/>
    <w:rPr>
      <w:rFonts w:ascii="宋体" w:hAnsi="Courier New" w:cs="Courier New"/>
      <w:szCs w:val="21"/>
    </w:rPr>
  </w:style>
  <w:style w:type="paragraph" w:styleId="28">
    <w:name w:val="toc 8"/>
    <w:basedOn w:val="1"/>
    <w:next w:val="1"/>
    <w:qFormat/>
    <w:uiPriority w:val="39"/>
    <w:pPr>
      <w:tabs>
        <w:tab w:val="right" w:leader="dot" w:pos="9185"/>
      </w:tabs>
      <w:adjustRightInd w:val="0"/>
      <w:spacing w:line="312" w:lineRule="atLeast"/>
      <w:ind w:left="2940"/>
      <w:textAlignment w:val="baseline"/>
    </w:pPr>
    <w:rPr>
      <w:kern w:val="0"/>
      <w:szCs w:val="20"/>
    </w:rPr>
  </w:style>
  <w:style w:type="paragraph" w:styleId="29">
    <w:name w:val="Date"/>
    <w:basedOn w:val="1"/>
    <w:next w:val="1"/>
    <w:link w:val="80"/>
    <w:qFormat/>
    <w:uiPriority w:val="99"/>
    <w:pPr>
      <w:ind w:left="100" w:leftChars="2500"/>
    </w:pPr>
    <w:rPr>
      <w:rFonts w:ascii="宋体" w:hAnsi="Courier New"/>
      <w:szCs w:val="21"/>
    </w:rPr>
  </w:style>
  <w:style w:type="paragraph" w:styleId="30">
    <w:name w:val="Body Text Indent 2"/>
    <w:basedOn w:val="1"/>
    <w:link w:val="81"/>
    <w:qFormat/>
    <w:uiPriority w:val="99"/>
    <w:pPr>
      <w:ind w:firstLine="630"/>
    </w:pPr>
    <w:rPr>
      <w:sz w:val="32"/>
      <w:szCs w:val="20"/>
    </w:rPr>
  </w:style>
  <w:style w:type="paragraph" w:styleId="31">
    <w:name w:val="Balloon Text"/>
    <w:basedOn w:val="1"/>
    <w:link w:val="82"/>
    <w:qFormat/>
    <w:uiPriority w:val="99"/>
    <w:rPr>
      <w:sz w:val="18"/>
      <w:szCs w:val="18"/>
    </w:rPr>
  </w:style>
  <w:style w:type="paragraph" w:styleId="32">
    <w:name w:val="footer"/>
    <w:basedOn w:val="1"/>
    <w:link w:val="83"/>
    <w:qFormat/>
    <w:uiPriority w:val="99"/>
    <w:pPr>
      <w:tabs>
        <w:tab w:val="center" w:pos="4153"/>
        <w:tab w:val="right" w:pos="8306"/>
      </w:tabs>
      <w:snapToGrid w:val="0"/>
      <w:jc w:val="left"/>
    </w:pPr>
    <w:rPr>
      <w:sz w:val="18"/>
      <w:szCs w:val="18"/>
    </w:rPr>
  </w:style>
  <w:style w:type="paragraph" w:styleId="33">
    <w:name w:val="header"/>
    <w:basedOn w:val="1"/>
    <w:link w:val="84"/>
    <w:qFormat/>
    <w:uiPriority w:val="99"/>
    <w:pPr>
      <w:pBdr>
        <w:bottom w:val="single" w:color="auto" w:sz="6" w:space="1"/>
      </w:pBdr>
      <w:tabs>
        <w:tab w:val="center" w:pos="4153"/>
        <w:tab w:val="right" w:pos="8306"/>
      </w:tabs>
      <w:snapToGrid w:val="0"/>
      <w:jc w:val="center"/>
    </w:pPr>
    <w:rPr>
      <w:sz w:val="18"/>
      <w:szCs w:val="18"/>
    </w:rPr>
  </w:style>
  <w:style w:type="paragraph" w:styleId="34">
    <w:name w:val="toc 1"/>
    <w:basedOn w:val="1"/>
    <w:next w:val="1"/>
    <w:qFormat/>
    <w:uiPriority w:val="39"/>
    <w:pPr>
      <w:tabs>
        <w:tab w:val="right" w:leader="dot" w:pos="8398"/>
      </w:tabs>
      <w:spacing w:before="120" w:after="120"/>
      <w:ind w:firstLine="240" w:firstLineChars="100"/>
      <w:jc w:val="left"/>
    </w:pPr>
    <w:rPr>
      <w:rFonts w:ascii="宋体" w:hAnsi="宋体"/>
      <w:b/>
      <w:bCs/>
      <w:caps/>
      <w:sz w:val="24"/>
    </w:rPr>
  </w:style>
  <w:style w:type="paragraph" w:styleId="35">
    <w:name w:val="toc 4"/>
    <w:basedOn w:val="1"/>
    <w:next w:val="1"/>
    <w:qFormat/>
    <w:uiPriority w:val="39"/>
    <w:pPr>
      <w:tabs>
        <w:tab w:val="right" w:leader="dot" w:pos="9185"/>
      </w:tabs>
      <w:adjustRightInd w:val="0"/>
      <w:spacing w:line="312" w:lineRule="atLeast"/>
      <w:ind w:left="1260"/>
      <w:textAlignment w:val="baseline"/>
    </w:pPr>
    <w:rPr>
      <w:kern w:val="0"/>
      <w:szCs w:val="20"/>
    </w:rPr>
  </w:style>
  <w:style w:type="paragraph" w:styleId="36">
    <w:name w:val="Subtitle"/>
    <w:basedOn w:val="1"/>
    <w:next w:val="1"/>
    <w:link w:val="85"/>
    <w:qFormat/>
    <w:uiPriority w:val="11"/>
    <w:pPr>
      <w:spacing w:before="240" w:after="60" w:line="312" w:lineRule="auto"/>
      <w:jc w:val="center"/>
      <w:outlineLvl w:val="1"/>
    </w:pPr>
    <w:rPr>
      <w:rFonts w:ascii="Cambria" w:hAnsi="Cambria"/>
      <w:b/>
      <w:bCs/>
      <w:kern w:val="28"/>
      <w:sz w:val="32"/>
      <w:szCs w:val="32"/>
    </w:rPr>
  </w:style>
  <w:style w:type="paragraph" w:styleId="37">
    <w:name w:val="List"/>
    <w:basedOn w:val="1"/>
    <w:qFormat/>
    <w:uiPriority w:val="0"/>
    <w:pPr>
      <w:ind w:left="200" w:hanging="200" w:hangingChars="200"/>
    </w:pPr>
    <w:rPr>
      <w:sz w:val="28"/>
    </w:rPr>
  </w:style>
  <w:style w:type="paragraph" w:styleId="38">
    <w:name w:val="footnote text"/>
    <w:basedOn w:val="1"/>
    <w:link w:val="86"/>
    <w:qFormat/>
    <w:uiPriority w:val="99"/>
    <w:pPr>
      <w:adjustRightInd w:val="0"/>
      <w:spacing w:line="312" w:lineRule="atLeast"/>
      <w:jc w:val="left"/>
      <w:textAlignment w:val="baseline"/>
    </w:pPr>
    <w:rPr>
      <w:kern w:val="0"/>
      <w:sz w:val="18"/>
      <w:szCs w:val="20"/>
    </w:rPr>
  </w:style>
  <w:style w:type="paragraph" w:styleId="39">
    <w:name w:val="toc 6"/>
    <w:basedOn w:val="1"/>
    <w:next w:val="1"/>
    <w:qFormat/>
    <w:uiPriority w:val="39"/>
    <w:pPr>
      <w:tabs>
        <w:tab w:val="right" w:leader="dot" w:pos="9185"/>
      </w:tabs>
      <w:adjustRightInd w:val="0"/>
      <w:spacing w:line="312" w:lineRule="atLeast"/>
      <w:ind w:left="2100"/>
      <w:textAlignment w:val="baseline"/>
    </w:pPr>
    <w:rPr>
      <w:kern w:val="0"/>
      <w:szCs w:val="20"/>
    </w:rPr>
  </w:style>
  <w:style w:type="paragraph" w:styleId="40">
    <w:name w:val="List 5"/>
    <w:basedOn w:val="1"/>
    <w:qFormat/>
    <w:uiPriority w:val="0"/>
    <w:pPr>
      <w:ind w:left="2100" w:hanging="420"/>
    </w:pPr>
    <w:rPr>
      <w:szCs w:val="20"/>
    </w:rPr>
  </w:style>
  <w:style w:type="paragraph" w:styleId="41">
    <w:name w:val="Body Text Indent 3"/>
    <w:basedOn w:val="1"/>
    <w:link w:val="87"/>
    <w:qFormat/>
    <w:uiPriority w:val="0"/>
    <w:pPr>
      <w:spacing w:after="120"/>
      <w:ind w:left="420" w:leftChars="200"/>
    </w:pPr>
    <w:rPr>
      <w:sz w:val="16"/>
      <w:szCs w:val="16"/>
    </w:rPr>
  </w:style>
  <w:style w:type="paragraph" w:styleId="42">
    <w:name w:val="toc 2"/>
    <w:basedOn w:val="1"/>
    <w:next w:val="1"/>
    <w:qFormat/>
    <w:uiPriority w:val="39"/>
    <w:pPr>
      <w:ind w:left="420" w:leftChars="200"/>
    </w:pPr>
  </w:style>
  <w:style w:type="paragraph" w:styleId="43">
    <w:name w:val="toc 9"/>
    <w:basedOn w:val="1"/>
    <w:next w:val="1"/>
    <w:qFormat/>
    <w:uiPriority w:val="39"/>
    <w:pPr>
      <w:tabs>
        <w:tab w:val="right" w:leader="dot" w:pos="9185"/>
      </w:tabs>
      <w:adjustRightInd w:val="0"/>
      <w:spacing w:line="312" w:lineRule="atLeast"/>
      <w:ind w:left="3360"/>
      <w:textAlignment w:val="baseline"/>
    </w:pPr>
    <w:rPr>
      <w:kern w:val="0"/>
      <w:szCs w:val="20"/>
    </w:rPr>
  </w:style>
  <w:style w:type="paragraph" w:styleId="44">
    <w:name w:val="Body Text 2"/>
    <w:basedOn w:val="1"/>
    <w:link w:val="88"/>
    <w:qFormat/>
    <w:uiPriority w:val="0"/>
    <w:pPr>
      <w:spacing w:after="120" w:line="480" w:lineRule="auto"/>
    </w:pPr>
  </w:style>
  <w:style w:type="paragraph" w:styleId="45">
    <w:name w:val="List 4"/>
    <w:basedOn w:val="1"/>
    <w:qFormat/>
    <w:uiPriority w:val="0"/>
    <w:pPr>
      <w:ind w:left="100" w:leftChars="600" w:hanging="200" w:hangingChars="200"/>
    </w:pPr>
  </w:style>
  <w:style w:type="paragraph" w:styleId="46">
    <w:name w:val="List Continue 2"/>
    <w:basedOn w:val="1"/>
    <w:qFormat/>
    <w:uiPriority w:val="0"/>
    <w:pPr>
      <w:spacing w:after="120"/>
      <w:ind w:left="840" w:leftChars="400"/>
    </w:pPr>
  </w:style>
  <w:style w:type="paragraph" w:styleId="47">
    <w:name w:val="HTML Preformatted"/>
    <w:basedOn w:val="1"/>
    <w:link w:val="89"/>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8">
    <w:name w:val="Normal (Web)"/>
    <w:basedOn w:val="1"/>
    <w:qFormat/>
    <w:uiPriority w:val="0"/>
    <w:pPr>
      <w:widowControl/>
      <w:spacing w:before="100" w:beforeAutospacing="1" w:after="100" w:afterAutospacing="1"/>
      <w:jc w:val="left"/>
    </w:pPr>
    <w:rPr>
      <w:rFonts w:ascii="宋体" w:hAnsi="宋体"/>
      <w:kern w:val="0"/>
      <w:sz w:val="24"/>
    </w:rPr>
  </w:style>
  <w:style w:type="paragraph" w:styleId="49">
    <w:name w:val="index 1"/>
    <w:basedOn w:val="1"/>
    <w:next w:val="1"/>
    <w:qFormat/>
    <w:uiPriority w:val="0"/>
    <w:pPr>
      <w:spacing w:line="400" w:lineRule="exact"/>
      <w:ind w:firstLine="420" w:firstLineChars="200"/>
    </w:pPr>
    <w:rPr>
      <w:rFonts w:ascii="宋体" w:hAnsi="Courier New"/>
      <w:b/>
      <w:szCs w:val="20"/>
    </w:rPr>
  </w:style>
  <w:style w:type="paragraph" w:styleId="50">
    <w:name w:val="Title"/>
    <w:basedOn w:val="1"/>
    <w:link w:val="90"/>
    <w:qFormat/>
    <w:uiPriority w:val="99"/>
    <w:pPr>
      <w:jc w:val="center"/>
    </w:pPr>
    <w:rPr>
      <w:sz w:val="30"/>
    </w:rPr>
  </w:style>
  <w:style w:type="paragraph" w:styleId="51">
    <w:name w:val="annotation subject"/>
    <w:basedOn w:val="17"/>
    <w:next w:val="17"/>
    <w:link w:val="91"/>
    <w:qFormat/>
    <w:uiPriority w:val="99"/>
    <w:rPr>
      <w:b/>
      <w:bCs/>
    </w:rPr>
  </w:style>
  <w:style w:type="paragraph" w:styleId="52">
    <w:name w:val="Body Text First Indent"/>
    <w:basedOn w:val="19"/>
    <w:link w:val="92"/>
    <w:qFormat/>
    <w:uiPriority w:val="0"/>
    <w:pPr>
      <w:spacing w:after="120" w:line="240" w:lineRule="auto"/>
      <w:ind w:firstLine="420" w:firstLineChars="100"/>
    </w:pPr>
    <w:rPr>
      <w:sz w:val="21"/>
    </w:rPr>
  </w:style>
  <w:style w:type="paragraph" w:styleId="53">
    <w:name w:val="Body Text First Indent 2"/>
    <w:basedOn w:val="20"/>
    <w:link w:val="78"/>
    <w:qFormat/>
    <w:uiPriority w:val="0"/>
    <w:pPr>
      <w:spacing w:after="120"/>
      <w:ind w:left="420" w:leftChars="200" w:firstLine="420" w:firstLineChars="200"/>
    </w:pPr>
    <w:rPr>
      <w:rFonts w:ascii="Times New Roman" w:eastAsia="宋体"/>
      <w:sz w:val="21"/>
      <w:szCs w:val="24"/>
    </w:rPr>
  </w:style>
  <w:style w:type="table" w:styleId="55">
    <w:name w:val="Table Grid"/>
    <w:basedOn w:val="5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7">
    <w:name w:val="Strong"/>
    <w:qFormat/>
    <w:uiPriority w:val="22"/>
    <w:rPr>
      <w:b/>
      <w:bCs/>
    </w:rPr>
  </w:style>
  <w:style w:type="character" w:styleId="58">
    <w:name w:val="page number"/>
    <w:basedOn w:val="56"/>
    <w:qFormat/>
    <w:uiPriority w:val="99"/>
  </w:style>
  <w:style w:type="character" w:styleId="59">
    <w:name w:val="FollowedHyperlink"/>
    <w:qFormat/>
    <w:uiPriority w:val="99"/>
    <w:rPr>
      <w:color w:val="800080"/>
      <w:u w:val="single"/>
    </w:rPr>
  </w:style>
  <w:style w:type="character" w:styleId="60">
    <w:name w:val="Emphasis"/>
    <w:qFormat/>
    <w:uiPriority w:val="99"/>
    <w:rPr>
      <w:i/>
      <w:iCs/>
    </w:rPr>
  </w:style>
  <w:style w:type="character" w:styleId="61">
    <w:name w:val="Hyperlink"/>
    <w:qFormat/>
    <w:uiPriority w:val="99"/>
    <w:rPr>
      <w:color w:val="0000FF"/>
      <w:u w:val="single"/>
    </w:rPr>
  </w:style>
  <w:style w:type="character" w:styleId="62">
    <w:name w:val="annotation reference"/>
    <w:qFormat/>
    <w:uiPriority w:val="0"/>
    <w:rPr>
      <w:sz w:val="21"/>
      <w:szCs w:val="21"/>
    </w:rPr>
  </w:style>
  <w:style w:type="character" w:customStyle="1" w:styleId="63">
    <w:name w:val="标题 1 字符2"/>
    <w:link w:val="2"/>
    <w:qFormat/>
    <w:uiPriority w:val="99"/>
    <w:rPr>
      <w:rFonts w:eastAsia="宋体"/>
      <w:b/>
      <w:bCs/>
      <w:kern w:val="44"/>
      <w:sz w:val="44"/>
      <w:szCs w:val="44"/>
      <w:lang w:val="en-US" w:eastAsia="zh-CN" w:bidi="ar-SA"/>
    </w:rPr>
  </w:style>
  <w:style w:type="character" w:customStyle="1" w:styleId="64">
    <w:name w:val="标题 2 字符2"/>
    <w:link w:val="3"/>
    <w:qFormat/>
    <w:uiPriority w:val="99"/>
    <w:rPr>
      <w:rFonts w:ascii="Arial" w:hAnsi="Arial" w:eastAsia="黑体"/>
      <w:b/>
      <w:bCs/>
      <w:kern w:val="2"/>
      <w:sz w:val="32"/>
      <w:szCs w:val="32"/>
    </w:rPr>
  </w:style>
  <w:style w:type="character" w:customStyle="1" w:styleId="65">
    <w:name w:val="标题 3 字符2"/>
    <w:link w:val="4"/>
    <w:qFormat/>
    <w:uiPriority w:val="99"/>
    <w:rPr>
      <w:b/>
      <w:bCs/>
      <w:kern w:val="2"/>
      <w:sz w:val="32"/>
      <w:szCs w:val="32"/>
    </w:rPr>
  </w:style>
  <w:style w:type="character" w:customStyle="1" w:styleId="66">
    <w:name w:val="标题 4 字符2"/>
    <w:link w:val="5"/>
    <w:qFormat/>
    <w:uiPriority w:val="99"/>
    <w:rPr>
      <w:rFonts w:ascii="Arial" w:hAnsi="Arial" w:eastAsia="黑体"/>
      <w:sz w:val="28"/>
    </w:rPr>
  </w:style>
  <w:style w:type="character" w:customStyle="1" w:styleId="67">
    <w:name w:val="标题 5 字符2"/>
    <w:link w:val="6"/>
    <w:qFormat/>
    <w:uiPriority w:val="99"/>
    <w:rPr>
      <w:b/>
      <w:kern w:val="2"/>
      <w:sz w:val="28"/>
      <w:szCs w:val="24"/>
    </w:rPr>
  </w:style>
  <w:style w:type="character" w:customStyle="1" w:styleId="68">
    <w:name w:val="正文缩进 字符"/>
    <w:link w:val="7"/>
    <w:qFormat/>
    <w:uiPriority w:val="99"/>
    <w:rPr>
      <w:kern w:val="2"/>
      <w:sz w:val="21"/>
    </w:rPr>
  </w:style>
  <w:style w:type="character" w:customStyle="1" w:styleId="69">
    <w:name w:val="标题 6 字符2"/>
    <w:link w:val="8"/>
    <w:qFormat/>
    <w:uiPriority w:val="9"/>
    <w:rPr>
      <w:rFonts w:ascii="Arial" w:hAnsi="Arial" w:eastAsia="黑体"/>
      <w:b/>
      <w:kern w:val="2"/>
      <w:sz w:val="24"/>
      <w:szCs w:val="24"/>
    </w:rPr>
  </w:style>
  <w:style w:type="character" w:customStyle="1" w:styleId="70">
    <w:name w:val="标题 7 字符2"/>
    <w:link w:val="9"/>
    <w:qFormat/>
    <w:uiPriority w:val="9"/>
    <w:rPr>
      <w:b/>
      <w:kern w:val="2"/>
      <w:sz w:val="24"/>
      <w:szCs w:val="24"/>
    </w:rPr>
  </w:style>
  <w:style w:type="character" w:customStyle="1" w:styleId="71">
    <w:name w:val="标题 8 字符2"/>
    <w:link w:val="10"/>
    <w:qFormat/>
    <w:uiPriority w:val="9"/>
    <w:rPr>
      <w:rFonts w:ascii="Arial" w:hAnsi="Arial" w:eastAsia="黑体"/>
      <w:kern w:val="2"/>
      <w:sz w:val="24"/>
      <w:szCs w:val="24"/>
    </w:rPr>
  </w:style>
  <w:style w:type="character" w:customStyle="1" w:styleId="72">
    <w:name w:val="标题 9 字符2"/>
    <w:link w:val="11"/>
    <w:qFormat/>
    <w:uiPriority w:val="9"/>
    <w:rPr>
      <w:rFonts w:ascii="Arial" w:hAnsi="Arial" w:eastAsia="黑体"/>
      <w:kern w:val="2"/>
      <w:sz w:val="21"/>
      <w:szCs w:val="24"/>
    </w:rPr>
  </w:style>
  <w:style w:type="character" w:customStyle="1" w:styleId="73">
    <w:name w:val="文档结构图 字符2"/>
    <w:link w:val="16"/>
    <w:qFormat/>
    <w:uiPriority w:val="99"/>
    <w:rPr>
      <w:sz w:val="21"/>
      <w:shd w:val="clear" w:color="auto" w:fill="000080"/>
    </w:rPr>
  </w:style>
  <w:style w:type="character" w:customStyle="1" w:styleId="74">
    <w:name w:val="批注文字 字符3"/>
    <w:link w:val="17"/>
    <w:qFormat/>
    <w:uiPriority w:val="99"/>
    <w:rPr>
      <w:kern w:val="2"/>
      <w:sz w:val="21"/>
      <w:szCs w:val="24"/>
    </w:rPr>
  </w:style>
  <w:style w:type="character" w:customStyle="1" w:styleId="75">
    <w:name w:val="正文文本 3 字符2"/>
    <w:link w:val="18"/>
    <w:qFormat/>
    <w:uiPriority w:val="0"/>
    <w:rPr>
      <w:b/>
      <w:bCs/>
      <w:kern w:val="2"/>
      <w:sz w:val="24"/>
      <w:szCs w:val="24"/>
    </w:rPr>
  </w:style>
  <w:style w:type="character" w:customStyle="1" w:styleId="76">
    <w:name w:val="正文文本 字符2"/>
    <w:link w:val="19"/>
    <w:qFormat/>
    <w:uiPriority w:val="99"/>
    <w:rPr>
      <w:kern w:val="2"/>
      <w:sz w:val="24"/>
      <w:szCs w:val="24"/>
    </w:rPr>
  </w:style>
  <w:style w:type="character" w:customStyle="1" w:styleId="77">
    <w:name w:val="正文文本缩进 字符2"/>
    <w:link w:val="20"/>
    <w:qFormat/>
    <w:uiPriority w:val="99"/>
    <w:rPr>
      <w:rFonts w:ascii="仿宋_GB2312" w:eastAsia="仿宋_GB2312"/>
      <w:kern w:val="2"/>
      <w:sz w:val="32"/>
    </w:rPr>
  </w:style>
  <w:style w:type="character" w:customStyle="1" w:styleId="78">
    <w:name w:val="正文文本首行缩进 2 字符2"/>
    <w:link w:val="53"/>
    <w:qFormat/>
    <w:uiPriority w:val="0"/>
    <w:rPr>
      <w:kern w:val="2"/>
      <w:sz w:val="21"/>
      <w:szCs w:val="24"/>
    </w:rPr>
  </w:style>
  <w:style w:type="character" w:customStyle="1" w:styleId="79">
    <w:name w:val="纯文本 字符2"/>
    <w:link w:val="27"/>
    <w:qFormat/>
    <w:uiPriority w:val="99"/>
    <w:rPr>
      <w:rFonts w:ascii="宋体" w:hAnsi="Courier New" w:eastAsia="宋体" w:cs="Courier New"/>
      <w:kern w:val="2"/>
      <w:sz w:val="21"/>
      <w:szCs w:val="21"/>
      <w:lang w:val="en-US" w:eastAsia="zh-CN" w:bidi="ar-SA"/>
    </w:rPr>
  </w:style>
  <w:style w:type="character" w:customStyle="1" w:styleId="80">
    <w:name w:val="日期 字符2"/>
    <w:link w:val="29"/>
    <w:qFormat/>
    <w:uiPriority w:val="99"/>
    <w:rPr>
      <w:rFonts w:ascii="宋体" w:hAnsi="Courier New" w:cs="Courier New"/>
      <w:kern w:val="2"/>
      <w:sz w:val="21"/>
      <w:szCs w:val="21"/>
    </w:rPr>
  </w:style>
  <w:style w:type="character" w:customStyle="1" w:styleId="81">
    <w:name w:val="正文文本缩进 2 字符2"/>
    <w:link w:val="30"/>
    <w:qFormat/>
    <w:uiPriority w:val="99"/>
    <w:rPr>
      <w:kern w:val="2"/>
      <w:sz w:val="32"/>
    </w:rPr>
  </w:style>
  <w:style w:type="character" w:customStyle="1" w:styleId="82">
    <w:name w:val="批注框文本 字符2"/>
    <w:link w:val="31"/>
    <w:qFormat/>
    <w:uiPriority w:val="99"/>
    <w:rPr>
      <w:kern w:val="2"/>
      <w:sz w:val="18"/>
      <w:szCs w:val="18"/>
    </w:rPr>
  </w:style>
  <w:style w:type="character" w:customStyle="1" w:styleId="83">
    <w:name w:val="页脚 字符2"/>
    <w:link w:val="32"/>
    <w:qFormat/>
    <w:uiPriority w:val="99"/>
    <w:rPr>
      <w:kern w:val="2"/>
      <w:sz w:val="18"/>
      <w:szCs w:val="18"/>
    </w:rPr>
  </w:style>
  <w:style w:type="character" w:customStyle="1" w:styleId="84">
    <w:name w:val="页眉 字符2"/>
    <w:link w:val="33"/>
    <w:qFormat/>
    <w:uiPriority w:val="99"/>
    <w:rPr>
      <w:kern w:val="2"/>
      <w:sz w:val="18"/>
      <w:szCs w:val="18"/>
    </w:rPr>
  </w:style>
  <w:style w:type="character" w:customStyle="1" w:styleId="85">
    <w:name w:val="副标题 字符2"/>
    <w:link w:val="36"/>
    <w:qFormat/>
    <w:uiPriority w:val="11"/>
    <w:rPr>
      <w:rFonts w:ascii="Cambria" w:hAnsi="Cambria"/>
      <w:b/>
      <w:bCs/>
      <w:kern w:val="28"/>
      <w:sz w:val="32"/>
      <w:szCs w:val="32"/>
    </w:rPr>
  </w:style>
  <w:style w:type="character" w:customStyle="1" w:styleId="86">
    <w:name w:val="脚注文本 字符2"/>
    <w:link w:val="38"/>
    <w:qFormat/>
    <w:uiPriority w:val="99"/>
    <w:rPr>
      <w:sz w:val="18"/>
    </w:rPr>
  </w:style>
  <w:style w:type="character" w:customStyle="1" w:styleId="87">
    <w:name w:val="正文文本缩进 3 字符2"/>
    <w:link w:val="41"/>
    <w:qFormat/>
    <w:uiPriority w:val="0"/>
    <w:rPr>
      <w:kern w:val="2"/>
      <w:sz w:val="16"/>
      <w:szCs w:val="16"/>
    </w:rPr>
  </w:style>
  <w:style w:type="character" w:customStyle="1" w:styleId="88">
    <w:name w:val="正文文本 2 字符2"/>
    <w:link w:val="44"/>
    <w:qFormat/>
    <w:uiPriority w:val="0"/>
    <w:rPr>
      <w:kern w:val="2"/>
      <w:sz w:val="21"/>
      <w:szCs w:val="24"/>
    </w:rPr>
  </w:style>
  <w:style w:type="character" w:customStyle="1" w:styleId="89">
    <w:name w:val="HTML 预设格式 字符2"/>
    <w:link w:val="47"/>
    <w:qFormat/>
    <w:uiPriority w:val="0"/>
    <w:rPr>
      <w:rFonts w:ascii="黑体" w:hAnsi="Courier New" w:eastAsia="黑体" w:cs="Courier New"/>
    </w:rPr>
  </w:style>
  <w:style w:type="character" w:customStyle="1" w:styleId="90">
    <w:name w:val="标题 字符2"/>
    <w:link w:val="50"/>
    <w:qFormat/>
    <w:uiPriority w:val="99"/>
    <w:rPr>
      <w:kern w:val="2"/>
      <w:sz w:val="30"/>
      <w:szCs w:val="24"/>
    </w:rPr>
  </w:style>
  <w:style w:type="character" w:customStyle="1" w:styleId="91">
    <w:name w:val="批注主题 字符2"/>
    <w:link w:val="51"/>
    <w:qFormat/>
    <w:uiPriority w:val="99"/>
    <w:rPr>
      <w:b/>
      <w:bCs/>
      <w:kern w:val="2"/>
      <w:sz w:val="21"/>
      <w:szCs w:val="24"/>
    </w:rPr>
  </w:style>
  <w:style w:type="character" w:customStyle="1" w:styleId="92">
    <w:name w:val="正文文本首行缩进 字符2"/>
    <w:link w:val="52"/>
    <w:qFormat/>
    <w:uiPriority w:val="0"/>
    <w:rPr>
      <w:kern w:val="2"/>
      <w:sz w:val="21"/>
      <w:szCs w:val="24"/>
    </w:rPr>
  </w:style>
  <w:style w:type="character" w:customStyle="1" w:styleId="93">
    <w:name w:val="content2"/>
    <w:basedOn w:val="56"/>
    <w:qFormat/>
    <w:uiPriority w:val="0"/>
  </w:style>
  <w:style w:type="character" w:customStyle="1" w:styleId="94">
    <w:name w:val="case31"/>
    <w:qFormat/>
    <w:uiPriority w:val="0"/>
    <w:rPr>
      <w:rFonts w:hint="default" w:ascii="_x000B__x000C_" w:hAnsi="_x000B__x000C_"/>
      <w:sz w:val="21"/>
      <w:szCs w:val="21"/>
    </w:rPr>
  </w:style>
  <w:style w:type="character" w:customStyle="1" w:styleId="95">
    <w:name w:val="062"/>
    <w:qFormat/>
    <w:uiPriority w:val="0"/>
    <w:rPr>
      <w:rFonts w:ascii="宋体" w:hAnsi="宋体"/>
      <w:b/>
      <w:bCs/>
      <w:sz w:val="32"/>
    </w:rPr>
  </w:style>
  <w:style w:type="character" w:customStyle="1" w:styleId="96">
    <w:name w:val="f151"/>
    <w:qFormat/>
    <w:uiPriority w:val="0"/>
    <w:rPr>
      <w:sz w:val="23"/>
      <w:szCs w:val="23"/>
    </w:rPr>
  </w:style>
  <w:style w:type="character" w:customStyle="1" w:styleId="97">
    <w:name w:val="unnamed3"/>
    <w:basedOn w:val="56"/>
    <w:qFormat/>
    <w:uiPriority w:val="0"/>
  </w:style>
  <w:style w:type="character" w:customStyle="1" w:styleId="98">
    <w:name w:val="z-窗体顶端 Char"/>
    <w:link w:val="99"/>
    <w:qFormat/>
    <w:uiPriority w:val="0"/>
    <w:rPr>
      <w:rFonts w:ascii="Arial"/>
      <w:vanish/>
      <w:kern w:val="2"/>
      <w:sz w:val="16"/>
      <w:szCs w:val="24"/>
    </w:rPr>
  </w:style>
  <w:style w:type="paragraph" w:customStyle="1" w:styleId="99">
    <w:name w:val="_Style 98"/>
    <w:basedOn w:val="1"/>
    <w:next w:val="1"/>
    <w:link w:val="98"/>
    <w:qFormat/>
    <w:uiPriority w:val="0"/>
    <w:pPr>
      <w:pBdr>
        <w:bottom w:val="single" w:color="auto" w:sz="6" w:space="1"/>
      </w:pBdr>
      <w:jc w:val="center"/>
    </w:pPr>
    <w:rPr>
      <w:rFonts w:ascii="Arial"/>
      <w:vanish/>
      <w:sz w:val="16"/>
    </w:rPr>
  </w:style>
  <w:style w:type="character" w:customStyle="1" w:styleId="100">
    <w:name w:val="gray12"/>
    <w:basedOn w:val="56"/>
    <w:qFormat/>
    <w:uiPriority w:val="0"/>
  </w:style>
  <w:style w:type="character" w:customStyle="1" w:styleId="101">
    <w:name w:val="style11"/>
    <w:qFormat/>
    <w:uiPriority w:val="0"/>
    <w:rPr>
      <w:rFonts w:hint="default" w:ascii="Arial" w:hAnsi="Arial" w:cs="Arial"/>
    </w:rPr>
  </w:style>
  <w:style w:type="character" w:customStyle="1" w:styleId="102">
    <w:name w:val="纯文本 Char1"/>
    <w:qFormat/>
    <w:uiPriority w:val="99"/>
    <w:rPr>
      <w:rFonts w:ascii="宋体" w:hAnsi="Courier New" w:eastAsia="宋体" w:cs="Courier New"/>
      <w:kern w:val="2"/>
      <w:sz w:val="21"/>
      <w:szCs w:val="21"/>
      <w:lang w:val="en-US" w:eastAsia="zh-CN" w:bidi="ar-SA"/>
    </w:rPr>
  </w:style>
  <w:style w:type="character" w:customStyle="1" w:styleId="103">
    <w:name w:val="text11"/>
    <w:qFormat/>
    <w:uiPriority w:val="0"/>
    <w:rPr>
      <w:rFonts w:hint="default" w:ascii="Verdana" w:hAnsi="Verdana"/>
      <w:color w:val="4E4E4E"/>
      <w:sz w:val="18"/>
      <w:szCs w:val="18"/>
    </w:rPr>
  </w:style>
  <w:style w:type="character" w:customStyle="1" w:styleId="104">
    <w:name w:val="1ji Char"/>
    <w:link w:val="105"/>
    <w:qFormat/>
    <w:uiPriority w:val="0"/>
    <w:rPr>
      <w:rFonts w:ascii="宋体" w:hAnsi="宋体" w:eastAsia="宋体"/>
      <w:b/>
      <w:bCs/>
      <w:kern w:val="44"/>
      <w:sz w:val="36"/>
      <w:szCs w:val="44"/>
      <w:lang w:val="en-US" w:eastAsia="zh-CN" w:bidi="ar-SA"/>
    </w:rPr>
  </w:style>
  <w:style w:type="paragraph" w:customStyle="1" w:styleId="105">
    <w:name w:val="1ji"/>
    <w:basedOn w:val="2"/>
    <w:link w:val="104"/>
    <w:qFormat/>
    <w:uiPriority w:val="0"/>
    <w:pPr>
      <w:keepLines w:val="0"/>
      <w:widowControl/>
      <w:spacing w:before="0" w:after="0" w:line="240" w:lineRule="auto"/>
      <w:jc w:val="center"/>
    </w:pPr>
    <w:rPr>
      <w:rFonts w:ascii="宋体" w:hAnsi="宋体"/>
      <w:sz w:val="36"/>
    </w:rPr>
  </w:style>
  <w:style w:type="character" w:customStyle="1" w:styleId="106">
    <w:name w:val="short_text1"/>
    <w:qFormat/>
    <w:uiPriority w:val="0"/>
    <w:rPr>
      <w:sz w:val="26"/>
    </w:rPr>
  </w:style>
  <w:style w:type="character" w:customStyle="1" w:styleId="107">
    <w:name w:val="mark8"/>
    <w:qFormat/>
    <w:uiPriority w:val="0"/>
    <w:rPr>
      <w:b/>
      <w:bCs/>
      <w:sz w:val="21"/>
      <w:szCs w:val="21"/>
    </w:rPr>
  </w:style>
  <w:style w:type="character" w:customStyle="1" w:styleId="108">
    <w:name w:val="white"/>
    <w:basedOn w:val="56"/>
    <w:qFormat/>
    <w:uiPriority w:val="0"/>
  </w:style>
  <w:style w:type="character" w:customStyle="1" w:styleId="109">
    <w:name w:val="graytext1"/>
    <w:qFormat/>
    <w:uiPriority w:val="0"/>
    <w:rPr>
      <w:color w:val="666666"/>
    </w:rPr>
  </w:style>
  <w:style w:type="character" w:customStyle="1" w:styleId="110">
    <w:name w:val="small"/>
    <w:basedOn w:val="56"/>
    <w:qFormat/>
    <w:uiPriority w:val="0"/>
  </w:style>
  <w:style w:type="character" w:customStyle="1" w:styleId="111">
    <w:name w:val="style21"/>
    <w:qFormat/>
    <w:uiPriority w:val="0"/>
    <w:rPr>
      <w:sz w:val="17"/>
      <w:szCs w:val="17"/>
    </w:rPr>
  </w:style>
  <w:style w:type="character" w:customStyle="1" w:styleId="112">
    <w:name w:val="1051"/>
    <w:qFormat/>
    <w:uiPriority w:val="0"/>
    <w:rPr>
      <w:sz w:val="21"/>
      <w:szCs w:val="21"/>
    </w:rPr>
  </w:style>
  <w:style w:type="character" w:customStyle="1" w:styleId="113">
    <w:name w:val="apple-converted-space"/>
    <w:qFormat/>
    <w:uiPriority w:val="0"/>
  </w:style>
  <w:style w:type="character" w:customStyle="1" w:styleId="114">
    <w:name w:val="font01"/>
    <w:qFormat/>
    <w:uiPriority w:val="0"/>
    <w:rPr>
      <w:rFonts w:hint="eastAsia" w:ascii="宋体" w:hAnsi="宋体" w:eastAsia="宋体"/>
      <w:color w:val="000000"/>
      <w:sz w:val="22"/>
      <w:szCs w:val="22"/>
      <w:u w:val="none"/>
    </w:rPr>
  </w:style>
  <w:style w:type="character" w:customStyle="1" w:styleId="115">
    <w:name w:val="标题3 Char"/>
    <w:link w:val="116"/>
    <w:qFormat/>
    <w:uiPriority w:val="0"/>
    <w:rPr>
      <w:rFonts w:ascii="宋体" w:hAnsi="宋体"/>
      <w:b/>
      <w:bCs/>
      <w:kern w:val="44"/>
      <w:sz w:val="24"/>
      <w:szCs w:val="24"/>
    </w:rPr>
  </w:style>
  <w:style w:type="paragraph" w:customStyle="1" w:styleId="116">
    <w:name w:val="标题3"/>
    <w:basedOn w:val="2"/>
    <w:link w:val="115"/>
    <w:qFormat/>
    <w:uiPriority w:val="0"/>
    <w:pPr>
      <w:spacing w:before="0" w:beforeLines="50" w:after="0" w:afterLines="50" w:line="400" w:lineRule="exact"/>
    </w:pPr>
    <w:rPr>
      <w:rFonts w:ascii="宋体" w:hAnsi="宋体"/>
      <w:sz w:val="24"/>
      <w:szCs w:val="24"/>
    </w:rPr>
  </w:style>
  <w:style w:type="paragraph" w:customStyle="1" w:styleId="117">
    <w:name w:val="Char"/>
    <w:basedOn w:val="1"/>
    <w:qFormat/>
    <w:uiPriority w:val="99"/>
    <w:pPr>
      <w:widowControl/>
      <w:spacing w:line="500" w:lineRule="exact"/>
      <w:outlineLvl w:val="2"/>
    </w:pPr>
    <w:rPr>
      <w:rFonts w:ascii="黑体" w:hAnsi="Verdana" w:eastAsia="黑体" w:cs="黑体"/>
      <w:kern w:val="0"/>
      <w:sz w:val="28"/>
      <w:szCs w:val="28"/>
      <w:lang w:eastAsia="en-US"/>
    </w:rPr>
  </w:style>
  <w:style w:type="paragraph" w:customStyle="1" w:styleId="118">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19">
    <w:name w:val="Char1"/>
    <w:basedOn w:val="1"/>
    <w:qFormat/>
    <w:uiPriority w:val="99"/>
    <w:rPr>
      <w:szCs w:val="21"/>
    </w:rPr>
  </w:style>
  <w:style w:type="paragraph" w:styleId="120">
    <w:name w:val="List Paragraph"/>
    <w:basedOn w:val="1"/>
    <w:qFormat/>
    <w:uiPriority w:val="34"/>
    <w:pPr>
      <w:ind w:firstLine="420" w:firstLineChars="200"/>
    </w:pPr>
    <w:rPr>
      <w:rFonts w:ascii="Calibri" w:hAnsi="Calibri"/>
      <w:szCs w:val="22"/>
    </w:rPr>
  </w:style>
  <w:style w:type="paragraph" w:customStyle="1" w:styleId="121">
    <w:name w:val="缺省文本"/>
    <w:basedOn w:val="1"/>
    <w:qFormat/>
    <w:uiPriority w:val="0"/>
    <w:pPr>
      <w:autoSpaceDE w:val="0"/>
      <w:autoSpaceDN w:val="0"/>
      <w:adjustRightInd w:val="0"/>
      <w:spacing w:line="360" w:lineRule="auto"/>
      <w:jc w:val="left"/>
    </w:pPr>
    <w:rPr>
      <w:kern w:val="0"/>
      <w:sz w:val="24"/>
      <w:szCs w:val="20"/>
    </w:rPr>
  </w:style>
  <w:style w:type="paragraph" w:customStyle="1" w:styleId="122">
    <w:name w:val="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3">
    <w:name w:val="Char Char Char Char Char Char Char Char Char Char Char Char Char Char Char Char11"/>
    <w:basedOn w:val="1"/>
    <w:qFormat/>
    <w:uiPriority w:val="0"/>
    <w:pPr>
      <w:tabs>
        <w:tab w:val="left" w:pos="360"/>
      </w:tabs>
      <w:spacing w:line="360" w:lineRule="auto"/>
      <w:ind w:left="482" w:firstLine="200" w:firstLineChars="200"/>
    </w:pPr>
    <w:rPr>
      <w:rFonts w:ascii="宋体"/>
      <w:sz w:val="24"/>
    </w:rPr>
  </w:style>
  <w:style w:type="paragraph" w:customStyle="1" w:styleId="124">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25">
    <w:name w:val="正文首行缩进两字符"/>
    <w:basedOn w:val="1"/>
    <w:qFormat/>
    <w:uiPriority w:val="0"/>
    <w:pPr>
      <w:spacing w:line="360" w:lineRule="auto"/>
      <w:ind w:firstLine="200" w:firstLineChars="200"/>
    </w:pPr>
  </w:style>
  <w:style w:type="paragraph" w:customStyle="1" w:styleId="126">
    <w:name w:val="样式 标题 2 + Times New Roman 四号 非加粗 段前: 5 磅 段后: 0 磅 行距: 固定值 20..."/>
    <w:basedOn w:val="3"/>
    <w:qFormat/>
    <w:uiPriority w:val="99"/>
    <w:pPr>
      <w:spacing w:before="100" w:after="0" w:line="400" w:lineRule="exact"/>
    </w:pPr>
    <w:rPr>
      <w:rFonts w:ascii="Times New Roman" w:hAnsi="Times New Roman" w:cs="宋体"/>
      <w:b w:val="0"/>
      <w:bCs w:val="0"/>
      <w:sz w:val="28"/>
      <w:szCs w:val="20"/>
    </w:rPr>
  </w:style>
  <w:style w:type="paragraph" w:customStyle="1" w:styleId="127">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28">
    <w:name w:val="Char Char Char"/>
    <w:basedOn w:val="1"/>
    <w:qFormat/>
    <w:uiPriority w:val="0"/>
    <w:rPr>
      <w:rFonts w:ascii="Tahoma" w:hAnsi="Tahoma"/>
      <w:sz w:val="24"/>
      <w:szCs w:val="20"/>
    </w:rPr>
  </w:style>
  <w:style w:type="paragraph" w:customStyle="1" w:styleId="129">
    <w:name w:val="样式 首行缩进:  2 字符"/>
    <w:basedOn w:val="1"/>
    <w:qFormat/>
    <w:uiPriority w:val="0"/>
    <w:pPr>
      <w:spacing w:line="400" w:lineRule="exact"/>
      <w:ind w:firstLine="200" w:firstLineChars="200"/>
    </w:pPr>
    <w:rPr>
      <w:rFonts w:cs="宋体"/>
      <w:sz w:val="24"/>
    </w:rPr>
  </w:style>
  <w:style w:type="paragraph" w:customStyle="1" w:styleId="130">
    <w:name w:val="表格"/>
    <w:basedOn w:val="1"/>
    <w:qFormat/>
    <w:uiPriority w:val="0"/>
    <w:pPr>
      <w:spacing w:line="400" w:lineRule="exact"/>
    </w:pPr>
    <w:rPr>
      <w:sz w:val="24"/>
    </w:rPr>
  </w:style>
  <w:style w:type="paragraph" w:customStyle="1" w:styleId="131">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2">
    <w:name w:val="Char Char Char Char Char Char Char"/>
    <w:basedOn w:val="1"/>
    <w:qFormat/>
    <w:uiPriority w:val="0"/>
  </w:style>
  <w:style w:type="paragraph" w:customStyle="1" w:styleId="133">
    <w:name w:val="Char Char Char11"/>
    <w:basedOn w:val="16"/>
    <w:qFormat/>
    <w:uiPriority w:val="0"/>
    <w:pPr>
      <w:adjustRightInd/>
      <w:spacing w:line="240" w:lineRule="auto"/>
      <w:textAlignment w:val="auto"/>
    </w:pPr>
    <w:rPr>
      <w:rFonts w:ascii="Tahoma" w:hAnsi="Tahoma"/>
      <w:kern w:val="2"/>
      <w:sz w:val="24"/>
      <w:szCs w:val="24"/>
    </w:rPr>
  </w:style>
  <w:style w:type="paragraph" w:customStyle="1" w:styleId="134">
    <w:name w:val="样式1"/>
    <w:basedOn w:val="1"/>
    <w:qFormat/>
    <w:uiPriority w:val="99"/>
    <w:pPr>
      <w:spacing w:before="120" w:after="120" w:line="300" w:lineRule="auto"/>
    </w:pPr>
    <w:rPr>
      <w:rFonts w:ascii="宋体" w:hAnsi="宋体"/>
      <w:b/>
      <w:sz w:val="24"/>
      <w:szCs w:val="20"/>
    </w:rPr>
  </w:style>
  <w:style w:type="paragraph" w:customStyle="1" w:styleId="135">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pPr>
    <w:rPr>
      <w:kern w:val="0"/>
      <w:szCs w:val="21"/>
    </w:rPr>
  </w:style>
  <w:style w:type="paragraph" w:customStyle="1" w:styleId="136">
    <w:name w:val="Char Char Char Char Char Char Char11"/>
    <w:basedOn w:val="1"/>
    <w:qFormat/>
    <w:uiPriority w:val="99"/>
  </w:style>
  <w:style w:type="paragraph" w:customStyle="1" w:styleId="137">
    <w:name w:val="xl31"/>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138">
    <w:name w:val="次小点说明 Char"/>
    <w:basedOn w:val="7"/>
    <w:qFormat/>
    <w:uiPriority w:val="0"/>
    <w:pPr>
      <w:ind w:firstLine="0"/>
    </w:pPr>
    <w:rPr>
      <w:sz w:val="24"/>
      <w:szCs w:val="24"/>
    </w:rPr>
  </w:style>
  <w:style w:type="paragraph" w:customStyle="1" w:styleId="139">
    <w:name w:val="五号正文（标准）"/>
    <w:basedOn w:val="1"/>
    <w:qFormat/>
    <w:uiPriority w:val="0"/>
    <w:pPr>
      <w:spacing w:line="360" w:lineRule="auto"/>
      <w:ind w:right="55" w:firstLine="560" w:firstLineChars="200"/>
    </w:pPr>
    <w:rPr>
      <w:rFonts w:eastAsia="仿宋_GB2312"/>
      <w:sz w:val="28"/>
      <w:szCs w:val="20"/>
    </w:rPr>
  </w:style>
  <w:style w:type="paragraph" w:customStyle="1" w:styleId="140">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1">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42">
    <w:name w:val="默认段落字体 Para Char Char Char Char Char Char Char Char Char1 Char Char Char Char"/>
    <w:basedOn w:val="1"/>
    <w:qFormat/>
    <w:uiPriority w:val="0"/>
    <w:rPr>
      <w:rFonts w:ascii="Tahoma" w:hAnsi="Tahoma"/>
      <w:sz w:val="24"/>
      <w:szCs w:val="20"/>
    </w:rPr>
  </w:style>
  <w:style w:type="paragraph" w:customStyle="1" w:styleId="143">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44">
    <w:name w:val="Char Char Char Char11"/>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145">
    <w:name w:val="Char Char Char Char Char Char Char Char Char Char Char Char Char"/>
    <w:basedOn w:val="16"/>
    <w:qFormat/>
    <w:uiPriority w:val="0"/>
    <w:pPr>
      <w:adjustRightInd/>
      <w:spacing w:line="240" w:lineRule="auto"/>
      <w:textAlignment w:val="auto"/>
    </w:pPr>
    <w:rPr>
      <w:rFonts w:ascii="Tahoma" w:hAnsi="Tahoma"/>
      <w:kern w:val="2"/>
      <w:sz w:val="24"/>
      <w:szCs w:val="24"/>
    </w:rPr>
  </w:style>
  <w:style w:type="paragraph" w:customStyle="1" w:styleId="146">
    <w:name w:val="Char31"/>
    <w:basedOn w:val="1"/>
    <w:qFormat/>
    <w:uiPriority w:val="0"/>
    <w:pPr>
      <w:tabs>
        <w:tab w:val="left" w:pos="360"/>
      </w:tabs>
      <w:ind w:left="252" w:hanging="252" w:hangingChars="140"/>
    </w:pPr>
    <w:rPr>
      <w:rFonts w:ascii="宋体"/>
      <w:sz w:val="18"/>
      <w:szCs w:val="18"/>
    </w:rPr>
  </w:style>
  <w:style w:type="paragraph" w:customStyle="1" w:styleId="14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148">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49">
    <w:name w:val="Char Char Char1"/>
    <w:basedOn w:val="16"/>
    <w:qFormat/>
    <w:uiPriority w:val="0"/>
    <w:pPr>
      <w:adjustRightInd/>
      <w:spacing w:line="240" w:lineRule="auto"/>
      <w:textAlignment w:val="auto"/>
    </w:pPr>
    <w:rPr>
      <w:rFonts w:ascii="Tahoma" w:hAnsi="Tahoma"/>
      <w:kern w:val="2"/>
      <w:sz w:val="24"/>
      <w:szCs w:val="24"/>
    </w:rPr>
  </w:style>
  <w:style w:type="paragraph" w:customStyle="1" w:styleId="150">
    <w:name w:val="F2"/>
    <w:basedOn w:val="1"/>
    <w:qFormat/>
    <w:uiPriority w:val="0"/>
    <w:pPr>
      <w:autoSpaceDE w:val="0"/>
      <w:autoSpaceDN w:val="0"/>
      <w:adjustRightInd w:val="0"/>
      <w:ind w:firstLine="601"/>
      <w:textAlignment w:val="baseline"/>
    </w:pPr>
    <w:rPr>
      <w:kern w:val="0"/>
      <w:sz w:val="24"/>
      <w:szCs w:val="20"/>
    </w:rPr>
  </w:style>
  <w:style w:type="paragraph" w:customStyle="1" w:styleId="151">
    <w:name w:val="xl2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152">
    <w:name w:val="List Paragraph1"/>
    <w:basedOn w:val="1"/>
    <w:qFormat/>
    <w:uiPriority w:val="0"/>
    <w:pPr>
      <w:ind w:firstLine="420" w:firstLineChars="200"/>
    </w:pPr>
    <w:rPr>
      <w:rFonts w:ascii="Calibri" w:hAnsi="Calibri"/>
      <w:szCs w:val="22"/>
    </w:rPr>
  </w:style>
  <w:style w:type="paragraph" w:customStyle="1" w:styleId="153">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154">
    <w:name w:val="a9"/>
    <w:basedOn w:val="1"/>
    <w:qFormat/>
    <w:uiPriority w:val="0"/>
    <w:pPr>
      <w:widowControl/>
      <w:spacing w:before="100" w:beforeAutospacing="1" w:after="100" w:afterAutospacing="1"/>
      <w:jc w:val="left"/>
    </w:pPr>
    <w:rPr>
      <w:rFonts w:ascii="宋体" w:hAnsi="宋体" w:cs="宋体"/>
      <w:kern w:val="0"/>
      <w:sz w:val="24"/>
    </w:rPr>
  </w:style>
  <w:style w:type="paragraph" w:customStyle="1" w:styleId="155">
    <w:name w:val="_Style 154"/>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56">
    <w:name w:val="默认段落字体 Para Char"/>
    <w:basedOn w:val="1"/>
    <w:qFormat/>
    <w:uiPriority w:val="0"/>
    <w:pPr>
      <w:adjustRightInd w:val="0"/>
      <w:spacing w:line="360" w:lineRule="auto"/>
    </w:pPr>
    <w:rPr>
      <w:kern w:val="0"/>
      <w:sz w:val="24"/>
      <w:szCs w:val="20"/>
    </w:rPr>
  </w:style>
  <w:style w:type="paragraph" w:customStyle="1" w:styleId="157">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4"/>
    </w:rPr>
  </w:style>
  <w:style w:type="paragraph" w:customStyle="1" w:styleId="15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59">
    <w:name w:val="tgt1"/>
    <w:basedOn w:val="1"/>
    <w:qFormat/>
    <w:uiPriority w:val="0"/>
    <w:pPr>
      <w:widowControl/>
      <w:spacing w:after="150"/>
      <w:jc w:val="left"/>
    </w:pPr>
    <w:rPr>
      <w:rFonts w:ascii="宋体" w:hAnsi="宋体" w:cs="宋体"/>
      <w:kern w:val="0"/>
      <w:sz w:val="24"/>
    </w:rPr>
  </w:style>
  <w:style w:type="paragraph" w:customStyle="1" w:styleId="160">
    <w:name w:val="样式 标题 3 + (中文) 黑体 小四 非加粗 段前: 7.8 磅 段后: 0 磅 行距: 固定值 20 磅"/>
    <w:basedOn w:val="4"/>
    <w:qFormat/>
    <w:uiPriority w:val="99"/>
    <w:pPr>
      <w:spacing w:before="0" w:after="0" w:line="400" w:lineRule="exact"/>
    </w:pPr>
    <w:rPr>
      <w:rFonts w:eastAsia="黑体" w:cs="宋体"/>
      <w:b w:val="0"/>
      <w:bCs w:val="0"/>
      <w:sz w:val="24"/>
      <w:szCs w:val="20"/>
    </w:rPr>
  </w:style>
  <w:style w:type="paragraph" w:customStyle="1" w:styleId="161">
    <w:name w:val="正文段"/>
    <w:basedOn w:val="1"/>
    <w:qFormat/>
    <w:uiPriority w:val="0"/>
    <w:pPr>
      <w:widowControl/>
      <w:snapToGrid w:val="0"/>
      <w:spacing w:after="156" w:afterLines="50"/>
      <w:ind w:firstLine="200" w:firstLineChars="200"/>
    </w:pPr>
    <w:rPr>
      <w:kern w:val="0"/>
      <w:sz w:val="24"/>
      <w:szCs w:val="20"/>
    </w:rPr>
  </w:style>
  <w:style w:type="paragraph" w:customStyle="1" w:styleId="162">
    <w:name w:val="1"/>
    <w:basedOn w:val="1"/>
    <w:next w:val="27"/>
    <w:qFormat/>
    <w:uiPriority w:val="99"/>
    <w:rPr>
      <w:rFonts w:ascii="宋体" w:hAnsi="Courier New"/>
      <w:szCs w:val="20"/>
    </w:rPr>
  </w:style>
  <w:style w:type="paragraph" w:customStyle="1" w:styleId="163">
    <w:name w:val="Char Char Char Char Char Char Char Char Char Char Char Char Char11"/>
    <w:basedOn w:val="16"/>
    <w:qFormat/>
    <w:uiPriority w:val="0"/>
    <w:pPr>
      <w:adjustRightInd/>
      <w:spacing w:line="240" w:lineRule="auto"/>
      <w:textAlignment w:val="auto"/>
    </w:pPr>
    <w:rPr>
      <w:rFonts w:ascii="Tahoma" w:hAnsi="Tahoma"/>
      <w:kern w:val="2"/>
      <w:sz w:val="24"/>
      <w:szCs w:val="24"/>
    </w:rPr>
  </w:style>
  <w:style w:type="paragraph" w:customStyle="1" w:styleId="164">
    <w:name w:val="2ji"/>
    <w:basedOn w:val="3"/>
    <w:qFormat/>
    <w:uiPriority w:val="0"/>
    <w:pPr>
      <w:adjustRightInd w:val="0"/>
      <w:spacing w:before="0" w:after="0" w:line="360" w:lineRule="auto"/>
      <w:textAlignment w:val="baseline"/>
    </w:pPr>
    <w:rPr>
      <w:rFonts w:ascii="宋体" w:hAnsi="宋体" w:eastAsia="宋体"/>
      <w:kern w:val="0"/>
      <w:sz w:val="21"/>
      <w:szCs w:val="21"/>
    </w:rPr>
  </w:style>
  <w:style w:type="paragraph" w:customStyle="1" w:styleId="165">
    <w:name w:val="2-2ji"/>
    <w:basedOn w:val="3"/>
    <w:qFormat/>
    <w:uiPriority w:val="99"/>
    <w:pPr>
      <w:adjustRightInd w:val="0"/>
      <w:spacing w:before="0" w:after="0" w:line="360" w:lineRule="auto"/>
      <w:jc w:val="center"/>
      <w:textAlignment w:val="baseline"/>
    </w:pPr>
    <w:rPr>
      <w:rFonts w:ascii="宋体" w:hAnsi="宋体" w:eastAsia="宋体"/>
      <w:bCs w:val="0"/>
      <w:kern w:val="0"/>
      <w:sz w:val="36"/>
    </w:rPr>
  </w:style>
  <w:style w:type="paragraph" w:customStyle="1" w:styleId="166">
    <w:name w:val="444"/>
    <w:basedOn w:val="1"/>
    <w:qFormat/>
    <w:uiPriority w:val="0"/>
    <w:pPr>
      <w:adjustRightInd w:val="0"/>
      <w:spacing w:line="312" w:lineRule="atLeast"/>
      <w:jc w:val="center"/>
      <w:textAlignment w:val="baseline"/>
    </w:pPr>
    <w:rPr>
      <w:b/>
      <w:kern w:val="0"/>
      <w:sz w:val="36"/>
      <w:szCs w:val="36"/>
    </w:rPr>
  </w:style>
  <w:style w:type="paragraph" w:customStyle="1" w:styleId="167">
    <w:name w:val="Char211"/>
    <w:basedOn w:val="1"/>
    <w:qFormat/>
    <w:uiPriority w:val="0"/>
    <w:pPr>
      <w:widowControl/>
      <w:spacing w:after="160" w:line="240" w:lineRule="exact"/>
      <w:jc w:val="left"/>
    </w:pPr>
    <w:rPr>
      <w:rFonts w:ascii="Verdana" w:hAnsi="Verdana"/>
      <w:kern w:val="0"/>
      <w:szCs w:val="20"/>
      <w:lang w:eastAsia="en-US"/>
    </w:rPr>
  </w:style>
  <w:style w:type="paragraph" w:customStyle="1" w:styleId="168">
    <w:name w:val="Char Char Char Char Char Char1 Char11"/>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69">
    <w:name w:val="Char3"/>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70">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71">
    <w:name w:val="_Style 170"/>
    <w:unhideWhenUsed/>
    <w:qFormat/>
    <w:uiPriority w:val="99"/>
    <w:rPr>
      <w:rFonts w:ascii="Times New Roman" w:hAnsi="Times New Roman" w:eastAsia="宋体" w:cs="Times New Roman"/>
      <w:kern w:val="2"/>
      <w:sz w:val="21"/>
      <w:szCs w:val="24"/>
      <w:lang w:val="en-US" w:eastAsia="zh-CN" w:bidi="ar-SA"/>
    </w:rPr>
  </w:style>
  <w:style w:type="character" w:customStyle="1" w:styleId="172">
    <w:name w:val="Char Char18"/>
    <w:qFormat/>
    <w:uiPriority w:val="99"/>
    <w:rPr>
      <w:rFonts w:ascii="Times New Roman" w:hAnsi="Times New Roman" w:eastAsia="宋体" w:cs="Times New Roman"/>
      <w:b/>
      <w:bCs/>
      <w:sz w:val="28"/>
      <w:szCs w:val="28"/>
    </w:rPr>
  </w:style>
  <w:style w:type="character" w:customStyle="1" w:styleId="173">
    <w:name w:val="标题4 Char Char"/>
    <w:link w:val="174"/>
    <w:qFormat/>
    <w:uiPriority w:val="99"/>
    <w:rPr>
      <w:rFonts w:ascii="Arial" w:hAnsi="Arial"/>
      <w:b/>
      <w:bCs/>
      <w:sz w:val="24"/>
      <w:szCs w:val="32"/>
    </w:rPr>
  </w:style>
  <w:style w:type="paragraph" w:customStyle="1" w:styleId="174">
    <w:name w:val="标题4"/>
    <w:basedOn w:val="3"/>
    <w:next w:val="24"/>
    <w:link w:val="173"/>
    <w:qFormat/>
    <w:uiPriority w:val="99"/>
    <w:rPr>
      <w:rFonts w:eastAsia="宋体"/>
      <w:kern w:val="0"/>
      <w:sz w:val="24"/>
    </w:rPr>
  </w:style>
  <w:style w:type="character" w:customStyle="1" w:styleId="175">
    <w:name w:val="批注框文本 Char1"/>
    <w:qFormat/>
    <w:uiPriority w:val="99"/>
    <w:rPr>
      <w:kern w:val="2"/>
      <w:sz w:val="18"/>
      <w:szCs w:val="18"/>
    </w:rPr>
  </w:style>
  <w:style w:type="character" w:customStyle="1" w:styleId="176">
    <w:name w:val="批注文字 Char Char"/>
    <w:qFormat/>
    <w:uiPriority w:val="99"/>
    <w:rPr>
      <w:rFonts w:ascii="宋体" w:hAnsi="Times New Roman" w:eastAsia="宋体" w:cs="Times New Roman"/>
      <w:sz w:val="28"/>
      <w:szCs w:val="20"/>
    </w:rPr>
  </w:style>
  <w:style w:type="character" w:customStyle="1" w:styleId="177">
    <w:name w:val="日期 Char1"/>
    <w:qFormat/>
    <w:uiPriority w:val="99"/>
    <w:rPr>
      <w:kern w:val="2"/>
      <w:sz w:val="21"/>
      <w:szCs w:val="22"/>
    </w:rPr>
  </w:style>
  <w:style w:type="character" w:customStyle="1" w:styleId="178">
    <w:name w:val="正文文本 Char1"/>
    <w:qFormat/>
    <w:uiPriority w:val="99"/>
    <w:rPr>
      <w:kern w:val="2"/>
      <w:sz w:val="21"/>
      <w:szCs w:val="22"/>
    </w:rPr>
  </w:style>
  <w:style w:type="character" w:customStyle="1" w:styleId="179">
    <w:name w:val="文档结构图 Char1"/>
    <w:qFormat/>
    <w:uiPriority w:val="99"/>
    <w:rPr>
      <w:rFonts w:ascii="宋体"/>
      <w:kern w:val="2"/>
      <w:sz w:val="18"/>
      <w:szCs w:val="18"/>
    </w:rPr>
  </w:style>
  <w:style w:type="character" w:customStyle="1" w:styleId="180">
    <w:name w:val="_Style 179"/>
    <w:qFormat/>
    <w:uiPriority w:val="0"/>
    <w:rPr>
      <w:b/>
      <w:bCs/>
      <w:smallCaps/>
      <w:color w:val="C0504D"/>
      <w:spacing w:val="5"/>
      <w:u w:val="single"/>
    </w:rPr>
  </w:style>
  <w:style w:type="character" w:customStyle="1" w:styleId="181">
    <w:name w:val="明显引用 字符2"/>
    <w:link w:val="182"/>
    <w:qFormat/>
    <w:uiPriority w:val="99"/>
    <w:rPr>
      <w:b/>
      <w:bCs/>
      <w:i/>
      <w:iCs/>
      <w:color w:val="4F81BD"/>
      <w:kern w:val="2"/>
      <w:sz w:val="21"/>
      <w:szCs w:val="22"/>
    </w:rPr>
  </w:style>
  <w:style w:type="paragraph" w:styleId="182">
    <w:name w:val="Intense Quote"/>
    <w:basedOn w:val="1"/>
    <w:next w:val="1"/>
    <w:link w:val="181"/>
    <w:qFormat/>
    <w:uiPriority w:val="99"/>
    <w:pPr>
      <w:pBdr>
        <w:bottom w:val="single" w:color="4F81BD" w:sz="4" w:space="4"/>
      </w:pBdr>
      <w:spacing w:before="200" w:after="280"/>
      <w:ind w:left="936" w:right="936"/>
    </w:pPr>
    <w:rPr>
      <w:b/>
      <w:bCs/>
      <w:i/>
      <w:iCs/>
      <w:color w:val="4F81BD"/>
      <w:szCs w:val="22"/>
    </w:rPr>
  </w:style>
  <w:style w:type="character" w:customStyle="1" w:styleId="183">
    <w:name w:val="st1"/>
    <w:basedOn w:val="56"/>
    <w:qFormat/>
    <w:uiPriority w:val="0"/>
  </w:style>
  <w:style w:type="character" w:customStyle="1" w:styleId="184">
    <w:name w:val="_Style 183"/>
    <w:qFormat/>
    <w:uiPriority w:val="0"/>
    <w:rPr>
      <w:b/>
      <w:bCs/>
      <w:i/>
      <w:iCs/>
      <w:color w:val="4F81BD"/>
    </w:rPr>
  </w:style>
  <w:style w:type="character" w:customStyle="1" w:styleId="185">
    <w:name w:val="_Style 184"/>
    <w:qFormat/>
    <w:uiPriority w:val="0"/>
    <w:rPr>
      <w:b/>
      <w:bCs/>
      <w:smallCaps/>
      <w:spacing w:val="5"/>
    </w:rPr>
  </w:style>
  <w:style w:type="character" w:customStyle="1" w:styleId="186">
    <w:name w:val="_Style 185"/>
    <w:qFormat/>
    <w:uiPriority w:val="0"/>
    <w:rPr>
      <w:smallCaps/>
      <w:color w:val="C0504D"/>
      <w:u w:val="single"/>
    </w:rPr>
  </w:style>
  <w:style w:type="character" w:customStyle="1" w:styleId="187">
    <w:name w:val="textcontents"/>
    <w:qFormat/>
    <w:uiPriority w:val="99"/>
    <w:rPr>
      <w:rFonts w:cs="Times New Roman"/>
    </w:rPr>
  </w:style>
  <w:style w:type="character" w:customStyle="1" w:styleId="188">
    <w:name w:val="标题5 Char Char"/>
    <w:link w:val="189"/>
    <w:qFormat/>
    <w:uiPriority w:val="99"/>
    <w:rPr>
      <w:rFonts w:ascii="Arial" w:hAnsi="Arial"/>
      <w:b/>
      <w:bCs/>
      <w:sz w:val="24"/>
      <w:szCs w:val="32"/>
    </w:rPr>
  </w:style>
  <w:style w:type="paragraph" w:customStyle="1" w:styleId="189">
    <w:name w:val="标题5"/>
    <w:basedOn w:val="4"/>
    <w:link w:val="188"/>
    <w:qFormat/>
    <w:uiPriority w:val="99"/>
    <w:rPr>
      <w:rFonts w:ascii="Arial" w:hAnsi="Arial"/>
      <w:kern w:val="0"/>
      <w:sz w:val="24"/>
    </w:rPr>
  </w:style>
  <w:style w:type="character" w:customStyle="1" w:styleId="190">
    <w:name w:val="_Style 189"/>
    <w:qFormat/>
    <w:uiPriority w:val="0"/>
    <w:rPr>
      <w:i/>
      <w:iCs/>
      <w:color w:val="808080"/>
    </w:rPr>
  </w:style>
  <w:style w:type="character" w:customStyle="1" w:styleId="191">
    <w:name w:val="批注主题 Char1"/>
    <w:qFormat/>
    <w:uiPriority w:val="99"/>
    <w:rPr>
      <w:b/>
      <w:bCs/>
      <w:kern w:val="2"/>
      <w:sz w:val="21"/>
      <w:szCs w:val="22"/>
    </w:rPr>
  </w:style>
  <w:style w:type="character" w:customStyle="1" w:styleId="192">
    <w:name w:val="引用 字符2"/>
    <w:link w:val="193"/>
    <w:qFormat/>
    <w:uiPriority w:val="99"/>
    <w:rPr>
      <w:i/>
      <w:iCs/>
      <w:color w:val="000000"/>
      <w:kern w:val="2"/>
      <w:sz w:val="21"/>
      <w:szCs w:val="22"/>
    </w:rPr>
  </w:style>
  <w:style w:type="paragraph" w:styleId="193">
    <w:name w:val="Quote"/>
    <w:basedOn w:val="1"/>
    <w:next w:val="1"/>
    <w:link w:val="192"/>
    <w:qFormat/>
    <w:uiPriority w:val="99"/>
    <w:rPr>
      <w:i/>
      <w:iCs/>
      <w:color w:val="000000"/>
      <w:szCs w:val="22"/>
    </w:rPr>
  </w:style>
  <w:style w:type="character" w:customStyle="1" w:styleId="194">
    <w:name w:val="副标题 Char1"/>
    <w:qFormat/>
    <w:uiPriority w:val="0"/>
    <w:rPr>
      <w:rFonts w:ascii="Cambria" w:hAnsi="Cambria" w:cs="Times New Roman"/>
      <w:b/>
      <w:bCs/>
      <w:kern w:val="28"/>
      <w:sz w:val="32"/>
      <w:szCs w:val="32"/>
    </w:rPr>
  </w:style>
  <w:style w:type="character" w:customStyle="1" w:styleId="195">
    <w:name w:val="引用 Char1"/>
    <w:qFormat/>
    <w:uiPriority w:val="99"/>
    <w:rPr>
      <w:i/>
      <w:iCs/>
      <w:color w:val="000000"/>
      <w:kern w:val="2"/>
      <w:sz w:val="21"/>
      <w:szCs w:val="24"/>
    </w:rPr>
  </w:style>
  <w:style w:type="paragraph" w:customStyle="1" w:styleId="196">
    <w:name w:val="flNote"/>
    <w:basedOn w:val="1"/>
    <w:qFormat/>
    <w:uiPriority w:val="99"/>
    <w:pPr>
      <w:adjustRightInd w:val="0"/>
      <w:spacing w:before="320" w:after="160" w:line="360" w:lineRule="atLeast"/>
      <w:jc w:val="center"/>
      <w:textAlignment w:val="baseline"/>
    </w:pPr>
    <w:rPr>
      <w:rFonts w:ascii="Arial" w:eastAsia="黑体"/>
      <w:kern w:val="0"/>
      <w:sz w:val="30"/>
      <w:szCs w:val="20"/>
    </w:rPr>
  </w:style>
  <w:style w:type="paragraph" w:styleId="197">
    <w:name w:val="No Spacing"/>
    <w:qFormat/>
    <w:uiPriority w:val="0"/>
    <w:pPr>
      <w:widowControl w:val="0"/>
      <w:jc w:val="both"/>
    </w:pPr>
    <w:rPr>
      <w:rFonts w:ascii="Calibri" w:hAnsi="Calibri" w:eastAsia="宋体" w:cs="Times New Roman"/>
      <w:kern w:val="2"/>
      <w:sz w:val="21"/>
      <w:szCs w:val="22"/>
      <w:lang w:val="en-US" w:eastAsia="zh-CN" w:bidi="ar-SA"/>
    </w:rPr>
  </w:style>
  <w:style w:type="character" w:customStyle="1" w:styleId="198">
    <w:name w:val="明显引用 Char1"/>
    <w:qFormat/>
    <w:uiPriority w:val="99"/>
    <w:rPr>
      <w:b/>
      <w:bCs/>
      <w:i/>
      <w:iCs/>
      <w:color w:val="4F81BD"/>
      <w:kern w:val="2"/>
      <w:sz w:val="21"/>
      <w:szCs w:val="24"/>
    </w:rPr>
  </w:style>
  <w:style w:type="paragraph" w:customStyle="1" w:styleId="199">
    <w:name w:val="空半行"/>
    <w:basedOn w:val="1"/>
    <w:qFormat/>
    <w:uiPriority w:val="99"/>
    <w:pPr>
      <w:adjustRightInd w:val="0"/>
      <w:spacing w:line="120" w:lineRule="exact"/>
      <w:textAlignment w:val="baseline"/>
    </w:pPr>
    <w:rPr>
      <w:rFonts w:eastAsia="仿宋_GB2312"/>
      <w:color w:val="FFFFFF"/>
      <w:kern w:val="0"/>
      <w:sz w:val="30"/>
      <w:szCs w:val="20"/>
    </w:rPr>
  </w:style>
  <w:style w:type="paragraph" w:customStyle="1" w:styleId="200">
    <w:name w:val="4"/>
    <w:basedOn w:val="1"/>
    <w:next w:val="27"/>
    <w:qFormat/>
    <w:uiPriority w:val="0"/>
    <w:rPr>
      <w:rFonts w:ascii="宋体" w:hAnsi="Courier New" w:cs="Courier New"/>
      <w:szCs w:val="21"/>
    </w:rPr>
  </w:style>
  <w:style w:type="paragraph" w:customStyle="1" w:styleId="201">
    <w:name w:val="Char Char Char Char1"/>
    <w:basedOn w:val="1"/>
    <w:qFormat/>
    <w:uiPriority w:val="0"/>
    <w:pPr>
      <w:ind w:firstLine="200" w:firstLineChars="200"/>
    </w:pPr>
    <w:rPr>
      <w:rFonts w:ascii="宋体" w:hAnsi="宋体" w:cs="宋体"/>
      <w:sz w:val="24"/>
    </w:rPr>
  </w:style>
  <w:style w:type="character" w:customStyle="1" w:styleId="202">
    <w:name w:val="Heading 3 Char1"/>
    <w:qFormat/>
    <w:uiPriority w:val="99"/>
    <w:rPr>
      <w:rFonts w:eastAsia="宋体"/>
      <w:b/>
      <w:bCs/>
      <w:kern w:val="2"/>
      <w:sz w:val="24"/>
      <w:szCs w:val="32"/>
      <w:lang w:val="en-US" w:eastAsia="zh-CN" w:bidi="ar-SA"/>
    </w:rPr>
  </w:style>
  <w:style w:type="character" w:customStyle="1" w:styleId="203">
    <w:name w:val="Balloon Text Char"/>
    <w:qFormat/>
    <w:uiPriority w:val="99"/>
    <w:rPr>
      <w:sz w:val="18"/>
      <w:lang w:bidi="ar-SA"/>
    </w:rPr>
  </w:style>
  <w:style w:type="character" w:customStyle="1" w:styleId="204">
    <w:name w:val="Char Char20"/>
    <w:qFormat/>
    <w:uiPriority w:val="99"/>
    <w:rPr>
      <w:rFonts w:ascii="Times New Roman" w:hAnsi="Times New Roman" w:eastAsia="宋体" w:cs="Times New Roman"/>
      <w:b/>
      <w:bCs/>
      <w:sz w:val="24"/>
      <w:szCs w:val="32"/>
    </w:rPr>
  </w:style>
  <w:style w:type="character" w:customStyle="1" w:styleId="205">
    <w:name w:val="Footer Char"/>
    <w:qFormat/>
    <w:uiPriority w:val="99"/>
    <w:rPr>
      <w:rFonts w:eastAsia="宋体"/>
      <w:kern w:val="2"/>
      <w:sz w:val="18"/>
      <w:szCs w:val="18"/>
      <w:lang w:val="en-US" w:eastAsia="zh-CN" w:bidi="ar-SA"/>
    </w:rPr>
  </w:style>
  <w:style w:type="character" w:customStyle="1" w:styleId="206">
    <w:name w:val="Body Text Indent 2 Char"/>
    <w:qFormat/>
    <w:uiPriority w:val="99"/>
    <w:rPr>
      <w:rFonts w:eastAsia="宋体"/>
      <w:kern w:val="2"/>
      <w:sz w:val="21"/>
      <w:szCs w:val="24"/>
      <w:lang w:val="en-US" w:eastAsia="zh-CN" w:bidi="ar-SA"/>
    </w:rPr>
  </w:style>
  <w:style w:type="character" w:customStyle="1" w:styleId="207">
    <w:name w:val="Comment Text Char"/>
    <w:qFormat/>
    <w:uiPriority w:val="99"/>
    <w:rPr>
      <w:rFonts w:cs="Times New Roman"/>
      <w:sz w:val="24"/>
      <w:szCs w:val="24"/>
    </w:rPr>
  </w:style>
  <w:style w:type="character" w:customStyle="1" w:styleId="208">
    <w:name w:val="Char Char23"/>
    <w:qFormat/>
    <w:uiPriority w:val="99"/>
    <w:rPr>
      <w:rFonts w:eastAsia="宋体"/>
      <w:b/>
      <w:bCs/>
      <w:kern w:val="44"/>
      <w:sz w:val="32"/>
      <w:szCs w:val="44"/>
      <w:lang w:val="en-US" w:eastAsia="zh-CN" w:bidi="ar-SA"/>
    </w:rPr>
  </w:style>
  <w:style w:type="character" w:customStyle="1" w:styleId="209">
    <w:name w:val="标题 Char2"/>
    <w:qFormat/>
    <w:uiPriority w:val="99"/>
    <w:rPr>
      <w:rFonts w:ascii="Cambria" w:hAnsi="Cambria" w:eastAsia="宋体" w:cs="Times New Roman"/>
      <w:b/>
      <w:bCs/>
      <w:sz w:val="32"/>
      <w:szCs w:val="32"/>
    </w:rPr>
  </w:style>
  <w:style w:type="character" w:customStyle="1" w:styleId="210">
    <w:name w:val="Char Char22"/>
    <w:qFormat/>
    <w:uiPriority w:val="99"/>
    <w:rPr>
      <w:rFonts w:ascii="Times New Roman" w:hAnsi="Times New Roman" w:eastAsia="宋体" w:cs="Times New Roman"/>
      <w:b/>
      <w:bCs/>
      <w:kern w:val="44"/>
      <w:sz w:val="32"/>
      <w:szCs w:val="44"/>
    </w:rPr>
  </w:style>
  <w:style w:type="character" w:customStyle="1" w:styleId="211">
    <w:name w:val="Heading 1 Char"/>
    <w:qFormat/>
    <w:uiPriority w:val="99"/>
    <w:rPr>
      <w:rFonts w:eastAsia="宋体"/>
      <w:b/>
      <w:bCs/>
      <w:kern w:val="44"/>
      <w:sz w:val="32"/>
      <w:szCs w:val="44"/>
      <w:lang w:val="en-US" w:eastAsia="zh-CN" w:bidi="ar-SA"/>
    </w:rPr>
  </w:style>
  <w:style w:type="character" w:customStyle="1" w:styleId="212">
    <w:name w:val="Char Char9"/>
    <w:qFormat/>
    <w:uiPriority w:val="99"/>
    <w:rPr>
      <w:rFonts w:eastAsia="宋体"/>
      <w:b/>
      <w:bCs/>
      <w:kern w:val="44"/>
      <w:sz w:val="32"/>
      <w:szCs w:val="44"/>
      <w:lang w:val="en-US" w:eastAsia="zh-CN" w:bidi="ar-SA"/>
    </w:rPr>
  </w:style>
  <w:style w:type="character" w:customStyle="1" w:styleId="213">
    <w:name w:val="Char Char21"/>
    <w:qFormat/>
    <w:uiPriority w:val="99"/>
    <w:rPr>
      <w:rFonts w:ascii="Arial" w:hAnsi="Arial" w:eastAsia="黑体" w:cs="Times New Roman"/>
      <w:b/>
      <w:bCs/>
      <w:sz w:val="32"/>
      <w:szCs w:val="32"/>
    </w:rPr>
  </w:style>
  <w:style w:type="character" w:customStyle="1" w:styleId="214">
    <w:name w:val="Comment Subject Char"/>
    <w:qFormat/>
    <w:uiPriority w:val="99"/>
    <w:rPr>
      <w:b/>
      <w:sz w:val="24"/>
      <w:lang w:bidi="ar-SA"/>
    </w:rPr>
  </w:style>
  <w:style w:type="character" w:customStyle="1" w:styleId="215">
    <w:name w:val="Title Char"/>
    <w:qFormat/>
    <w:uiPriority w:val="99"/>
    <w:rPr>
      <w:rFonts w:ascii="Cambria" w:hAnsi="Cambria"/>
      <w:b/>
      <w:sz w:val="32"/>
      <w:lang w:bidi="ar-SA"/>
    </w:rPr>
  </w:style>
  <w:style w:type="character" w:customStyle="1" w:styleId="216">
    <w:name w:val="Heading 5 Char"/>
    <w:qFormat/>
    <w:uiPriority w:val="99"/>
    <w:rPr>
      <w:rFonts w:eastAsia="宋体"/>
      <w:b/>
      <w:bCs/>
      <w:kern w:val="2"/>
      <w:sz w:val="28"/>
      <w:szCs w:val="28"/>
      <w:lang w:val="en-US" w:eastAsia="zh-CN" w:bidi="ar-SA"/>
    </w:rPr>
  </w:style>
  <w:style w:type="character" w:customStyle="1" w:styleId="217">
    <w:name w:val="Body Text Indent Char"/>
    <w:qFormat/>
    <w:uiPriority w:val="99"/>
    <w:rPr>
      <w:rFonts w:ascii="宋体" w:hAnsi="宋体" w:eastAsia="宋体"/>
      <w:kern w:val="2"/>
      <w:sz w:val="21"/>
      <w:lang w:val="en-US" w:eastAsia="zh-CN" w:bidi="ar-SA"/>
    </w:rPr>
  </w:style>
  <w:style w:type="character" w:customStyle="1" w:styleId="218">
    <w:name w:val="Footnote Text Char"/>
    <w:qFormat/>
    <w:uiPriority w:val="99"/>
    <w:rPr>
      <w:rFonts w:eastAsia="宋体"/>
      <w:sz w:val="18"/>
      <w:lang w:val="en-US" w:eastAsia="zh-CN" w:bidi="ar-SA"/>
    </w:rPr>
  </w:style>
  <w:style w:type="character" w:customStyle="1" w:styleId="219">
    <w:name w:val="批注文字 Char1"/>
    <w:qFormat/>
    <w:uiPriority w:val="99"/>
    <w:rPr>
      <w:rFonts w:ascii="Times New Roman" w:hAnsi="Times New Roman" w:eastAsia="宋体" w:cs="Times New Roman"/>
      <w:szCs w:val="24"/>
    </w:rPr>
  </w:style>
  <w:style w:type="character" w:customStyle="1" w:styleId="220">
    <w:name w:val="标题 Char1"/>
    <w:qFormat/>
    <w:uiPriority w:val="99"/>
    <w:rPr>
      <w:rFonts w:ascii="Cambria" w:hAnsi="Cambria" w:eastAsia="宋体" w:cs="Times New Roman"/>
      <w:b/>
      <w:bCs/>
      <w:sz w:val="32"/>
      <w:szCs w:val="32"/>
    </w:rPr>
  </w:style>
  <w:style w:type="character" w:customStyle="1" w:styleId="221">
    <w:name w:val="Document Map Char"/>
    <w:qFormat/>
    <w:uiPriority w:val="99"/>
    <w:rPr>
      <w:rFonts w:eastAsia="宋体"/>
      <w:kern w:val="2"/>
      <w:sz w:val="21"/>
      <w:szCs w:val="24"/>
      <w:lang w:val="en-US" w:eastAsia="zh-CN" w:bidi="ar-SA"/>
    </w:rPr>
  </w:style>
  <w:style w:type="character" w:customStyle="1" w:styleId="222">
    <w:name w:val="Date Char"/>
    <w:qFormat/>
    <w:uiPriority w:val="99"/>
    <w:rPr>
      <w:rFonts w:eastAsia="宋体"/>
      <w:kern w:val="2"/>
      <w:sz w:val="21"/>
      <w:szCs w:val="24"/>
      <w:lang w:val="en-US" w:eastAsia="zh-CN" w:bidi="ar-SA"/>
    </w:rPr>
  </w:style>
  <w:style w:type="character" w:customStyle="1" w:styleId="223">
    <w:name w:val="Char Char181"/>
    <w:qFormat/>
    <w:uiPriority w:val="99"/>
    <w:rPr>
      <w:b/>
      <w:bCs/>
      <w:kern w:val="44"/>
      <w:sz w:val="44"/>
      <w:szCs w:val="44"/>
    </w:rPr>
  </w:style>
  <w:style w:type="character" w:customStyle="1" w:styleId="224">
    <w:name w:val="Header Char"/>
    <w:qFormat/>
    <w:uiPriority w:val="99"/>
    <w:rPr>
      <w:rFonts w:eastAsia="宋体"/>
      <w:kern w:val="2"/>
      <w:sz w:val="18"/>
      <w:szCs w:val="18"/>
      <w:lang w:val="en-US" w:eastAsia="zh-CN" w:bidi="ar-SA"/>
    </w:rPr>
  </w:style>
  <w:style w:type="character" w:customStyle="1" w:styleId="225">
    <w:name w:val="Char Char19"/>
    <w:qFormat/>
    <w:uiPriority w:val="99"/>
    <w:rPr>
      <w:rFonts w:ascii="Arial" w:hAnsi="Arial" w:eastAsia="宋体" w:cs="Times New Roman"/>
      <w:b/>
      <w:bCs/>
      <w:szCs w:val="28"/>
    </w:rPr>
  </w:style>
  <w:style w:type="character" w:customStyle="1" w:styleId="226">
    <w:name w:val="批注文字 Char2"/>
    <w:qFormat/>
    <w:uiPriority w:val="0"/>
    <w:rPr>
      <w:kern w:val="2"/>
      <w:sz w:val="21"/>
      <w:szCs w:val="24"/>
      <w:lang w:bidi="ar-SA"/>
    </w:rPr>
  </w:style>
  <w:style w:type="character" w:customStyle="1" w:styleId="227">
    <w:name w:val="Plain Text Char"/>
    <w:qFormat/>
    <w:uiPriority w:val="99"/>
    <w:rPr>
      <w:rFonts w:ascii="宋体" w:hAnsi="Courier New" w:eastAsia="宋体"/>
      <w:sz w:val="24"/>
      <w:lang w:bidi="ar-SA"/>
    </w:rPr>
  </w:style>
  <w:style w:type="character" w:customStyle="1" w:styleId="228">
    <w:name w:val="Heading 2 Char"/>
    <w:qFormat/>
    <w:uiPriority w:val="99"/>
    <w:rPr>
      <w:rFonts w:ascii="Arial" w:hAnsi="Arial" w:eastAsia="黑体"/>
      <w:b/>
      <w:bCs/>
      <w:kern w:val="2"/>
      <w:sz w:val="32"/>
      <w:szCs w:val="32"/>
      <w:lang w:val="en-US" w:eastAsia="zh-CN" w:bidi="ar-SA"/>
    </w:rPr>
  </w:style>
  <w:style w:type="character" w:customStyle="1" w:styleId="229">
    <w:name w:val="Heading 3 Char"/>
    <w:qFormat/>
    <w:uiPriority w:val="99"/>
    <w:rPr>
      <w:rFonts w:cs="Times New Roman"/>
      <w:b/>
      <w:bCs/>
      <w:kern w:val="2"/>
      <w:sz w:val="32"/>
      <w:szCs w:val="32"/>
    </w:rPr>
  </w:style>
  <w:style w:type="character" w:customStyle="1" w:styleId="230">
    <w:name w:val="Comment Text Char1"/>
    <w:qFormat/>
    <w:uiPriority w:val="99"/>
    <w:rPr>
      <w:sz w:val="24"/>
      <w:lang w:bidi="ar-SA"/>
    </w:rPr>
  </w:style>
  <w:style w:type="character" w:customStyle="1" w:styleId="231">
    <w:name w:val="Char Char24"/>
    <w:qFormat/>
    <w:uiPriority w:val="99"/>
    <w:rPr>
      <w:rFonts w:eastAsia="宋体"/>
      <w:b/>
      <w:bCs/>
      <w:kern w:val="44"/>
      <w:sz w:val="32"/>
      <w:szCs w:val="44"/>
      <w:lang w:val="en-US" w:eastAsia="zh-CN" w:bidi="ar-SA"/>
    </w:rPr>
  </w:style>
  <w:style w:type="character" w:customStyle="1" w:styleId="232">
    <w:name w:val="Char Char91"/>
    <w:qFormat/>
    <w:uiPriority w:val="99"/>
    <w:rPr>
      <w:rFonts w:eastAsia="宋体"/>
      <w:b/>
      <w:bCs/>
      <w:kern w:val="44"/>
      <w:sz w:val="32"/>
      <w:szCs w:val="44"/>
      <w:lang w:val="en-US" w:eastAsia="zh-CN" w:bidi="ar-SA"/>
    </w:rPr>
  </w:style>
  <w:style w:type="character" w:customStyle="1" w:styleId="233">
    <w:name w:val="Char Char6"/>
    <w:qFormat/>
    <w:uiPriority w:val="99"/>
    <w:rPr>
      <w:rFonts w:eastAsia="宋体"/>
      <w:b/>
      <w:bCs/>
      <w:kern w:val="44"/>
      <w:sz w:val="32"/>
      <w:szCs w:val="44"/>
      <w:lang w:val="en-US" w:eastAsia="zh-CN" w:bidi="ar-SA"/>
    </w:rPr>
  </w:style>
  <w:style w:type="character" w:customStyle="1" w:styleId="234">
    <w:name w:val="Heading 4 Char"/>
    <w:qFormat/>
    <w:uiPriority w:val="99"/>
    <w:rPr>
      <w:rFonts w:ascii="Arial" w:hAnsi="Arial" w:eastAsia="宋体"/>
      <w:b/>
      <w:bCs/>
      <w:kern w:val="2"/>
      <w:sz w:val="21"/>
      <w:szCs w:val="28"/>
      <w:lang w:val="en-US" w:eastAsia="zh-CN" w:bidi="ar-SA"/>
    </w:rPr>
  </w:style>
  <w:style w:type="paragraph" w:customStyle="1" w:styleId="235">
    <w:name w:val="无间隔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36">
    <w:name w:val="列出段落1"/>
    <w:basedOn w:val="1"/>
    <w:qFormat/>
    <w:uiPriority w:val="99"/>
    <w:pPr>
      <w:ind w:firstLine="420" w:firstLineChars="200"/>
    </w:pPr>
    <w:rPr>
      <w:rFonts w:ascii="Calibri" w:hAnsi="Calibri"/>
      <w:szCs w:val="22"/>
    </w:rPr>
  </w:style>
  <w:style w:type="character" w:customStyle="1" w:styleId="237">
    <w:name w:val="明显引用 Char2"/>
    <w:qFormat/>
    <w:uiPriority w:val="30"/>
    <w:rPr>
      <w:rFonts w:ascii="Times New Roman" w:hAnsi="Times New Roman" w:eastAsia="宋体" w:cs="Times New Roman"/>
      <w:b/>
      <w:bCs/>
      <w:i/>
      <w:iCs/>
      <w:color w:val="4F81BD"/>
      <w:szCs w:val="24"/>
    </w:rPr>
  </w:style>
  <w:style w:type="character" w:customStyle="1" w:styleId="238">
    <w:name w:val="脚注文本 Char1"/>
    <w:qFormat/>
    <w:uiPriority w:val="99"/>
    <w:rPr>
      <w:kern w:val="2"/>
      <w:sz w:val="18"/>
      <w:szCs w:val="18"/>
    </w:rPr>
  </w:style>
  <w:style w:type="character" w:customStyle="1" w:styleId="239">
    <w:name w:val="批注框文本 Char2"/>
    <w:semiHidden/>
    <w:qFormat/>
    <w:uiPriority w:val="99"/>
    <w:rPr>
      <w:rFonts w:ascii="Times New Roman" w:hAnsi="Times New Roman" w:eastAsia="宋体" w:cs="Times New Roman"/>
      <w:sz w:val="18"/>
      <w:szCs w:val="18"/>
    </w:rPr>
  </w:style>
  <w:style w:type="character" w:customStyle="1" w:styleId="240">
    <w:name w:val="标题 Char3"/>
    <w:qFormat/>
    <w:uiPriority w:val="10"/>
    <w:rPr>
      <w:rFonts w:ascii="Cambria" w:hAnsi="Cambria" w:eastAsia="宋体" w:cs="Times New Roman"/>
      <w:b/>
      <w:bCs/>
      <w:sz w:val="32"/>
      <w:szCs w:val="32"/>
    </w:rPr>
  </w:style>
  <w:style w:type="character" w:customStyle="1" w:styleId="241">
    <w:name w:val="文档结构图 Char2"/>
    <w:semiHidden/>
    <w:qFormat/>
    <w:uiPriority w:val="99"/>
    <w:rPr>
      <w:rFonts w:ascii="宋体" w:hAnsi="Times New Roman" w:eastAsia="宋体" w:cs="Times New Roman"/>
      <w:sz w:val="18"/>
      <w:szCs w:val="18"/>
    </w:rPr>
  </w:style>
  <w:style w:type="character" w:customStyle="1" w:styleId="242">
    <w:name w:val="页脚 Char1"/>
    <w:semiHidden/>
    <w:qFormat/>
    <w:uiPriority w:val="99"/>
    <w:rPr>
      <w:rFonts w:ascii="Times New Roman" w:hAnsi="Times New Roman" w:eastAsia="宋体" w:cs="Times New Roman"/>
      <w:sz w:val="18"/>
      <w:szCs w:val="18"/>
    </w:rPr>
  </w:style>
  <w:style w:type="character" w:customStyle="1" w:styleId="243">
    <w:name w:val="正文文本 Char2"/>
    <w:semiHidden/>
    <w:qFormat/>
    <w:uiPriority w:val="99"/>
    <w:rPr>
      <w:rFonts w:ascii="Times New Roman" w:hAnsi="Times New Roman" w:eastAsia="宋体" w:cs="Times New Roman"/>
      <w:szCs w:val="24"/>
    </w:rPr>
  </w:style>
  <w:style w:type="character" w:customStyle="1" w:styleId="244">
    <w:name w:val="批注文字 Char3"/>
    <w:semiHidden/>
    <w:qFormat/>
    <w:uiPriority w:val="99"/>
    <w:rPr>
      <w:rFonts w:ascii="Times New Roman" w:hAnsi="Times New Roman" w:eastAsia="宋体" w:cs="Times New Roman"/>
      <w:szCs w:val="24"/>
    </w:rPr>
  </w:style>
  <w:style w:type="character" w:customStyle="1" w:styleId="245">
    <w:name w:val="批注主题 Char2"/>
    <w:semiHidden/>
    <w:qFormat/>
    <w:uiPriority w:val="99"/>
    <w:rPr>
      <w:rFonts w:ascii="Times New Roman" w:hAnsi="Times New Roman" w:eastAsia="宋体" w:cs="Times New Roman"/>
      <w:b/>
      <w:bCs/>
      <w:szCs w:val="24"/>
    </w:rPr>
  </w:style>
  <w:style w:type="character" w:customStyle="1" w:styleId="246">
    <w:name w:val="日期 Char2"/>
    <w:semiHidden/>
    <w:qFormat/>
    <w:uiPriority w:val="99"/>
    <w:rPr>
      <w:rFonts w:ascii="Times New Roman" w:hAnsi="Times New Roman" w:eastAsia="宋体" w:cs="Times New Roman"/>
      <w:szCs w:val="24"/>
    </w:rPr>
  </w:style>
  <w:style w:type="paragraph" w:customStyle="1" w:styleId="247">
    <w:name w:val="p0"/>
    <w:basedOn w:val="1"/>
    <w:qFormat/>
    <w:uiPriority w:val="99"/>
    <w:pPr>
      <w:widowControl/>
    </w:pPr>
    <w:rPr>
      <w:rFonts w:ascii="Calibri" w:hAnsi="Calibri" w:cs="宋体"/>
      <w:kern w:val="0"/>
      <w:szCs w:val="21"/>
    </w:rPr>
  </w:style>
  <w:style w:type="paragraph" w:customStyle="1" w:styleId="248">
    <w:name w:val="_Style 37"/>
    <w:basedOn w:val="1"/>
    <w:next w:val="1"/>
    <w:qFormat/>
    <w:uiPriority w:val="99"/>
  </w:style>
  <w:style w:type="character" w:customStyle="1" w:styleId="249">
    <w:name w:val="页眉 Char1"/>
    <w:semiHidden/>
    <w:qFormat/>
    <w:uiPriority w:val="99"/>
    <w:rPr>
      <w:rFonts w:ascii="Times New Roman" w:hAnsi="Times New Roman" w:eastAsia="宋体" w:cs="Times New Roman"/>
      <w:sz w:val="18"/>
      <w:szCs w:val="18"/>
    </w:rPr>
  </w:style>
  <w:style w:type="character" w:customStyle="1" w:styleId="250">
    <w:name w:val="纯文本 Char2"/>
    <w:semiHidden/>
    <w:qFormat/>
    <w:uiPriority w:val="99"/>
    <w:rPr>
      <w:rFonts w:ascii="宋体" w:hAnsi="Courier New" w:eastAsia="宋体" w:cs="Courier New"/>
      <w:szCs w:val="21"/>
    </w:rPr>
  </w:style>
  <w:style w:type="character" w:customStyle="1" w:styleId="251">
    <w:name w:val="正文文本缩进 Char1"/>
    <w:semiHidden/>
    <w:qFormat/>
    <w:uiPriority w:val="99"/>
    <w:rPr>
      <w:rFonts w:ascii="Times New Roman" w:hAnsi="Times New Roman" w:eastAsia="宋体" w:cs="Times New Roman"/>
      <w:szCs w:val="24"/>
    </w:rPr>
  </w:style>
  <w:style w:type="character" w:customStyle="1" w:styleId="252">
    <w:name w:val="引用 Char2"/>
    <w:qFormat/>
    <w:uiPriority w:val="29"/>
    <w:rPr>
      <w:rFonts w:ascii="Times New Roman" w:hAnsi="Times New Roman" w:eastAsia="宋体" w:cs="Times New Roman"/>
      <w:i/>
      <w:iCs/>
      <w:color w:val="000000"/>
      <w:szCs w:val="24"/>
    </w:rPr>
  </w:style>
  <w:style w:type="paragraph" w:customStyle="1" w:styleId="253">
    <w:name w:val="reader-word-layer"/>
    <w:basedOn w:val="1"/>
    <w:qFormat/>
    <w:uiPriority w:val="99"/>
    <w:pPr>
      <w:widowControl/>
      <w:spacing w:before="100" w:beforeAutospacing="1" w:after="100" w:afterAutospacing="1"/>
      <w:jc w:val="left"/>
    </w:pPr>
    <w:rPr>
      <w:rFonts w:ascii="宋体" w:hAnsi="宋体" w:cs="宋体"/>
      <w:kern w:val="0"/>
      <w:sz w:val="24"/>
    </w:rPr>
  </w:style>
  <w:style w:type="character" w:customStyle="1" w:styleId="254">
    <w:name w:val="正文文本缩进 2 Char1"/>
    <w:semiHidden/>
    <w:qFormat/>
    <w:uiPriority w:val="99"/>
    <w:rPr>
      <w:rFonts w:ascii="Times New Roman" w:hAnsi="Times New Roman" w:eastAsia="宋体" w:cs="Times New Roman"/>
      <w:szCs w:val="24"/>
    </w:rPr>
  </w:style>
  <w:style w:type="paragraph" w:customStyle="1" w:styleId="255">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6">
    <w:name w:val="正文_1"/>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257">
    <w:name w:val="批注文字 字符"/>
    <w:qFormat/>
    <w:locked/>
    <w:uiPriority w:val="0"/>
    <w:rPr>
      <w:rFonts w:eastAsia="宋体"/>
      <w:kern w:val="2"/>
      <w:sz w:val="24"/>
      <w:szCs w:val="24"/>
      <w:lang w:val="en-US" w:eastAsia="zh-CN"/>
    </w:rPr>
  </w:style>
  <w:style w:type="character" w:customStyle="1" w:styleId="258">
    <w:name w:val="标题 7 字符"/>
    <w:qFormat/>
    <w:uiPriority w:val="9"/>
    <w:rPr>
      <w:b/>
      <w:bCs/>
      <w:kern w:val="2"/>
      <w:sz w:val="24"/>
      <w:szCs w:val="24"/>
    </w:rPr>
  </w:style>
  <w:style w:type="character" w:customStyle="1" w:styleId="259">
    <w:name w:val="明显引用 字符"/>
    <w:qFormat/>
    <w:uiPriority w:val="0"/>
    <w:rPr>
      <w:b/>
      <w:bCs/>
      <w:i/>
      <w:iCs/>
      <w:color w:val="4F81BD"/>
      <w:kern w:val="2"/>
      <w:sz w:val="21"/>
      <w:szCs w:val="22"/>
    </w:rPr>
  </w:style>
  <w:style w:type="character" w:customStyle="1" w:styleId="260">
    <w:name w:val="标题 1 字符"/>
    <w:qFormat/>
    <w:uiPriority w:val="99"/>
    <w:rPr>
      <w:b/>
      <w:bCs/>
      <w:kern w:val="44"/>
      <w:sz w:val="44"/>
      <w:szCs w:val="44"/>
    </w:rPr>
  </w:style>
  <w:style w:type="character" w:customStyle="1" w:styleId="261">
    <w:name w:val="日期 字符"/>
    <w:qFormat/>
    <w:uiPriority w:val="99"/>
    <w:rPr>
      <w:rFonts w:ascii="宋体" w:hAnsi="Times New Roman"/>
      <w:sz w:val="28"/>
    </w:rPr>
  </w:style>
  <w:style w:type="character" w:customStyle="1" w:styleId="262">
    <w:name w:val="页眉 字符"/>
    <w:qFormat/>
    <w:uiPriority w:val="99"/>
    <w:rPr>
      <w:kern w:val="2"/>
      <w:sz w:val="18"/>
      <w:szCs w:val="18"/>
    </w:rPr>
  </w:style>
  <w:style w:type="character" w:customStyle="1" w:styleId="263">
    <w:name w:val="文档结构图 字符"/>
    <w:qFormat/>
    <w:uiPriority w:val="99"/>
    <w:rPr>
      <w:rFonts w:ascii="Times New Roman" w:hAnsi="Times New Roman"/>
      <w:szCs w:val="24"/>
      <w:shd w:val="clear" w:color="auto" w:fill="000080"/>
    </w:rPr>
  </w:style>
  <w:style w:type="character" w:customStyle="1" w:styleId="264">
    <w:name w:val="引用 字符"/>
    <w:qFormat/>
    <w:uiPriority w:val="0"/>
    <w:rPr>
      <w:i/>
      <w:iCs/>
      <w:color w:val="000000"/>
      <w:kern w:val="2"/>
      <w:sz w:val="21"/>
      <w:szCs w:val="22"/>
    </w:rPr>
  </w:style>
  <w:style w:type="character" w:customStyle="1" w:styleId="265">
    <w:name w:val="标题 5 字符"/>
    <w:qFormat/>
    <w:uiPriority w:val="99"/>
    <w:rPr>
      <w:b/>
      <w:bCs/>
      <w:kern w:val="2"/>
      <w:sz w:val="28"/>
      <w:szCs w:val="28"/>
    </w:rPr>
  </w:style>
  <w:style w:type="character" w:customStyle="1" w:styleId="266">
    <w:name w:val="正文文本 字符"/>
    <w:qFormat/>
    <w:uiPriority w:val="99"/>
    <w:rPr>
      <w:rFonts w:ascii="Times New Roman" w:hAnsi="Times New Roman"/>
    </w:rPr>
  </w:style>
  <w:style w:type="character" w:customStyle="1" w:styleId="267">
    <w:name w:val="批注框文本 字符"/>
    <w:qFormat/>
    <w:uiPriority w:val="99"/>
    <w:rPr>
      <w:rFonts w:ascii="宋体" w:hAnsi="Times New Roman"/>
      <w:sz w:val="18"/>
      <w:szCs w:val="18"/>
    </w:rPr>
  </w:style>
  <w:style w:type="character" w:customStyle="1" w:styleId="268">
    <w:name w:val="标题 8 字符"/>
    <w:qFormat/>
    <w:uiPriority w:val="9"/>
    <w:rPr>
      <w:rFonts w:ascii="Cambria" w:hAnsi="Cambria" w:eastAsia="宋体" w:cs="Times New Roman"/>
      <w:kern w:val="2"/>
      <w:sz w:val="24"/>
      <w:szCs w:val="24"/>
    </w:rPr>
  </w:style>
  <w:style w:type="character" w:customStyle="1" w:styleId="269">
    <w:name w:val="批注主题 字符"/>
    <w:qFormat/>
    <w:uiPriority w:val="99"/>
    <w:rPr>
      <w:rFonts w:ascii="宋体" w:hAnsi="Times New Roman"/>
      <w:b/>
      <w:bCs/>
      <w:sz w:val="28"/>
    </w:rPr>
  </w:style>
  <w:style w:type="character" w:customStyle="1" w:styleId="270">
    <w:name w:val="标题 4 字符"/>
    <w:qFormat/>
    <w:uiPriority w:val="99"/>
    <w:rPr>
      <w:rFonts w:ascii="Cambria" w:hAnsi="Cambria" w:eastAsia="宋体" w:cs="Times New Roman"/>
      <w:b/>
      <w:bCs/>
      <w:kern w:val="2"/>
      <w:sz w:val="28"/>
      <w:szCs w:val="28"/>
    </w:rPr>
  </w:style>
  <w:style w:type="character" w:customStyle="1" w:styleId="271">
    <w:name w:val="标题 9 字符"/>
    <w:qFormat/>
    <w:uiPriority w:val="9"/>
    <w:rPr>
      <w:rFonts w:ascii="Cambria" w:hAnsi="Cambria" w:eastAsia="宋体" w:cs="Times New Roman"/>
      <w:kern w:val="2"/>
      <w:sz w:val="21"/>
      <w:szCs w:val="21"/>
    </w:rPr>
  </w:style>
  <w:style w:type="character" w:customStyle="1" w:styleId="272">
    <w:name w:val="标题 2 字符"/>
    <w:qFormat/>
    <w:uiPriority w:val="99"/>
    <w:rPr>
      <w:rFonts w:ascii="Cambria" w:hAnsi="Cambria" w:eastAsia="宋体" w:cs="Times New Roman"/>
      <w:b/>
      <w:bCs/>
      <w:kern w:val="2"/>
      <w:sz w:val="32"/>
      <w:szCs w:val="32"/>
    </w:rPr>
  </w:style>
  <w:style w:type="character" w:customStyle="1" w:styleId="273">
    <w:name w:val="标题 3 字符"/>
    <w:qFormat/>
    <w:uiPriority w:val="99"/>
    <w:rPr>
      <w:b/>
      <w:bCs/>
      <w:kern w:val="2"/>
      <w:sz w:val="32"/>
      <w:szCs w:val="32"/>
    </w:rPr>
  </w:style>
  <w:style w:type="character" w:customStyle="1" w:styleId="274">
    <w:name w:val="标题 字符"/>
    <w:qFormat/>
    <w:uiPriority w:val="99"/>
    <w:rPr>
      <w:rFonts w:ascii="Cambria" w:hAnsi="Cambria" w:cs="Times New Roman"/>
      <w:b/>
      <w:bCs/>
      <w:kern w:val="2"/>
      <w:sz w:val="32"/>
      <w:szCs w:val="32"/>
    </w:rPr>
  </w:style>
  <w:style w:type="character" w:customStyle="1" w:styleId="275">
    <w:name w:val="标题 6 字符"/>
    <w:qFormat/>
    <w:uiPriority w:val="9"/>
    <w:rPr>
      <w:rFonts w:ascii="Cambria" w:hAnsi="Cambria" w:eastAsia="宋体" w:cs="Times New Roman"/>
      <w:b/>
      <w:bCs/>
      <w:kern w:val="2"/>
      <w:sz w:val="24"/>
      <w:szCs w:val="24"/>
    </w:rPr>
  </w:style>
  <w:style w:type="character" w:customStyle="1" w:styleId="276">
    <w:name w:val="副标题 字符"/>
    <w:qFormat/>
    <w:uiPriority w:val="11"/>
    <w:rPr>
      <w:rFonts w:ascii="Cambria" w:hAnsi="Cambria" w:cs="Times New Roman"/>
      <w:b/>
      <w:bCs/>
      <w:kern w:val="28"/>
      <w:sz w:val="32"/>
      <w:szCs w:val="32"/>
    </w:rPr>
  </w:style>
  <w:style w:type="character" w:customStyle="1" w:styleId="277">
    <w:name w:val="页脚 字符"/>
    <w:qFormat/>
    <w:uiPriority w:val="99"/>
    <w:rPr>
      <w:kern w:val="2"/>
      <w:sz w:val="18"/>
      <w:szCs w:val="18"/>
    </w:rPr>
  </w:style>
  <w:style w:type="character" w:customStyle="1" w:styleId="278">
    <w:name w:val="不明显参考1"/>
    <w:qFormat/>
    <w:uiPriority w:val="99"/>
    <w:rPr>
      <w:smallCaps/>
      <w:color w:val="auto"/>
      <w:u w:val="single"/>
    </w:rPr>
  </w:style>
  <w:style w:type="character" w:customStyle="1" w:styleId="279">
    <w:name w:val="明显参考1"/>
    <w:qFormat/>
    <w:uiPriority w:val="99"/>
    <w:rPr>
      <w:b/>
      <w:bCs/>
      <w:smallCaps/>
      <w:color w:val="auto"/>
      <w:spacing w:val="5"/>
      <w:u w:val="single"/>
    </w:rPr>
  </w:style>
  <w:style w:type="character" w:customStyle="1" w:styleId="280">
    <w:name w:val="明显强调1"/>
    <w:qFormat/>
    <w:uiPriority w:val="99"/>
    <w:rPr>
      <w:b/>
      <w:bCs/>
      <w:i/>
      <w:iCs/>
      <w:color w:val="4F81BD"/>
    </w:rPr>
  </w:style>
  <w:style w:type="character" w:customStyle="1" w:styleId="281">
    <w:name w:val="书籍标题1"/>
    <w:qFormat/>
    <w:uiPriority w:val="99"/>
    <w:rPr>
      <w:b/>
      <w:bCs/>
      <w:smallCaps/>
      <w:spacing w:val="5"/>
    </w:rPr>
  </w:style>
  <w:style w:type="character" w:customStyle="1" w:styleId="282">
    <w:name w:val="不明显强调1"/>
    <w:qFormat/>
    <w:uiPriority w:val="99"/>
    <w:rPr>
      <w:i/>
      <w:iCs/>
      <w:color w:val="808080"/>
    </w:rPr>
  </w:style>
  <w:style w:type="paragraph" w:customStyle="1" w:styleId="283">
    <w:name w:val="TOC 标题1"/>
    <w:basedOn w:val="2"/>
    <w:next w:val="1"/>
    <w:qFormat/>
    <w:uiPriority w:val="99"/>
    <w:pPr>
      <w:outlineLvl w:val="9"/>
    </w:pPr>
    <w:rPr>
      <w:rFonts w:ascii="Calibri" w:hAnsi="Calibri" w:eastAsia="黑体" w:cs="Calibri"/>
      <w:lang w:val="zh-CN"/>
    </w:rPr>
  </w:style>
  <w:style w:type="paragraph" w:customStyle="1" w:styleId="284">
    <w:name w:val="列出段落2"/>
    <w:basedOn w:val="1"/>
    <w:qFormat/>
    <w:uiPriority w:val="99"/>
    <w:pPr>
      <w:ind w:firstLine="420" w:firstLineChars="200"/>
    </w:pPr>
    <w:rPr>
      <w:rFonts w:ascii="Calibri" w:hAnsi="Calibri" w:cs="Calibri"/>
      <w:szCs w:val="21"/>
    </w:rPr>
  </w:style>
  <w:style w:type="paragraph" w:customStyle="1" w:styleId="285">
    <w:name w:val="引用1"/>
    <w:basedOn w:val="1"/>
    <w:next w:val="1"/>
    <w:qFormat/>
    <w:uiPriority w:val="99"/>
    <w:rPr>
      <w:i/>
      <w:iCs/>
      <w:color w:val="000000"/>
      <w:kern w:val="0"/>
      <w:sz w:val="20"/>
      <w:szCs w:val="20"/>
    </w:rPr>
  </w:style>
  <w:style w:type="paragraph" w:customStyle="1" w:styleId="286">
    <w:name w:val="无间隔1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87">
    <w:name w:val="修订1"/>
    <w:qFormat/>
    <w:uiPriority w:val="99"/>
    <w:rPr>
      <w:rFonts w:ascii="Times New Roman" w:hAnsi="Times New Roman" w:eastAsia="宋体" w:cs="Times New Roman"/>
      <w:kern w:val="2"/>
      <w:sz w:val="21"/>
      <w:szCs w:val="21"/>
      <w:lang w:val="en-US" w:eastAsia="zh-CN" w:bidi="ar-SA"/>
    </w:rPr>
  </w:style>
  <w:style w:type="paragraph" w:customStyle="1" w:styleId="288">
    <w:name w:val="明显引用1"/>
    <w:basedOn w:val="1"/>
    <w:next w:val="1"/>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289">
    <w:name w:val="纯文本 字符"/>
    <w:qFormat/>
    <w:uiPriority w:val="0"/>
    <w:rPr>
      <w:rFonts w:ascii="宋体" w:hAnsi="Courier New" w:cs="宋体"/>
      <w:kern w:val="2"/>
      <w:sz w:val="24"/>
      <w:szCs w:val="24"/>
    </w:rPr>
  </w:style>
  <w:style w:type="character" w:customStyle="1" w:styleId="290">
    <w:name w:val="批注文字 字符1"/>
    <w:qFormat/>
    <w:uiPriority w:val="0"/>
    <w:rPr>
      <w:kern w:val="2"/>
      <w:sz w:val="21"/>
      <w:szCs w:val="22"/>
    </w:rPr>
  </w:style>
  <w:style w:type="paragraph" w:customStyle="1" w:styleId="291">
    <w:name w:val="正文_0_0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292">
    <w:name w:val="_Style 291"/>
    <w:unhideWhenUsed/>
    <w:qFormat/>
    <w:uiPriority w:val="99"/>
    <w:rPr>
      <w:color w:val="605E5C"/>
      <w:shd w:val="clear" w:color="auto" w:fill="E1DFDD"/>
    </w:rPr>
  </w:style>
  <w:style w:type="character" w:customStyle="1" w:styleId="293">
    <w:name w:val="纯文本 字符1"/>
    <w:qFormat/>
    <w:uiPriority w:val="99"/>
    <w:rPr>
      <w:rFonts w:ascii="宋体" w:hAnsi="Courier New" w:eastAsia="宋体" w:cs="Courier New"/>
      <w:kern w:val="2"/>
      <w:sz w:val="21"/>
      <w:szCs w:val="21"/>
      <w:lang w:val="en-US" w:eastAsia="zh-CN" w:bidi="ar-SA"/>
    </w:rPr>
  </w:style>
  <w:style w:type="character" w:customStyle="1" w:styleId="294">
    <w:name w:val="页眉 字符1"/>
    <w:qFormat/>
    <w:uiPriority w:val="99"/>
    <w:rPr>
      <w:sz w:val="18"/>
      <w:szCs w:val="18"/>
    </w:rPr>
  </w:style>
  <w:style w:type="character" w:customStyle="1" w:styleId="295">
    <w:name w:val="文档结构图 字符1"/>
    <w:qFormat/>
    <w:uiPriority w:val="99"/>
    <w:rPr>
      <w:shd w:val="clear" w:color="auto" w:fill="000080"/>
    </w:rPr>
  </w:style>
  <w:style w:type="character" w:customStyle="1" w:styleId="296">
    <w:name w:val="批注文字 字符2"/>
    <w:qFormat/>
    <w:uiPriority w:val="0"/>
    <w:rPr>
      <w:szCs w:val="24"/>
    </w:rPr>
  </w:style>
  <w:style w:type="character" w:customStyle="1" w:styleId="297">
    <w:name w:val="标题 字符1"/>
    <w:qFormat/>
    <w:uiPriority w:val="99"/>
    <w:rPr>
      <w:sz w:val="30"/>
      <w:szCs w:val="24"/>
    </w:rPr>
  </w:style>
  <w:style w:type="character" w:customStyle="1" w:styleId="298">
    <w:name w:val="标题 6 字符1"/>
    <w:qFormat/>
    <w:uiPriority w:val="0"/>
    <w:rPr>
      <w:rFonts w:ascii="Arial" w:hAnsi="Arial" w:eastAsia="黑体" w:cs="Times New Roman"/>
      <w:b/>
      <w:sz w:val="24"/>
      <w:szCs w:val="24"/>
    </w:rPr>
  </w:style>
  <w:style w:type="character" w:customStyle="1" w:styleId="299">
    <w:name w:val="正文文本 字符1"/>
    <w:qFormat/>
    <w:uiPriority w:val="99"/>
    <w:rPr>
      <w:sz w:val="24"/>
      <w:szCs w:val="24"/>
    </w:rPr>
  </w:style>
  <w:style w:type="character" w:customStyle="1" w:styleId="300">
    <w:name w:val="批注主题 字符1"/>
    <w:qFormat/>
    <w:uiPriority w:val="99"/>
    <w:rPr>
      <w:b/>
      <w:bCs/>
      <w:szCs w:val="24"/>
    </w:rPr>
  </w:style>
  <w:style w:type="character" w:customStyle="1" w:styleId="301">
    <w:name w:val="标题 1 字符1"/>
    <w:qFormat/>
    <w:uiPriority w:val="0"/>
    <w:rPr>
      <w:rFonts w:ascii="Times New Roman" w:hAnsi="Times New Roman" w:eastAsia="宋体" w:cs="Times New Roman"/>
      <w:b/>
      <w:bCs/>
      <w:kern w:val="44"/>
      <w:sz w:val="44"/>
      <w:szCs w:val="44"/>
    </w:rPr>
  </w:style>
  <w:style w:type="character" w:customStyle="1" w:styleId="302">
    <w:name w:val="标题 2 字符1"/>
    <w:qFormat/>
    <w:uiPriority w:val="0"/>
    <w:rPr>
      <w:rFonts w:ascii="Arial" w:hAnsi="Arial" w:eastAsia="黑体" w:cs="Times New Roman"/>
      <w:b/>
      <w:bCs/>
      <w:sz w:val="32"/>
      <w:szCs w:val="32"/>
    </w:rPr>
  </w:style>
  <w:style w:type="character" w:customStyle="1" w:styleId="303">
    <w:name w:val="标题 4 字符1"/>
    <w:qFormat/>
    <w:uiPriority w:val="0"/>
    <w:rPr>
      <w:rFonts w:ascii="Arial" w:hAnsi="Arial" w:eastAsia="黑体" w:cs="Times New Roman"/>
      <w:kern w:val="0"/>
      <w:sz w:val="28"/>
      <w:szCs w:val="20"/>
    </w:rPr>
  </w:style>
  <w:style w:type="character" w:customStyle="1" w:styleId="304">
    <w:name w:val="页脚 字符1"/>
    <w:qFormat/>
    <w:uiPriority w:val="99"/>
    <w:rPr>
      <w:sz w:val="18"/>
      <w:szCs w:val="18"/>
    </w:rPr>
  </w:style>
  <w:style w:type="character" w:customStyle="1" w:styleId="305">
    <w:name w:val="日期 字符1"/>
    <w:qFormat/>
    <w:uiPriority w:val="99"/>
    <w:rPr>
      <w:rFonts w:ascii="宋体" w:hAnsi="Courier New" w:cs="Courier New"/>
      <w:szCs w:val="21"/>
    </w:rPr>
  </w:style>
  <w:style w:type="character" w:customStyle="1" w:styleId="306">
    <w:name w:val="正文文本缩进 字符1"/>
    <w:qFormat/>
    <w:uiPriority w:val="99"/>
    <w:rPr>
      <w:rFonts w:ascii="仿宋_GB2312" w:eastAsia="仿宋_GB2312"/>
      <w:sz w:val="32"/>
    </w:rPr>
  </w:style>
  <w:style w:type="character" w:customStyle="1" w:styleId="307">
    <w:name w:val="标题 8 字符1"/>
    <w:qFormat/>
    <w:uiPriority w:val="0"/>
    <w:rPr>
      <w:rFonts w:ascii="Arial" w:hAnsi="Arial" w:eastAsia="黑体" w:cs="Times New Roman"/>
      <w:sz w:val="24"/>
      <w:szCs w:val="24"/>
    </w:rPr>
  </w:style>
  <w:style w:type="character" w:customStyle="1" w:styleId="308">
    <w:name w:val="正文文本缩进 2 字符1"/>
    <w:qFormat/>
    <w:uiPriority w:val="99"/>
    <w:rPr>
      <w:sz w:val="32"/>
    </w:rPr>
  </w:style>
  <w:style w:type="character" w:customStyle="1" w:styleId="309">
    <w:name w:val="z-窗体顶端 字符1"/>
    <w:qFormat/>
    <w:uiPriority w:val="0"/>
    <w:rPr>
      <w:rFonts w:ascii="Arial"/>
      <w:vanish/>
      <w:sz w:val="16"/>
      <w:szCs w:val="24"/>
    </w:rPr>
  </w:style>
  <w:style w:type="character" w:customStyle="1" w:styleId="310">
    <w:name w:val="正文文本 3 字符1"/>
    <w:qFormat/>
    <w:uiPriority w:val="0"/>
    <w:rPr>
      <w:b/>
      <w:bCs/>
      <w:sz w:val="24"/>
      <w:szCs w:val="24"/>
    </w:rPr>
  </w:style>
  <w:style w:type="character" w:customStyle="1" w:styleId="311">
    <w:name w:val="标题 7 字符1"/>
    <w:qFormat/>
    <w:uiPriority w:val="0"/>
    <w:rPr>
      <w:rFonts w:ascii="Times New Roman" w:hAnsi="Times New Roman" w:eastAsia="宋体" w:cs="Times New Roman"/>
      <w:b/>
      <w:sz w:val="24"/>
      <w:szCs w:val="24"/>
    </w:rPr>
  </w:style>
  <w:style w:type="character" w:customStyle="1" w:styleId="312">
    <w:name w:val="正文文本首行缩进 2 字符1"/>
    <w:qFormat/>
    <w:uiPriority w:val="0"/>
    <w:rPr>
      <w:kern w:val="2"/>
      <w:sz w:val="21"/>
      <w:szCs w:val="24"/>
    </w:rPr>
  </w:style>
  <w:style w:type="character" w:customStyle="1" w:styleId="313">
    <w:name w:val="正文文本缩进 3 字符1"/>
    <w:qFormat/>
    <w:uiPriority w:val="0"/>
    <w:rPr>
      <w:sz w:val="16"/>
      <w:szCs w:val="16"/>
    </w:rPr>
  </w:style>
  <w:style w:type="character" w:customStyle="1" w:styleId="314">
    <w:name w:val="标题 5 字符1"/>
    <w:qFormat/>
    <w:uiPriority w:val="0"/>
    <w:rPr>
      <w:rFonts w:ascii="Times New Roman" w:hAnsi="Times New Roman" w:eastAsia="宋体" w:cs="Times New Roman"/>
      <w:b/>
      <w:sz w:val="28"/>
      <w:szCs w:val="24"/>
    </w:rPr>
  </w:style>
  <w:style w:type="character" w:customStyle="1" w:styleId="315">
    <w:name w:val="批注框文本 字符1"/>
    <w:qFormat/>
    <w:uiPriority w:val="99"/>
    <w:rPr>
      <w:sz w:val="18"/>
      <w:szCs w:val="18"/>
    </w:rPr>
  </w:style>
  <w:style w:type="character" w:customStyle="1" w:styleId="316">
    <w:name w:val="标题 3 字符1"/>
    <w:qFormat/>
    <w:uiPriority w:val="0"/>
    <w:rPr>
      <w:rFonts w:ascii="Times New Roman" w:hAnsi="Times New Roman" w:eastAsia="宋体" w:cs="Times New Roman"/>
      <w:b/>
      <w:bCs/>
      <w:sz w:val="32"/>
      <w:szCs w:val="32"/>
    </w:rPr>
  </w:style>
  <w:style w:type="character" w:customStyle="1" w:styleId="317">
    <w:name w:val="标题 9 字符1"/>
    <w:qFormat/>
    <w:uiPriority w:val="0"/>
    <w:rPr>
      <w:rFonts w:ascii="Arial" w:hAnsi="Arial" w:eastAsia="黑体" w:cs="Times New Roman"/>
      <w:szCs w:val="24"/>
    </w:rPr>
  </w:style>
  <w:style w:type="character" w:customStyle="1" w:styleId="318">
    <w:name w:val="正文文本首行缩进 字符1"/>
    <w:qFormat/>
    <w:uiPriority w:val="0"/>
    <w:rPr>
      <w:kern w:val="2"/>
      <w:sz w:val="21"/>
      <w:szCs w:val="24"/>
    </w:rPr>
  </w:style>
  <w:style w:type="character" w:customStyle="1" w:styleId="319">
    <w:name w:val="正文文本 2 字符1"/>
    <w:qFormat/>
    <w:uiPriority w:val="0"/>
    <w:rPr>
      <w:szCs w:val="24"/>
    </w:rPr>
  </w:style>
  <w:style w:type="character" w:customStyle="1" w:styleId="320">
    <w:name w:val="HTML 预设格式 字符1"/>
    <w:qFormat/>
    <w:uiPriority w:val="0"/>
    <w:rPr>
      <w:rFonts w:ascii="黑体" w:hAnsi="Courier New" w:eastAsia="黑体" w:cs="Courier New"/>
    </w:rPr>
  </w:style>
  <w:style w:type="paragraph" w:customStyle="1" w:styleId="321">
    <w:name w:val="3"/>
    <w:basedOn w:val="1"/>
    <w:next w:val="120"/>
    <w:qFormat/>
    <w:uiPriority w:val="0"/>
    <w:pPr>
      <w:ind w:firstLine="420" w:firstLineChars="200"/>
    </w:pPr>
    <w:rPr>
      <w:rFonts w:ascii="Calibri" w:hAnsi="Calibri"/>
      <w:szCs w:val="22"/>
    </w:rPr>
  </w:style>
  <w:style w:type="character" w:customStyle="1" w:styleId="322">
    <w:name w:val="正文文本缩进 2 字符"/>
    <w:qFormat/>
    <w:uiPriority w:val="99"/>
    <w:rPr>
      <w:rFonts w:ascii="Times New Roman" w:hAnsi="Times New Roman" w:eastAsia="宋体" w:cs="Times New Roman"/>
      <w:szCs w:val="24"/>
    </w:rPr>
  </w:style>
  <w:style w:type="character" w:customStyle="1" w:styleId="323">
    <w:name w:val="正文文本缩进 字符"/>
    <w:qFormat/>
    <w:uiPriority w:val="99"/>
    <w:rPr>
      <w:rFonts w:ascii="Times New Roman" w:hAnsi="Times New Roman" w:eastAsia="宋体" w:cs="Times New Roman"/>
      <w:szCs w:val="24"/>
    </w:rPr>
  </w:style>
  <w:style w:type="character" w:customStyle="1" w:styleId="324">
    <w:name w:val="正文文本 3 字符"/>
    <w:semiHidden/>
    <w:qFormat/>
    <w:uiPriority w:val="99"/>
    <w:rPr>
      <w:rFonts w:ascii="Times New Roman" w:hAnsi="Times New Roman" w:eastAsia="宋体" w:cs="Times New Roman"/>
      <w:sz w:val="16"/>
      <w:szCs w:val="16"/>
    </w:rPr>
  </w:style>
  <w:style w:type="character" w:customStyle="1" w:styleId="325">
    <w:name w:val="HTML 预设格式 字符"/>
    <w:semiHidden/>
    <w:qFormat/>
    <w:uiPriority w:val="99"/>
    <w:rPr>
      <w:rFonts w:ascii="Courier New" w:hAnsi="Courier New" w:eastAsia="宋体" w:cs="Courier New"/>
      <w:sz w:val="20"/>
      <w:szCs w:val="20"/>
    </w:rPr>
  </w:style>
  <w:style w:type="character" w:customStyle="1" w:styleId="326">
    <w:name w:val="正文文本 2 字符"/>
    <w:semiHidden/>
    <w:qFormat/>
    <w:uiPriority w:val="99"/>
    <w:rPr>
      <w:rFonts w:ascii="Times New Roman" w:hAnsi="Times New Roman" w:eastAsia="宋体" w:cs="Times New Roman"/>
      <w:szCs w:val="24"/>
    </w:rPr>
  </w:style>
  <w:style w:type="character" w:customStyle="1" w:styleId="327">
    <w:name w:val="正文文本缩进 3 字符"/>
    <w:semiHidden/>
    <w:qFormat/>
    <w:uiPriority w:val="99"/>
    <w:rPr>
      <w:rFonts w:ascii="Times New Roman" w:hAnsi="Times New Roman" w:eastAsia="宋体" w:cs="Times New Roman"/>
      <w:sz w:val="16"/>
      <w:szCs w:val="16"/>
    </w:rPr>
  </w:style>
  <w:style w:type="paragraph" w:customStyle="1" w:styleId="328">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329">
    <w:name w:val="Char Char Char2"/>
    <w:basedOn w:val="16"/>
    <w:qFormat/>
    <w:uiPriority w:val="0"/>
    <w:pPr>
      <w:adjustRightInd/>
      <w:spacing w:line="240" w:lineRule="auto"/>
      <w:textAlignment w:val="auto"/>
    </w:pPr>
    <w:rPr>
      <w:rFonts w:ascii="Tahoma" w:hAnsi="Tahoma" w:eastAsia="等线"/>
      <w:kern w:val="2"/>
      <w:sz w:val="24"/>
      <w:szCs w:val="24"/>
    </w:rPr>
  </w:style>
  <w:style w:type="paragraph" w:customStyle="1" w:styleId="330">
    <w:name w:val="Char Char Char Char Char Char Char1"/>
    <w:basedOn w:val="1"/>
    <w:qFormat/>
    <w:uiPriority w:val="99"/>
  </w:style>
  <w:style w:type="paragraph" w:customStyle="1" w:styleId="331">
    <w:name w:val="Char Char Char Char2"/>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332">
    <w:name w:val="Char4"/>
    <w:basedOn w:val="1"/>
    <w:qFormat/>
    <w:uiPriority w:val="0"/>
    <w:pPr>
      <w:tabs>
        <w:tab w:val="left" w:pos="360"/>
      </w:tabs>
      <w:ind w:left="252" w:hanging="252" w:hangingChars="140"/>
    </w:pPr>
    <w:rPr>
      <w:rFonts w:ascii="宋体"/>
      <w:sz w:val="18"/>
      <w:szCs w:val="18"/>
    </w:rPr>
  </w:style>
  <w:style w:type="character" w:customStyle="1" w:styleId="333">
    <w:name w:val="z-窗体顶端 字符"/>
    <w:semiHidden/>
    <w:qFormat/>
    <w:uiPriority w:val="99"/>
    <w:rPr>
      <w:rFonts w:ascii="Arial" w:hAnsi="Arial" w:eastAsia="宋体" w:cs="Arial"/>
      <w:vanish/>
      <w:sz w:val="16"/>
      <w:szCs w:val="16"/>
    </w:rPr>
  </w:style>
  <w:style w:type="paragraph" w:customStyle="1" w:styleId="334">
    <w:name w:val="Char Char Char Char Char Char Char Char Char Char Char Char Char1"/>
    <w:basedOn w:val="16"/>
    <w:qFormat/>
    <w:uiPriority w:val="0"/>
    <w:pPr>
      <w:adjustRightInd/>
      <w:spacing w:line="240" w:lineRule="auto"/>
      <w:textAlignment w:val="auto"/>
    </w:pPr>
    <w:rPr>
      <w:rFonts w:ascii="Tahoma" w:hAnsi="Tahoma" w:eastAsia="等线"/>
      <w:kern w:val="2"/>
      <w:sz w:val="24"/>
      <w:szCs w:val="24"/>
    </w:rPr>
  </w:style>
  <w:style w:type="paragraph" w:customStyle="1" w:styleId="335">
    <w:name w:val="Char21"/>
    <w:basedOn w:val="1"/>
    <w:qFormat/>
    <w:uiPriority w:val="0"/>
    <w:pPr>
      <w:widowControl/>
      <w:spacing w:after="160" w:line="240" w:lineRule="exact"/>
      <w:jc w:val="left"/>
    </w:pPr>
    <w:rPr>
      <w:rFonts w:ascii="Verdana" w:hAnsi="Verdana"/>
      <w:kern w:val="0"/>
      <w:szCs w:val="20"/>
      <w:lang w:eastAsia="en-US"/>
    </w:rPr>
  </w:style>
  <w:style w:type="paragraph" w:customStyle="1" w:styleId="336">
    <w:name w:val="Char Char Char Char Char Char1 Char1"/>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37">
    <w:name w:val="明显引用 字符1"/>
    <w:qFormat/>
    <w:uiPriority w:val="99"/>
    <w:rPr>
      <w:b/>
      <w:bCs/>
      <w:i/>
      <w:iCs/>
      <w:color w:val="4F81BD"/>
    </w:rPr>
  </w:style>
  <w:style w:type="character" w:customStyle="1" w:styleId="338">
    <w:name w:val="副标题 字符1"/>
    <w:qFormat/>
    <w:uiPriority w:val="11"/>
    <w:rPr>
      <w:rFonts w:ascii="Cambria" w:hAnsi="Cambria"/>
      <w:b/>
      <w:bCs/>
      <w:kern w:val="28"/>
      <w:sz w:val="32"/>
      <w:szCs w:val="32"/>
    </w:rPr>
  </w:style>
  <w:style w:type="character" w:customStyle="1" w:styleId="339">
    <w:name w:val="引用 字符1"/>
    <w:qFormat/>
    <w:uiPriority w:val="99"/>
    <w:rPr>
      <w:i/>
      <w:iCs/>
      <w:color w:val="000000"/>
    </w:rPr>
  </w:style>
  <w:style w:type="character" w:customStyle="1" w:styleId="340">
    <w:name w:val="脚注文本 字符1"/>
    <w:qFormat/>
    <w:uiPriority w:val="99"/>
    <w:rPr>
      <w:sz w:val="18"/>
    </w:rPr>
  </w:style>
  <w:style w:type="character" w:customStyle="1" w:styleId="341">
    <w:name w:val="脚注文本 字符"/>
    <w:qFormat/>
    <w:uiPriority w:val="99"/>
    <w:rPr>
      <w:rFonts w:ascii="Times New Roman" w:hAnsi="Times New Roman" w:eastAsia="宋体" w:cs="Times New Roman"/>
      <w:sz w:val="18"/>
      <w:szCs w:val="18"/>
    </w:rPr>
  </w:style>
  <w:style w:type="character" w:customStyle="1" w:styleId="342">
    <w:name w:val="正文文本首行缩进 2 字符"/>
    <w:semiHidden/>
    <w:qFormat/>
    <w:uiPriority w:val="99"/>
  </w:style>
  <w:style w:type="character" w:customStyle="1" w:styleId="343">
    <w:name w:val="正文文本首行缩进 字符"/>
    <w:semiHidden/>
    <w:qFormat/>
    <w:uiPriority w:val="99"/>
    <w:rPr>
      <w:rFonts w:ascii="Times New Roman" w:hAnsi="Times New Roman" w:eastAsia="宋体" w:cs="Times New Roman"/>
      <w:szCs w:val="24"/>
    </w:rPr>
  </w:style>
  <w:style w:type="paragraph" w:customStyle="1" w:styleId="344">
    <w:name w:val="Body text|1"/>
    <w:basedOn w:val="1"/>
    <w:qFormat/>
    <w:uiPriority w:val="0"/>
    <w:pPr>
      <w:spacing w:line="360" w:lineRule="auto"/>
      <w:ind w:firstLine="400"/>
    </w:pPr>
    <w:rPr>
      <w:rFonts w:ascii="宋体" w:hAnsi="宋体" w:cs="宋体"/>
      <w:szCs w:val="20"/>
      <w:lang w:val="zh-CN" w:bidi="zh-CN"/>
    </w:rPr>
  </w:style>
  <w:style w:type="paragraph" w:customStyle="1" w:styleId="345">
    <w:name w:val="表格文字"/>
    <w:basedOn w:val="1"/>
    <w:qFormat/>
    <w:uiPriority w:val="0"/>
    <w:pPr>
      <w:adjustRightInd w:val="0"/>
      <w:spacing w:line="420" w:lineRule="atLeast"/>
      <w:jc w:val="left"/>
      <w:textAlignment w:val="baseline"/>
    </w:pPr>
    <w:rPr>
      <w:kern w:val="0"/>
      <w:szCs w:val="20"/>
    </w:rPr>
  </w:style>
  <w:style w:type="paragraph" w:customStyle="1" w:styleId="346">
    <w:name w:val="正文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47">
    <w:name w:val="Table Text"/>
    <w:basedOn w:val="1"/>
    <w:qFormat/>
    <w:uiPriority w:val="0"/>
    <w:rPr>
      <w:rFonts w:ascii="Arial" w:hAnsi="Arial" w:eastAsia="Arial" w:cs="Arial"/>
      <w:szCs w:val="21"/>
      <w:lang w:eastAsia="en-US"/>
    </w:rPr>
  </w:style>
  <w:style w:type="table" w:customStyle="1" w:styleId="348">
    <w:name w:val="Table Normal"/>
    <w:qFormat/>
    <w:uiPriority w:val="0"/>
    <w:rPr>
      <w:rFonts w:ascii="等线" w:hAnsi="等线" w:eastAsia="等线" w:cs="Times New Roman"/>
    </w:rPr>
    <w:tblPr>
      <w:tblCellMar>
        <w:top w:w="0" w:type="dxa"/>
        <w:left w:w="0" w:type="dxa"/>
        <w:bottom w:w="0" w:type="dxa"/>
        <w:right w:w="0" w:type="dxa"/>
      </w:tblCellMar>
    </w:tblPr>
  </w:style>
  <w:style w:type="paragraph" w:customStyle="1" w:styleId="349">
    <w:name w:val="Table Paragraph"/>
    <w:basedOn w:val="1"/>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6.xml"/><Relationship Id="rId17" Type="http://schemas.openxmlformats.org/officeDocument/2006/relationships/header" Target="header10.xml"/><Relationship Id="rId16" Type="http://schemas.openxmlformats.org/officeDocument/2006/relationships/footer" Target="footer5.xml"/><Relationship Id="rId15" Type="http://schemas.openxmlformats.org/officeDocument/2006/relationships/header" Target="header9.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122</Pages>
  <Words>9858</Words>
  <Characters>10834</Characters>
  <Lines>2534</Lines>
  <Paragraphs>2822</Paragraphs>
  <TotalTime>142</TotalTime>
  <ScaleCrop>false</ScaleCrop>
  <LinksUpToDate>false</LinksUpToDate>
  <CharactersWithSpaces>11033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2025-05-26T22:51:00Z</dcterms:created>
  <dc:creator>微软用户</dc:creator>
  <cp:lastModifiedBy>WPS_1460455803</cp:lastModifiedBy>
  <cp:lastPrinted>2026-08-22T19:23:00Z</cp:lastPrinted>
  <dcterms:modified xsi:type="dcterms:W3CDTF">2026-09-30T02:33:58Z</dcterms:modified>
  <dc:title>桂财采〔2009〕 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ICV">
    <vt:lpwstr>91FB3802F9184EC2A5626A8BA5A5215C_13</vt:lpwstr>
  </property>
  <property fmtid="{D5CDD505-2E9C-101B-9397-08002B2CF9AE}" pid="14" name="KSOTemplateDocerSaveRecord">
    <vt:lpwstr>eyJoZGlkIjoiNDBkYjE0Zjk5NWRjOGM0NTNjN2QyNTkzOTFiMjQwYzYiLCJ1c2VySWQiOiIyMTA4NDg0NzcifQ==</vt:lpwstr>
  </property>
</Properties>
</file>